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Lines="200"/>
        <w:ind w:right="79" w:rightChars="33"/>
        <w:jc w:val="center"/>
        <w:rPr>
          <w:b/>
          <w:sz w:val="52"/>
          <w:szCs w:val="52"/>
        </w:rPr>
      </w:pPr>
    </w:p>
    <w:p>
      <w:pPr>
        <w:spacing w:afterLines="200"/>
        <w:ind w:right="79" w:rightChars="33"/>
        <w:jc w:val="center"/>
        <w:rPr>
          <w:b/>
          <w:sz w:val="52"/>
          <w:szCs w:val="52"/>
        </w:rPr>
      </w:pPr>
      <w:r>
        <w:rPr>
          <w:rFonts w:hint="eastAsia"/>
          <w:b/>
          <w:sz w:val="52"/>
          <w:szCs w:val="52"/>
        </w:rPr>
        <w:t>岳阳市康复医院建设项目</w:t>
      </w:r>
    </w:p>
    <w:p>
      <w:pPr>
        <w:spacing w:afterLines="200"/>
        <w:ind w:right="79" w:rightChars="33"/>
        <w:jc w:val="center"/>
        <w:rPr>
          <w:b/>
          <w:spacing w:val="50"/>
          <w:sz w:val="84"/>
          <w:szCs w:val="84"/>
        </w:rPr>
      </w:pPr>
      <w:r>
        <w:rPr>
          <w:b/>
          <w:spacing w:val="50"/>
          <w:sz w:val="84"/>
          <w:szCs w:val="84"/>
        </w:rPr>
        <w:t>环境影响报告书</w:t>
      </w:r>
    </w:p>
    <w:p>
      <w:pPr>
        <w:ind w:right="79" w:rightChars="33"/>
        <w:jc w:val="center"/>
        <w:rPr>
          <w:sz w:val="28"/>
        </w:rPr>
      </w:pPr>
      <w:r>
        <w:rPr>
          <w:sz w:val="28"/>
        </w:rPr>
        <w:t>（</w:t>
      </w:r>
      <w:r>
        <w:rPr>
          <w:rFonts w:hint="eastAsia"/>
          <w:sz w:val="28"/>
        </w:rPr>
        <w:t>报批</w:t>
      </w:r>
      <w:r>
        <w:rPr>
          <w:sz w:val="28"/>
        </w:rPr>
        <w:t>稿）</w:t>
      </w:r>
    </w:p>
    <w:p>
      <w:pPr>
        <w:ind w:right="79" w:rightChars="33"/>
        <w:jc w:val="center"/>
        <w:rPr>
          <w:sz w:val="28"/>
        </w:rPr>
      </w:pPr>
    </w:p>
    <w:p>
      <w:pPr>
        <w:ind w:right="79" w:rightChars="33"/>
        <w:jc w:val="center"/>
        <w:rPr>
          <w:sz w:val="28"/>
        </w:rPr>
      </w:pPr>
    </w:p>
    <w:p>
      <w:pPr>
        <w:ind w:right="79" w:rightChars="33"/>
        <w:rPr>
          <w:sz w:val="28"/>
        </w:rPr>
      </w:pPr>
    </w:p>
    <w:p>
      <w:pPr>
        <w:ind w:right="79" w:rightChars="33"/>
        <w:rPr>
          <w:sz w:val="28"/>
        </w:rPr>
      </w:pPr>
    </w:p>
    <w:p>
      <w:pPr>
        <w:ind w:right="79" w:rightChars="33"/>
        <w:rPr>
          <w:sz w:val="28"/>
        </w:rPr>
      </w:pPr>
    </w:p>
    <w:p>
      <w:pPr>
        <w:ind w:right="79" w:rightChars="33"/>
        <w:rPr>
          <w:sz w:val="28"/>
        </w:rPr>
      </w:pPr>
    </w:p>
    <w:p>
      <w:pPr>
        <w:ind w:right="79" w:rightChars="33"/>
        <w:rPr>
          <w:sz w:val="28"/>
        </w:rPr>
      </w:pPr>
    </w:p>
    <w:p>
      <w:pPr>
        <w:ind w:right="79" w:rightChars="33"/>
        <w:rPr>
          <w:sz w:val="28"/>
        </w:rPr>
      </w:pPr>
    </w:p>
    <w:p>
      <w:pPr>
        <w:ind w:right="79" w:rightChars="33"/>
        <w:rPr>
          <w:sz w:val="28"/>
        </w:rPr>
      </w:pPr>
    </w:p>
    <w:p>
      <w:pPr>
        <w:ind w:right="79" w:rightChars="33"/>
        <w:rPr>
          <w:sz w:val="28"/>
        </w:rPr>
      </w:pPr>
    </w:p>
    <w:tbl>
      <w:tblPr>
        <w:tblStyle w:val="39"/>
        <w:tblW w:w="9196" w:type="dxa"/>
        <w:jc w:val="center"/>
        <w:tblLayout w:type="fixed"/>
        <w:tblCellMar>
          <w:top w:w="0" w:type="dxa"/>
          <w:left w:w="108" w:type="dxa"/>
          <w:bottom w:w="0" w:type="dxa"/>
          <w:right w:w="108" w:type="dxa"/>
        </w:tblCellMar>
      </w:tblPr>
      <w:tblGrid>
        <w:gridCol w:w="2190"/>
        <w:gridCol w:w="7006"/>
      </w:tblGrid>
      <w:tr>
        <w:tblPrEx>
          <w:tblCellMar>
            <w:top w:w="0" w:type="dxa"/>
            <w:left w:w="108" w:type="dxa"/>
            <w:bottom w:w="0" w:type="dxa"/>
            <w:right w:w="108" w:type="dxa"/>
          </w:tblCellMar>
        </w:tblPrEx>
        <w:trPr>
          <w:trHeight w:val="575" w:hRule="atLeast"/>
          <w:jc w:val="center"/>
        </w:trPr>
        <w:tc>
          <w:tcPr>
            <w:tcW w:w="2190" w:type="dxa"/>
          </w:tcPr>
          <w:p>
            <w:pPr>
              <w:spacing w:line="480" w:lineRule="auto"/>
              <w:ind w:right="79" w:rightChars="33"/>
              <w:jc w:val="center"/>
              <w:rPr>
                <w:b/>
                <w:sz w:val="36"/>
                <w:szCs w:val="36"/>
              </w:rPr>
            </w:pPr>
            <w:r>
              <w:rPr>
                <w:b/>
                <w:sz w:val="36"/>
                <w:szCs w:val="36"/>
              </w:rPr>
              <w:t>建设单位：</w:t>
            </w:r>
          </w:p>
        </w:tc>
        <w:tc>
          <w:tcPr>
            <w:tcW w:w="7006" w:type="dxa"/>
          </w:tcPr>
          <w:p>
            <w:pPr>
              <w:spacing w:line="480" w:lineRule="auto"/>
              <w:ind w:right="79" w:rightChars="33"/>
              <w:jc w:val="distribute"/>
              <w:rPr>
                <w:b/>
                <w:sz w:val="36"/>
                <w:szCs w:val="36"/>
              </w:rPr>
            </w:pPr>
            <w:r>
              <w:rPr>
                <w:rFonts w:hint="eastAsia"/>
                <w:b/>
                <w:sz w:val="36"/>
                <w:szCs w:val="36"/>
              </w:rPr>
              <w:t>岳阳市康复医院</w:t>
            </w:r>
          </w:p>
        </w:tc>
      </w:tr>
      <w:tr>
        <w:tblPrEx>
          <w:tblCellMar>
            <w:top w:w="0" w:type="dxa"/>
            <w:left w:w="108" w:type="dxa"/>
            <w:bottom w:w="0" w:type="dxa"/>
            <w:right w:w="108" w:type="dxa"/>
          </w:tblCellMar>
        </w:tblPrEx>
        <w:trPr>
          <w:trHeight w:val="575" w:hRule="atLeast"/>
          <w:jc w:val="center"/>
        </w:trPr>
        <w:tc>
          <w:tcPr>
            <w:tcW w:w="2190" w:type="dxa"/>
          </w:tcPr>
          <w:p>
            <w:pPr>
              <w:spacing w:line="480" w:lineRule="auto"/>
              <w:ind w:right="79" w:rightChars="33"/>
              <w:jc w:val="center"/>
              <w:rPr>
                <w:b/>
                <w:sz w:val="36"/>
                <w:szCs w:val="36"/>
              </w:rPr>
            </w:pPr>
            <w:r>
              <w:rPr>
                <w:b/>
                <w:sz w:val="36"/>
                <w:szCs w:val="36"/>
              </w:rPr>
              <w:t>环评单位：</w:t>
            </w:r>
          </w:p>
        </w:tc>
        <w:tc>
          <w:tcPr>
            <w:tcW w:w="7006" w:type="dxa"/>
          </w:tcPr>
          <w:p>
            <w:pPr>
              <w:spacing w:line="480" w:lineRule="auto"/>
              <w:ind w:right="79" w:rightChars="33"/>
              <w:jc w:val="distribute"/>
              <w:rPr>
                <w:b/>
                <w:sz w:val="36"/>
                <w:szCs w:val="36"/>
              </w:rPr>
            </w:pPr>
            <w:r>
              <w:rPr>
                <w:rFonts w:hint="eastAsia"/>
                <w:b/>
                <w:sz w:val="36"/>
                <w:szCs w:val="36"/>
              </w:rPr>
              <w:t>江西景瑞祥环保科技有限公司</w:t>
            </w:r>
          </w:p>
        </w:tc>
      </w:tr>
    </w:tbl>
    <w:p>
      <w:pPr>
        <w:pStyle w:val="24"/>
        <w:ind w:left="6000" w:right="79" w:rightChars="33"/>
        <w:jc w:val="center"/>
        <w:rPr>
          <w:b/>
          <w:spacing w:val="20"/>
          <w:sz w:val="36"/>
        </w:rPr>
      </w:pPr>
    </w:p>
    <w:p>
      <w:pPr>
        <w:pStyle w:val="24"/>
        <w:ind w:left="5254" w:leftChars="0" w:right="79" w:rightChars="33" w:hanging="5254" w:hangingChars="1309"/>
        <w:jc w:val="center"/>
        <w:rPr>
          <w:b/>
          <w:spacing w:val="20"/>
          <w:sz w:val="36"/>
        </w:rPr>
      </w:pPr>
    </w:p>
    <w:p>
      <w:pPr>
        <w:pStyle w:val="24"/>
        <w:ind w:left="5254" w:leftChars="0" w:right="79" w:rightChars="33" w:hanging="5254" w:hangingChars="1309"/>
        <w:jc w:val="center"/>
        <w:rPr>
          <w:b/>
          <w:spacing w:val="20"/>
          <w:sz w:val="36"/>
        </w:rPr>
      </w:pPr>
    </w:p>
    <w:p>
      <w:pPr>
        <w:pStyle w:val="24"/>
        <w:ind w:left="5254" w:leftChars="0" w:right="79" w:rightChars="33" w:hanging="5254" w:hangingChars="1309"/>
        <w:jc w:val="center"/>
        <w:rPr>
          <w:b/>
          <w:spacing w:val="20"/>
          <w:sz w:val="36"/>
        </w:rPr>
      </w:pPr>
    </w:p>
    <w:p>
      <w:pPr>
        <w:pStyle w:val="24"/>
        <w:ind w:left="5254" w:leftChars="0" w:right="79" w:rightChars="33" w:hanging="5254" w:hangingChars="1309"/>
        <w:jc w:val="center"/>
        <w:rPr>
          <w:b/>
          <w:spacing w:val="20"/>
          <w:sz w:val="36"/>
        </w:rPr>
      </w:pPr>
    </w:p>
    <w:p>
      <w:pPr>
        <w:pStyle w:val="24"/>
        <w:ind w:left="5254" w:leftChars="0" w:right="79" w:rightChars="33" w:hanging="5254" w:hangingChars="1309"/>
        <w:jc w:val="center"/>
        <w:rPr>
          <w:b/>
          <w:spacing w:val="20"/>
          <w:sz w:val="36"/>
        </w:rPr>
      </w:pPr>
      <w:r>
        <w:rPr>
          <w:b/>
          <w:spacing w:val="20"/>
          <w:sz w:val="36"/>
        </w:rPr>
        <w:t>二〇二〇年</w:t>
      </w:r>
      <w:r>
        <w:rPr>
          <w:rFonts w:hint="eastAsia"/>
          <w:b/>
          <w:spacing w:val="20"/>
          <w:sz w:val="36"/>
        </w:rPr>
        <w:t>一</w:t>
      </w:r>
      <w:r>
        <w:rPr>
          <w:b/>
          <w:spacing w:val="20"/>
          <w:sz w:val="36"/>
        </w:rPr>
        <w:t>月</w:t>
      </w:r>
    </w:p>
    <w:p>
      <w:pPr>
        <w:jc w:val="center"/>
        <w:rPr>
          <w:rFonts w:cs="Times New Roman"/>
          <w:b/>
          <w:color w:val="000000" w:themeColor="text1"/>
          <w:sz w:val="28"/>
          <w:szCs w:val="28"/>
        </w:rPr>
      </w:pPr>
    </w:p>
    <w:p>
      <w:pPr>
        <w:jc w:val="center"/>
        <w:rPr>
          <w:rFonts w:cs="Times New Roman"/>
          <w:b/>
          <w:color w:val="000000" w:themeColor="text1"/>
          <w:sz w:val="28"/>
          <w:szCs w:val="28"/>
        </w:rPr>
      </w:pPr>
      <w:r>
        <w:rPr>
          <w:rFonts w:cs="Times New Roman"/>
          <w:b/>
          <w:color w:val="000000" w:themeColor="text1"/>
          <w:sz w:val="28"/>
          <w:szCs w:val="28"/>
        </w:rPr>
        <w:drawing>
          <wp:inline distT="0" distB="0" distL="0" distR="0">
            <wp:extent cx="5685790" cy="7830185"/>
            <wp:effectExtent l="19050" t="0" r="0" b="0"/>
            <wp:docPr id="6" name="图片 16" descr="C:\Users\123\AppData\Local\Temp\WeChat Files\471951e67575ea05491350d60598c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descr="C:\Users\123\AppData\Local\Temp\WeChat Files\471951e67575ea05491350d60598cb6.jpg"/>
                    <pic:cNvPicPr>
                      <a:picLocks noChangeAspect="1" noChangeArrowheads="1"/>
                    </pic:cNvPicPr>
                  </pic:nvPicPr>
                  <pic:blipFill>
                    <a:blip r:embed="rId8" cstate="print"/>
                    <a:srcRect/>
                    <a:stretch>
                      <a:fillRect/>
                    </a:stretch>
                  </pic:blipFill>
                  <pic:spPr>
                    <a:xfrm>
                      <a:off x="0" y="0"/>
                      <a:ext cx="5689797" cy="7835388"/>
                    </a:xfrm>
                    <a:prstGeom prst="rect">
                      <a:avLst/>
                    </a:prstGeom>
                    <a:noFill/>
                    <a:ln w="9525">
                      <a:noFill/>
                      <a:miter lim="800000"/>
                      <a:headEnd/>
                      <a:tailEnd/>
                    </a:ln>
                  </pic:spPr>
                </pic:pic>
              </a:graphicData>
            </a:graphic>
          </wp:inline>
        </w:drawing>
      </w:r>
    </w:p>
    <w:p>
      <w:pPr>
        <w:widowControl/>
        <w:jc w:val="left"/>
        <w:rPr>
          <w:rFonts w:cs="Times New Roman"/>
          <w:b/>
          <w:color w:val="000000" w:themeColor="text1"/>
          <w:sz w:val="28"/>
          <w:szCs w:val="28"/>
        </w:rPr>
      </w:pPr>
      <w:r>
        <w:rPr>
          <w:rFonts w:cs="Times New Roman"/>
          <w:b/>
          <w:color w:val="000000" w:themeColor="text1"/>
          <w:sz w:val="28"/>
          <w:szCs w:val="28"/>
        </w:rPr>
        <w:br w:type="page"/>
      </w:r>
    </w:p>
    <w:p>
      <w:pPr>
        <w:jc w:val="center"/>
        <w:rPr>
          <w:rFonts w:eastAsia="宋体"/>
          <w:b/>
          <w:bCs/>
          <w:sz w:val="32"/>
          <w:szCs w:val="32"/>
        </w:rPr>
      </w:pPr>
      <w:r>
        <w:rPr>
          <w:rFonts w:hint="eastAsia" w:eastAsia="宋体"/>
          <w:b/>
          <w:bCs/>
          <w:sz w:val="32"/>
          <w:szCs w:val="32"/>
        </w:rPr>
        <w:t>岳阳市康复医</w:t>
      </w:r>
      <w:r>
        <w:rPr>
          <w:rFonts w:eastAsia="宋体"/>
          <w:b/>
          <w:bCs/>
          <w:sz w:val="32"/>
          <w:szCs w:val="32"/>
        </w:rPr>
        <w:t>建设项目</w:t>
      </w:r>
      <w:r>
        <w:rPr>
          <w:rFonts w:hint="eastAsia" w:eastAsia="宋体"/>
          <w:b/>
          <w:bCs/>
          <w:sz w:val="32"/>
          <w:szCs w:val="32"/>
        </w:rPr>
        <w:t>环境影响报告书</w:t>
      </w:r>
    </w:p>
    <w:p>
      <w:pPr>
        <w:jc w:val="center"/>
        <w:rPr>
          <w:rFonts w:eastAsia="宋体"/>
          <w:b/>
          <w:bCs/>
          <w:sz w:val="32"/>
          <w:szCs w:val="32"/>
        </w:rPr>
      </w:pPr>
      <w:r>
        <w:rPr>
          <w:rFonts w:hint="eastAsia" w:eastAsia="宋体"/>
          <w:b/>
          <w:sz w:val="32"/>
          <w:szCs w:val="32"/>
        </w:rPr>
        <w:t>技术审查意见修改清单</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89"/>
        <w:gridCol w:w="4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jc w:val="center"/>
              <w:rPr>
                <w:rFonts w:eastAsia="宋体" w:cs="Times New Roman"/>
                <w:szCs w:val="24"/>
              </w:rPr>
            </w:pPr>
            <w:r>
              <w:rPr>
                <w:rFonts w:eastAsia="宋体" w:cs="Times New Roman"/>
                <w:szCs w:val="24"/>
              </w:rPr>
              <w:t>意见</w:t>
            </w:r>
          </w:p>
        </w:tc>
        <w:tc>
          <w:tcPr>
            <w:tcW w:w="0" w:type="auto"/>
            <w:vAlign w:val="center"/>
          </w:tcPr>
          <w:p>
            <w:pPr>
              <w:jc w:val="center"/>
              <w:rPr>
                <w:rFonts w:eastAsia="宋体" w:cs="Times New Roman"/>
                <w:szCs w:val="24"/>
              </w:rPr>
            </w:pPr>
            <w:r>
              <w:rPr>
                <w:rFonts w:eastAsia="宋体" w:cs="Times New Roman"/>
                <w:szCs w:val="24"/>
              </w:rPr>
              <w:t>修改说明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0" w:type="auto"/>
            <w:vAlign w:val="center"/>
          </w:tcPr>
          <w:p>
            <w:pPr>
              <w:rPr>
                <w:rFonts w:eastAsia="宋体" w:cs="Times New Roman"/>
                <w:szCs w:val="24"/>
              </w:rPr>
            </w:pPr>
            <w:r>
              <w:rPr>
                <w:rFonts w:eastAsia="宋体" w:cs="Times New Roman"/>
                <w:szCs w:val="24"/>
              </w:rPr>
              <w:t>完善项目由来，核实消毒剂、药品等原辅材料消耗情况；根据项目区雨污水管网建情况核实项目雨水排放去向。</w:t>
            </w:r>
          </w:p>
        </w:tc>
        <w:tc>
          <w:tcPr>
            <w:tcW w:w="0" w:type="auto"/>
            <w:vAlign w:val="center"/>
          </w:tcPr>
          <w:p>
            <w:pPr>
              <w:jc w:val="center"/>
              <w:rPr>
                <w:rFonts w:eastAsia="宋体" w:cs="Times New Roman"/>
                <w:szCs w:val="24"/>
              </w:rPr>
            </w:pPr>
            <w:r>
              <w:rPr>
                <w:rFonts w:eastAsia="宋体" w:cs="Times New Roman"/>
                <w:szCs w:val="24"/>
              </w:rPr>
              <w:t>已完善项目由来，具体见P1~P2。项目药品具体见P29，项目能源具体见P28。已核实项目雨污水管网建设的去向。具体见P31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0" w:type="auto"/>
            <w:vAlign w:val="center"/>
          </w:tcPr>
          <w:p>
            <w:pPr>
              <w:rPr>
                <w:rFonts w:eastAsia="宋体" w:cs="Times New Roman"/>
                <w:szCs w:val="24"/>
              </w:rPr>
            </w:pPr>
            <w:r>
              <w:rPr>
                <w:rFonts w:eastAsia="宋体" w:cs="Times New Roman"/>
                <w:szCs w:val="24"/>
              </w:rPr>
              <w:t>根据项目实际运行情况及污染源监测结果，核实各类污染物产排情况及环保设施建设运行情况和达标情况及存在的问题，以此完善整改措施。</w:t>
            </w:r>
          </w:p>
        </w:tc>
        <w:tc>
          <w:tcPr>
            <w:tcW w:w="0" w:type="auto"/>
            <w:vAlign w:val="center"/>
          </w:tcPr>
          <w:p>
            <w:pPr>
              <w:jc w:val="center"/>
              <w:rPr>
                <w:rFonts w:eastAsia="宋体" w:cs="Times New Roman"/>
                <w:szCs w:val="24"/>
              </w:rPr>
            </w:pPr>
            <w:r>
              <w:rPr>
                <w:rFonts w:eastAsia="宋体" w:cs="Times New Roman"/>
                <w:szCs w:val="24"/>
              </w:rPr>
              <w:t>已修改，具体见P33-34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rPr>
                <w:rFonts w:eastAsia="宋体" w:cs="Times New Roman"/>
                <w:szCs w:val="24"/>
              </w:rPr>
            </w:pPr>
            <w:r>
              <w:rPr>
                <w:rFonts w:eastAsia="宋体" w:cs="Times New Roman"/>
                <w:szCs w:val="24"/>
              </w:rPr>
              <w:t>应将老年呵护大楼、精神大楼、单位宿舍列为换将保护目标核实项目与周边主要环境目标的距离。</w:t>
            </w:r>
          </w:p>
        </w:tc>
        <w:tc>
          <w:tcPr>
            <w:tcW w:w="0" w:type="auto"/>
            <w:vAlign w:val="center"/>
          </w:tcPr>
          <w:p>
            <w:pPr>
              <w:rPr>
                <w:rFonts w:eastAsia="宋体" w:cs="Times New Roman"/>
                <w:szCs w:val="24"/>
              </w:rPr>
            </w:pPr>
            <w:r>
              <w:rPr>
                <w:rFonts w:eastAsia="宋体" w:cs="Times New Roman"/>
                <w:szCs w:val="24"/>
              </w:rPr>
              <w:t>已修改，具体见文本P24-25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0" w:type="auto"/>
            <w:vAlign w:val="center"/>
          </w:tcPr>
          <w:p>
            <w:pPr>
              <w:rPr>
                <w:rFonts w:eastAsia="宋体" w:cs="Times New Roman"/>
                <w:szCs w:val="24"/>
              </w:rPr>
            </w:pPr>
            <w:r>
              <w:rPr>
                <w:rFonts w:eastAsia="宋体" w:cs="Times New Roman"/>
                <w:szCs w:val="24"/>
              </w:rPr>
              <w:t>结合项目特点。完善各类废水收集方式，明确综合废水处理规模；核实美沙酮门诊废物等各类固废及废水产生量，补充其处理措施，强化美沙酮门诊消毒措施；完善药品仓库、天然气火灾等引发的环境风险应急措施。</w:t>
            </w:r>
          </w:p>
        </w:tc>
        <w:tc>
          <w:tcPr>
            <w:tcW w:w="0" w:type="auto"/>
            <w:vAlign w:val="center"/>
          </w:tcPr>
          <w:p>
            <w:pPr>
              <w:rPr>
                <w:rFonts w:eastAsia="宋体" w:cs="Times New Roman"/>
                <w:szCs w:val="24"/>
              </w:rPr>
            </w:pPr>
            <w:r>
              <w:rPr>
                <w:rFonts w:eastAsia="宋体" w:cs="Times New Roman"/>
                <w:szCs w:val="24"/>
              </w:rPr>
              <w:t>已完善各类废水收集和处理方式</w:t>
            </w:r>
            <w:r>
              <w:rPr>
                <w:rFonts w:hint="eastAsia" w:eastAsia="宋体" w:cs="Times New Roman"/>
                <w:szCs w:val="24"/>
              </w:rPr>
              <w:t>，</w:t>
            </w:r>
            <w:r>
              <w:rPr>
                <w:rFonts w:eastAsia="宋体" w:cs="Times New Roman"/>
                <w:szCs w:val="24"/>
              </w:rPr>
              <w:t>已明确认综合废水处理规模</w:t>
            </w:r>
            <w:r>
              <w:rPr>
                <w:rFonts w:hint="eastAsia" w:eastAsia="宋体" w:cs="Times New Roman"/>
                <w:szCs w:val="24"/>
              </w:rPr>
              <w:t>，</w:t>
            </w:r>
            <w:r>
              <w:rPr>
                <w:rFonts w:eastAsia="宋体" w:cs="Times New Roman"/>
                <w:szCs w:val="24"/>
              </w:rPr>
              <w:t>具体见</w:t>
            </w:r>
            <w:r>
              <w:rPr>
                <w:rFonts w:hint="eastAsia" w:eastAsia="宋体" w:cs="Times New Roman"/>
                <w:szCs w:val="24"/>
              </w:rPr>
              <w:t>P57~60。已核实美沙酮门诊废水量具体见文本P30和P41，美沙酮门诊固废产生量，具体见P44。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0" w:type="auto"/>
            <w:vAlign w:val="center"/>
          </w:tcPr>
          <w:p>
            <w:pPr>
              <w:rPr>
                <w:rFonts w:eastAsia="宋体" w:cs="Times New Roman"/>
                <w:szCs w:val="24"/>
              </w:rPr>
            </w:pPr>
            <w:r>
              <w:rPr>
                <w:rFonts w:eastAsia="宋体" w:cs="Times New Roman"/>
                <w:szCs w:val="24"/>
              </w:rPr>
              <w:t>结合危废暂存间、污水处理站、备用发电机房等建设和布局情况，强化项目平年布局的合理性分析，提出相应的整改措施。完善项目污染物分布图等图件。</w:t>
            </w:r>
          </w:p>
        </w:tc>
        <w:tc>
          <w:tcPr>
            <w:tcW w:w="0" w:type="auto"/>
            <w:vAlign w:val="center"/>
          </w:tcPr>
          <w:p>
            <w:pPr>
              <w:jc w:val="center"/>
              <w:rPr>
                <w:rFonts w:eastAsia="宋体" w:cs="Times New Roman"/>
                <w:szCs w:val="24"/>
              </w:rPr>
            </w:pPr>
            <w:r>
              <w:rPr>
                <w:rFonts w:eastAsia="宋体" w:cs="Times New Roman"/>
                <w:szCs w:val="24"/>
              </w:rPr>
              <w:t>已完善平面布置图分析</w:t>
            </w:r>
            <w:r>
              <w:rPr>
                <w:rFonts w:hint="eastAsia" w:eastAsia="宋体" w:cs="Times New Roman"/>
                <w:szCs w:val="24"/>
              </w:rPr>
              <w:t>，</w:t>
            </w:r>
            <w:r>
              <w:rPr>
                <w:rFonts w:eastAsia="宋体" w:cs="Times New Roman"/>
                <w:szCs w:val="24"/>
              </w:rPr>
              <w:t>具体见</w:t>
            </w:r>
            <w:r>
              <w:rPr>
                <w:rFonts w:hint="eastAsia" w:eastAsia="宋体" w:cs="Times New Roman"/>
                <w:szCs w:val="24"/>
              </w:rPr>
              <w:t>P6，</w:t>
            </w:r>
            <w:r>
              <w:rPr>
                <w:rFonts w:eastAsia="宋体" w:cs="Times New Roman"/>
                <w:szCs w:val="24"/>
              </w:rPr>
              <w:t>已完善各附图，具体见附图</w:t>
            </w:r>
          </w:p>
        </w:tc>
      </w:tr>
    </w:tbl>
    <w:p>
      <w:pPr>
        <w:jc w:val="center"/>
        <w:rPr>
          <w:rFonts w:cs="Times New Roman"/>
          <w:b/>
          <w:color w:val="000000" w:themeColor="text1"/>
          <w:sz w:val="28"/>
          <w:szCs w:val="28"/>
        </w:rPr>
      </w:pPr>
    </w:p>
    <w:p>
      <w:pPr>
        <w:widowControl/>
        <w:jc w:val="left"/>
        <w:rPr>
          <w:rFonts w:cs="Times New Roman"/>
          <w:b/>
          <w:color w:val="000000" w:themeColor="text1"/>
          <w:sz w:val="28"/>
          <w:szCs w:val="28"/>
        </w:rPr>
      </w:pPr>
      <w:r>
        <w:rPr>
          <w:rFonts w:cs="Times New Roman"/>
          <w:b/>
          <w:color w:val="000000" w:themeColor="text1"/>
          <w:sz w:val="28"/>
          <w:szCs w:val="28"/>
        </w:rPr>
        <w:br w:type="page"/>
      </w:r>
    </w:p>
    <w:p>
      <w:pPr>
        <w:jc w:val="center"/>
        <w:rPr>
          <w:rFonts w:cs="Times New Roman"/>
          <w:b/>
          <w:color w:val="000000" w:themeColor="text1"/>
          <w:sz w:val="28"/>
          <w:szCs w:val="28"/>
        </w:rPr>
        <w:sectPr>
          <w:headerReference r:id="rId3" w:type="default"/>
          <w:pgSz w:w="11906" w:h="16838"/>
          <w:pgMar w:top="1440" w:right="1440" w:bottom="1440" w:left="1440" w:header="851" w:footer="680" w:gutter="0"/>
          <w:pgNumType w:start="1"/>
          <w:cols w:space="425" w:num="1"/>
          <w:docGrid w:type="lines" w:linePitch="326" w:charSpace="0"/>
        </w:sectPr>
      </w:pPr>
    </w:p>
    <w:p>
      <w:pPr>
        <w:jc w:val="center"/>
      </w:pPr>
      <w:r>
        <w:rPr>
          <w:rFonts w:hint="eastAsia" w:cs="Times New Roman"/>
          <w:b/>
          <w:color w:val="000000" w:themeColor="text1"/>
          <w:sz w:val="28"/>
          <w:szCs w:val="28"/>
        </w:rPr>
        <w:t xml:space="preserve">   目 录</w:t>
      </w:r>
      <w:r>
        <w:rPr>
          <w:rFonts w:cs="Times New Roman"/>
          <w:b/>
          <w:color w:val="000000" w:themeColor="text1"/>
          <w:sz w:val="28"/>
          <w:szCs w:val="28"/>
        </w:rPr>
        <w:fldChar w:fldCharType="begin"/>
      </w:r>
      <w:r>
        <w:rPr>
          <w:rFonts w:cs="Times New Roman"/>
          <w:b/>
          <w:color w:val="000000" w:themeColor="text1"/>
          <w:sz w:val="28"/>
          <w:szCs w:val="28"/>
        </w:rPr>
        <w:instrText xml:space="preserve"> TOC \o "1-2" \h \z \u </w:instrText>
      </w:r>
      <w:r>
        <w:rPr>
          <w:rFonts w:cs="Times New Roman"/>
          <w:b/>
          <w:color w:val="000000" w:themeColor="text1"/>
          <w:sz w:val="28"/>
          <w:szCs w:val="28"/>
        </w:rPr>
        <w:fldChar w:fldCharType="separate"/>
      </w:r>
    </w:p>
    <w:p>
      <w:pPr>
        <w:pStyle w:val="29"/>
        <w:tabs>
          <w:tab w:val="right" w:leader="dot" w:pos="9016"/>
        </w:tabs>
        <w:rPr>
          <w:rFonts w:ascii="Times New Roman" w:hAnsi="Times New Roman" w:cs="Times New Roman"/>
          <w:b w:val="0"/>
          <w:bCs w:val="0"/>
          <w:sz w:val="21"/>
          <w:szCs w:val="22"/>
        </w:rPr>
      </w:pPr>
      <w:r>
        <w:fldChar w:fldCharType="begin"/>
      </w:r>
      <w:r>
        <w:instrText xml:space="preserve"> HYPERLINK \l "_Toc25826465" </w:instrText>
      </w:r>
      <w:r>
        <w:fldChar w:fldCharType="separate"/>
      </w:r>
      <w:r>
        <w:rPr>
          <w:rStyle w:val="42"/>
          <w:rFonts w:ascii="Times New Roman" w:hAnsi="Times New Roman" w:cs="Times New Roman"/>
        </w:rPr>
        <w:t>概述</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_Toc25826465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16"/>
        </w:tabs>
        <w:rPr>
          <w:rFonts w:ascii="Times New Roman" w:hAnsi="Times New Roman" w:cs="Times New Roman"/>
          <w:i w:val="0"/>
          <w:iCs w:val="0"/>
          <w:sz w:val="21"/>
          <w:szCs w:val="22"/>
        </w:rPr>
      </w:pPr>
      <w:r>
        <w:fldChar w:fldCharType="begin"/>
      </w:r>
      <w:r>
        <w:instrText xml:space="preserve"> HYPERLINK \l "_Toc25826466" </w:instrText>
      </w:r>
      <w:r>
        <w:fldChar w:fldCharType="separate"/>
      </w:r>
      <w:r>
        <w:rPr>
          <w:rStyle w:val="42"/>
          <w:rFonts w:hint="eastAsia" w:ascii="宋体" w:hAnsi="宋体" w:eastAsia="宋体" w:cs="宋体"/>
          <w:i w:val="0"/>
        </w:rPr>
        <w:t>Ⅰ</w:t>
      </w:r>
      <w:r>
        <w:rPr>
          <w:rStyle w:val="42"/>
          <w:rFonts w:ascii="Times New Roman" w:hAnsi="Times New Roman" w:cs="Times New Roman"/>
          <w:i w:val="0"/>
        </w:rPr>
        <w:t>项目由来</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_Toc25826466 \h </w:instrText>
      </w:r>
      <w:r>
        <w:rPr>
          <w:rFonts w:ascii="Times New Roman" w:hAnsi="Times New Roman" w:cs="Times New Roman"/>
          <w:i w:val="0"/>
        </w:rPr>
        <w:fldChar w:fldCharType="separate"/>
      </w:r>
      <w:r>
        <w:rPr>
          <w:rFonts w:ascii="Times New Roman" w:hAnsi="Times New Roman" w:cs="Times New Roman"/>
          <w:i w:val="0"/>
        </w:rPr>
        <w:t>1</w:t>
      </w:r>
      <w:r>
        <w:rPr>
          <w:rFonts w:ascii="Times New Roman" w:hAnsi="Times New Roman" w:cs="Times New Roman"/>
          <w:i w:val="0"/>
        </w:rPr>
        <w:fldChar w:fldCharType="end"/>
      </w:r>
      <w:r>
        <w:rPr>
          <w:rFonts w:ascii="Times New Roman" w:hAnsi="Times New Roman" w:cs="Times New Roman"/>
          <w:i w:val="0"/>
        </w:rPr>
        <w:fldChar w:fldCharType="end"/>
      </w:r>
    </w:p>
    <w:p>
      <w:pPr>
        <w:pStyle w:val="32"/>
        <w:tabs>
          <w:tab w:val="right" w:leader="dot" w:pos="9016"/>
        </w:tabs>
        <w:rPr>
          <w:rFonts w:ascii="Times New Roman" w:hAnsi="Times New Roman" w:cs="Times New Roman"/>
          <w:i w:val="0"/>
          <w:iCs w:val="0"/>
          <w:sz w:val="21"/>
          <w:szCs w:val="22"/>
        </w:rPr>
      </w:pPr>
      <w:r>
        <w:fldChar w:fldCharType="begin"/>
      </w:r>
      <w:r>
        <w:instrText xml:space="preserve"> HYPERLINK \l "_Toc25826467" </w:instrText>
      </w:r>
      <w:r>
        <w:fldChar w:fldCharType="separate"/>
      </w:r>
      <w:r>
        <w:rPr>
          <w:rStyle w:val="42"/>
          <w:rFonts w:hint="eastAsia" w:ascii="宋体" w:hAnsi="宋体" w:eastAsia="宋体" w:cs="宋体"/>
          <w:i w:val="0"/>
        </w:rPr>
        <w:t>Ⅱ</w:t>
      </w:r>
      <w:r>
        <w:rPr>
          <w:rStyle w:val="42"/>
          <w:rFonts w:ascii="Times New Roman" w:hAnsi="Times New Roman" w:cs="Times New Roman"/>
          <w:i w:val="0"/>
        </w:rPr>
        <w:t>项目特点</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_Toc25826467 \h </w:instrText>
      </w:r>
      <w:r>
        <w:rPr>
          <w:rFonts w:ascii="Times New Roman" w:hAnsi="Times New Roman" w:cs="Times New Roman"/>
          <w:i w:val="0"/>
        </w:rPr>
        <w:fldChar w:fldCharType="separate"/>
      </w:r>
      <w:r>
        <w:rPr>
          <w:rFonts w:ascii="Times New Roman" w:hAnsi="Times New Roman" w:cs="Times New Roman"/>
          <w:i w:val="0"/>
        </w:rPr>
        <w:t>2</w:t>
      </w:r>
      <w:r>
        <w:rPr>
          <w:rFonts w:ascii="Times New Roman" w:hAnsi="Times New Roman" w:cs="Times New Roman"/>
          <w:i w:val="0"/>
        </w:rPr>
        <w:fldChar w:fldCharType="end"/>
      </w:r>
      <w:r>
        <w:rPr>
          <w:rFonts w:ascii="Times New Roman" w:hAnsi="Times New Roman" w:cs="Times New Roman"/>
          <w:i w:val="0"/>
        </w:rPr>
        <w:fldChar w:fldCharType="end"/>
      </w:r>
    </w:p>
    <w:p>
      <w:pPr>
        <w:pStyle w:val="32"/>
        <w:tabs>
          <w:tab w:val="right" w:leader="dot" w:pos="9016"/>
        </w:tabs>
        <w:rPr>
          <w:rFonts w:ascii="Times New Roman" w:hAnsi="Times New Roman" w:cs="Times New Roman"/>
          <w:i w:val="0"/>
          <w:iCs w:val="0"/>
          <w:sz w:val="21"/>
          <w:szCs w:val="22"/>
        </w:rPr>
      </w:pPr>
      <w:r>
        <w:fldChar w:fldCharType="begin"/>
      </w:r>
      <w:r>
        <w:instrText xml:space="preserve"> HYPERLINK \l "_Toc25826468" </w:instrText>
      </w:r>
      <w:r>
        <w:fldChar w:fldCharType="separate"/>
      </w:r>
      <w:r>
        <w:rPr>
          <w:rStyle w:val="42"/>
          <w:rFonts w:hint="eastAsia" w:ascii="宋体" w:hAnsi="宋体" w:eastAsia="宋体" w:cs="宋体"/>
          <w:i w:val="0"/>
        </w:rPr>
        <w:t>Ⅲ</w:t>
      </w:r>
      <w:r>
        <w:rPr>
          <w:rStyle w:val="42"/>
          <w:rFonts w:ascii="Times New Roman" w:hAnsi="Times New Roman" w:cs="Times New Roman"/>
          <w:i w:val="0"/>
        </w:rPr>
        <w:t>环境影响评价工作过程</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_Toc25826468 \h </w:instrText>
      </w:r>
      <w:r>
        <w:rPr>
          <w:rFonts w:ascii="Times New Roman" w:hAnsi="Times New Roman" w:cs="Times New Roman"/>
          <w:i w:val="0"/>
        </w:rPr>
        <w:fldChar w:fldCharType="separate"/>
      </w:r>
      <w:r>
        <w:rPr>
          <w:rFonts w:ascii="Times New Roman" w:hAnsi="Times New Roman" w:cs="Times New Roman"/>
          <w:i w:val="0"/>
        </w:rPr>
        <w:t>2</w:t>
      </w:r>
      <w:r>
        <w:rPr>
          <w:rFonts w:ascii="Times New Roman" w:hAnsi="Times New Roman" w:cs="Times New Roman"/>
          <w:i w:val="0"/>
        </w:rPr>
        <w:fldChar w:fldCharType="end"/>
      </w:r>
      <w:r>
        <w:rPr>
          <w:rFonts w:ascii="Times New Roman" w:hAnsi="Times New Roman" w:cs="Times New Roman"/>
          <w:i w:val="0"/>
        </w:rPr>
        <w:fldChar w:fldCharType="end"/>
      </w:r>
    </w:p>
    <w:p>
      <w:pPr>
        <w:pStyle w:val="32"/>
        <w:tabs>
          <w:tab w:val="right" w:leader="dot" w:pos="9016"/>
        </w:tabs>
        <w:rPr>
          <w:rFonts w:ascii="Times New Roman" w:hAnsi="Times New Roman" w:cs="Times New Roman"/>
          <w:i w:val="0"/>
          <w:iCs w:val="0"/>
          <w:sz w:val="21"/>
          <w:szCs w:val="22"/>
        </w:rPr>
      </w:pPr>
      <w:r>
        <w:fldChar w:fldCharType="begin"/>
      </w:r>
      <w:r>
        <w:instrText xml:space="preserve"> HYPERLINK \l "_Toc25826469" </w:instrText>
      </w:r>
      <w:r>
        <w:fldChar w:fldCharType="separate"/>
      </w:r>
      <w:r>
        <w:rPr>
          <w:rStyle w:val="42"/>
          <w:rFonts w:hint="eastAsia" w:ascii="宋体" w:hAnsi="宋体" w:eastAsia="宋体" w:cs="宋体"/>
          <w:i w:val="0"/>
        </w:rPr>
        <w:t>Ⅳ</w:t>
      </w:r>
      <w:r>
        <w:rPr>
          <w:rStyle w:val="42"/>
          <w:rFonts w:ascii="Times New Roman" w:hAnsi="Times New Roman" w:cs="Times New Roman"/>
          <w:i w:val="0"/>
        </w:rPr>
        <w:t>本次环境影响评价关注的主要问题</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_Toc25826469 \h </w:instrText>
      </w:r>
      <w:r>
        <w:rPr>
          <w:rFonts w:ascii="Times New Roman" w:hAnsi="Times New Roman" w:cs="Times New Roman"/>
          <w:i w:val="0"/>
        </w:rPr>
        <w:fldChar w:fldCharType="separate"/>
      </w:r>
      <w:r>
        <w:rPr>
          <w:rFonts w:ascii="Times New Roman" w:hAnsi="Times New Roman" w:cs="Times New Roman"/>
          <w:i w:val="0"/>
        </w:rPr>
        <w:t>3</w:t>
      </w:r>
      <w:r>
        <w:rPr>
          <w:rFonts w:ascii="Times New Roman" w:hAnsi="Times New Roman" w:cs="Times New Roman"/>
          <w:i w:val="0"/>
        </w:rPr>
        <w:fldChar w:fldCharType="end"/>
      </w:r>
      <w:r>
        <w:rPr>
          <w:rFonts w:ascii="Times New Roman" w:hAnsi="Times New Roman" w:cs="Times New Roman"/>
          <w:i w:val="0"/>
        </w:rPr>
        <w:fldChar w:fldCharType="end"/>
      </w:r>
    </w:p>
    <w:p>
      <w:pPr>
        <w:pStyle w:val="32"/>
        <w:tabs>
          <w:tab w:val="right" w:leader="dot" w:pos="9016"/>
        </w:tabs>
        <w:rPr>
          <w:rFonts w:ascii="Times New Roman" w:hAnsi="Times New Roman" w:cs="Times New Roman"/>
          <w:i w:val="0"/>
          <w:iCs w:val="0"/>
          <w:sz w:val="21"/>
          <w:szCs w:val="22"/>
        </w:rPr>
      </w:pPr>
      <w:r>
        <w:fldChar w:fldCharType="begin"/>
      </w:r>
      <w:r>
        <w:instrText xml:space="preserve"> HYPERLINK \l "_Toc25826470" </w:instrText>
      </w:r>
      <w:r>
        <w:fldChar w:fldCharType="separate"/>
      </w:r>
      <w:r>
        <w:rPr>
          <w:rStyle w:val="42"/>
          <w:rFonts w:hint="eastAsia" w:ascii="宋体" w:hAnsi="宋体" w:eastAsia="宋体" w:cs="宋体"/>
          <w:i w:val="0"/>
        </w:rPr>
        <w:t>Ⅴ</w:t>
      </w:r>
      <w:r>
        <w:rPr>
          <w:rStyle w:val="42"/>
          <w:rFonts w:ascii="Times New Roman" w:hAnsi="Times New Roman" w:cs="Times New Roman"/>
          <w:i w:val="0"/>
        </w:rPr>
        <w:t>分析判定相关情况</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_Toc25826470 \h </w:instrText>
      </w:r>
      <w:r>
        <w:rPr>
          <w:rFonts w:ascii="Times New Roman" w:hAnsi="Times New Roman" w:cs="Times New Roman"/>
          <w:i w:val="0"/>
        </w:rPr>
        <w:fldChar w:fldCharType="separate"/>
      </w:r>
      <w:r>
        <w:rPr>
          <w:rFonts w:ascii="Times New Roman" w:hAnsi="Times New Roman" w:cs="Times New Roman"/>
          <w:i w:val="0"/>
        </w:rPr>
        <w:t>4</w:t>
      </w:r>
      <w:r>
        <w:rPr>
          <w:rFonts w:ascii="Times New Roman" w:hAnsi="Times New Roman" w:cs="Times New Roman"/>
          <w:i w:val="0"/>
        </w:rPr>
        <w:fldChar w:fldCharType="end"/>
      </w:r>
      <w:r>
        <w:rPr>
          <w:rFonts w:ascii="Times New Roman" w:hAnsi="Times New Roman" w:cs="Times New Roman"/>
          <w:i w:val="0"/>
        </w:rPr>
        <w:fldChar w:fldCharType="end"/>
      </w:r>
    </w:p>
    <w:p>
      <w:pPr>
        <w:pStyle w:val="32"/>
        <w:tabs>
          <w:tab w:val="right" w:leader="dot" w:pos="9016"/>
        </w:tabs>
        <w:rPr>
          <w:rFonts w:ascii="Times New Roman" w:hAnsi="Times New Roman" w:cs="Times New Roman"/>
          <w:i w:val="0"/>
          <w:iCs w:val="0"/>
          <w:sz w:val="21"/>
          <w:szCs w:val="22"/>
        </w:rPr>
      </w:pPr>
      <w:r>
        <w:fldChar w:fldCharType="begin"/>
      </w:r>
      <w:r>
        <w:instrText xml:space="preserve"> HYPERLINK \l "_Toc25826471" </w:instrText>
      </w:r>
      <w:r>
        <w:fldChar w:fldCharType="separate"/>
      </w:r>
      <w:r>
        <w:rPr>
          <w:rStyle w:val="42"/>
          <w:rFonts w:hint="eastAsia" w:ascii="宋体" w:hAnsi="宋体" w:eastAsia="宋体" w:cs="宋体"/>
          <w:i w:val="0"/>
        </w:rPr>
        <w:t>Ⅵ</w:t>
      </w:r>
      <w:r>
        <w:rPr>
          <w:rStyle w:val="42"/>
          <w:rFonts w:ascii="Times New Roman" w:hAnsi="Times New Roman" w:cs="Times New Roman"/>
          <w:i w:val="0"/>
        </w:rPr>
        <w:t>本环评影响报告书的主要结论</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_Toc25826471 \h </w:instrText>
      </w:r>
      <w:r>
        <w:rPr>
          <w:rFonts w:ascii="Times New Roman" w:hAnsi="Times New Roman" w:cs="Times New Roman"/>
          <w:i w:val="0"/>
        </w:rPr>
        <w:fldChar w:fldCharType="separate"/>
      </w:r>
      <w:r>
        <w:rPr>
          <w:rFonts w:ascii="Times New Roman" w:hAnsi="Times New Roman" w:cs="Times New Roman"/>
          <w:i w:val="0"/>
        </w:rPr>
        <w:t>6</w:t>
      </w:r>
      <w:r>
        <w:rPr>
          <w:rFonts w:ascii="Times New Roman" w:hAnsi="Times New Roman" w:cs="Times New Roman"/>
          <w:i w:val="0"/>
        </w:rPr>
        <w:fldChar w:fldCharType="end"/>
      </w:r>
      <w:r>
        <w:rPr>
          <w:rFonts w:ascii="Times New Roman" w:hAnsi="Times New Roman" w:cs="Times New Roman"/>
          <w:i w:val="0"/>
        </w:rPr>
        <w:fldChar w:fldCharType="end"/>
      </w:r>
    </w:p>
    <w:p>
      <w:pPr>
        <w:pStyle w:val="29"/>
        <w:tabs>
          <w:tab w:val="right" w:leader="dot" w:pos="9016"/>
        </w:tabs>
        <w:rPr>
          <w:rFonts w:ascii="Times New Roman" w:hAnsi="Times New Roman" w:cs="Times New Roman"/>
          <w:b w:val="0"/>
          <w:bCs w:val="0"/>
          <w:sz w:val="21"/>
          <w:szCs w:val="22"/>
        </w:rPr>
      </w:pPr>
      <w:r>
        <w:fldChar w:fldCharType="begin"/>
      </w:r>
      <w:r>
        <w:instrText xml:space="preserve"> HYPERLINK \l "_Toc25826472" </w:instrText>
      </w:r>
      <w:r>
        <w:fldChar w:fldCharType="separate"/>
      </w:r>
      <w:r>
        <w:rPr>
          <w:rStyle w:val="42"/>
          <w:rFonts w:ascii="Times New Roman" w:hAnsi="Times New Roman" w:cs="Times New Roman"/>
        </w:rPr>
        <w:t xml:space="preserve">1 </w:t>
      </w:r>
      <w:r>
        <w:rPr>
          <w:rStyle w:val="42"/>
          <w:rFonts w:ascii="Times New Roman" w:cs="Times New Roman"/>
        </w:rPr>
        <w:t>总论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_Toc25826472 \h </w:instrText>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16"/>
        </w:tabs>
        <w:rPr>
          <w:rFonts w:ascii="Times New Roman" w:hAnsi="Times New Roman" w:cs="Times New Roman"/>
          <w:i w:val="0"/>
          <w:iCs w:val="0"/>
          <w:sz w:val="21"/>
          <w:szCs w:val="22"/>
        </w:rPr>
      </w:pPr>
      <w:r>
        <w:fldChar w:fldCharType="begin"/>
      </w:r>
      <w:r>
        <w:instrText xml:space="preserve"> HYPERLINK \l "_Toc25826473" </w:instrText>
      </w:r>
      <w:r>
        <w:fldChar w:fldCharType="separate"/>
      </w:r>
      <w:r>
        <w:rPr>
          <w:rStyle w:val="42"/>
          <w:rFonts w:ascii="Times New Roman" w:hAnsi="Times New Roman" w:cs="Times New Roman"/>
          <w:i w:val="0"/>
        </w:rPr>
        <w:t xml:space="preserve">1.1 </w:t>
      </w:r>
      <w:r>
        <w:rPr>
          <w:rStyle w:val="42"/>
          <w:rFonts w:ascii="Times New Roman" w:cs="Times New Roman"/>
          <w:i w:val="0"/>
        </w:rPr>
        <w:t>编制依据</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_Toc25826473 \h </w:instrText>
      </w:r>
      <w:r>
        <w:rPr>
          <w:rFonts w:ascii="Times New Roman" w:hAnsi="Times New Roman" w:cs="Times New Roman"/>
          <w:i w:val="0"/>
        </w:rPr>
        <w:fldChar w:fldCharType="separate"/>
      </w:r>
      <w:r>
        <w:rPr>
          <w:rFonts w:ascii="Times New Roman" w:hAnsi="Times New Roman" w:cs="Times New Roman"/>
          <w:i w:val="0"/>
        </w:rPr>
        <w:t>7</w:t>
      </w:r>
      <w:r>
        <w:rPr>
          <w:rFonts w:ascii="Times New Roman" w:hAnsi="Times New Roman" w:cs="Times New Roman"/>
          <w:i w:val="0"/>
        </w:rPr>
        <w:fldChar w:fldCharType="end"/>
      </w:r>
      <w:r>
        <w:rPr>
          <w:rFonts w:ascii="Times New Roman" w:hAnsi="Times New Roman" w:cs="Times New Roman"/>
          <w:i w:val="0"/>
        </w:rPr>
        <w:fldChar w:fldCharType="end"/>
      </w:r>
    </w:p>
    <w:p>
      <w:pPr>
        <w:pStyle w:val="32"/>
        <w:tabs>
          <w:tab w:val="right" w:leader="dot" w:pos="9016"/>
        </w:tabs>
        <w:rPr>
          <w:rFonts w:ascii="Times New Roman" w:hAnsi="Times New Roman" w:cs="Times New Roman"/>
          <w:i w:val="0"/>
          <w:iCs w:val="0"/>
          <w:sz w:val="21"/>
          <w:szCs w:val="22"/>
        </w:rPr>
      </w:pPr>
      <w:r>
        <w:fldChar w:fldCharType="begin"/>
      </w:r>
      <w:r>
        <w:instrText xml:space="preserve"> HYPERLINK \l "_Toc25826474" </w:instrText>
      </w:r>
      <w:r>
        <w:fldChar w:fldCharType="separate"/>
      </w:r>
      <w:r>
        <w:rPr>
          <w:rStyle w:val="42"/>
          <w:rFonts w:ascii="Times New Roman" w:hAnsi="Times New Roman" w:cs="Times New Roman"/>
          <w:i w:val="0"/>
        </w:rPr>
        <w:t xml:space="preserve">1.2 </w:t>
      </w:r>
      <w:r>
        <w:rPr>
          <w:rStyle w:val="42"/>
          <w:rFonts w:ascii="Times New Roman" w:cs="Times New Roman"/>
          <w:i w:val="0"/>
        </w:rPr>
        <w:t>评价目的及原则</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_Toc25826474 \h </w:instrText>
      </w:r>
      <w:r>
        <w:rPr>
          <w:rFonts w:ascii="Times New Roman" w:hAnsi="Times New Roman" w:cs="Times New Roman"/>
          <w:i w:val="0"/>
        </w:rPr>
        <w:fldChar w:fldCharType="separate"/>
      </w:r>
      <w:r>
        <w:rPr>
          <w:rFonts w:ascii="Times New Roman" w:hAnsi="Times New Roman" w:cs="Times New Roman"/>
          <w:i w:val="0"/>
        </w:rPr>
        <w:t>9</w:t>
      </w:r>
      <w:r>
        <w:rPr>
          <w:rFonts w:ascii="Times New Roman" w:hAnsi="Times New Roman" w:cs="Times New Roman"/>
          <w:i w:val="0"/>
        </w:rPr>
        <w:fldChar w:fldCharType="end"/>
      </w:r>
      <w:r>
        <w:rPr>
          <w:rFonts w:ascii="Times New Roman" w:hAnsi="Times New Roman" w:cs="Times New Roman"/>
          <w:i w:val="0"/>
        </w:rPr>
        <w:fldChar w:fldCharType="end"/>
      </w:r>
    </w:p>
    <w:p>
      <w:pPr>
        <w:pStyle w:val="32"/>
        <w:tabs>
          <w:tab w:val="right" w:leader="dot" w:pos="9016"/>
        </w:tabs>
        <w:rPr>
          <w:rFonts w:ascii="Times New Roman" w:hAnsi="Times New Roman" w:cs="Times New Roman"/>
          <w:i w:val="0"/>
          <w:iCs w:val="0"/>
          <w:sz w:val="21"/>
          <w:szCs w:val="22"/>
        </w:rPr>
      </w:pPr>
      <w:r>
        <w:fldChar w:fldCharType="begin"/>
      </w:r>
      <w:r>
        <w:instrText xml:space="preserve"> HYPERLINK \l "_Toc25826475" </w:instrText>
      </w:r>
      <w:r>
        <w:fldChar w:fldCharType="separate"/>
      </w:r>
      <w:r>
        <w:rPr>
          <w:rStyle w:val="42"/>
          <w:rFonts w:ascii="Times New Roman" w:hAnsi="Times New Roman" w:cs="Times New Roman"/>
          <w:i w:val="0"/>
        </w:rPr>
        <w:t xml:space="preserve">1.3 </w:t>
      </w:r>
      <w:r>
        <w:rPr>
          <w:rStyle w:val="42"/>
          <w:rFonts w:ascii="Times New Roman" w:cs="Times New Roman"/>
          <w:i w:val="0"/>
        </w:rPr>
        <w:t>评价时段</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_Toc25826475 \h </w:instrText>
      </w:r>
      <w:r>
        <w:rPr>
          <w:rFonts w:ascii="Times New Roman" w:hAnsi="Times New Roman" w:cs="Times New Roman"/>
          <w:i w:val="0"/>
        </w:rPr>
        <w:fldChar w:fldCharType="separate"/>
      </w:r>
      <w:r>
        <w:rPr>
          <w:rFonts w:ascii="Times New Roman" w:hAnsi="Times New Roman" w:cs="Times New Roman"/>
          <w:i w:val="0"/>
        </w:rPr>
        <w:t>9</w:t>
      </w:r>
      <w:r>
        <w:rPr>
          <w:rFonts w:ascii="Times New Roman" w:hAnsi="Times New Roman" w:cs="Times New Roman"/>
          <w:i w:val="0"/>
        </w:rPr>
        <w:fldChar w:fldCharType="end"/>
      </w:r>
      <w:r>
        <w:rPr>
          <w:rFonts w:ascii="Times New Roman" w:hAnsi="Times New Roman" w:cs="Times New Roman"/>
          <w:i w:val="0"/>
        </w:rPr>
        <w:fldChar w:fldCharType="end"/>
      </w:r>
    </w:p>
    <w:p>
      <w:pPr>
        <w:pStyle w:val="32"/>
        <w:tabs>
          <w:tab w:val="right" w:leader="dot" w:pos="9016"/>
        </w:tabs>
        <w:rPr>
          <w:rFonts w:ascii="Times New Roman" w:hAnsi="Times New Roman" w:cs="Times New Roman"/>
          <w:i w:val="0"/>
          <w:iCs w:val="0"/>
          <w:sz w:val="21"/>
          <w:szCs w:val="22"/>
        </w:rPr>
      </w:pPr>
      <w:r>
        <w:fldChar w:fldCharType="begin"/>
      </w:r>
      <w:r>
        <w:instrText xml:space="preserve"> HYPERLINK \l "_Toc25826476" </w:instrText>
      </w:r>
      <w:r>
        <w:fldChar w:fldCharType="separate"/>
      </w:r>
      <w:r>
        <w:rPr>
          <w:rStyle w:val="42"/>
          <w:rFonts w:ascii="Times New Roman" w:hAnsi="Times New Roman" w:cs="Times New Roman"/>
          <w:i w:val="0"/>
        </w:rPr>
        <w:t xml:space="preserve">1.4 </w:t>
      </w:r>
      <w:r>
        <w:rPr>
          <w:rStyle w:val="42"/>
          <w:rFonts w:ascii="Times New Roman" w:cs="Times New Roman"/>
          <w:i w:val="0"/>
        </w:rPr>
        <w:t>评价重点</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_Toc25826476 \h </w:instrText>
      </w:r>
      <w:r>
        <w:rPr>
          <w:rFonts w:ascii="Times New Roman" w:hAnsi="Times New Roman" w:cs="Times New Roman"/>
          <w:i w:val="0"/>
        </w:rPr>
        <w:fldChar w:fldCharType="separate"/>
      </w:r>
      <w:r>
        <w:rPr>
          <w:rFonts w:ascii="Times New Roman" w:hAnsi="Times New Roman" w:cs="Times New Roman"/>
          <w:i w:val="0"/>
        </w:rPr>
        <w:t>9</w:t>
      </w:r>
      <w:r>
        <w:rPr>
          <w:rFonts w:ascii="Times New Roman" w:hAnsi="Times New Roman" w:cs="Times New Roman"/>
          <w:i w:val="0"/>
        </w:rPr>
        <w:fldChar w:fldCharType="end"/>
      </w:r>
      <w:r>
        <w:rPr>
          <w:rFonts w:ascii="Times New Roman" w:hAnsi="Times New Roman" w:cs="Times New Roman"/>
          <w:i w:val="0"/>
        </w:rPr>
        <w:fldChar w:fldCharType="end"/>
      </w:r>
    </w:p>
    <w:p>
      <w:pPr>
        <w:pStyle w:val="32"/>
        <w:tabs>
          <w:tab w:val="right" w:leader="dot" w:pos="9016"/>
        </w:tabs>
        <w:rPr>
          <w:rFonts w:ascii="Times New Roman" w:hAnsi="Times New Roman" w:cs="Times New Roman"/>
          <w:i w:val="0"/>
          <w:iCs w:val="0"/>
          <w:sz w:val="21"/>
          <w:szCs w:val="22"/>
        </w:rPr>
      </w:pPr>
      <w:r>
        <w:fldChar w:fldCharType="begin"/>
      </w:r>
      <w:r>
        <w:instrText xml:space="preserve"> HYPERLINK \l "_Toc25826477" </w:instrText>
      </w:r>
      <w:r>
        <w:fldChar w:fldCharType="separate"/>
      </w:r>
      <w:r>
        <w:rPr>
          <w:rStyle w:val="42"/>
          <w:rFonts w:ascii="Times New Roman" w:hAnsi="Times New Roman" w:cs="Times New Roman"/>
          <w:i w:val="0"/>
        </w:rPr>
        <w:t xml:space="preserve">1.5 </w:t>
      </w:r>
      <w:r>
        <w:rPr>
          <w:rStyle w:val="42"/>
          <w:rFonts w:ascii="Times New Roman" w:cs="Times New Roman"/>
          <w:i w:val="0"/>
        </w:rPr>
        <w:t>环境影响因素识别和评价因子筛选</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_Toc25826477 \h </w:instrText>
      </w:r>
      <w:r>
        <w:rPr>
          <w:rFonts w:ascii="Times New Roman" w:hAnsi="Times New Roman" w:cs="Times New Roman"/>
          <w:i w:val="0"/>
        </w:rPr>
        <w:fldChar w:fldCharType="separate"/>
      </w:r>
      <w:r>
        <w:rPr>
          <w:rFonts w:ascii="Times New Roman" w:hAnsi="Times New Roman" w:cs="Times New Roman"/>
          <w:i w:val="0"/>
        </w:rPr>
        <w:t>9</w:t>
      </w:r>
      <w:r>
        <w:rPr>
          <w:rFonts w:ascii="Times New Roman" w:hAnsi="Times New Roman" w:cs="Times New Roman"/>
          <w:i w:val="0"/>
        </w:rPr>
        <w:fldChar w:fldCharType="end"/>
      </w:r>
      <w:r>
        <w:rPr>
          <w:rFonts w:ascii="Times New Roman" w:hAnsi="Times New Roman" w:cs="Times New Roman"/>
          <w:i w:val="0"/>
        </w:rPr>
        <w:fldChar w:fldCharType="end"/>
      </w:r>
    </w:p>
    <w:p>
      <w:pPr>
        <w:pStyle w:val="32"/>
        <w:tabs>
          <w:tab w:val="right" w:leader="dot" w:pos="9016"/>
        </w:tabs>
        <w:rPr>
          <w:rFonts w:ascii="Times New Roman" w:hAnsi="Times New Roman" w:cs="Times New Roman"/>
          <w:i w:val="0"/>
          <w:iCs w:val="0"/>
          <w:sz w:val="21"/>
          <w:szCs w:val="22"/>
        </w:rPr>
      </w:pPr>
      <w:r>
        <w:fldChar w:fldCharType="begin"/>
      </w:r>
      <w:r>
        <w:instrText xml:space="preserve"> HYPERLINK \l "_Toc25826478" </w:instrText>
      </w:r>
      <w:r>
        <w:fldChar w:fldCharType="separate"/>
      </w:r>
      <w:r>
        <w:rPr>
          <w:rStyle w:val="42"/>
          <w:rFonts w:ascii="Times New Roman" w:hAnsi="Times New Roman" w:cs="Times New Roman"/>
          <w:i w:val="0"/>
        </w:rPr>
        <w:t xml:space="preserve">1.6 </w:t>
      </w:r>
      <w:r>
        <w:rPr>
          <w:rStyle w:val="42"/>
          <w:rFonts w:ascii="Times New Roman" w:cs="Times New Roman"/>
          <w:i w:val="0"/>
        </w:rPr>
        <w:t>评价标准</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_Toc25826478 \h </w:instrText>
      </w:r>
      <w:r>
        <w:rPr>
          <w:rFonts w:ascii="Times New Roman" w:hAnsi="Times New Roman" w:cs="Times New Roman"/>
          <w:i w:val="0"/>
        </w:rPr>
        <w:fldChar w:fldCharType="separate"/>
      </w:r>
      <w:r>
        <w:rPr>
          <w:rFonts w:ascii="Times New Roman" w:hAnsi="Times New Roman" w:cs="Times New Roman"/>
          <w:i w:val="0"/>
        </w:rPr>
        <w:t>12</w:t>
      </w:r>
      <w:r>
        <w:rPr>
          <w:rFonts w:ascii="Times New Roman" w:hAnsi="Times New Roman" w:cs="Times New Roman"/>
          <w:i w:val="0"/>
        </w:rPr>
        <w:fldChar w:fldCharType="end"/>
      </w:r>
      <w:r>
        <w:rPr>
          <w:rFonts w:ascii="Times New Roman" w:hAnsi="Times New Roman" w:cs="Times New Roman"/>
          <w:i w:val="0"/>
        </w:rPr>
        <w:fldChar w:fldCharType="end"/>
      </w:r>
    </w:p>
    <w:p>
      <w:pPr>
        <w:pStyle w:val="32"/>
        <w:tabs>
          <w:tab w:val="right" w:leader="dot" w:pos="9016"/>
        </w:tabs>
        <w:rPr>
          <w:rFonts w:ascii="Times New Roman" w:hAnsi="Times New Roman" w:cs="Times New Roman"/>
          <w:i w:val="0"/>
          <w:iCs w:val="0"/>
          <w:sz w:val="21"/>
          <w:szCs w:val="22"/>
        </w:rPr>
      </w:pPr>
      <w:r>
        <w:fldChar w:fldCharType="begin"/>
      </w:r>
      <w:r>
        <w:instrText xml:space="preserve"> HYPERLINK \l "_Toc25826479" </w:instrText>
      </w:r>
      <w:r>
        <w:fldChar w:fldCharType="separate"/>
      </w:r>
      <w:r>
        <w:rPr>
          <w:rStyle w:val="42"/>
          <w:rFonts w:ascii="Times New Roman" w:hAnsi="Times New Roman" w:cs="Times New Roman"/>
          <w:i w:val="0"/>
        </w:rPr>
        <w:t xml:space="preserve">1.7 </w:t>
      </w:r>
      <w:r>
        <w:rPr>
          <w:rStyle w:val="42"/>
          <w:rFonts w:ascii="Times New Roman" w:cs="Times New Roman"/>
          <w:i w:val="0"/>
        </w:rPr>
        <w:t>评价等级</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_Toc25826479 \h </w:instrText>
      </w:r>
      <w:r>
        <w:rPr>
          <w:rFonts w:ascii="Times New Roman" w:hAnsi="Times New Roman" w:cs="Times New Roman"/>
          <w:i w:val="0"/>
        </w:rPr>
        <w:fldChar w:fldCharType="separate"/>
      </w:r>
      <w:r>
        <w:rPr>
          <w:rFonts w:ascii="Times New Roman" w:hAnsi="Times New Roman" w:cs="Times New Roman"/>
          <w:i w:val="0"/>
        </w:rPr>
        <w:t>16</w:t>
      </w:r>
      <w:r>
        <w:rPr>
          <w:rFonts w:ascii="Times New Roman" w:hAnsi="Times New Roman" w:cs="Times New Roman"/>
          <w:i w:val="0"/>
        </w:rPr>
        <w:fldChar w:fldCharType="end"/>
      </w:r>
      <w:r>
        <w:rPr>
          <w:rFonts w:ascii="Times New Roman" w:hAnsi="Times New Roman" w:cs="Times New Roman"/>
          <w:i w:val="0"/>
        </w:rPr>
        <w:fldChar w:fldCharType="end"/>
      </w:r>
    </w:p>
    <w:p>
      <w:pPr>
        <w:pStyle w:val="32"/>
        <w:tabs>
          <w:tab w:val="right" w:leader="dot" w:pos="9016"/>
        </w:tabs>
        <w:rPr>
          <w:rFonts w:ascii="Times New Roman" w:hAnsi="Times New Roman" w:cs="Times New Roman"/>
          <w:i w:val="0"/>
          <w:iCs w:val="0"/>
          <w:sz w:val="21"/>
          <w:szCs w:val="22"/>
        </w:rPr>
      </w:pPr>
      <w:r>
        <w:fldChar w:fldCharType="begin"/>
      </w:r>
      <w:r>
        <w:instrText xml:space="preserve"> HYPERLINK \l "_Toc25826480" </w:instrText>
      </w:r>
      <w:r>
        <w:fldChar w:fldCharType="separate"/>
      </w:r>
      <w:r>
        <w:rPr>
          <w:rStyle w:val="42"/>
          <w:rFonts w:ascii="Times New Roman" w:hAnsi="Times New Roman" w:cs="Times New Roman"/>
          <w:i w:val="0"/>
        </w:rPr>
        <w:t xml:space="preserve">1.8 </w:t>
      </w:r>
      <w:r>
        <w:rPr>
          <w:rStyle w:val="42"/>
          <w:rFonts w:ascii="Times New Roman" w:cs="Times New Roman"/>
          <w:i w:val="0"/>
        </w:rPr>
        <w:t>评价范围</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_Toc25826480 \h </w:instrText>
      </w:r>
      <w:r>
        <w:rPr>
          <w:rFonts w:ascii="Times New Roman" w:hAnsi="Times New Roman" w:cs="Times New Roman"/>
          <w:i w:val="0"/>
        </w:rPr>
        <w:fldChar w:fldCharType="separate"/>
      </w:r>
      <w:r>
        <w:rPr>
          <w:rFonts w:ascii="Times New Roman" w:hAnsi="Times New Roman" w:cs="Times New Roman"/>
          <w:i w:val="0"/>
        </w:rPr>
        <w:t>22</w:t>
      </w:r>
      <w:r>
        <w:rPr>
          <w:rFonts w:ascii="Times New Roman" w:hAnsi="Times New Roman" w:cs="Times New Roman"/>
          <w:i w:val="0"/>
        </w:rPr>
        <w:fldChar w:fldCharType="end"/>
      </w:r>
      <w:r>
        <w:rPr>
          <w:rFonts w:ascii="Times New Roman" w:hAnsi="Times New Roman" w:cs="Times New Roman"/>
          <w:i w:val="0"/>
        </w:rPr>
        <w:fldChar w:fldCharType="end"/>
      </w:r>
    </w:p>
    <w:p>
      <w:pPr>
        <w:pStyle w:val="32"/>
        <w:tabs>
          <w:tab w:val="right" w:leader="dot" w:pos="9016"/>
        </w:tabs>
        <w:rPr>
          <w:rFonts w:ascii="Times New Roman" w:hAnsi="Times New Roman" w:cs="Times New Roman"/>
          <w:i w:val="0"/>
          <w:iCs w:val="0"/>
          <w:sz w:val="21"/>
          <w:szCs w:val="22"/>
        </w:rPr>
      </w:pPr>
      <w:r>
        <w:fldChar w:fldCharType="begin"/>
      </w:r>
      <w:r>
        <w:instrText xml:space="preserve"> HYPERLINK \l "_Toc25826481" </w:instrText>
      </w:r>
      <w:r>
        <w:fldChar w:fldCharType="separate"/>
      </w:r>
      <w:r>
        <w:rPr>
          <w:rStyle w:val="42"/>
          <w:rFonts w:ascii="Times New Roman" w:hAnsi="Times New Roman" w:cs="Times New Roman"/>
          <w:i w:val="0"/>
        </w:rPr>
        <w:t xml:space="preserve">1.9 </w:t>
      </w:r>
      <w:r>
        <w:rPr>
          <w:rStyle w:val="42"/>
          <w:rFonts w:ascii="Times New Roman" w:cs="Times New Roman"/>
          <w:i w:val="0"/>
        </w:rPr>
        <w:t>环境保护目标</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_Toc25826481 \h </w:instrText>
      </w:r>
      <w:r>
        <w:rPr>
          <w:rFonts w:ascii="Times New Roman" w:hAnsi="Times New Roman" w:cs="Times New Roman"/>
          <w:i w:val="0"/>
        </w:rPr>
        <w:fldChar w:fldCharType="separate"/>
      </w:r>
      <w:r>
        <w:rPr>
          <w:rFonts w:ascii="Times New Roman" w:hAnsi="Times New Roman" w:cs="Times New Roman"/>
          <w:i w:val="0"/>
        </w:rPr>
        <w:t>23</w:t>
      </w:r>
      <w:r>
        <w:rPr>
          <w:rFonts w:ascii="Times New Roman" w:hAnsi="Times New Roman" w:cs="Times New Roman"/>
          <w:i w:val="0"/>
        </w:rPr>
        <w:fldChar w:fldCharType="end"/>
      </w:r>
      <w:r>
        <w:rPr>
          <w:rFonts w:ascii="Times New Roman" w:hAnsi="Times New Roman" w:cs="Times New Roman"/>
          <w:i w:val="0"/>
        </w:rPr>
        <w:fldChar w:fldCharType="end"/>
      </w:r>
    </w:p>
    <w:p>
      <w:pPr>
        <w:pStyle w:val="29"/>
        <w:tabs>
          <w:tab w:val="right" w:leader="dot" w:pos="9016"/>
        </w:tabs>
        <w:rPr>
          <w:rFonts w:ascii="Times New Roman" w:hAnsi="Times New Roman" w:cs="Times New Roman"/>
          <w:b w:val="0"/>
          <w:bCs w:val="0"/>
          <w:sz w:val="21"/>
          <w:szCs w:val="22"/>
        </w:rPr>
      </w:pPr>
      <w:r>
        <w:fldChar w:fldCharType="begin"/>
      </w:r>
      <w:r>
        <w:instrText xml:space="preserve"> HYPERLINK \l "_Toc25826482" </w:instrText>
      </w:r>
      <w:r>
        <w:fldChar w:fldCharType="separate"/>
      </w:r>
      <w:r>
        <w:rPr>
          <w:rStyle w:val="42"/>
          <w:rFonts w:ascii="Times New Roman" w:hAnsi="Times New Roman" w:cs="Times New Roman"/>
        </w:rPr>
        <w:t xml:space="preserve">2 </w:t>
      </w:r>
      <w:r>
        <w:rPr>
          <w:rStyle w:val="42"/>
          <w:rFonts w:ascii="Times New Roman" w:cs="Times New Roman"/>
        </w:rPr>
        <w:t>项目概况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_Toc25826482 \h </w:instrText>
      </w:r>
      <w:r>
        <w:rPr>
          <w:rFonts w:ascii="Times New Roman" w:hAnsi="Times New Roman" w:cs="Times New Roman"/>
        </w:rPr>
        <w:fldChar w:fldCharType="separate"/>
      </w:r>
      <w:r>
        <w:rPr>
          <w:rFonts w:ascii="Times New Roman" w:hAnsi="Times New Roman" w:cs="Times New Roman"/>
        </w:rPr>
        <w:t>26</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16"/>
        </w:tabs>
        <w:rPr>
          <w:rFonts w:ascii="Times New Roman" w:hAnsi="Times New Roman" w:cs="Times New Roman"/>
          <w:i w:val="0"/>
          <w:iCs w:val="0"/>
          <w:sz w:val="21"/>
          <w:szCs w:val="22"/>
        </w:rPr>
      </w:pPr>
      <w:r>
        <w:fldChar w:fldCharType="begin"/>
      </w:r>
      <w:r>
        <w:instrText xml:space="preserve"> HYPERLINK \l "_Toc25826483" </w:instrText>
      </w:r>
      <w:r>
        <w:fldChar w:fldCharType="separate"/>
      </w:r>
      <w:r>
        <w:rPr>
          <w:rStyle w:val="42"/>
          <w:rFonts w:ascii="Times New Roman" w:hAnsi="Times New Roman" w:cs="Times New Roman"/>
          <w:i w:val="0"/>
        </w:rPr>
        <w:t xml:space="preserve">2.1 </w:t>
      </w:r>
      <w:r>
        <w:rPr>
          <w:rStyle w:val="42"/>
          <w:rFonts w:ascii="Times New Roman" w:cs="Times New Roman"/>
          <w:i w:val="0"/>
        </w:rPr>
        <w:t>项目基本情况</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_Toc25826483 \h </w:instrText>
      </w:r>
      <w:r>
        <w:rPr>
          <w:rFonts w:ascii="Times New Roman" w:hAnsi="Times New Roman" w:cs="Times New Roman"/>
          <w:i w:val="0"/>
        </w:rPr>
        <w:fldChar w:fldCharType="separate"/>
      </w:r>
      <w:r>
        <w:rPr>
          <w:rFonts w:ascii="Times New Roman" w:hAnsi="Times New Roman" w:cs="Times New Roman"/>
          <w:i w:val="0"/>
        </w:rPr>
        <w:t>26</w:t>
      </w:r>
      <w:r>
        <w:rPr>
          <w:rFonts w:ascii="Times New Roman" w:hAnsi="Times New Roman" w:cs="Times New Roman"/>
          <w:i w:val="0"/>
        </w:rPr>
        <w:fldChar w:fldCharType="end"/>
      </w:r>
      <w:r>
        <w:rPr>
          <w:rFonts w:ascii="Times New Roman" w:hAnsi="Times New Roman" w:cs="Times New Roman"/>
          <w:i w:val="0"/>
        </w:rPr>
        <w:fldChar w:fldCharType="end"/>
      </w:r>
    </w:p>
    <w:p>
      <w:pPr>
        <w:pStyle w:val="32"/>
        <w:tabs>
          <w:tab w:val="right" w:leader="dot" w:pos="9016"/>
        </w:tabs>
        <w:rPr>
          <w:rFonts w:ascii="Times New Roman" w:hAnsi="Times New Roman" w:cs="Times New Roman"/>
          <w:i w:val="0"/>
          <w:iCs w:val="0"/>
          <w:sz w:val="21"/>
          <w:szCs w:val="22"/>
        </w:rPr>
      </w:pPr>
      <w:r>
        <w:fldChar w:fldCharType="begin"/>
      </w:r>
      <w:r>
        <w:instrText xml:space="preserve"> HYPERLINK \l "_Toc25826484" </w:instrText>
      </w:r>
      <w:r>
        <w:fldChar w:fldCharType="separate"/>
      </w:r>
      <w:r>
        <w:rPr>
          <w:rStyle w:val="42"/>
          <w:rFonts w:ascii="Times New Roman" w:hAnsi="Times New Roman" w:cs="Times New Roman"/>
          <w:i w:val="0"/>
        </w:rPr>
        <w:t xml:space="preserve">2.2 </w:t>
      </w:r>
      <w:r>
        <w:rPr>
          <w:rStyle w:val="42"/>
          <w:rFonts w:ascii="Times New Roman" w:cs="Times New Roman"/>
          <w:i w:val="0"/>
        </w:rPr>
        <w:t>工程基本情况</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_Toc25826484 \h </w:instrText>
      </w:r>
      <w:r>
        <w:rPr>
          <w:rFonts w:ascii="Times New Roman" w:hAnsi="Times New Roman" w:cs="Times New Roman"/>
          <w:i w:val="0"/>
        </w:rPr>
        <w:fldChar w:fldCharType="separate"/>
      </w:r>
      <w:r>
        <w:rPr>
          <w:rFonts w:ascii="Times New Roman" w:hAnsi="Times New Roman" w:cs="Times New Roman"/>
          <w:i w:val="0"/>
        </w:rPr>
        <w:t>27</w:t>
      </w:r>
      <w:r>
        <w:rPr>
          <w:rFonts w:ascii="Times New Roman" w:hAnsi="Times New Roman" w:cs="Times New Roman"/>
          <w:i w:val="0"/>
        </w:rPr>
        <w:fldChar w:fldCharType="end"/>
      </w:r>
      <w:r>
        <w:rPr>
          <w:rFonts w:ascii="Times New Roman" w:hAnsi="Times New Roman" w:cs="Times New Roman"/>
          <w:i w:val="0"/>
        </w:rPr>
        <w:fldChar w:fldCharType="end"/>
      </w:r>
    </w:p>
    <w:p>
      <w:pPr>
        <w:pStyle w:val="32"/>
        <w:tabs>
          <w:tab w:val="right" w:leader="dot" w:pos="9016"/>
        </w:tabs>
        <w:rPr>
          <w:rFonts w:ascii="Times New Roman" w:hAnsi="Times New Roman" w:cs="Times New Roman"/>
          <w:i w:val="0"/>
          <w:iCs w:val="0"/>
          <w:sz w:val="21"/>
          <w:szCs w:val="22"/>
        </w:rPr>
      </w:pPr>
      <w:r>
        <w:fldChar w:fldCharType="begin"/>
      </w:r>
      <w:r>
        <w:instrText xml:space="preserve"> HYPERLINK \l "_Toc25826485" </w:instrText>
      </w:r>
      <w:r>
        <w:fldChar w:fldCharType="separate"/>
      </w:r>
      <w:r>
        <w:rPr>
          <w:rStyle w:val="42"/>
          <w:rFonts w:ascii="Times New Roman" w:hAnsi="Times New Roman" w:cs="Times New Roman"/>
          <w:i w:val="0"/>
        </w:rPr>
        <w:t xml:space="preserve">2.3 </w:t>
      </w:r>
      <w:r>
        <w:rPr>
          <w:rStyle w:val="42"/>
          <w:rFonts w:ascii="Times New Roman" w:cs="Times New Roman"/>
          <w:i w:val="0"/>
        </w:rPr>
        <w:t>医院主要能源消耗</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_Toc25826485 \h </w:instrText>
      </w:r>
      <w:r>
        <w:rPr>
          <w:rFonts w:ascii="Times New Roman" w:hAnsi="Times New Roman" w:cs="Times New Roman"/>
          <w:i w:val="0"/>
        </w:rPr>
        <w:fldChar w:fldCharType="separate"/>
      </w:r>
      <w:r>
        <w:rPr>
          <w:rFonts w:ascii="Times New Roman" w:hAnsi="Times New Roman" w:cs="Times New Roman"/>
          <w:i w:val="0"/>
        </w:rPr>
        <w:t>28</w:t>
      </w:r>
      <w:r>
        <w:rPr>
          <w:rFonts w:ascii="Times New Roman" w:hAnsi="Times New Roman" w:cs="Times New Roman"/>
          <w:i w:val="0"/>
        </w:rPr>
        <w:fldChar w:fldCharType="end"/>
      </w:r>
      <w:r>
        <w:rPr>
          <w:rFonts w:ascii="Times New Roman" w:hAnsi="Times New Roman" w:cs="Times New Roman"/>
          <w:i w:val="0"/>
        </w:rPr>
        <w:fldChar w:fldCharType="end"/>
      </w:r>
    </w:p>
    <w:p>
      <w:pPr>
        <w:pStyle w:val="32"/>
        <w:tabs>
          <w:tab w:val="right" w:leader="dot" w:pos="9016"/>
        </w:tabs>
        <w:rPr>
          <w:rFonts w:ascii="Times New Roman" w:hAnsi="Times New Roman" w:cs="Times New Roman"/>
          <w:i w:val="0"/>
          <w:iCs w:val="0"/>
          <w:sz w:val="21"/>
          <w:szCs w:val="22"/>
        </w:rPr>
      </w:pPr>
      <w:r>
        <w:fldChar w:fldCharType="begin"/>
      </w:r>
      <w:r>
        <w:instrText xml:space="preserve"> HYPERLINK \l "_Toc25826486" </w:instrText>
      </w:r>
      <w:r>
        <w:fldChar w:fldCharType="separate"/>
      </w:r>
      <w:r>
        <w:rPr>
          <w:rStyle w:val="42"/>
          <w:rFonts w:ascii="Times New Roman" w:hAnsi="Times New Roman" w:cs="Times New Roman"/>
          <w:i w:val="0"/>
        </w:rPr>
        <w:t xml:space="preserve">2.4 </w:t>
      </w:r>
      <w:r>
        <w:rPr>
          <w:rStyle w:val="42"/>
          <w:rFonts w:ascii="Times New Roman" w:cs="Times New Roman"/>
          <w:i w:val="0"/>
        </w:rPr>
        <w:t>主要医疗仪器设备和动力设备情况</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_Toc25826486 \h </w:instrText>
      </w:r>
      <w:r>
        <w:rPr>
          <w:rFonts w:ascii="Times New Roman" w:hAnsi="Times New Roman" w:cs="Times New Roman"/>
          <w:i w:val="0"/>
        </w:rPr>
        <w:fldChar w:fldCharType="separate"/>
      </w:r>
      <w:r>
        <w:rPr>
          <w:rFonts w:ascii="Times New Roman" w:hAnsi="Times New Roman" w:cs="Times New Roman"/>
          <w:i w:val="0"/>
        </w:rPr>
        <w:t>29</w:t>
      </w:r>
      <w:r>
        <w:rPr>
          <w:rFonts w:ascii="Times New Roman" w:hAnsi="Times New Roman" w:cs="Times New Roman"/>
          <w:i w:val="0"/>
        </w:rPr>
        <w:fldChar w:fldCharType="end"/>
      </w:r>
      <w:r>
        <w:rPr>
          <w:rFonts w:ascii="Times New Roman" w:hAnsi="Times New Roman" w:cs="Times New Roman"/>
          <w:i w:val="0"/>
        </w:rPr>
        <w:fldChar w:fldCharType="end"/>
      </w:r>
    </w:p>
    <w:p>
      <w:pPr>
        <w:pStyle w:val="32"/>
        <w:tabs>
          <w:tab w:val="right" w:leader="dot" w:pos="9016"/>
        </w:tabs>
        <w:rPr>
          <w:rFonts w:ascii="Times New Roman" w:hAnsi="Times New Roman" w:cs="Times New Roman"/>
          <w:i w:val="0"/>
          <w:iCs w:val="0"/>
          <w:sz w:val="21"/>
          <w:szCs w:val="22"/>
        </w:rPr>
      </w:pPr>
      <w:r>
        <w:fldChar w:fldCharType="begin"/>
      </w:r>
      <w:r>
        <w:instrText xml:space="preserve"> HYPERLINK \l "_Toc25826487" </w:instrText>
      </w:r>
      <w:r>
        <w:fldChar w:fldCharType="separate"/>
      </w:r>
      <w:r>
        <w:rPr>
          <w:rStyle w:val="42"/>
          <w:rFonts w:ascii="Times New Roman" w:hAnsi="Times New Roman" w:cs="Times New Roman"/>
          <w:i w:val="0"/>
        </w:rPr>
        <w:t xml:space="preserve">2.5 </w:t>
      </w:r>
      <w:r>
        <w:rPr>
          <w:rStyle w:val="42"/>
          <w:rFonts w:ascii="Times New Roman" w:cs="Times New Roman"/>
          <w:i w:val="0"/>
        </w:rPr>
        <w:t>公用工程</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_Toc25826487 \h </w:instrText>
      </w:r>
      <w:r>
        <w:rPr>
          <w:rFonts w:ascii="Times New Roman" w:hAnsi="Times New Roman" w:cs="Times New Roman"/>
          <w:i w:val="0"/>
        </w:rPr>
        <w:fldChar w:fldCharType="separate"/>
      </w:r>
      <w:r>
        <w:rPr>
          <w:rFonts w:ascii="Times New Roman" w:hAnsi="Times New Roman" w:cs="Times New Roman"/>
          <w:i w:val="0"/>
        </w:rPr>
        <w:t>30</w:t>
      </w:r>
      <w:r>
        <w:rPr>
          <w:rFonts w:ascii="Times New Roman" w:hAnsi="Times New Roman" w:cs="Times New Roman"/>
          <w:i w:val="0"/>
        </w:rPr>
        <w:fldChar w:fldCharType="end"/>
      </w:r>
      <w:r>
        <w:rPr>
          <w:rFonts w:ascii="Times New Roman" w:hAnsi="Times New Roman" w:cs="Times New Roman"/>
          <w:i w:val="0"/>
        </w:rPr>
        <w:fldChar w:fldCharType="end"/>
      </w:r>
    </w:p>
    <w:p>
      <w:pPr>
        <w:pStyle w:val="29"/>
        <w:tabs>
          <w:tab w:val="right" w:leader="dot" w:pos="9016"/>
        </w:tabs>
        <w:rPr>
          <w:rFonts w:ascii="Times New Roman" w:hAnsi="Times New Roman" w:cs="Times New Roman"/>
          <w:b w:val="0"/>
          <w:bCs w:val="0"/>
          <w:sz w:val="21"/>
          <w:szCs w:val="22"/>
        </w:rPr>
      </w:pPr>
      <w:r>
        <w:fldChar w:fldCharType="begin"/>
      </w:r>
      <w:r>
        <w:instrText xml:space="preserve"> HYPERLINK \l "_Toc25826488" </w:instrText>
      </w:r>
      <w:r>
        <w:fldChar w:fldCharType="separate"/>
      </w:r>
      <w:r>
        <w:rPr>
          <w:rStyle w:val="42"/>
          <w:rFonts w:ascii="Times New Roman" w:hAnsi="Times New Roman" w:cs="Times New Roman"/>
        </w:rPr>
        <w:t xml:space="preserve">3 </w:t>
      </w:r>
      <w:r>
        <w:rPr>
          <w:rStyle w:val="42"/>
          <w:rFonts w:ascii="Times New Roman" w:cs="Times New Roman"/>
        </w:rPr>
        <w:t>工程分析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_Toc25826488 \h </w:instrText>
      </w:r>
      <w:r>
        <w:rPr>
          <w:rFonts w:ascii="Times New Roman" w:hAnsi="Times New Roman" w:cs="Times New Roman"/>
        </w:rPr>
        <w:fldChar w:fldCharType="separate"/>
      </w:r>
      <w:r>
        <w:rPr>
          <w:rFonts w:ascii="Times New Roman" w:hAnsi="Times New Roman" w:cs="Times New Roman"/>
        </w:rPr>
        <w:t>37</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16"/>
        </w:tabs>
        <w:rPr>
          <w:rFonts w:ascii="Times New Roman" w:hAnsi="Times New Roman" w:cs="Times New Roman"/>
          <w:i w:val="0"/>
          <w:iCs w:val="0"/>
          <w:sz w:val="21"/>
          <w:szCs w:val="22"/>
        </w:rPr>
      </w:pPr>
      <w:r>
        <w:fldChar w:fldCharType="begin"/>
      </w:r>
      <w:r>
        <w:instrText xml:space="preserve"> HYPERLINK \l "_Toc25826489" </w:instrText>
      </w:r>
      <w:r>
        <w:fldChar w:fldCharType="separate"/>
      </w:r>
      <w:r>
        <w:rPr>
          <w:rStyle w:val="42"/>
          <w:rFonts w:ascii="Times New Roman" w:hAnsi="Times New Roman" w:cs="Times New Roman"/>
          <w:i w:val="0"/>
        </w:rPr>
        <w:t xml:space="preserve">3.1 </w:t>
      </w:r>
      <w:r>
        <w:rPr>
          <w:rStyle w:val="42"/>
          <w:rFonts w:ascii="Times New Roman" w:cs="Times New Roman"/>
          <w:i w:val="0"/>
        </w:rPr>
        <w:t>施工期污染源分析</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_Toc25826489 \h </w:instrText>
      </w:r>
      <w:r>
        <w:rPr>
          <w:rFonts w:ascii="Times New Roman" w:hAnsi="Times New Roman" w:cs="Times New Roman"/>
          <w:i w:val="0"/>
        </w:rPr>
        <w:fldChar w:fldCharType="separate"/>
      </w:r>
      <w:r>
        <w:rPr>
          <w:rFonts w:ascii="Times New Roman" w:hAnsi="Times New Roman" w:cs="Times New Roman"/>
          <w:i w:val="0"/>
        </w:rPr>
        <w:t>37</w:t>
      </w:r>
      <w:r>
        <w:rPr>
          <w:rFonts w:ascii="Times New Roman" w:hAnsi="Times New Roman" w:cs="Times New Roman"/>
          <w:i w:val="0"/>
        </w:rPr>
        <w:fldChar w:fldCharType="end"/>
      </w:r>
      <w:r>
        <w:rPr>
          <w:rFonts w:ascii="Times New Roman" w:hAnsi="Times New Roman" w:cs="Times New Roman"/>
          <w:i w:val="0"/>
        </w:rPr>
        <w:fldChar w:fldCharType="end"/>
      </w:r>
    </w:p>
    <w:p>
      <w:pPr>
        <w:pStyle w:val="32"/>
        <w:tabs>
          <w:tab w:val="right" w:leader="dot" w:pos="9016"/>
        </w:tabs>
        <w:rPr>
          <w:rFonts w:ascii="Times New Roman" w:hAnsi="Times New Roman" w:cs="Times New Roman"/>
          <w:i w:val="0"/>
          <w:iCs w:val="0"/>
          <w:sz w:val="21"/>
          <w:szCs w:val="22"/>
        </w:rPr>
      </w:pPr>
      <w:r>
        <w:fldChar w:fldCharType="begin"/>
      </w:r>
      <w:r>
        <w:instrText xml:space="preserve"> HYPERLINK \l "_Toc25826490" </w:instrText>
      </w:r>
      <w:r>
        <w:fldChar w:fldCharType="separate"/>
      </w:r>
      <w:r>
        <w:rPr>
          <w:rStyle w:val="42"/>
          <w:rFonts w:ascii="Times New Roman" w:hAnsi="Times New Roman" w:cs="Times New Roman"/>
          <w:i w:val="0"/>
        </w:rPr>
        <w:t xml:space="preserve">3.2 </w:t>
      </w:r>
      <w:r>
        <w:rPr>
          <w:rStyle w:val="42"/>
          <w:rFonts w:ascii="Times New Roman" w:cs="Times New Roman"/>
          <w:i w:val="0"/>
        </w:rPr>
        <w:t>营运期污染影响分析</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_Toc25826490 \h </w:instrText>
      </w:r>
      <w:r>
        <w:rPr>
          <w:rFonts w:ascii="Times New Roman" w:hAnsi="Times New Roman" w:cs="Times New Roman"/>
          <w:i w:val="0"/>
        </w:rPr>
        <w:fldChar w:fldCharType="separate"/>
      </w:r>
      <w:r>
        <w:rPr>
          <w:rFonts w:ascii="Times New Roman" w:hAnsi="Times New Roman" w:cs="Times New Roman"/>
          <w:i w:val="0"/>
        </w:rPr>
        <w:t>37</w:t>
      </w:r>
      <w:r>
        <w:rPr>
          <w:rFonts w:ascii="Times New Roman" w:hAnsi="Times New Roman" w:cs="Times New Roman"/>
          <w:i w:val="0"/>
        </w:rPr>
        <w:fldChar w:fldCharType="end"/>
      </w:r>
      <w:r>
        <w:rPr>
          <w:rFonts w:ascii="Times New Roman" w:hAnsi="Times New Roman" w:cs="Times New Roman"/>
          <w:i w:val="0"/>
        </w:rPr>
        <w:fldChar w:fldCharType="end"/>
      </w:r>
    </w:p>
    <w:p>
      <w:pPr>
        <w:pStyle w:val="29"/>
        <w:tabs>
          <w:tab w:val="right" w:leader="dot" w:pos="9016"/>
        </w:tabs>
        <w:rPr>
          <w:rFonts w:ascii="Times New Roman" w:hAnsi="Times New Roman" w:cs="Times New Roman"/>
          <w:b w:val="0"/>
          <w:bCs w:val="0"/>
          <w:sz w:val="21"/>
          <w:szCs w:val="22"/>
        </w:rPr>
      </w:pPr>
      <w:r>
        <w:fldChar w:fldCharType="begin"/>
      </w:r>
      <w:r>
        <w:instrText xml:space="preserve"> HYPERLINK \l "_Toc25826491" </w:instrText>
      </w:r>
      <w:r>
        <w:fldChar w:fldCharType="separate"/>
      </w:r>
      <w:r>
        <w:rPr>
          <w:rStyle w:val="42"/>
          <w:rFonts w:ascii="Times New Roman" w:hAnsi="Times New Roman" w:cs="Times New Roman"/>
        </w:rPr>
        <w:t xml:space="preserve">4 </w:t>
      </w:r>
      <w:r>
        <w:rPr>
          <w:rStyle w:val="42"/>
          <w:rFonts w:ascii="Times New Roman" w:cs="Times New Roman"/>
        </w:rPr>
        <w:t>环境现状调查与评价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_Toc25826491 \h </w:instrText>
      </w:r>
      <w:r>
        <w:rPr>
          <w:rFonts w:ascii="Times New Roman" w:hAnsi="Times New Roman" w:cs="Times New Roman"/>
        </w:rPr>
        <w:fldChar w:fldCharType="separate"/>
      </w:r>
      <w:r>
        <w:rPr>
          <w:rFonts w:ascii="Times New Roman" w:hAnsi="Times New Roman" w:cs="Times New Roman"/>
        </w:rPr>
        <w:t>48</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16"/>
        </w:tabs>
        <w:rPr>
          <w:rFonts w:ascii="Times New Roman" w:hAnsi="Times New Roman" w:cs="Times New Roman"/>
          <w:i w:val="0"/>
          <w:iCs w:val="0"/>
          <w:sz w:val="21"/>
          <w:szCs w:val="22"/>
        </w:rPr>
      </w:pPr>
      <w:r>
        <w:fldChar w:fldCharType="begin"/>
      </w:r>
      <w:r>
        <w:instrText xml:space="preserve"> HYPERLINK \l "_Toc25826492" </w:instrText>
      </w:r>
      <w:r>
        <w:fldChar w:fldCharType="separate"/>
      </w:r>
      <w:r>
        <w:rPr>
          <w:rStyle w:val="42"/>
          <w:rFonts w:ascii="Times New Roman" w:hAnsi="Times New Roman" w:cs="Times New Roman"/>
          <w:i w:val="0"/>
        </w:rPr>
        <w:t xml:space="preserve">4.1 </w:t>
      </w:r>
      <w:r>
        <w:rPr>
          <w:rStyle w:val="42"/>
          <w:rFonts w:ascii="Times New Roman" w:cs="Times New Roman"/>
          <w:i w:val="0"/>
        </w:rPr>
        <w:t>自然环境概况</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_Toc25826492 \h </w:instrText>
      </w:r>
      <w:r>
        <w:rPr>
          <w:rFonts w:ascii="Times New Roman" w:hAnsi="Times New Roman" w:cs="Times New Roman"/>
          <w:i w:val="0"/>
        </w:rPr>
        <w:fldChar w:fldCharType="separate"/>
      </w:r>
      <w:r>
        <w:rPr>
          <w:rFonts w:ascii="Times New Roman" w:hAnsi="Times New Roman" w:cs="Times New Roman"/>
          <w:i w:val="0"/>
        </w:rPr>
        <w:t>48</w:t>
      </w:r>
      <w:r>
        <w:rPr>
          <w:rFonts w:ascii="Times New Roman" w:hAnsi="Times New Roman" w:cs="Times New Roman"/>
          <w:i w:val="0"/>
        </w:rPr>
        <w:fldChar w:fldCharType="end"/>
      </w:r>
      <w:r>
        <w:rPr>
          <w:rFonts w:ascii="Times New Roman" w:hAnsi="Times New Roman" w:cs="Times New Roman"/>
          <w:i w:val="0"/>
        </w:rPr>
        <w:fldChar w:fldCharType="end"/>
      </w:r>
    </w:p>
    <w:p>
      <w:pPr>
        <w:pStyle w:val="32"/>
        <w:tabs>
          <w:tab w:val="right" w:leader="dot" w:pos="9016"/>
        </w:tabs>
        <w:rPr>
          <w:rFonts w:ascii="Times New Roman" w:hAnsi="Times New Roman" w:cs="Times New Roman"/>
          <w:i w:val="0"/>
          <w:iCs w:val="0"/>
          <w:sz w:val="21"/>
          <w:szCs w:val="22"/>
        </w:rPr>
      </w:pPr>
      <w:r>
        <w:fldChar w:fldCharType="begin"/>
      </w:r>
      <w:r>
        <w:instrText xml:space="preserve"> HYPERLINK \l "_Toc25826493" </w:instrText>
      </w:r>
      <w:r>
        <w:fldChar w:fldCharType="separate"/>
      </w:r>
      <w:r>
        <w:rPr>
          <w:rStyle w:val="42"/>
          <w:rFonts w:ascii="Times New Roman" w:hAnsi="Times New Roman" w:cs="Times New Roman"/>
          <w:i w:val="0"/>
        </w:rPr>
        <w:t xml:space="preserve">4.2 </w:t>
      </w:r>
      <w:r>
        <w:rPr>
          <w:rStyle w:val="42"/>
          <w:rFonts w:ascii="Times New Roman" w:cs="Times New Roman"/>
          <w:i w:val="0"/>
        </w:rPr>
        <w:t>环境质量现状监测与评价</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_Toc25826493 \h </w:instrText>
      </w:r>
      <w:r>
        <w:rPr>
          <w:rFonts w:ascii="Times New Roman" w:hAnsi="Times New Roman" w:cs="Times New Roman"/>
          <w:i w:val="0"/>
        </w:rPr>
        <w:fldChar w:fldCharType="separate"/>
      </w:r>
      <w:r>
        <w:rPr>
          <w:rFonts w:ascii="Times New Roman" w:hAnsi="Times New Roman" w:cs="Times New Roman"/>
          <w:i w:val="0"/>
        </w:rPr>
        <w:t>52</w:t>
      </w:r>
      <w:r>
        <w:rPr>
          <w:rFonts w:ascii="Times New Roman" w:hAnsi="Times New Roman" w:cs="Times New Roman"/>
          <w:i w:val="0"/>
        </w:rPr>
        <w:fldChar w:fldCharType="end"/>
      </w:r>
      <w:r>
        <w:rPr>
          <w:rFonts w:ascii="Times New Roman" w:hAnsi="Times New Roman" w:cs="Times New Roman"/>
          <w:i w:val="0"/>
        </w:rPr>
        <w:fldChar w:fldCharType="end"/>
      </w:r>
    </w:p>
    <w:p>
      <w:pPr>
        <w:pStyle w:val="32"/>
        <w:tabs>
          <w:tab w:val="right" w:leader="dot" w:pos="9016"/>
        </w:tabs>
        <w:rPr>
          <w:rFonts w:ascii="Times New Roman" w:hAnsi="Times New Roman" w:cs="Times New Roman"/>
          <w:i w:val="0"/>
          <w:iCs w:val="0"/>
          <w:sz w:val="21"/>
          <w:szCs w:val="22"/>
        </w:rPr>
      </w:pPr>
      <w:r>
        <w:fldChar w:fldCharType="begin"/>
      </w:r>
      <w:r>
        <w:instrText xml:space="preserve"> HYPERLINK \l "_Toc25826494" </w:instrText>
      </w:r>
      <w:r>
        <w:fldChar w:fldCharType="separate"/>
      </w:r>
      <w:r>
        <w:rPr>
          <w:rStyle w:val="42"/>
          <w:rFonts w:ascii="Times New Roman" w:hAnsi="Times New Roman" w:cs="Times New Roman"/>
          <w:i w:val="0"/>
        </w:rPr>
        <w:t xml:space="preserve">4.3 </w:t>
      </w:r>
      <w:r>
        <w:rPr>
          <w:rStyle w:val="42"/>
          <w:rFonts w:ascii="Times New Roman" w:cs="Times New Roman"/>
          <w:i w:val="0"/>
        </w:rPr>
        <w:t>小结</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_Toc25826494 \h </w:instrText>
      </w:r>
      <w:r>
        <w:rPr>
          <w:rFonts w:ascii="Times New Roman" w:hAnsi="Times New Roman" w:cs="Times New Roman"/>
          <w:i w:val="0"/>
        </w:rPr>
        <w:fldChar w:fldCharType="separate"/>
      </w:r>
      <w:r>
        <w:rPr>
          <w:rFonts w:ascii="Times New Roman" w:hAnsi="Times New Roman" w:cs="Times New Roman"/>
          <w:i w:val="0"/>
        </w:rPr>
        <w:t>57</w:t>
      </w:r>
      <w:r>
        <w:rPr>
          <w:rFonts w:ascii="Times New Roman" w:hAnsi="Times New Roman" w:cs="Times New Roman"/>
          <w:i w:val="0"/>
        </w:rPr>
        <w:fldChar w:fldCharType="end"/>
      </w:r>
      <w:r>
        <w:rPr>
          <w:rFonts w:ascii="Times New Roman" w:hAnsi="Times New Roman" w:cs="Times New Roman"/>
          <w:i w:val="0"/>
        </w:rPr>
        <w:fldChar w:fldCharType="end"/>
      </w:r>
    </w:p>
    <w:p>
      <w:pPr>
        <w:pStyle w:val="29"/>
        <w:tabs>
          <w:tab w:val="right" w:leader="dot" w:pos="9016"/>
        </w:tabs>
        <w:rPr>
          <w:rFonts w:ascii="Times New Roman" w:hAnsi="Times New Roman" w:cs="Times New Roman"/>
          <w:b w:val="0"/>
          <w:bCs w:val="0"/>
          <w:sz w:val="21"/>
          <w:szCs w:val="22"/>
        </w:rPr>
      </w:pPr>
      <w:r>
        <w:fldChar w:fldCharType="begin"/>
      </w:r>
      <w:r>
        <w:instrText xml:space="preserve"> HYPERLINK \l "_Toc25826495" </w:instrText>
      </w:r>
      <w:r>
        <w:fldChar w:fldCharType="separate"/>
      </w:r>
      <w:r>
        <w:rPr>
          <w:rStyle w:val="42"/>
          <w:rFonts w:ascii="Times New Roman" w:hAnsi="Times New Roman" w:cs="Times New Roman"/>
        </w:rPr>
        <w:t xml:space="preserve">5 </w:t>
      </w:r>
      <w:r>
        <w:rPr>
          <w:rStyle w:val="42"/>
          <w:rFonts w:ascii="Times New Roman" w:cs="Times New Roman"/>
        </w:rPr>
        <w:t>环境影响预测与评价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_Toc25826495 \h </w:instrText>
      </w:r>
      <w:r>
        <w:rPr>
          <w:rFonts w:ascii="Times New Roman" w:hAnsi="Times New Roman" w:cs="Times New Roman"/>
        </w:rPr>
        <w:fldChar w:fldCharType="separate"/>
      </w:r>
      <w:r>
        <w:rPr>
          <w:rFonts w:ascii="Times New Roman" w:hAnsi="Times New Roman" w:cs="Times New Roman"/>
        </w:rPr>
        <w:t>58</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16"/>
        </w:tabs>
        <w:rPr>
          <w:rFonts w:ascii="Times New Roman" w:hAnsi="Times New Roman" w:cs="Times New Roman"/>
          <w:i w:val="0"/>
          <w:iCs w:val="0"/>
          <w:sz w:val="21"/>
          <w:szCs w:val="22"/>
        </w:rPr>
      </w:pPr>
      <w:r>
        <w:fldChar w:fldCharType="begin"/>
      </w:r>
      <w:r>
        <w:instrText xml:space="preserve"> HYPERLINK \l "_Toc25826496" </w:instrText>
      </w:r>
      <w:r>
        <w:fldChar w:fldCharType="separate"/>
      </w:r>
      <w:r>
        <w:rPr>
          <w:rStyle w:val="42"/>
          <w:rFonts w:ascii="Times New Roman" w:hAnsi="Times New Roman" w:cs="Times New Roman"/>
          <w:i w:val="0"/>
        </w:rPr>
        <w:t xml:space="preserve">5.1 </w:t>
      </w:r>
      <w:r>
        <w:rPr>
          <w:rStyle w:val="42"/>
          <w:rFonts w:ascii="Times New Roman" w:cs="Times New Roman"/>
          <w:i w:val="0"/>
        </w:rPr>
        <w:t>施工期环境影响分析</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_Toc25826496 \h </w:instrText>
      </w:r>
      <w:r>
        <w:rPr>
          <w:rFonts w:ascii="Times New Roman" w:hAnsi="Times New Roman" w:cs="Times New Roman"/>
          <w:i w:val="0"/>
        </w:rPr>
        <w:fldChar w:fldCharType="separate"/>
      </w:r>
      <w:r>
        <w:rPr>
          <w:rFonts w:ascii="Times New Roman" w:hAnsi="Times New Roman" w:cs="Times New Roman"/>
          <w:i w:val="0"/>
        </w:rPr>
        <w:t>58</w:t>
      </w:r>
      <w:r>
        <w:rPr>
          <w:rFonts w:ascii="Times New Roman" w:hAnsi="Times New Roman" w:cs="Times New Roman"/>
          <w:i w:val="0"/>
        </w:rPr>
        <w:fldChar w:fldCharType="end"/>
      </w:r>
      <w:r>
        <w:rPr>
          <w:rFonts w:ascii="Times New Roman" w:hAnsi="Times New Roman" w:cs="Times New Roman"/>
          <w:i w:val="0"/>
        </w:rPr>
        <w:fldChar w:fldCharType="end"/>
      </w:r>
    </w:p>
    <w:p>
      <w:pPr>
        <w:pStyle w:val="32"/>
        <w:tabs>
          <w:tab w:val="right" w:leader="dot" w:pos="9016"/>
        </w:tabs>
        <w:rPr>
          <w:rFonts w:ascii="Times New Roman" w:hAnsi="Times New Roman" w:cs="Times New Roman"/>
          <w:i w:val="0"/>
          <w:iCs w:val="0"/>
          <w:sz w:val="21"/>
          <w:szCs w:val="22"/>
        </w:rPr>
      </w:pPr>
      <w:r>
        <w:fldChar w:fldCharType="begin"/>
      </w:r>
      <w:r>
        <w:instrText xml:space="preserve"> HYPERLINK \l "_Toc25826497" </w:instrText>
      </w:r>
      <w:r>
        <w:fldChar w:fldCharType="separate"/>
      </w:r>
      <w:r>
        <w:rPr>
          <w:rStyle w:val="42"/>
          <w:rFonts w:ascii="Times New Roman" w:hAnsi="Times New Roman" w:cs="Times New Roman"/>
          <w:i w:val="0"/>
        </w:rPr>
        <w:t xml:space="preserve">5.2 </w:t>
      </w:r>
      <w:r>
        <w:rPr>
          <w:rStyle w:val="42"/>
          <w:rFonts w:ascii="Times New Roman" w:cs="Times New Roman"/>
          <w:i w:val="0"/>
        </w:rPr>
        <w:t>营运期环境影响分析</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_Toc25826497 \h </w:instrText>
      </w:r>
      <w:r>
        <w:rPr>
          <w:rFonts w:ascii="Times New Roman" w:hAnsi="Times New Roman" w:cs="Times New Roman"/>
          <w:i w:val="0"/>
        </w:rPr>
        <w:fldChar w:fldCharType="separate"/>
      </w:r>
      <w:r>
        <w:rPr>
          <w:rFonts w:ascii="Times New Roman" w:hAnsi="Times New Roman" w:cs="Times New Roman"/>
          <w:i w:val="0"/>
        </w:rPr>
        <w:t>58</w:t>
      </w:r>
      <w:r>
        <w:rPr>
          <w:rFonts w:ascii="Times New Roman" w:hAnsi="Times New Roman" w:cs="Times New Roman"/>
          <w:i w:val="0"/>
        </w:rPr>
        <w:fldChar w:fldCharType="end"/>
      </w:r>
      <w:r>
        <w:rPr>
          <w:rFonts w:ascii="Times New Roman" w:hAnsi="Times New Roman" w:cs="Times New Roman"/>
          <w:i w:val="0"/>
        </w:rPr>
        <w:fldChar w:fldCharType="end"/>
      </w:r>
    </w:p>
    <w:p>
      <w:pPr>
        <w:pStyle w:val="29"/>
        <w:tabs>
          <w:tab w:val="right" w:leader="dot" w:pos="9016"/>
        </w:tabs>
        <w:rPr>
          <w:rFonts w:ascii="Times New Roman" w:hAnsi="Times New Roman" w:cs="Times New Roman"/>
          <w:b w:val="0"/>
          <w:bCs w:val="0"/>
          <w:sz w:val="21"/>
          <w:szCs w:val="22"/>
        </w:rPr>
      </w:pPr>
      <w:r>
        <w:fldChar w:fldCharType="begin"/>
      </w:r>
      <w:r>
        <w:instrText xml:space="preserve"> HYPERLINK \l "_Toc25826498" </w:instrText>
      </w:r>
      <w:r>
        <w:fldChar w:fldCharType="separate"/>
      </w:r>
      <w:r>
        <w:rPr>
          <w:rStyle w:val="42"/>
          <w:rFonts w:ascii="Times New Roman" w:hAnsi="Times New Roman" w:cs="Times New Roman"/>
        </w:rPr>
        <w:t xml:space="preserve">6 </w:t>
      </w:r>
      <w:r>
        <w:rPr>
          <w:rStyle w:val="42"/>
          <w:rFonts w:ascii="Times New Roman" w:cs="Times New Roman"/>
        </w:rPr>
        <w:t>环境保护措施及可行性分析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_Toc25826498 \h </w:instrText>
      </w:r>
      <w:r>
        <w:rPr>
          <w:rFonts w:ascii="Times New Roman" w:hAnsi="Times New Roman" w:cs="Times New Roman"/>
        </w:rPr>
        <w:fldChar w:fldCharType="separate"/>
      </w:r>
      <w:r>
        <w:rPr>
          <w:rFonts w:ascii="Times New Roman" w:hAnsi="Times New Roman" w:cs="Times New Roman"/>
        </w:rPr>
        <w:t>83</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16"/>
        </w:tabs>
        <w:rPr>
          <w:rFonts w:ascii="Times New Roman" w:hAnsi="Times New Roman" w:cs="Times New Roman"/>
          <w:i w:val="0"/>
          <w:iCs w:val="0"/>
          <w:sz w:val="21"/>
          <w:szCs w:val="22"/>
        </w:rPr>
      </w:pPr>
      <w:r>
        <w:fldChar w:fldCharType="begin"/>
      </w:r>
      <w:r>
        <w:instrText xml:space="preserve"> HYPERLINK \l "_Toc25826499" </w:instrText>
      </w:r>
      <w:r>
        <w:fldChar w:fldCharType="separate"/>
      </w:r>
      <w:r>
        <w:rPr>
          <w:rStyle w:val="42"/>
          <w:rFonts w:ascii="Times New Roman" w:hAnsi="Times New Roman" w:cs="Times New Roman"/>
          <w:i w:val="0"/>
        </w:rPr>
        <w:t xml:space="preserve">6.1 </w:t>
      </w:r>
      <w:r>
        <w:rPr>
          <w:rStyle w:val="42"/>
          <w:rFonts w:ascii="Times New Roman" w:cs="Times New Roman"/>
          <w:i w:val="0"/>
        </w:rPr>
        <w:t>运营期污染防治措施</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_Toc25826499 \h </w:instrText>
      </w:r>
      <w:r>
        <w:rPr>
          <w:rFonts w:ascii="Times New Roman" w:hAnsi="Times New Roman" w:cs="Times New Roman"/>
          <w:i w:val="0"/>
        </w:rPr>
        <w:fldChar w:fldCharType="separate"/>
      </w:r>
      <w:r>
        <w:rPr>
          <w:rFonts w:ascii="Times New Roman" w:hAnsi="Times New Roman" w:cs="Times New Roman"/>
          <w:i w:val="0"/>
        </w:rPr>
        <w:t>83</w:t>
      </w:r>
      <w:r>
        <w:rPr>
          <w:rFonts w:ascii="Times New Roman" w:hAnsi="Times New Roman" w:cs="Times New Roman"/>
          <w:i w:val="0"/>
        </w:rPr>
        <w:fldChar w:fldCharType="end"/>
      </w:r>
      <w:r>
        <w:rPr>
          <w:rFonts w:ascii="Times New Roman" w:hAnsi="Times New Roman" w:cs="Times New Roman"/>
          <w:i w:val="0"/>
        </w:rPr>
        <w:fldChar w:fldCharType="end"/>
      </w:r>
    </w:p>
    <w:p>
      <w:pPr>
        <w:pStyle w:val="29"/>
        <w:tabs>
          <w:tab w:val="right" w:leader="dot" w:pos="9016"/>
        </w:tabs>
        <w:rPr>
          <w:rFonts w:ascii="Times New Roman" w:hAnsi="Times New Roman" w:cs="Times New Roman"/>
          <w:b w:val="0"/>
          <w:bCs w:val="0"/>
          <w:sz w:val="21"/>
          <w:szCs w:val="22"/>
        </w:rPr>
      </w:pPr>
      <w:r>
        <w:fldChar w:fldCharType="begin"/>
      </w:r>
      <w:r>
        <w:instrText xml:space="preserve"> HYPERLINK \l "_Toc25826500" </w:instrText>
      </w:r>
      <w:r>
        <w:fldChar w:fldCharType="separate"/>
      </w:r>
      <w:r>
        <w:rPr>
          <w:rStyle w:val="42"/>
          <w:rFonts w:ascii="Times New Roman" w:hAnsi="Times New Roman" w:cs="Times New Roman"/>
        </w:rPr>
        <w:t xml:space="preserve">7 </w:t>
      </w:r>
      <w:r>
        <w:rPr>
          <w:rStyle w:val="42"/>
          <w:rFonts w:ascii="Times New Roman" w:cs="Times New Roman"/>
        </w:rPr>
        <w:t>环境影响经济损益分析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_Toc25826500 \h </w:instrText>
      </w:r>
      <w:r>
        <w:rPr>
          <w:rFonts w:ascii="Times New Roman" w:hAnsi="Times New Roman" w:cs="Times New Roman"/>
        </w:rPr>
        <w:fldChar w:fldCharType="separate"/>
      </w:r>
      <w:r>
        <w:rPr>
          <w:rFonts w:ascii="Times New Roman" w:hAnsi="Times New Roman" w:cs="Times New Roman"/>
        </w:rPr>
        <w:t>123</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16"/>
        </w:tabs>
        <w:rPr>
          <w:rFonts w:ascii="Times New Roman" w:hAnsi="Times New Roman" w:cs="Times New Roman"/>
          <w:i w:val="0"/>
          <w:iCs w:val="0"/>
          <w:sz w:val="21"/>
          <w:szCs w:val="22"/>
        </w:rPr>
      </w:pPr>
      <w:r>
        <w:fldChar w:fldCharType="begin"/>
      </w:r>
      <w:r>
        <w:instrText xml:space="preserve"> HYPERLINK \l "_Toc25826501" </w:instrText>
      </w:r>
      <w:r>
        <w:fldChar w:fldCharType="separate"/>
      </w:r>
      <w:r>
        <w:rPr>
          <w:rStyle w:val="42"/>
          <w:rFonts w:ascii="Times New Roman" w:hAnsi="Times New Roman" w:cs="Times New Roman"/>
          <w:i w:val="0"/>
        </w:rPr>
        <w:t xml:space="preserve">7.1 </w:t>
      </w:r>
      <w:r>
        <w:rPr>
          <w:rStyle w:val="42"/>
          <w:rFonts w:ascii="Times New Roman" w:cs="Times New Roman"/>
          <w:i w:val="0"/>
        </w:rPr>
        <w:t>环境保护投资估算</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_Toc25826501 \h </w:instrText>
      </w:r>
      <w:r>
        <w:rPr>
          <w:rFonts w:ascii="Times New Roman" w:hAnsi="Times New Roman" w:cs="Times New Roman"/>
          <w:i w:val="0"/>
        </w:rPr>
        <w:fldChar w:fldCharType="separate"/>
      </w:r>
      <w:r>
        <w:rPr>
          <w:rFonts w:ascii="Times New Roman" w:hAnsi="Times New Roman" w:cs="Times New Roman"/>
          <w:i w:val="0"/>
        </w:rPr>
        <w:t>123</w:t>
      </w:r>
      <w:r>
        <w:rPr>
          <w:rFonts w:ascii="Times New Roman" w:hAnsi="Times New Roman" w:cs="Times New Roman"/>
          <w:i w:val="0"/>
        </w:rPr>
        <w:fldChar w:fldCharType="end"/>
      </w:r>
      <w:r>
        <w:rPr>
          <w:rFonts w:ascii="Times New Roman" w:hAnsi="Times New Roman" w:cs="Times New Roman"/>
          <w:i w:val="0"/>
        </w:rPr>
        <w:fldChar w:fldCharType="end"/>
      </w:r>
    </w:p>
    <w:p>
      <w:pPr>
        <w:pStyle w:val="32"/>
        <w:tabs>
          <w:tab w:val="right" w:leader="dot" w:pos="9016"/>
        </w:tabs>
        <w:rPr>
          <w:rFonts w:ascii="Times New Roman" w:hAnsi="Times New Roman" w:cs="Times New Roman"/>
          <w:i w:val="0"/>
          <w:iCs w:val="0"/>
          <w:sz w:val="21"/>
          <w:szCs w:val="22"/>
        </w:rPr>
      </w:pPr>
      <w:r>
        <w:fldChar w:fldCharType="begin"/>
      </w:r>
      <w:r>
        <w:instrText xml:space="preserve"> HYPERLINK \l "_Toc25826502" </w:instrText>
      </w:r>
      <w:r>
        <w:fldChar w:fldCharType="separate"/>
      </w:r>
      <w:r>
        <w:rPr>
          <w:rStyle w:val="42"/>
          <w:rFonts w:ascii="Times New Roman" w:hAnsi="Times New Roman" w:cs="Times New Roman"/>
          <w:i w:val="0"/>
        </w:rPr>
        <w:t xml:space="preserve">7.2 </w:t>
      </w:r>
      <w:r>
        <w:rPr>
          <w:rStyle w:val="42"/>
          <w:rFonts w:ascii="Times New Roman" w:cs="Times New Roman"/>
          <w:i w:val="0"/>
        </w:rPr>
        <w:t>经济效益分析</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_Toc25826502 \h </w:instrText>
      </w:r>
      <w:r>
        <w:rPr>
          <w:rFonts w:ascii="Times New Roman" w:hAnsi="Times New Roman" w:cs="Times New Roman"/>
          <w:i w:val="0"/>
        </w:rPr>
        <w:fldChar w:fldCharType="separate"/>
      </w:r>
      <w:r>
        <w:rPr>
          <w:rFonts w:ascii="Times New Roman" w:hAnsi="Times New Roman" w:cs="Times New Roman"/>
          <w:i w:val="0"/>
        </w:rPr>
        <w:t>123</w:t>
      </w:r>
      <w:r>
        <w:rPr>
          <w:rFonts w:ascii="Times New Roman" w:hAnsi="Times New Roman" w:cs="Times New Roman"/>
          <w:i w:val="0"/>
        </w:rPr>
        <w:fldChar w:fldCharType="end"/>
      </w:r>
      <w:r>
        <w:rPr>
          <w:rFonts w:ascii="Times New Roman" w:hAnsi="Times New Roman" w:cs="Times New Roman"/>
          <w:i w:val="0"/>
        </w:rPr>
        <w:fldChar w:fldCharType="end"/>
      </w:r>
    </w:p>
    <w:p>
      <w:pPr>
        <w:pStyle w:val="32"/>
        <w:tabs>
          <w:tab w:val="right" w:leader="dot" w:pos="9016"/>
        </w:tabs>
        <w:rPr>
          <w:rFonts w:ascii="Times New Roman" w:hAnsi="Times New Roman" w:cs="Times New Roman"/>
          <w:i w:val="0"/>
          <w:iCs w:val="0"/>
          <w:sz w:val="21"/>
          <w:szCs w:val="22"/>
        </w:rPr>
      </w:pPr>
      <w:r>
        <w:fldChar w:fldCharType="begin"/>
      </w:r>
      <w:r>
        <w:instrText xml:space="preserve"> HYPERLINK \l "_Toc25826503" </w:instrText>
      </w:r>
      <w:r>
        <w:fldChar w:fldCharType="separate"/>
      </w:r>
      <w:r>
        <w:rPr>
          <w:rStyle w:val="42"/>
          <w:rFonts w:ascii="Times New Roman" w:hAnsi="Times New Roman" w:cs="Times New Roman"/>
          <w:i w:val="0"/>
        </w:rPr>
        <w:t xml:space="preserve">7.3 </w:t>
      </w:r>
      <w:r>
        <w:rPr>
          <w:rStyle w:val="42"/>
          <w:rFonts w:ascii="Times New Roman" w:cs="Times New Roman"/>
          <w:i w:val="0"/>
        </w:rPr>
        <w:t>社会效益分析</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_Toc25826503 \h </w:instrText>
      </w:r>
      <w:r>
        <w:rPr>
          <w:rFonts w:ascii="Times New Roman" w:hAnsi="Times New Roman" w:cs="Times New Roman"/>
          <w:i w:val="0"/>
        </w:rPr>
        <w:fldChar w:fldCharType="separate"/>
      </w:r>
      <w:r>
        <w:rPr>
          <w:rFonts w:ascii="Times New Roman" w:hAnsi="Times New Roman" w:cs="Times New Roman"/>
          <w:i w:val="0"/>
        </w:rPr>
        <w:t>123</w:t>
      </w:r>
      <w:r>
        <w:rPr>
          <w:rFonts w:ascii="Times New Roman" w:hAnsi="Times New Roman" w:cs="Times New Roman"/>
          <w:i w:val="0"/>
        </w:rPr>
        <w:fldChar w:fldCharType="end"/>
      </w:r>
      <w:r>
        <w:rPr>
          <w:rFonts w:ascii="Times New Roman" w:hAnsi="Times New Roman" w:cs="Times New Roman"/>
          <w:i w:val="0"/>
        </w:rPr>
        <w:fldChar w:fldCharType="end"/>
      </w:r>
    </w:p>
    <w:p>
      <w:pPr>
        <w:pStyle w:val="32"/>
        <w:tabs>
          <w:tab w:val="right" w:leader="dot" w:pos="9016"/>
        </w:tabs>
        <w:rPr>
          <w:rFonts w:ascii="Times New Roman" w:hAnsi="Times New Roman" w:cs="Times New Roman"/>
          <w:i w:val="0"/>
          <w:iCs w:val="0"/>
          <w:sz w:val="21"/>
          <w:szCs w:val="22"/>
        </w:rPr>
      </w:pPr>
      <w:r>
        <w:fldChar w:fldCharType="begin"/>
      </w:r>
      <w:r>
        <w:instrText xml:space="preserve"> HYPERLINK \l "_Toc25826504" </w:instrText>
      </w:r>
      <w:r>
        <w:fldChar w:fldCharType="separate"/>
      </w:r>
      <w:r>
        <w:rPr>
          <w:rStyle w:val="42"/>
          <w:rFonts w:ascii="Times New Roman" w:hAnsi="Times New Roman" w:cs="Times New Roman"/>
          <w:i w:val="0"/>
        </w:rPr>
        <w:t xml:space="preserve">7.4 </w:t>
      </w:r>
      <w:r>
        <w:rPr>
          <w:rStyle w:val="42"/>
          <w:rFonts w:ascii="Times New Roman" w:cs="Times New Roman"/>
          <w:i w:val="0"/>
        </w:rPr>
        <w:t>环境损益分析</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_Toc25826504 \h </w:instrText>
      </w:r>
      <w:r>
        <w:rPr>
          <w:rFonts w:ascii="Times New Roman" w:hAnsi="Times New Roman" w:cs="Times New Roman"/>
          <w:i w:val="0"/>
        </w:rPr>
        <w:fldChar w:fldCharType="separate"/>
      </w:r>
      <w:r>
        <w:rPr>
          <w:rFonts w:ascii="Times New Roman" w:hAnsi="Times New Roman" w:cs="Times New Roman"/>
          <w:i w:val="0"/>
        </w:rPr>
        <w:t>123</w:t>
      </w:r>
      <w:r>
        <w:rPr>
          <w:rFonts w:ascii="Times New Roman" w:hAnsi="Times New Roman" w:cs="Times New Roman"/>
          <w:i w:val="0"/>
        </w:rPr>
        <w:fldChar w:fldCharType="end"/>
      </w:r>
      <w:r>
        <w:rPr>
          <w:rFonts w:ascii="Times New Roman" w:hAnsi="Times New Roman" w:cs="Times New Roman"/>
          <w:i w:val="0"/>
        </w:rPr>
        <w:fldChar w:fldCharType="end"/>
      </w:r>
    </w:p>
    <w:p>
      <w:pPr>
        <w:pStyle w:val="32"/>
        <w:tabs>
          <w:tab w:val="right" w:leader="dot" w:pos="9016"/>
        </w:tabs>
        <w:rPr>
          <w:rFonts w:ascii="Times New Roman" w:hAnsi="Times New Roman" w:cs="Times New Roman"/>
          <w:i w:val="0"/>
          <w:iCs w:val="0"/>
          <w:sz w:val="21"/>
          <w:szCs w:val="22"/>
        </w:rPr>
      </w:pPr>
      <w:r>
        <w:fldChar w:fldCharType="begin"/>
      </w:r>
      <w:r>
        <w:instrText xml:space="preserve"> HYPERLINK \l "_Toc25826505" </w:instrText>
      </w:r>
      <w:r>
        <w:fldChar w:fldCharType="separate"/>
      </w:r>
      <w:r>
        <w:rPr>
          <w:rStyle w:val="42"/>
          <w:rFonts w:ascii="Times New Roman" w:hAnsi="Times New Roman" w:cs="Times New Roman"/>
          <w:i w:val="0"/>
          <w:kern w:val="0"/>
        </w:rPr>
        <w:t xml:space="preserve">7.5 </w:t>
      </w:r>
      <w:r>
        <w:rPr>
          <w:rStyle w:val="42"/>
          <w:rFonts w:ascii="Times New Roman" w:cs="Times New Roman"/>
          <w:i w:val="0"/>
          <w:kern w:val="0"/>
        </w:rPr>
        <w:t>小结</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_Toc25826505 \h </w:instrText>
      </w:r>
      <w:r>
        <w:rPr>
          <w:rFonts w:ascii="Times New Roman" w:hAnsi="Times New Roman" w:cs="Times New Roman"/>
          <w:i w:val="0"/>
        </w:rPr>
        <w:fldChar w:fldCharType="separate"/>
      </w:r>
      <w:r>
        <w:rPr>
          <w:rFonts w:ascii="Times New Roman" w:hAnsi="Times New Roman" w:cs="Times New Roman"/>
          <w:i w:val="0"/>
        </w:rPr>
        <w:t>124</w:t>
      </w:r>
      <w:r>
        <w:rPr>
          <w:rFonts w:ascii="Times New Roman" w:hAnsi="Times New Roman" w:cs="Times New Roman"/>
          <w:i w:val="0"/>
        </w:rPr>
        <w:fldChar w:fldCharType="end"/>
      </w:r>
      <w:r>
        <w:rPr>
          <w:rFonts w:ascii="Times New Roman" w:hAnsi="Times New Roman" w:cs="Times New Roman"/>
          <w:i w:val="0"/>
        </w:rPr>
        <w:fldChar w:fldCharType="end"/>
      </w:r>
    </w:p>
    <w:p>
      <w:pPr>
        <w:pStyle w:val="29"/>
        <w:tabs>
          <w:tab w:val="right" w:leader="dot" w:pos="9016"/>
        </w:tabs>
        <w:rPr>
          <w:rFonts w:ascii="Times New Roman" w:hAnsi="Times New Roman" w:cs="Times New Roman"/>
          <w:b w:val="0"/>
          <w:bCs w:val="0"/>
          <w:sz w:val="21"/>
          <w:szCs w:val="22"/>
        </w:rPr>
      </w:pPr>
      <w:r>
        <w:fldChar w:fldCharType="begin"/>
      </w:r>
      <w:r>
        <w:instrText xml:space="preserve"> HYPERLINK \l "_Toc25826506" </w:instrText>
      </w:r>
      <w:r>
        <w:fldChar w:fldCharType="separate"/>
      </w:r>
      <w:r>
        <w:rPr>
          <w:rStyle w:val="42"/>
          <w:rFonts w:ascii="Times New Roman" w:hAnsi="Times New Roman" w:cs="Times New Roman"/>
        </w:rPr>
        <w:t xml:space="preserve">8 </w:t>
      </w:r>
      <w:r>
        <w:rPr>
          <w:rStyle w:val="42"/>
          <w:rFonts w:ascii="Times New Roman" w:cs="Times New Roman"/>
        </w:rPr>
        <w:t>环境管理与环境监测</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_Toc25826506 \h </w:instrText>
      </w:r>
      <w:r>
        <w:rPr>
          <w:rFonts w:ascii="Times New Roman" w:hAnsi="Times New Roman" w:cs="Times New Roman"/>
        </w:rPr>
        <w:fldChar w:fldCharType="separate"/>
      </w:r>
      <w:r>
        <w:rPr>
          <w:rFonts w:ascii="Times New Roman" w:hAnsi="Times New Roman" w:cs="Times New Roman"/>
        </w:rPr>
        <w:t>125</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16"/>
        </w:tabs>
        <w:rPr>
          <w:rFonts w:ascii="Times New Roman" w:hAnsi="Times New Roman" w:cs="Times New Roman"/>
          <w:i w:val="0"/>
          <w:iCs w:val="0"/>
          <w:sz w:val="21"/>
          <w:szCs w:val="22"/>
        </w:rPr>
      </w:pPr>
      <w:r>
        <w:fldChar w:fldCharType="begin"/>
      </w:r>
      <w:r>
        <w:instrText xml:space="preserve"> HYPERLINK \l "_Toc25826507" </w:instrText>
      </w:r>
      <w:r>
        <w:fldChar w:fldCharType="separate"/>
      </w:r>
      <w:r>
        <w:rPr>
          <w:rStyle w:val="42"/>
          <w:rFonts w:ascii="Times New Roman" w:hAnsi="Times New Roman" w:cs="Times New Roman"/>
          <w:i w:val="0"/>
        </w:rPr>
        <w:t xml:space="preserve">8.1 </w:t>
      </w:r>
      <w:r>
        <w:rPr>
          <w:rStyle w:val="42"/>
          <w:rFonts w:ascii="Times New Roman" w:cs="Times New Roman"/>
          <w:i w:val="0"/>
        </w:rPr>
        <w:t>环境管理机构与职能</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_Toc25826507 \h </w:instrText>
      </w:r>
      <w:r>
        <w:rPr>
          <w:rFonts w:ascii="Times New Roman" w:hAnsi="Times New Roman" w:cs="Times New Roman"/>
          <w:i w:val="0"/>
        </w:rPr>
        <w:fldChar w:fldCharType="separate"/>
      </w:r>
      <w:r>
        <w:rPr>
          <w:rFonts w:ascii="Times New Roman" w:hAnsi="Times New Roman" w:cs="Times New Roman"/>
          <w:i w:val="0"/>
        </w:rPr>
        <w:t>125</w:t>
      </w:r>
      <w:r>
        <w:rPr>
          <w:rFonts w:ascii="Times New Roman" w:hAnsi="Times New Roman" w:cs="Times New Roman"/>
          <w:i w:val="0"/>
        </w:rPr>
        <w:fldChar w:fldCharType="end"/>
      </w:r>
      <w:r>
        <w:rPr>
          <w:rFonts w:ascii="Times New Roman" w:hAnsi="Times New Roman" w:cs="Times New Roman"/>
          <w:i w:val="0"/>
        </w:rPr>
        <w:fldChar w:fldCharType="end"/>
      </w:r>
    </w:p>
    <w:p>
      <w:pPr>
        <w:pStyle w:val="32"/>
        <w:tabs>
          <w:tab w:val="right" w:leader="dot" w:pos="9016"/>
        </w:tabs>
        <w:rPr>
          <w:rFonts w:ascii="Times New Roman" w:hAnsi="Times New Roman" w:cs="Times New Roman"/>
          <w:i w:val="0"/>
          <w:iCs w:val="0"/>
          <w:sz w:val="21"/>
          <w:szCs w:val="22"/>
        </w:rPr>
      </w:pPr>
      <w:r>
        <w:fldChar w:fldCharType="begin"/>
      </w:r>
      <w:r>
        <w:instrText xml:space="preserve"> HYPERLINK \l "_Toc25826508" </w:instrText>
      </w:r>
      <w:r>
        <w:fldChar w:fldCharType="separate"/>
      </w:r>
      <w:r>
        <w:rPr>
          <w:rStyle w:val="42"/>
          <w:rFonts w:ascii="Times New Roman" w:hAnsi="Times New Roman" w:cs="Times New Roman"/>
          <w:i w:val="0"/>
        </w:rPr>
        <w:t xml:space="preserve">8.2 </w:t>
      </w:r>
      <w:r>
        <w:rPr>
          <w:rStyle w:val="42"/>
          <w:rFonts w:ascii="Times New Roman" w:cs="Times New Roman"/>
          <w:i w:val="0"/>
        </w:rPr>
        <w:t>环境管理制度</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_Toc25826508 \h </w:instrText>
      </w:r>
      <w:r>
        <w:rPr>
          <w:rFonts w:ascii="Times New Roman" w:hAnsi="Times New Roman" w:cs="Times New Roman"/>
          <w:i w:val="0"/>
        </w:rPr>
        <w:fldChar w:fldCharType="separate"/>
      </w:r>
      <w:r>
        <w:rPr>
          <w:rFonts w:ascii="Times New Roman" w:hAnsi="Times New Roman" w:cs="Times New Roman"/>
          <w:i w:val="0"/>
        </w:rPr>
        <w:t>125</w:t>
      </w:r>
      <w:r>
        <w:rPr>
          <w:rFonts w:ascii="Times New Roman" w:hAnsi="Times New Roman" w:cs="Times New Roman"/>
          <w:i w:val="0"/>
        </w:rPr>
        <w:fldChar w:fldCharType="end"/>
      </w:r>
      <w:r>
        <w:rPr>
          <w:rFonts w:ascii="Times New Roman" w:hAnsi="Times New Roman" w:cs="Times New Roman"/>
          <w:i w:val="0"/>
        </w:rPr>
        <w:fldChar w:fldCharType="end"/>
      </w:r>
    </w:p>
    <w:p>
      <w:pPr>
        <w:pStyle w:val="32"/>
        <w:tabs>
          <w:tab w:val="right" w:leader="dot" w:pos="9016"/>
        </w:tabs>
        <w:rPr>
          <w:rFonts w:ascii="Times New Roman" w:hAnsi="Times New Roman" w:cs="Times New Roman"/>
          <w:i w:val="0"/>
          <w:iCs w:val="0"/>
          <w:sz w:val="21"/>
          <w:szCs w:val="22"/>
        </w:rPr>
      </w:pPr>
      <w:r>
        <w:fldChar w:fldCharType="begin"/>
      </w:r>
      <w:r>
        <w:instrText xml:space="preserve"> HYPERLINK \l "_Toc25826509" </w:instrText>
      </w:r>
      <w:r>
        <w:fldChar w:fldCharType="separate"/>
      </w:r>
      <w:r>
        <w:rPr>
          <w:rStyle w:val="42"/>
          <w:rFonts w:ascii="Times New Roman" w:hAnsi="Times New Roman" w:cs="Times New Roman"/>
          <w:i w:val="0"/>
        </w:rPr>
        <w:t xml:space="preserve">8.3 </w:t>
      </w:r>
      <w:r>
        <w:rPr>
          <w:rStyle w:val="42"/>
          <w:rFonts w:ascii="Times New Roman" w:cs="Times New Roman"/>
          <w:i w:val="0"/>
        </w:rPr>
        <w:t>排污许可证制度</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_Toc25826509 \h </w:instrText>
      </w:r>
      <w:r>
        <w:rPr>
          <w:rFonts w:ascii="Times New Roman" w:hAnsi="Times New Roman" w:cs="Times New Roman"/>
          <w:i w:val="0"/>
        </w:rPr>
        <w:fldChar w:fldCharType="separate"/>
      </w:r>
      <w:r>
        <w:rPr>
          <w:rFonts w:ascii="Times New Roman" w:hAnsi="Times New Roman" w:cs="Times New Roman"/>
          <w:i w:val="0"/>
        </w:rPr>
        <w:t>127</w:t>
      </w:r>
      <w:r>
        <w:rPr>
          <w:rFonts w:ascii="Times New Roman" w:hAnsi="Times New Roman" w:cs="Times New Roman"/>
          <w:i w:val="0"/>
        </w:rPr>
        <w:fldChar w:fldCharType="end"/>
      </w:r>
      <w:r>
        <w:rPr>
          <w:rFonts w:ascii="Times New Roman" w:hAnsi="Times New Roman" w:cs="Times New Roman"/>
          <w:i w:val="0"/>
        </w:rPr>
        <w:fldChar w:fldCharType="end"/>
      </w:r>
    </w:p>
    <w:p>
      <w:pPr>
        <w:pStyle w:val="32"/>
        <w:tabs>
          <w:tab w:val="right" w:leader="dot" w:pos="9016"/>
        </w:tabs>
        <w:rPr>
          <w:rFonts w:ascii="Times New Roman" w:hAnsi="Times New Roman" w:cs="Times New Roman"/>
          <w:i w:val="0"/>
          <w:iCs w:val="0"/>
          <w:sz w:val="21"/>
          <w:szCs w:val="22"/>
        </w:rPr>
      </w:pPr>
      <w:r>
        <w:fldChar w:fldCharType="begin"/>
      </w:r>
      <w:r>
        <w:instrText xml:space="preserve"> HYPERLINK \l "_Toc25826510" </w:instrText>
      </w:r>
      <w:r>
        <w:fldChar w:fldCharType="separate"/>
      </w:r>
      <w:r>
        <w:rPr>
          <w:rStyle w:val="42"/>
          <w:rFonts w:ascii="Times New Roman" w:hAnsi="Times New Roman" w:cs="Times New Roman"/>
          <w:i w:val="0"/>
        </w:rPr>
        <w:t xml:space="preserve">8.4 </w:t>
      </w:r>
      <w:r>
        <w:rPr>
          <w:rStyle w:val="42"/>
          <w:rFonts w:ascii="Times New Roman" w:cs="Times New Roman"/>
          <w:i w:val="0"/>
        </w:rPr>
        <w:t>排污口规范化</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_Toc25826510 \h </w:instrText>
      </w:r>
      <w:r>
        <w:rPr>
          <w:rFonts w:ascii="Times New Roman" w:hAnsi="Times New Roman" w:cs="Times New Roman"/>
          <w:i w:val="0"/>
        </w:rPr>
        <w:fldChar w:fldCharType="separate"/>
      </w:r>
      <w:r>
        <w:rPr>
          <w:rFonts w:ascii="Times New Roman" w:hAnsi="Times New Roman" w:cs="Times New Roman"/>
          <w:i w:val="0"/>
        </w:rPr>
        <w:t>129</w:t>
      </w:r>
      <w:r>
        <w:rPr>
          <w:rFonts w:ascii="Times New Roman" w:hAnsi="Times New Roman" w:cs="Times New Roman"/>
          <w:i w:val="0"/>
        </w:rPr>
        <w:fldChar w:fldCharType="end"/>
      </w:r>
      <w:r>
        <w:rPr>
          <w:rFonts w:ascii="Times New Roman" w:hAnsi="Times New Roman" w:cs="Times New Roman"/>
          <w:i w:val="0"/>
        </w:rPr>
        <w:fldChar w:fldCharType="end"/>
      </w:r>
    </w:p>
    <w:p>
      <w:pPr>
        <w:pStyle w:val="32"/>
        <w:tabs>
          <w:tab w:val="right" w:leader="dot" w:pos="9016"/>
        </w:tabs>
        <w:rPr>
          <w:rFonts w:ascii="Times New Roman" w:hAnsi="Times New Roman" w:cs="Times New Roman"/>
          <w:i w:val="0"/>
          <w:iCs w:val="0"/>
          <w:sz w:val="21"/>
          <w:szCs w:val="22"/>
        </w:rPr>
      </w:pPr>
      <w:r>
        <w:fldChar w:fldCharType="begin"/>
      </w:r>
      <w:r>
        <w:instrText xml:space="preserve"> HYPERLINK \l "_Toc25826511" </w:instrText>
      </w:r>
      <w:r>
        <w:fldChar w:fldCharType="separate"/>
      </w:r>
      <w:r>
        <w:rPr>
          <w:rStyle w:val="42"/>
          <w:rFonts w:ascii="Times New Roman" w:hAnsi="Times New Roman" w:cs="Times New Roman"/>
          <w:i w:val="0"/>
        </w:rPr>
        <w:t xml:space="preserve">8.5 </w:t>
      </w:r>
      <w:r>
        <w:rPr>
          <w:rStyle w:val="42"/>
          <w:rFonts w:ascii="Times New Roman" w:cs="Times New Roman"/>
          <w:i w:val="0"/>
        </w:rPr>
        <w:t>环境监测计划</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_Toc25826511 \h </w:instrText>
      </w:r>
      <w:r>
        <w:rPr>
          <w:rFonts w:ascii="Times New Roman" w:hAnsi="Times New Roman" w:cs="Times New Roman"/>
          <w:i w:val="0"/>
        </w:rPr>
        <w:fldChar w:fldCharType="separate"/>
      </w:r>
      <w:r>
        <w:rPr>
          <w:rFonts w:ascii="Times New Roman" w:hAnsi="Times New Roman" w:cs="Times New Roman"/>
          <w:i w:val="0"/>
        </w:rPr>
        <w:t>130</w:t>
      </w:r>
      <w:r>
        <w:rPr>
          <w:rFonts w:ascii="Times New Roman" w:hAnsi="Times New Roman" w:cs="Times New Roman"/>
          <w:i w:val="0"/>
        </w:rPr>
        <w:fldChar w:fldCharType="end"/>
      </w:r>
      <w:r>
        <w:rPr>
          <w:rFonts w:ascii="Times New Roman" w:hAnsi="Times New Roman" w:cs="Times New Roman"/>
          <w:i w:val="0"/>
        </w:rPr>
        <w:fldChar w:fldCharType="end"/>
      </w:r>
    </w:p>
    <w:p>
      <w:pPr>
        <w:pStyle w:val="32"/>
        <w:tabs>
          <w:tab w:val="right" w:leader="dot" w:pos="9016"/>
        </w:tabs>
        <w:rPr>
          <w:rFonts w:ascii="Times New Roman" w:hAnsi="Times New Roman" w:cs="Times New Roman"/>
          <w:i w:val="0"/>
          <w:iCs w:val="0"/>
          <w:sz w:val="21"/>
          <w:szCs w:val="22"/>
        </w:rPr>
      </w:pPr>
      <w:r>
        <w:fldChar w:fldCharType="begin"/>
      </w:r>
      <w:r>
        <w:instrText xml:space="preserve"> HYPERLINK \l "_Toc25826512" </w:instrText>
      </w:r>
      <w:r>
        <w:fldChar w:fldCharType="separate"/>
      </w:r>
      <w:r>
        <w:rPr>
          <w:rStyle w:val="42"/>
          <w:rFonts w:ascii="Times New Roman" w:hAnsi="Times New Roman" w:cs="Times New Roman"/>
          <w:i w:val="0"/>
        </w:rPr>
        <w:t xml:space="preserve">8.6 </w:t>
      </w:r>
      <w:r>
        <w:rPr>
          <w:rStyle w:val="42"/>
          <w:rFonts w:ascii="Times New Roman" w:cs="Times New Roman"/>
          <w:i w:val="0"/>
        </w:rPr>
        <w:t>达标排放与总量控制</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_Toc25826512 \h </w:instrText>
      </w:r>
      <w:r>
        <w:rPr>
          <w:rFonts w:ascii="Times New Roman" w:hAnsi="Times New Roman" w:cs="Times New Roman"/>
          <w:i w:val="0"/>
        </w:rPr>
        <w:fldChar w:fldCharType="separate"/>
      </w:r>
      <w:r>
        <w:rPr>
          <w:rFonts w:ascii="Times New Roman" w:hAnsi="Times New Roman" w:cs="Times New Roman"/>
          <w:i w:val="0"/>
        </w:rPr>
        <w:t>131</w:t>
      </w:r>
      <w:r>
        <w:rPr>
          <w:rFonts w:ascii="Times New Roman" w:hAnsi="Times New Roman" w:cs="Times New Roman"/>
          <w:i w:val="0"/>
        </w:rPr>
        <w:fldChar w:fldCharType="end"/>
      </w:r>
      <w:r>
        <w:rPr>
          <w:rFonts w:ascii="Times New Roman" w:hAnsi="Times New Roman" w:cs="Times New Roman"/>
          <w:i w:val="0"/>
        </w:rPr>
        <w:fldChar w:fldCharType="end"/>
      </w:r>
    </w:p>
    <w:p>
      <w:pPr>
        <w:pStyle w:val="29"/>
        <w:tabs>
          <w:tab w:val="right" w:leader="dot" w:pos="9016"/>
        </w:tabs>
        <w:rPr>
          <w:rFonts w:ascii="Times New Roman" w:hAnsi="Times New Roman" w:cs="Times New Roman"/>
          <w:b w:val="0"/>
          <w:bCs w:val="0"/>
          <w:sz w:val="21"/>
          <w:szCs w:val="22"/>
        </w:rPr>
      </w:pPr>
      <w:r>
        <w:fldChar w:fldCharType="begin"/>
      </w:r>
      <w:r>
        <w:instrText xml:space="preserve"> HYPERLINK \l "_Toc25826513" </w:instrText>
      </w:r>
      <w:r>
        <w:fldChar w:fldCharType="separate"/>
      </w:r>
      <w:r>
        <w:rPr>
          <w:rStyle w:val="42"/>
          <w:rFonts w:ascii="Times New Roman" w:hAnsi="Times New Roman" w:cs="Times New Roman"/>
        </w:rPr>
        <w:t xml:space="preserve">9 </w:t>
      </w:r>
      <w:r>
        <w:rPr>
          <w:rStyle w:val="42"/>
          <w:rFonts w:ascii="Times New Roman" w:cs="Times New Roman"/>
        </w:rPr>
        <w:t>结论与建议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_Toc25826513 \h </w:instrText>
      </w:r>
      <w:r>
        <w:rPr>
          <w:rFonts w:ascii="Times New Roman" w:hAnsi="Times New Roman" w:cs="Times New Roman"/>
        </w:rPr>
        <w:fldChar w:fldCharType="separate"/>
      </w:r>
      <w:r>
        <w:rPr>
          <w:rFonts w:ascii="Times New Roman" w:hAnsi="Times New Roman" w:cs="Times New Roman"/>
        </w:rPr>
        <w:t>134</w:t>
      </w:r>
      <w:r>
        <w:rPr>
          <w:rFonts w:ascii="Times New Roman" w:hAnsi="Times New Roman" w:cs="Times New Roman"/>
        </w:rPr>
        <w:fldChar w:fldCharType="end"/>
      </w:r>
      <w:r>
        <w:rPr>
          <w:rFonts w:ascii="Times New Roman" w:hAnsi="Times New Roman" w:cs="Times New Roman"/>
        </w:rPr>
        <w:fldChar w:fldCharType="end"/>
      </w:r>
    </w:p>
    <w:p>
      <w:pPr>
        <w:pStyle w:val="32"/>
        <w:tabs>
          <w:tab w:val="right" w:leader="dot" w:pos="9016"/>
        </w:tabs>
        <w:rPr>
          <w:rFonts w:ascii="Times New Roman" w:hAnsi="Times New Roman" w:cs="Times New Roman"/>
          <w:i w:val="0"/>
          <w:iCs w:val="0"/>
          <w:sz w:val="21"/>
          <w:szCs w:val="22"/>
        </w:rPr>
      </w:pPr>
      <w:r>
        <w:fldChar w:fldCharType="begin"/>
      </w:r>
      <w:r>
        <w:instrText xml:space="preserve"> HYPERLINK \l "_Toc25826514" </w:instrText>
      </w:r>
      <w:r>
        <w:fldChar w:fldCharType="separate"/>
      </w:r>
      <w:r>
        <w:rPr>
          <w:rStyle w:val="42"/>
          <w:rFonts w:ascii="Times New Roman" w:hAnsi="Times New Roman" w:cs="Times New Roman"/>
          <w:i w:val="0"/>
        </w:rPr>
        <w:t xml:space="preserve">9.1 </w:t>
      </w:r>
      <w:r>
        <w:rPr>
          <w:rStyle w:val="42"/>
          <w:rFonts w:ascii="Times New Roman" w:cs="Times New Roman"/>
          <w:i w:val="0"/>
        </w:rPr>
        <w:t>建设项目概况</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_Toc25826514 \h </w:instrText>
      </w:r>
      <w:r>
        <w:rPr>
          <w:rFonts w:ascii="Times New Roman" w:hAnsi="Times New Roman" w:cs="Times New Roman"/>
          <w:i w:val="0"/>
        </w:rPr>
        <w:fldChar w:fldCharType="separate"/>
      </w:r>
      <w:r>
        <w:rPr>
          <w:rFonts w:ascii="Times New Roman" w:hAnsi="Times New Roman" w:cs="Times New Roman"/>
          <w:i w:val="0"/>
        </w:rPr>
        <w:t>134</w:t>
      </w:r>
      <w:r>
        <w:rPr>
          <w:rFonts w:ascii="Times New Roman" w:hAnsi="Times New Roman" w:cs="Times New Roman"/>
          <w:i w:val="0"/>
        </w:rPr>
        <w:fldChar w:fldCharType="end"/>
      </w:r>
      <w:r>
        <w:rPr>
          <w:rFonts w:ascii="Times New Roman" w:hAnsi="Times New Roman" w:cs="Times New Roman"/>
          <w:i w:val="0"/>
        </w:rPr>
        <w:fldChar w:fldCharType="end"/>
      </w:r>
    </w:p>
    <w:p>
      <w:pPr>
        <w:pStyle w:val="32"/>
        <w:tabs>
          <w:tab w:val="right" w:leader="dot" w:pos="9016"/>
        </w:tabs>
        <w:rPr>
          <w:rFonts w:ascii="Times New Roman" w:hAnsi="Times New Roman" w:cs="Times New Roman"/>
          <w:i w:val="0"/>
          <w:iCs w:val="0"/>
          <w:sz w:val="21"/>
          <w:szCs w:val="22"/>
        </w:rPr>
      </w:pPr>
      <w:r>
        <w:fldChar w:fldCharType="begin"/>
      </w:r>
      <w:r>
        <w:instrText xml:space="preserve"> HYPERLINK \l "_Toc25826515" </w:instrText>
      </w:r>
      <w:r>
        <w:fldChar w:fldCharType="separate"/>
      </w:r>
      <w:r>
        <w:rPr>
          <w:rStyle w:val="42"/>
          <w:rFonts w:ascii="Times New Roman" w:hAnsi="Times New Roman" w:cs="Times New Roman"/>
          <w:i w:val="0"/>
        </w:rPr>
        <w:t xml:space="preserve">9.2 </w:t>
      </w:r>
      <w:r>
        <w:rPr>
          <w:rStyle w:val="42"/>
          <w:rFonts w:ascii="Times New Roman" w:cs="Times New Roman"/>
          <w:i w:val="0"/>
        </w:rPr>
        <w:t>环境和质量现状</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_Toc25826515 \h </w:instrText>
      </w:r>
      <w:r>
        <w:rPr>
          <w:rFonts w:ascii="Times New Roman" w:hAnsi="Times New Roman" w:cs="Times New Roman"/>
          <w:i w:val="0"/>
        </w:rPr>
        <w:fldChar w:fldCharType="separate"/>
      </w:r>
      <w:r>
        <w:rPr>
          <w:rFonts w:ascii="Times New Roman" w:hAnsi="Times New Roman" w:cs="Times New Roman"/>
          <w:i w:val="0"/>
        </w:rPr>
        <w:t>134</w:t>
      </w:r>
      <w:r>
        <w:rPr>
          <w:rFonts w:ascii="Times New Roman" w:hAnsi="Times New Roman" w:cs="Times New Roman"/>
          <w:i w:val="0"/>
        </w:rPr>
        <w:fldChar w:fldCharType="end"/>
      </w:r>
      <w:r>
        <w:rPr>
          <w:rFonts w:ascii="Times New Roman" w:hAnsi="Times New Roman" w:cs="Times New Roman"/>
          <w:i w:val="0"/>
        </w:rPr>
        <w:fldChar w:fldCharType="end"/>
      </w:r>
    </w:p>
    <w:p>
      <w:pPr>
        <w:pStyle w:val="32"/>
        <w:tabs>
          <w:tab w:val="right" w:leader="dot" w:pos="9016"/>
        </w:tabs>
        <w:rPr>
          <w:rFonts w:ascii="Times New Roman" w:hAnsi="Times New Roman" w:cs="Times New Roman"/>
          <w:i w:val="0"/>
          <w:iCs w:val="0"/>
          <w:sz w:val="21"/>
          <w:szCs w:val="22"/>
        </w:rPr>
      </w:pPr>
      <w:r>
        <w:fldChar w:fldCharType="begin"/>
      </w:r>
      <w:r>
        <w:instrText xml:space="preserve"> HYPERLINK \l "_Toc25826516" </w:instrText>
      </w:r>
      <w:r>
        <w:fldChar w:fldCharType="separate"/>
      </w:r>
      <w:r>
        <w:rPr>
          <w:rStyle w:val="42"/>
          <w:rFonts w:ascii="Times New Roman" w:hAnsi="Times New Roman" w:cs="Times New Roman"/>
          <w:i w:val="0"/>
        </w:rPr>
        <w:t xml:space="preserve">9.3 </w:t>
      </w:r>
      <w:r>
        <w:rPr>
          <w:rStyle w:val="42"/>
          <w:rFonts w:ascii="Times New Roman" w:cs="Times New Roman"/>
          <w:i w:val="0"/>
        </w:rPr>
        <w:t>环境影响预测与评价</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_Toc25826516 \h </w:instrText>
      </w:r>
      <w:r>
        <w:rPr>
          <w:rFonts w:ascii="Times New Roman" w:hAnsi="Times New Roman" w:cs="Times New Roman"/>
          <w:i w:val="0"/>
        </w:rPr>
        <w:fldChar w:fldCharType="separate"/>
      </w:r>
      <w:r>
        <w:rPr>
          <w:rFonts w:ascii="Times New Roman" w:hAnsi="Times New Roman" w:cs="Times New Roman"/>
          <w:i w:val="0"/>
        </w:rPr>
        <w:t>134</w:t>
      </w:r>
      <w:r>
        <w:rPr>
          <w:rFonts w:ascii="Times New Roman" w:hAnsi="Times New Roman" w:cs="Times New Roman"/>
          <w:i w:val="0"/>
        </w:rPr>
        <w:fldChar w:fldCharType="end"/>
      </w:r>
      <w:r>
        <w:rPr>
          <w:rFonts w:ascii="Times New Roman" w:hAnsi="Times New Roman" w:cs="Times New Roman"/>
          <w:i w:val="0"/>
        </w:rPr>
        <w:fldChar w:fldCharType="end"/>
      </w:r>
    </w:p>
    <w:p>
      <w:pPr>
        <w:pStyle w:val="32"/>
        <w:tabs>
          <w:tab w:val="right" w:leader="dot" w:pos="9016"/>
        </w:tabs>
        <w:rPr>
          <w:rFonts w:ascii="Times New Roman" w:hAnsi="Times New Roman" w:cs="Times New Roman"/>
          <w:i w:val="0"/>
          <w:iCs w:val="0"/>
          <w:sz w:val="21"/>
          <w:szCs w:val="22"/>
        </w:rPr>
      </w:pPr>
      <w:r>
        <w:fldChar w:fldCharType="begin"/>
      </w:r>
      <w:r>
        <w:instrText xml:space="preserve"> HYPERLINK \l "_Toc25826517" </w:instrText>
      </w:r>
      <w:r>
        <w:fldChar w:fldCharType="separate"/>
      </w:r>
      <w:r>
        <w:rPr>
          <w:rStyle w:val="42"/>
          <w:rFonts w:ascii="Times New Roman" w:hAnsi="Times New Roman" w:cs="Times New Roman"/>
          <w:i w:val="0"/>
        </w:rPr>
        <w:t xml:space="preserve">9.4 </w:t>
      </w:r>
      <w:r>
        <w:rPr>
          <w:rStyle w:val="42"/>
          <w:rFonts w:ascii="Times New Roman" w:cs="Times New Roman"/>
          <w:i w:val="0"/>
        </w:rPr>
        <w:t>项目政策符合性和选址合理性</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_Toc25826517 \h </w:instrText>
      </w:r>
      <w:r>
        <w:rPr>
          <w:rFonts w:ascii="Times New Roman" w:hAnsi="Times New Roman" w:cs="Times New Roman"/>
          <w:i w:val="0"/>
        </w:rPr>
        <w:fldChar w:fldCharType="separate"/>
      </w:r>
      <w:r>
        <w:rPr>
          <w:rFonts w:ascii="Times New Roman" w:hAnsi="Times New Roman" w:cs="Times New Roman"/>
          <w:i w:val="0"/>
        </w:rPr>
        <w:t>136</w:t>
      </w:r>
      <w:r>
        <w:rPr>
          <w:rFonts w:ascii="Times New Roman" w:hAnsi="Times New Roman" w:cs="Times New Roman"/>
          <w:i w:val="0"/>
        </w:rPr>
        <w:fldChar w:fldCharType="end"/>
      </w:r>
      <w:r>
        <w:rPr>
          <w:rFonts w:ascii="Times New Roman" w:hAnsi="Times New Roman" w:cs="Times New Roman"/>
          <w:i w:val="0"/>
        </w:rPr>
        <w:fldChar w:fldCharType="end"/>
      </w:r>
    </w:p>
    <w:p>
      <w:pPr>
        <w:pStyle w:val="32"/>
        <w:tabs>
          <w:tab w:val="right" w:leader="dot" w:pos="9016"/>
        </w:tabs>
        <w:rPr>
          <w:rFonts w:ascii="Times New Roman" w:hAnsi="Times New Roman" w:cs="Times New Roman"/>
          <w:i w:val="0"/>
          <w:iCs w:val="0"/>
          <w:sz w:val="21"/>
          <w:szCs w:val="22"/>
        </w:rPr>
      </w:pPr>
      <w:r>
        <w:fldChar w:fldCharType="begin"/>
      </w:r>
      <w:r>
        <w:instrText xml:space="preserve"> HYPERLINK \l "_Toc25826518" </w:instrText>
      </w:r>
      <w:r>
        <w:fldChar w:fldCharType="separate"/>
      </w:r>
      <w:r>
        <w:rPr>
          <w:rStyle w:val="42"/>
          <w:rFonts w:ascii="Times New Roman" w:hAnsi="Times New Roman" w:cs="Times New Roman"/>
          <w:i w:val="0"/>
        </w:rPr>
        <w:t xml:space="preserve">9.5 </w:t>
      </w:r>
      <w:r>
        <w:rPr>
          <w:rStyle w:val="42"/>
          <w:rFonts w:ascii="Times New Roman" w:cs="Times New Roman"/>
          <w:i w:val="0"/>
        </w:rPr>
        <w:t>总结论</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_Toc25826518 \h </w:instrText>
      </w:r>
      <w:r>
        <w:rPr>
          <w:rFonts w:ascii="Times New Roman" w:hAnsi="Times New Roman" w:cs="Times New Roman"/>
          <w:i w:val="0"/>
        </w:rPr>
        <w:fldChar w:fldCharType="separate"/>
      </w:r>
      <w:r>
        <w:rPr>
          <w:rFonts w:ascii="Times New Roman" w:hAnsi="Times New Roman" w:cs="Times New Roman"/>
          <w:i w:val="0"/>
        </w:rPr>
        <w:t>137</w:t>
      </w:r>
      <w:r>
        <w:rPr>
          <w:rFonts w:ascii="Times New Roman" w:hAnsi="Times New Roman" w:cs="Times New Roman"/>
          <w:i w:val="0"/>
        </w:rPr>
        <w:fldChar w:fldCharType="end"/>
      </w:r>
      <w:r>
        <w:rPr>
          <w:rFonts w:ascii="Times New Roman" w:hAnsi="Times New Roman" w:cs="Times New Roman"/>
          <w:i w:val="0"/>
        </w:rPr>
        <w:fldChar w:fldCharType="end"/>
      </w:r>
    </w:p>
    <w:p>
      <w:pPr>
        <w:rPr>
          <w:rFonts w:cs="Times New Roman"/>
          <w:b/>
          <w:color w:val="000000" w:themeColor="text1"/>
          <w:sz w:val="28"/>
          <w:szCs w:val="28"/>
        </w:rPr>
      </w:pPr>
      <w:r>
        <w:rPr>
          <w:rFonts w:cs="Times New Roman"/>
          <w:b/>
          <w:color w:val="000000" w:themeColor="text1"/>
          <w:sz w:val="28"/>
          <w:szCs w:val="28"/>
        </w:rPr>
        <w:fldChar w:fldCharType="end"/>
      </w:r>
    </w:p>
    <w:p>
      <w:pPr>
        <w:rPr>
          <w:rFonts w:cs="Times New Roman"/>
          <w:b/>
          <w:color w:val="000000" w:themeColor="text1"/>
          <w:sz w:val="28"/>
          <w:szCs w:val="28"/>
        </w:rPr>
      </w:pPr>
    </w:p>
    <w:p>
      <w:pPr>
        <w:rPr>
          <w:rFonts w:cs="Times New Roman"/>
          <w:b/>
          <w:color w:val="000000" w:themeColor="text1"/>
          <w:sz w:val="28"/>
          <w:szCs w:val="28"/>
        </w:rPr>
      </w:pPr>
    </w:p>
    <w:p>
      <w:pPr>
        <w:rPr>
          <w:rFonts w:cs="Times New Roman"/>
          <w:b/>
          <w:color w:val="000000" w:themeColor="text1"/>
          <w:sz w:val="28"/>
          <w:szCs w:val="28"/>
        </w:rPr>
      </w:pPr>
    </w:p>
    <w:p>
      <w:pPr>
        <w:rPr>
          <w:rFonts w:cs="Times New Roman"/>
          <w:b/>
          <w:color w:val="000000" w:themeColor="text1"/>
          <w:sz w:val="28"/>
          <w:szCs w:val="28"/>
        </w:rPr>
      </w:pPr>
    </w:p>
    <w:p>
      <w:pPr>
        <w:rPr>
          <w:rFonts w:cs="Times New Roman"/>
          <w:b/>
          <w:color w:val="000000" w:themeColor="text1"/>
          <w:sz w:val="21"/>
        </w:rPr>
      </w:pPr>
      <w:r>
        <w:rPr>
          <w:rFonts w:hint="eastAsia" w:cs="Times New Roman"/>
          <w:b/>
          <w:color w:val="000000" w:themeColor="text1"/>
          <w:sz w:val="21"/>
        </w:rPr>
        <w:t>附件：</w:t>
      </w:r>
    </w:p>
    <w:p>
      <w:pPr>
        <w:ind w:firstLine="514" w:firstLineChars="245"/>
        <w:rPr>
          <w:rFonts w:cs="Times New Roman"/>
          <w:color w:val="000000" w:themeColor="text1"/>
          <w:sz w:val="21"/>
        </w:rPr>
      </w:pPr>
      <w:r>
        <w:rPr>
          <w:rFonts w:hint="eastAsia" w:cs="Times New Roman"/>
          <w:color w:val="000000" w:themeColor="text1"/>
          <w:sz w:val="21"/>
        </w:rPr>
        <w:t>附件1：环境影响评价委托书</w:t>
      </w:r>
    </w:p>
    <w:p>
      <w:pPr>
        <w:ind w:firstLine="514" w:firstLineChars="245"/>
        <w:rPr>
          <w:rFonts w:cs="Times New Roman"/>
          <w:color w:val="000000" w:themeColor="text1"/>
          <w:sz w:val="21"/>
        </w:rPr>
      </w:pPr>
      <w:r>
        <w:rPr>
          <w:rFonts w:hint="eastAsia" w:cs="Times New Roman"/>
          <w:color w:val="000000" w:themeColor="text1"/>
          <w:sz w:val="21"/>
        </w:rPr>
        <w:t>附件2：医疗机构执业许可证</w:t>
      </w:r>
    </w:p>
    <w:p>
      <w:pPr>
        <w:ind w:firstLine="514" w:firstLineChars="245"/>
        <w:rPr>
          <w:rFonts w:cs="Times New Roman"/>
          <w:color w:val="000000" w:themeColor="text1"/>
          <w:sz w:val="21"/>
        </w:rPr>
      </w:pPr>
      <w:r>
        <w:rPr>
          <w:rFonts w:hint="eastAsia" w:cs="Times New Roman"/>
          <w:color w:val="000000" w:themeColor="text1"/>
          <w:sz w:val="21"/>
        </w:rPr>
        <w:t>附件3：医疗机构批准书</w:t>
      </w:r>
    </w:p>
    <w:p>
      <w:pPr>
        <w:ind w:firstLine="514" w:firstLineChars="245"/>
        <w:rPr>
          <w:rFonts w:cs="Times New Roman"/>
          <w:color w:val="000000" w:themeColor="text1"/>
          <w:sz w:val="21"/>
        </w:rPr>
      </w:pPr>
      <w:r>
        <w:rPr>
          <w:rFonts w:hint="eastAsia" w:cs="Times New Roman"/>
          <w:color w:val="000000" w:themeColor="text1"/>
          <w:sz w:val="21"/>
        </w:rPr>
        <w:t>附件4：放射诊疗许可证</w:t>
      </w:r>
    </w:p>
    <w:p>
      <w:pPr>
        <w:ind w:firstLine="514" w:firstLineChars="245"/>
        <w:rPr>
          <w:rFonts w:cs="Times New Roman"/>
          <w:color w:val="000000" w:themeColor="text1"/>
          <w:sz w:val="21"/>
        </w:rPr>
      </w:pPr>
      <w:r>
        <w:rPr>
          <w:rFonts w:hint="eastAsia" w:cs="Times New Roman"/>
          <w:color w:val="000000" w:themeColor="text1"/>
          <w:sz w:val="21"/>
        </w:rPr>
        <w:t>附件5：医疗废物委托处置合同</w:t>
      </w:r>
    </w:p>
    <w:p>
      <w:pPr>
        <w:ind w:firstLine="514" w:firstLineChars="245"/>
        <w:rPr>
          <w:rFonts w:cs="Times New Roman"/>
          <w:color w:val="000000" w:themeColor="text1"/>
          <w:sz w:val="21"/>
        </w:rPr>
      </w:pPr>
      <w:r>
        <w:rPr>
          <w:rFonts w:hint="eastAsia" w:cs="Times New Roman"/>
          <w:color w:val="000000" w:themeColor="text1"/>
          <w:sz w:val="21"/>
        </w:rPr>
        <w:t>附件6：岳阳市方向固废安全处置有限公司营业执照</w:t>
      </w:r>
    </w:p>
    <w:p>
      <w:pPr>
        <w:ind w:firstLine="514" w:firstLineChars="245"/>
        <w:rPr>
          <w:rFonts w:cs="Times New Roman"/>
          <w:color w:val="000000" w:themeColor="text1"/>
          <w:sz w:val="21"/>
        </w:rPr>
      </w:pPr>
      <w:r>
        <w:rPr>
          <w:rFonts w:hint="eastAsia" w:cs="Times New Roman"/>
          <w:color w:val="000000" w:themeColor="text1"/>
          <w:sz w:val="21"/>
        </w:rPr>
        <w:t>附件7：环境监测报告</w:t>
      </w:r>
    </w:p>
    <w:p>
      <w:pPr>
        <w:ind w:firstLine="514" w:firstLineChars="245"/>
        <w:rPr>
          <w:rFonts w:cs="Times New Roman"/>
          <w:color w:val="000000" w:themeColor="text1"/>
          <w:sz w:val="21"/>
        </w:rPr>
      </w:pPr>
      <w:r>
        <w:rPr>
          <w:rFonts w:hint="eastAsia" w:cs="Times New Roman"/>
          <w:color w:val="000000" w:themeColor="text1"/>
          <w:sz w:val="21"/>
        </w:rPr>
        <w:t>附件8：标准执行函</w:t>
      </w:r>
    </w:p>
    <w:p>
      <w:pPr>
        <w:ind w:firstLine="514" w:firstLineChars="245"/>
        <w:rPr>
          <w:rFonts w:cs="Times New Roman"/>
          <w:color w:val="000000" w:themeColor="text1"/>
          <w:sz w:val="21"/>
        </w:rPr>
      </w:pPr>
      <w:r>
        <w:rPr>
          <w:rFonts w:hint="eastAsia" w:cs="Times New Roman"/>
          <w:color w:val="000000" w:themeColor="text1"/>
          <w:sz w:val="21"/>
        </w:rPr>
        <w:t>附件9：岳阳市康复医院老年呵护大楼建设批复</w:t>
      </w:r>
    </w:p>
    <w:p>
      <w:pPr>
        <w:ind w:firstLine="514" w:firstLineChars="245"/>
        <w:rPr>
          <w:rFonts w:cs="Times New Roman"/>
          <w:color w:val="000000" w:themeColor="text1"/>
          <w:sz w:val="21"/>
        </w:rPr>
      </w:pPr>
    </w:p>
    <w:p>
      <w:pPr>
        <w:rPr>
          <w:rFonts w:cs="Times New Roman"/>
          <w:b/>
          <w:color w:val="000000" w:themeColor="text1"/>
          <w:sz w:val="21"/>
        </w:rPr>
      </w:pPr>
      <w:r>
        <w:rPr>
          <w:rFonts w:hint="eastAsia" w:cs="Times New Roman"/>
          <w:b/>
          <w:color w:val="000000" w:themeColor="text1"/>
          <w:sz w:val="21"/>
        </w:rPr>
        <w:t>附图：</w:t>
      </w:r>
    </w:p>
    <w:p>
      <w:pPr>
        <w:ind w:firstLine="514" w:firstLineChars="245"/>
        <w:rPr>
          <w:rFonts w:cs="Times New Roman"/>
          <w:color w:val="000000" w:themeColor="text1"/>
          <w:sz w:val="21"/>
        </w:rPr>
      </w:pPr>
      <w:r>
        <w:rPr>
          <w:rFonts w:cs="Times New Roman"/>
          <w:color w:val="000000" w:themeColor="text1"/>
          <w:sz w:val="21"/>
        </w:rPr>
        <w:t>附图</w:t>
      </w:r>
      <w:r>
        <w:rPr>
          <w:rFonts w:hint="eastAsia" w:cs="Times New Roman"/>
          <w:color w:val="000000" w:themeColor="text1"/>
          <w:sz w:val="21"/>
        </w:rPr>
        <w:t>1：项目地理位置图</w:t>
      </w:r>
    </w:p>
    <w:p>
      <w:pPr>
        <w:ind w:firstLine="514" w:firstLineChars="245"/>
        <w:rPr>
          <w:rFonts w:cs="Times New Roman"/>
          <w:color w:val="000000" w:themeColor="text1"/>
          <w:sz w:val="21"/>
        </w:rPr>
      </w:pPr>
      <w:r>
        <w:rPr>
          <w:rFonts w:hint="eastAsia" w:cs="Times New Roman"/>
          <w:color w:val="000000" w:themeColor="text1"/>
          <w:sz w:val="21"/>
        </w:rPr>
        <w:t>附图2：环境保护目标图</w:t>
      </w:r>
    </w:p>
    <w:p>
      <w:pPr>
        <w:ind w:firstLine="514" w:firstLineChars="245"/>
        <w:rPr>
          <w:rFonts w:cs="Times New Roman"/>
          <w:color w:val="000000" w:themeColor="text1"/>
          <w:sz w:val="21"/>
        </w:rPr>
      </w:pPr>
      <w:r>
        <w:rPr>
          <w:rFonts w:hint="eastAsia" w:cs="Times New Roman"/>
          <w:color w:val="000000" w:themeColor="text1"/>
          <w:sz w:val="21"/>
        </w:rPr>
        <w:t>附图3：</w:t>
      </w:r>
      <w:bookmarkStart w:id="0" w:name="_Toc532376122"/>
      <w:bookmarkStart w:id="1" w:name="_Toc532497587"/>
      <w:r>
        <w:rPr>
          <w:rFonts w:hint="eastAsia" w:cs="Times New Roman"/>
          <w:color w:val="000000" w:themeColor="text1"/>
          <w:sz w:val="21"/>
        </w:rPr>
        <w:t>水环境保护目标图</w:t>
      </w:r>
    </w:p>
    <w:p>
      <w:pPr>
        <w:ind w:firstLine="514" w:firstLineChars="245"/>
        <w:rPr>
          <w:rFonts w:cs="Times New Roman"/>
          <w:color w:val="000000" w:themeColor="text1"/>
          <w:sz w:val="21"/>
        </w:rPr>
      </w:pPr>
      <w:r>
        <w:rPr>
          <w:rFonts w:hint="eastAsia" w:cs="Times New Roman"/>
          <w:color w:val="000000" w:themeColor="text1"/>
          <w:sz w:val="21"/>
        </w:rPr>
        <w:t>附图4：项目平面布置图</w:t>
      </w:r>
    </w:p>
    <w:p>
      <w:pPr>
        <w:ind w:firstLine="514" w:firstLineChars="245"/>
        <w:rPr>
          <w:rFonts w:cs="Times New Roman"/>
          <w:color w:val="000000" w:themeColor="text1"/>
          <w:sz w:val="21"/>
        </w:rPr>
      </w:pPr>
      <w:r>
        <w:rPr>
          <w:rFonts w:hint="eastAsia" w:cs="Times New Roman"/>
          <w:color w:val="000000" w:themeColor="text1"/>
          <w:sz w:val="21"/>
        </w:rPr>
        <w:t>附图5：本项目环保措施情况图:</w:t>
      </w:r>
    </w:p>
    <w:p>
      <w:pPr>
        <w:ind w:firstLine="514" w:firstLineChars="245"/>
        <w:rPr>
          <w:rFonts w:cs="Times New Roman"/>
          <w:color w:val="000000" w:themeColor="text1"/>
          <w:sz w:val="21"/>
        </w:rPr>
      </w:pPr>
      <w:r>
        <w:rPr>
          <w:rFonts w:hint="eastAsia" w:cs="Times New Roman"/>
          <w:color w:val="000000" w:themeColor="text1"/>
          <w:sz w:val="21"/>
        </w:rPr>
        <w:t>附图6：监测布点图</w:t>
      </w:r>
    </w:p>
    <w:p>
      <w:pPr>
        <w:ind w:firstLine="514" w:firstLineChars="245"/>
        <w:rPr>
          <w:rFonts w:cs="Times New Roman"/>
          <w:color w:val="000000" w:themeColor="text1"/>
          <w:sz w:val="21"/>
        </w:rPr>
      </w:pPr>
    </w:p>
    <w:p>
      <w:pPr>
        <w:rPr>
          <w:rFonts w:cs="Times New Roman"/>
          <w:b/>
          <w:color w:val="000000" w:themeColor="text1"/>
          <w:sz w:val="21"/>
        </w:rPr>
      </w:pPr>
      <w:r>
        <w:rPr>
          <w:rFonts w:hint="eastAsia" w:cs="Times New Roman"/>
          <w:b/>
          <w:color w:val="000000" w:themeColor="text1"/>
          <w:sz w:val="21"/>
        </w:rPr>
        <w:t>附表：</w:t>
      </w:r>
    </w:p>
    <w:p>
      <w:pPr>
        <w:ind w:firstLine="411" w:firstLineChars="196"/>
        <w:rPr>
          <w:rFonts w:cs="Times New Roman"/>
          <w:color w:val="000000" w:themeColor="text1"/>
          <w:sz w:val="21"/>
        </w:rPr>
        <w:sectPr>
          <w:footerReference r:id="rId4" w:type="default"/>
          <w:pgSz w:w="11906" w:h="16838"/>
          <w:pgMar w:top="1440" w:right="1440" w:bottom="1440" w:left="1440" w:header="851" w:footer="680" w:gutter="0"/>
          <w:pgNumType w:start="1"/>
          <w:cols w:space="425" w:num="1"/>
          <w:docGrid w:type="lines" w:linePitch="326" w:charSpace="0"/>
        </w:sectPr>
      </w:pPr>
      <w:r>
        <w:rPr>
          <w:rFonts w:cs="Times New Roman"/>
          <w:color w:val="000000" w:themeColor="text1"/>
          <w:sz w:val="21"/>
        </w:rPr>
        <w:t>建设项目环评审批基础信息表</w:t>
      </w:r>
    </w:p>
    <w:p>
      <w:pPr>
        <w:pStyle w:val="2"/>
        <w:numPr>
          <w:ilvl w:val="0"/>
          <w:numId w:val="0"/>
        </w:numPr>
        <w:adjustRightInd w:val="0"/>
        <w:snapToGrid w:val="0"/>
        <w:spacing w:line="360" w:lineRule="auto"/>
        <w:rPr>
          <w:color w:val="000000" w:themeColor="text1"/>
        </w:rPr>
      </w:pPr>
      <w:bookmarkStart w:id="2" w:name="_Toc532763179"/>
      <w:bookmarkStart w:id="3" w:name="_Toc25826465"/>
      <w:bookmarkStart w:id="4" w:name="_Toc532498715"/>
      <w:r>
        <w:rPr>
          <w:rFonts w:hint="eastAsia"/>
          <w:color w:val="000000" w:themeColor="text1"/>
        </w:rPr>
        <w:t>概述</w:t>
      </w:r>
      <w:bookmarkEnd w:id="0"/>
      <w:bookmarkEnd w:id="1"/>
      <w:bookmarkEnd w:id="2"/>
      <w:bookmarkEnd w:id="3"/>
      <w:bookmarkEnd w:id="4"/>
    </w:p>
    <w:p>
      <w:pPr>
        <w:pStyle w:val="4"/>
        <w:numPr>
          <w:ilvl w:val="0"/>
          <w:numId w:val="0"/>
        </w:numPr>
        <w:adjustRightInd w:val="0"/>
        <w:snapToGrid w:val="0"/>
        <w:ind w:left="576" w:hanging="576"/>
        <w:rPr>
          <w:color w:val="000000" w:themeColor="text1"/>
        </w:rPr>
      </w:pPr>
      <w:bookmarkStart w:id="5" w:name="_Toc532376123"/>
      <w:bookmarkStart w:id="6" w:name="_Toc25826466"/>
      <w:bookmarkStart w:id="7" w:name="_Toc532497588"/>
      <w:bookmarkStart w:id="8" w:name="_Toc532763180"/>
      <w:bookmarkStart w:id="9" w:name="_Toc532498716"/>
      <w:r>
        <w:rPr>
          <w:rFonts w:hint="eastAsia"/>
          <w:color w:val="000000" w:themeColor="text1"/>
        </w:rPr>
        <w:t>Ⅰ项目由来</w:t>
      </w:r>
      <w:bookmarkEnd w:id="5"/>
      <w:bookmarkEnd w:id="6"/>
      <w:bookmarkEnd w:id="7"/>
      <w:bookmarkEnd w:id="8"/>
      <w:bookmarkEnd w:id="9"/>
    </w:p>
    <w:p>
      <w:pPr>
        <w:spacing w:line="360" w:lineRule="auto"/>
        <w:ind w:firstLine="480" w:firstLineChars="200"/>
        <w:rPr>
          <w:rFonts w:cs="Times New Roman"/>
          <w:color w:val="000000" w:themeColor="text1"/>
          <w:szCs w:val="24"/>
        </w:rPr>
      </w:pPr>
      <w:r>
        <w:rPr>
          <w:rFonts w:cs="Times New Roman"/>
          <w:color w:val="000000" w:themeColor="text1"/>
          <w:szCs w:val="24"/>
        </w:rPr>
        <w:t>岳阳市康复医院，坐落于福颐路48号，占地40余亩，成立于1983年，医院于1983年经省计委立项，地区编委批准组建“岳阳地区精神病院”，1986年4月正式营运。后更名为岳阳市康复医院，2004年后加挂“岳阳市社会福利医院”、“岳阳市复退军人精神病医院”、“岳阳市复退军人慢性病疗养院”“岳阳市优抚医院”牌子。经过20多年的发展，医院由建院初期的单一精神病院已发展成为集多种特色专科于一体的社会福利医院，承担着全市的精神疾病防治与康复、心理咨询与治疗、精神病人劳动能力司法鉴定、指令性收治复员退伍军人精神病人、流浪精神病人救助、老年医疗呵护、美沙酮门诊自愿戒毒等多门类医疗业务。设置的主要科室有：精神病类（设一、二、三科）、老年康复类(四、五、六科）、美沙酮门诊、流浪精神病科、康复理疗科、心理咨询科和门诊部、药械科及其他医剂科室，共计床位</w:t>
      </w:r>
      <w:r>
        <w:rPr>
          <w:rFonts w:cs="Times New Roman"/>
          <w:color w:val="000000" w:themeColor="text1"/>
        </w:rPr>
        <w:t>768</w:t>
      </w:r>
      <w:r>
        <w:rPr>
          <w:rFonts w:cs="Times New Roman"/>
          <w:color w:val="000000" w:themeColor="text1"/>
          <w:szCs w:val="24"/>
        </w:rPr>
        <w:t xml:space="preserve">张。 </w:t>
      </w:r>
    </w:p>
    <w:p>
      <w:pPr>
        <w:spacing w:line="360" w:lineRule="auto"/>
        <w:ind w:firstLine="480" w:firstLineChars="200"/>
        <w:rPr>
          <w:rFonts w:cs="Times New Roman"/>
          <w:color w:val="FF0000"/>
          <w:szCs w:val="24"/>
        </w:rPr>
      </w:pPr>
      <w:r>
        <w:rPr>
          <w:rFonts w:hint="eastAsia" w:cs="Times New Roman"/>
          <w:color w:val="000000" w:themeColor="text1"/>
          <w:szCs w:val="24"/>
        </w:rPr>
        <w:t>岳阳市康复医院老年医疗呵护中心秉承老有所养、老有所医，老有所乐的宗旨，</w:t>
      </w:r>
      <w:r>
        <w:rPr>
          <w:rFonts w:hint="eastAsia" w:cs="Times New Roman" w:asciiTheme="minorEastAsia" w:hAnsiTheme="minorEastAsia"/>
          <w:color w:val="000000" w:themeColor="text1"/>
          <w:szCs w:val="24"/>
        </w:rPr>
        <w:t>为广大老年人群提供了较完备的医疗托养服务。</w:t>
      </w:r>
    </w:p>
    <w:p>
      <w:pPr>
        <w:spacing w:line="360" w:lineRule="auto"/>
        <w:ind w:firstLine="480" w:firstLineChars="200"/>
        <w:rPr>
          <w:rFonts w:cs="Times New Roman"/>
          <w:color w:val="FF0000"/>
          <w:szCs w:val="24"/>
        </w:rPr>
      </w:pPr>
      <w:r>
        <w:rPr>
          <w:rFonts w:cs="Times New Roman"/>
          <w:color w:val="000000" w:themeColor="text1"/>
          <w:szCs w:val="24"/>
        </w:rPr>
        <w:t>岳阳市康复医院也</w:t>
      </w:r>
      <w:r>
        <w:rPr>
          <w:rFonts w:hint="eastAsia" w:cs="Times New Roman"/>
          <w:color w:val="000000" w:themeColor="text1"/>
          <w:szCs w:val="24"/>
        </w:rPr>
        <w:t>是</w:t>
      </w:r>
      <w:r>
        <w:rPr>
          <w:rFonts w:cs="Times New Roman"/>
          <w:color w:val="000000" w:themeColor="text1"/>
          <w:szCs w:val="24"/>
        </w:rPr>
        <w:t>一家专业的精神病医疗机构</w:t>
      </w:r>
      <w:r>
        <w:rPr>
          <w:rFonts w:hint="eastAsia" w:cs="Times New Roman"/>
          <w:color w:val="000000" w:themeColor="text1"/>
          <w:szCs w:val="24"/>
        </w:rPr>
        <w:t>，</w:t>
      </w:r>
      <w:r>
        <w:rPr>
          <w:rFonts w:cs="Times New Roman"/>
          <w:color w:val="000000" w:themeColor="text1"/>
          <w:szCs w:val="24"/>
        </w:rPr>
        <w:t>在全市繁重的精神卫生工作中</w:t>
      </w:r>
      <w:r>
        <w:rPr>
          <w:rFonts w:hint="eastAsia" w:cs="Times New Roman"/>
          <w:color w:val="000000" w:themeColor="text1"/>
          <w:szCs w:val="24"/>
        </w:rPr>
        <w:t>，为</w:t>
      </w:r>
      <w:r>
        <w:rPr>
          <w:rFonts w:cs="Times New Roman"/>
          <w:color w:val="000000" w:themeColor="text1"/>
          <w:szCs w:val="24"/>
        </w:rPr>
        <w:t>保护广大群众的身心健康和社会安定</w:t>
      </w:r>
      <w:r>
        <w:rPr>
          <w:rFonts w:hint="eastAsia" w:cs="Times New Roman"/>
          <w:color w:val="000000" w:themeColor="text1"/>
          <w:szCs w:val="24"/>
        </w:rPr>
        <w:t>，为</w:t>
      </w:r>
      <w:r>
        <w:rPr>
          <w:rFonts w:cs="Times New Roman"/>
          <w:color w:val="000000" w:themeColor="text1"/>
          <w:szCs w:val="24"/>
        </w:rPr>
        <w:t>推动岳阳市精神卫生事业全面发展</w:t>
      </w:r>
      <w:r>
        <w:rPr>
          <w:rFonts w:hint="eastAsia" w:cs="Times New Roman"/>
          <w:color w:val="000000" w:themeColor="text1"/>
          <w:szCs w:val="24"/>
        </w:rPr>
        <w:t>，发挥了极其重要的作用。</w:t>
      </w:r>
    </w:p>
    <w:p>
      <w:pPr>
        <w:spacing w:line="360" w:lineRule="auto"/>
        <w:ind w:firstLine="482" w:firstLineChars="200"/>
        <w:rPr>
          <w:b/>
        </w:rPr>
      </w:pPr>
      <w:r>
        <w:rPr>
          <w:rFonts w:hint="eastAsia"/>
          <w:b/>
          <w:kern w:val="0"/>
          <w:lang w:val="zh-CN"/>
        </w:rPr>
        <w:t>本</w:t>
      </w:r>
      <w:r>
        <w:rPr>
          <w:rFonts w:hint="eastAsia"/>
          <w:b/>
        </w:rPr>
        <w:t>项目设置B超、X光检查室、放射科，需使用X射线装置等，会产生一定的辐射污染，建设单位应单独委托具有辐射环境影响评价资质的单位进行专案评价，本次评价不包括上述放射性污染源。</w:t>
      </w:r>
    </w:p>
    <w:p>
      <w:pPr>
        <w:spacing w:line="360" w:lineRule="auto"/>
        <w:ind w:firstLine="480" w:firstLineChars="200"/>
        <w:rPr>
          <w:rFonts w:cs="Times New Roman"/>
          <w:color w:val="000000" w:themeColor="text1"/>
          <w:szCs w:val="24"/>
          <w:u w:val="single"/>
        </w:rPr>
      </w:pPr>
      <w:r>
        <w:rPr>
          <w:rFonts w:hint="eastAsia"/>
          <w:color w:val="000000" w:themeColor="text1"/>
          <w:u w:val="single"/>
        </w:rPr>
        <w:t>岳阳市康复医院于2006年12月15日取得岳阳市康复医院老年呵护大楼建设的环评批复，批复具体见附件10。本次环评主要为完善整体医院的环评，主要根据项目实际运行情况及污染源监测结果，校核各类污染物产排放情况及环保设施建设运行情况，找到问题后，再提出相应的整改措施。</w:t>
      </w:r>
    </w:p>
    <w:p>
      <w:pPr>
        <w:autoSpaceDE w:val="0"/>
        <w:autoSpaceDN w:val="0"/>
        <w:adjustRightInd w:val="0"/>
        <w:snapToGrid w:val="0"/>
        <w:spacing w:line="360" w:lineRule="auto"/>
        <w:ind w:firstLine="480" w:firstLineChars="200"/>
        <w:rPr>
          <w:color w:val="000000" w:themeColor="text1"/>
          <w:kern w:val="0"/>
          <w:lang w:val="zh-CN"/>
        </w:rPr>
      </w:pPr>
      <w:r>
        <w:rPr>
          <w:rFonts w:cs="Times New Roman"/>
          <w:color w:val="000000" w:themeColor="text1"/>
          <w:szCs w:val="24"/>
        </w:rPr>
        <w:t>根据《中华人民共和国环境保护法》（2015年1月1日）、《中华人民共和国环境影响评价法》（2018年12月29日）和《建设项目环境影响评价分类管理名录》的有关规定，本项目属于《建设项目环境影响评价分类管理名录》（2018年本）中</w:t>
      </w:r>
      <w:r>
        <w:rPr>
          <w:rFonts w:hint="eastAsia" w:cs="Times New Roman"/>
          <w:color w:val="000000" w:themeColor="text1"/>
          <w:szCs w:val="24"/>
        </w:rPr>
        <w:t>“三十九、卫生—111医院、专科防治院（所、站）、社会医疗、卫生院（所、站）血战、急救中心、妇幼保健院、疗养院等其他卫生机构”其中新建、扩建床位500及以上的编制环境影响评价报告书，本医院的床位有768张，所以本项目应该编制环境影响报告书（项目分类见表1.1-1）。</w:t>
      </w:r>
      <w:r>
        <w:rPr>
          <w:rFonts w:cs="Times New Roman"/>
          <w:color w:val="000000" w:themeColor="text1"/>
          <w:szCs w:val="24"/>
        </w:rPr>
        <w:t>为此2019年岳阳市康复医院委托江西景瑞祥环保科技有限公司</w:t>
      </w:r>
      <w:r>
        <w:rPr>
          <w:rFonts w:cs="Times New Roman"/>
          <w:color w:val="000000" w:themeColor="text1"/>
        </w:rPr>
        <w:t>承担岳阳市康复医院建设项目</w:t>
      </w:r>
      <w:r>
        <w:rPr>
          <w:rFonts w:cs="Times New Roman"/>
          <w:color w:val="000000" w:themeColor="text1"/>
          <w:szCs w:val="24"/>
        </w:rPr>
        <w:t>，我单位接受委托后，认真研究该项目的有关材料，并进行了实地踏勘和调研，收集和核实有关材料及工程资料，在现场调查、环境现状监测、</w:t>
      </w:r>
      <w:r>
        <w:rPr>
          <w:rFonts w:hint="eastAsia" w:cs="Times New Roman"/>
          <w:color w:val="000000" w:themeColor="text1"/>
          <w:szCs w:val="24"/>
        </w:rPr>
        <w:t>影响</w:t>
      </w:r>
      <w:r>
        <w:rPr>
          <w:rFonts w:cs="Times New Roman"/>
          <w:color w:val="000000" w:themeColor="text1"/>
          <w:szCs w:val="24"/>
        </w:rPr>
        <w:t>分析等环节工作的基础上，编制完成了本项目的环境影响报告书。</w:t>
      </w:r>
    </w:p>
    <w:p>
      <w:pPr>
        <w:ind w:firstLine="482" w:firstLineChars="200"/>
        <w:jc w:val="center"/>
        <w:rPr>
          <w:rFonts w:cs="Times New Roman"/>
          <w:b/>
          <w:color w:val="000000" w:themeColor="text1"/>
          <w:szCs w:val="24"/>
        </w:rPr>
      </w:pPr>
      <w:r>
        <w:rPr>
          <w:rFonts w:hint="eastAsia" w:cs="Times New Roman"/>
          <w:b/>
          <w:color w:val="000000" w:themeColor="text1"/>
          <w:szCs w:val="24"/>
        </w:rPr>
        <w:t>表1.1-1  建设项目分类管理名录（摘选）</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6"/>
        <w:gridCol w:w="4644"/>
        <w:gridCol w:w="1606"/>
        <w:gridCol w:w="1545"/>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5"/>
            <w:vAlign w:val="center"/>
          </w:tcPr>
          <w:p>
            <w:pPr>
              <w:jc w:val="center"/>
              <w:rPr>
                <w:rFonts w:eastAsia="宋体" w:cs="Times New Roman"/>
                <w:color w:val="000000" w:themeColor="text1"/>
                <w:sz w:val="21"/>
              </w:rPr>
            </w:pPr>
            <w:r>
              <w:rPr>
                <w:rFonts w:hint="eastAsia" w:eastAsia="宋体" w:cs="Times New Roman"/>
                <w:color w:val="000000" w:themeColor="text1"/>
                <w:sz w:val="21"/>
              </w:rPr>
              <w:t>三十九、卫生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jc w:val="center"/>
              <w:rPr>
                <w:rFonts w:eastAsia="宋体" w:cs="Times New Roman"/>
                <w:color w:val="000000" w:themeColor="text1"/>
                <w:sz w:val="21"/>
              </w:rPr>
            </w:pPr>
            <w:r>
              <w:rPr>
                <w:rFonts w:eastAsia="宋体" w:cs="Times New Roman"/>
                <w:color w:val="000000" w:themeColor="text1"/>
                <w:sz w:val="21"/>
              </w:rPr>
              <w:t>111</w:t>
            </w:r>
          </w:p>
        </w:tc>
        <w:tc>
          <w:tcPr>
            <w:tcW w:w="0" w:type="auto"/>
            <w:vMerge w:val="restart"/>
            <w:vAlign w:val="center"/>
          </w:tcPr>
          <w:p>
            <w:pPr>
              <w:jc w:val="center"/>
              <w:rPr>
                <w:rFonts w:eastAsia="宋体" w:cs="Times New Roman"/>
                <w:color w:val="000000" w:themeColor="text1"/>
                <w:sz w:val="21"/>
              </w:rPr>
            </w:pPr>
            <w:r>
              <w:rPr>
                <w:rFonts w:eastAsia="宋体" w:cs="Times New Roman"/>
                <w:color w:val="000000" w:themeColor="text1"/>
                <w:sz w:val="21"/>
              </w:rPr>
              <w:t>医院、专科防治院（所、站）社会医疗、卫生院（所、站）血战、急救中心、妇幼保健院、疗养院等其他卫生机构</w:t>
            </w:r>
          </w:p>
        </w:tc>
        <w:tc>
          <w:tcPr>
            <w:tcW w:w="0" w:type="auto"/>
            <w:vAlign w:val="center"/>
          </w:tcPr>
          <w:p>
            <w:pPr>
              <w:jc w:val="center"/>
              <w:rPr>
                <w:rFonts w:eastAsia="宋体" w:cs="Times New Roman"/>
                <w:color w:val="000000" w:themeColor="text1"/>
                <w:sz w:val="21"/>
              </w:rPr>
            </w:pPr>
            <w:r>
              <w:rPr>
                <w:rFonts w:eastAsia="宋体" w:cs="Times New Roman"/>
                <w:color w:val="000000" w:themeColor="text1"/>
                <w:sz w:val="21"/>
              </w:rPr>
              <w:t>报告书</w:t>
            </w:r>
          </w:p>
        </w:tc>
        <w:tc>
          <w:tcPr>
            <w:tcW w:w="0" w:type="auto"/>
            <w:vAlign w:val="center"/>
          </w:tcPr>
          <w:p>
            <w:pPr>
              <w:jc w:val="center"/>
              <w:rPr>
                <w:rFonts w:eastAsia="宋体" w:cs="Times New Roman"/>
                <w:color w:val="000000" w:themeColor="text1"/>
                <w:sz w:val="21"/>
              </w:rPr>
            </w:pPr>
            <w:r>
              <w:rPr>
                <w:rFonts w:eastAsia="宋体" w:cs="Times New Roman"/>
                <w:color w:val="000000" w:themeColor="text1"/>
                <w:sz w:val="21"/>
              </w:rPr>
              <w:t>报告表</w:t>
            </w:r>
          </w:p>
        </w:tc>
        <w:tc>
          <w:tcPr>
            <w:tcW w:w="0" w:type="auto"/>
            <w:vAlign w:val="center"/>
          </w:tcPr>
          <w:p>
            <w:pPr>
              <w:jc w:val="center"/>
              <w:rPr>
                <w:rFonts w:eastAsia="宋体" w:cs="Times New Roman"/>
                <w:color w:val="000000" w:themeColor="text1"/>
                <w:sz w:val="21"/>
              </w:rPr>
            </w:pPr>
            <w:r>
              <w:rPr>
                <w:rFonts w:eastAsia="宋体" w:cs="Times New Roman"/>
                <w:color w:val="000000" w:themeColor="text1"/>
                <w:sz w:val="21"/>
              </w:rPr>
              <w:t>登记表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jc w:val="center"/>
              <w:rPr>
                <w:rFonts w:eastAsia="宋体" w:cs="Times New Roman"/>
                <w:color w:val="000000" w:themeColor="text1"/>
                <w:sz w:val="21"/>
              </w:rPr>
            </w:pPr>
          </w:p>
        </w:tc>
        <w:tc>
          <w:tcPr>
            <w:tcW w:w="0" w:type="auto"/>
            <w:vMerge w:val="continue"/>
            <w:vAlign w:val="center"/>
          </w:tcPr>
          <w:p>
            <w:pPr>
              <w:jc w:val="center"/>
              <w:rPr>
                <w:rFonts w:eastAsia="宋体" w:cs="Times New Roman"/>
                <w:color w:val="000000" w:themeColor="text1"/>
                <w:sz w:val="21"/>
              </w:rPr>
            </w:pPr>
          </w:p>
        </w:tc>
        <w:tc>
          <w:tcPr>
            <w:tcW w:w="0" w:type="auto"/>
            <w:vAlign w:val="center"/>
          </w:tcPr>
          <w:p>
            <w:pPr>
              <w:jc w:val="center"/>
              <w:rPr>
                <w:rFonts w:eastAsia="宋体" w:cs="Times New Roman"/>
                <w:color w:val="000000" w:themeColor="text1"/>
                <w:sz w:val="21"/>
              </w:rPr>
            </w:pPr>
            <w:r>
              <w:rPr>
                <w:rFonts w:eastAsia="宋体" w:cs="Times New Roman"/>
                <w:color w:val="000000" w:themeColor="text1"/>
                <w:sz w:val="21"/>
              </w:rPr>
              <w:t>新建、扩建床位500张及以上的</w:t>
            </w:r>
          </w:p>
        </w:tc>
        <w:tc>
          <w:tcPr>
            <w:tcW w:w="0" w:type="auto"/>
            <w:vAlign w:val="center"/>
          </w:tcPr>
          <w:p>
            <w:pPr>
              <w:jc w:val="center"/>
              <w:rPr>
                <w:rFonts w:eastAsia="宋体" w:cs="Times New Roman"/>
                <w:color w:val="000000" w:themeColor="text1"/>
                <w:sz w:val="21"/>
              </w:rPr>
            </w:pPr>
            <w:r>
              <w:rPr>
                <w:rFonts w:eastAsia="宋体" w:cs="Times New Roman"/>
                <w:color w:val="000000" w:themeColor="text1"/>
                <w:sz w:val="21"/>
              </w:rPr>
              <w:t>其他（20张床位以下的除外）</w:t>
            </w:r>
          </w:p>
        </w:tc>
        <w:tc>
          <w:tcPr>
            <w:tcW w:w="0" w:type="auto"/>
            <w:vAlign w:val="center"/>
          </w:tcPr>
          <w:p>
            <w:pPr>
              <w:jc w:val="center"/>
              <w:rPr>
                <w:rFonts w:eastAsia="宋体" w:cs="Times New Roman"/>
                <w:color w:val="000000" w:themeColor="text1"/>
                <w:sz w:val="21"/>
              </w:rPr>
            </w:pPr>
            <w:r>
              <w:rPr>
                <w:rFonts w:eastAsia="宋体" w:cs="Times New Roman"/>
                <w:color w:val="000000" w:themeColor="text1"/>
                <w:sz w:val="21"/>
              </w:rPr>
              <w:t>20张床位以下的</w:t>
            </w:r>
          </w:p>
        </w:tc>
      </w:tr>
    </w:tbl>
    <w:p>
      <w:pPr>
        <w:pStyle w:val="4"/>
        <w:numPr>
          <w:ilvl w:val="0"/>
          <w:numId w:val="0"/>
        </w:numPr>
        <w:adjustRightInd w:val="0"/>
        <w:snapToGrid w:val="0"/>
        <w:ind w:left="576" w:hanging="576"/>
        <w:rPr>
          <w:color w:val="000000" w:themeColor="text1"/>
        </w:rPr>
      </w:pPr>
      <w:bookmarkStart w:id="10" w:name="_Toc25826467"/>
      <w:bookmarkStart w:id="11" w:name="_Toc532498718"/>
      <w:bookmarkStart w:id="12" w:name="_Toc532497590"/>
      <w:bookmarkStart w:id="13" w:name="_Toc532376125"/>
      <w:bookmarkStart w:id="14" w:name="_Toc532763182"/>
      <w:r>
        <w:rPr>
          <w:rFonts w:hint="eastAsia"/>
          <w:color w:val="000000" w:themeColor="text1"/>
        </w:rPr>
        <w:t>Ⅱ项目特点</w:t>
      </w:r>
      <w:bookmarkEnd w:id="10"/>
    </w:p>
    <w:p>
      <w:pPr>
        <w:spacing w:line="360" w:lineRule="auto"/>
        <w:ind w:firstLine="480" w:firstLineChars="200"/>
        <w:rPr>
          <w:rFonts w:asciiTheme="minorEastAsia" w:hAnsiTheme="minorEastAsia"/>
        </w:rPr>
      </w:pPr>
      <w:r>
        <w:rPr>
          <w:rFonts w:hint="eastAsia"/>
        </w:rPr>
        <w:t>本项目属于</w:t>
      </w:r>
      <w:r>
        <w:rPr>
          <w:rFonts w:hint="eastAsia" w:asciiTheme="minorEastAsia" w:hAnsiTheme="minorEastAsia"/>
        </w:rPr>
        <w:t>已建项目，本次进行完善环评手续，不新增建筑。</w:t>
      </w:r>
    </w:p>
    <w:p>
      <w:pPr>
        <w:spacing w:line="360" w:lineRule="auto"/>
        <w:ind w:firstLine="480" w:firstLineChars="200"/>
        <w:rPr>
          <w:rFonts w:asciiTheme="minorEastAsia" w:hAnsiTheme="minorEastAsia"/>
        </w:rPr>
      </w:pPr>
      <w:r>
        <w:rPr>
          <w:rFonts w:hint="eastAsia" w:asciiTheme="minorEastAsia" w:hAnsiTheme="minorEastAsia"/>
        </w:rPr>
        <w:t>根据本报告分析，项目产生的主要污染物为生活污水、医疗废水、污水处理站恶臭、食堂油烟、锅炉废气、发电机尾气及汽车尾气，医疗固废、污泥、生活垃圾，空调、风机等设备产生的噪声，外环境的影响因素主要为城市道路产生的交通噪声对项目的影响，同时本项目还存在废水事故排放风险。</w:t>
      </w:r>
    </w:p>
    <w:p>
      <w:pPr>
        <w:spacing w:line="360" w:lineRule="auto"/>
        <w:ind w:firstLine="480" w:firstLineChars="200"/>
        <w:rPr>
          <w:rFonts w:asciiTheme="minorEastAsia" w:hAnsiTheme="minorEastAsia"/>
        </w:rPr>
      </w:pPr>
      <w:r>
        <w:rPr>
          <w:rFonts w:hint="eastAsia" w:asciiTheme="minorEastAsia" w:hAnsiTheme="minorEastAsia"/>
        </w:rPr>
        <w:t>因此项目在运营过程中应做好环境污染防治及风险防范应急措施，确保各污染稳定达标排放、控制项目事故风险水平。</w:t>
      </w:r>
    </w:p>
    <w:p>
      <w:pPr>
        <w:pStyle w:val="4"/>
        <w:numPr>
          <w:ilvl w:val="0"/>
          <w:numId w:val="0"/>
        </w:numPr>
        <w:adjustRightInd w:val="0"/>
        <w:snapToGrid w:val="0"/>
        <w:ind w:left="576" w:hanging="576"/>
        <w:rPr>
          <w:color w:val="000000" w:themeColor="text1"/>
        </w:rPr>
      </w:pPr>
      <w:bookmarkStart w:id="15" w:name="_Toc25826468"/>
      <w:r>
        <w:rPr>
          <w:rFonts w:hint="eastAsia"/>
          <w:color w:val="000000" w:themeColor="text1"/>
        </w:rPr>
        <w:t>Ⅲ环境影响评价工作过程</w:t>
      </w:r>
      <w:bookmarkEnd w:id="11"/>
      <w:bookmarkEnd w:id="12"/>
      <w:bookmarkEnd w:id="13"/>
      <w:bookmarkEnd w:id="14"/>
      <w:bookmarkEnd w:id="15"/>
    </w:p>
    <w:p>
      <w:pPr>
        <w:adjustRightInd w:val="0"/>
        <w:snapToGrid w:val="0"/>
        <w:spacing w:line="360" w:lineRule="auto"/>
        <w:ind w:firstLine="480" w:firstLineChars="200"/>
        <w:rPr>
          <w:color w:val="000000" w:themeColor="text1"/>
        </w:rPr>
      </w:pPr>
      <w:r>
        <w:rPr>
          <w:rFonts w:hint="eastAsia"/>
          <w:color w:val="000000" w:themeColor="text1"/>
        </w:rPr>
        <w:t>环境影响评价一般分为三个阶段，即前期准备、调研和工作方案阶段，分析论证和预测评价阶段，环境影响评价文件编制阶段。具体流程见图1。</w:t>
      </w:r>
      <w:bookmarkStart w:id="16" w:name="_Ref468349102"/>
    </w:p>
    <w:p>
      <w:pPr>
        <w:adjustRightInd w:val="0"/>
        <w:snapToGrid w:val="0"/>
        <w:spacing w:line="360" w:lineRule="auto"/>
        <w:ind w:firstLine="480" w:firstLineChars="200"/>
        <w:rPr>
          <w:color w:val="000000" w:themeColor="text1"/>
        </w:rPr>
      </w:pPr>
      <w:r>
        <w:rPr>
          <w:color w:val="000000" w:themeColor="text1"/>
        </w:rPr>
        <w:drawing>
          <wp:inline distT="0" distB="0" distL="0" distR="0">
            <wp:extent cx="4972050" cy="6727825"/>
            <wp:effectExtent l="19050" t="0" r="0" b="0"/>
            <wp:docPr id="1" name="图片 1" descr="C:\Users\Administrator\Desktop\32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32423.jpg"/>
                    <pic:cNvPicPr>
                      <a:picLocks noChangeAspect="1" noChangeArrowheads="1"/>
                    </pic:cNvPicPr>
                  </pic:nvPicPr>
                  <pic:blipFill>
                    <a:blip r:embed="rId9" cstate="print"/>
                    <a:srcRect l="2450" t="2724" r="2572" b="1686"/>
                    <a:stretch>
                      <a:fillRect/>
                    </a:stretch>
                  </pic:blipFill>
                  <pic:spPr>
                    <a:xfrm>
                      <a:off x="0" y="0"/>
                      <a:ext cx="4977916" cy="6735436"/>
                    </a:xfrm>
                    <a:prstGeom prst="rect">
                      <a:avLst/>
                    </a:prstGeom>
                    <a:noFill/>
                    <a:ln w="9525">
                      <a:noFill/>
                      <a:miter lim="800000"/>
                      <a:headEnd/>
                      <a:tailEnd/>
                    </a:ln>
                  </pic:spPr>
                </pic:pic>
              </a:graphicData>
            </a:graphic>
          </wp:inline>
        </w:drawing>
      </w:r>
    </w:p>
    <w:p>
      <w:pPr>
        <w:pStyle w:val="14"/>
        <w:rPr>
          <w:color w:val="000000" w:themeColor="text1"/>
        </w:rPr>
      </w:pPr>
      <w:r>
        <w:rPr>
          <w:rFonts w:hint="eastAsia"/>
          <w:color w:val="000000" w:themeColor="text1"/>
        </w:rPr>
        <w:t>图</w:t>
      </w:r>
      <w:r>
        <w:rPr>
          <w:color w:val="000000" w:themeColor="text1"/>
        </w:rPr>
        <w:fldChar w:fldCharType="begin"/>
      </w:r>
      <w:r>
        <w:rPr>
          <w:color w:val="000000" w:themeColor="text1"/>
        </w:rPr>
        <w:instrText xml:space="preserve"> </w:instrText>
      </w:r>
      <w:r>
        <w:rPr>
          <w:rFonts w:hint="eastAsia"/>
          <w:color w:val="000000" w:themeColor="text1"/>
        </w:rPr>
        <w:instrText xml:space="preserve">STYLEREF 2 \s</w:instrText>
      </w:r>
      <w:r>
        <w:rPr>
          <w:color w:val="000000" w:themeColor="text1"/>
        </w:rPr>
        <w:instrText xml:space="preserve"> </w:instrText>
      </w:r>
      <w:r>
        <w:rPr>
          <w:color w:val="000000" w:themeColor="text1"/>
        </w:rPr>
        <w:fldChar w:fldCharType="separate"/>
      </w:r>
      <w:r>
        <w:rPr>
          <w:color w:val="000000" w:themeColor="text1"/>
        </w:rPr>
        <w:t>0</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图 \* ARABIC \s 2</w:instrText>
      </w:r>
      <w:r>
        <w:rPr>
          <w:color w:val="000000" w:themeColor="text1"/>
        </w:rPr>
        <w:instrText xml:space="preserve"> </w:instrText>
      </w:r>
      <w:r>
        <w:rPr>
          <w:color w:val="000000" w:themeColor="text1"/>
        </w:rPr>
        <w:fldChar w:fldCharType="separate"/>
      </w:r>
      <w:r>
        <w:rPr>
          <w:color w:val="000000" w:themeColor="text1"/>
        </w:rPr>
        <w:t>1</w:t>
      </w:r>
      <w:r>
        <w:rPr>
          <w:color w:val="000000" w:themeColor="text1"/>
        </w:rPr>
        <w:fldChar w:fldCharType="end"/>
      </w:r>
      <w:bookmarkEnd w:id="16"/>
      <w:r>
        <w:rPr>
          <w:rFonts w:hint="eastAsia"/>
          <w:color w:val="000000" w:themeColor="text1"/>
        </w:rPr>
        <w:t>环境影响评价工作程序图</w:t>
      </w:r>
    </w:p>
    <w:p>
      <w:pPr>
        <w:pStyle w:val="4"/>
        <w:numPr>
          <w:ilvl w:val="0"/>
          <w:numId w:val="0"/>
        </w:numPr>
        <w:ind w:left="576" w:hanging="576"/>
        <w:rPr>
          <w:color w:val="000000" w:themeColor="text1"/>
        </w:rPr>
      </w:pPr>
      <w:bookmarkStart w:id="17" w:name="_Toc532497591"/>
      <w:bookmarkStart w:id="18" w:name="_Toc25826469"/>
      <w:bookmarkStart w:id="19" w:name="_Toc532376126"/>
      <w:bookmarkStart w:id="20" w:name="_Toc532763183"/>
      <w:bookmarkStart w:id="21" w:name="_Toc532498719"/>
      <w:r>
        <w:rPr>
          <w:rFonts w:hint="eastAsia"/>
          <w:color w:val="000000" w:themeColor="text1"/>
        </w:rPr>
        <w:t>Ⅳ本次环境影响评价关注的主要问题</w:t>
      </w:r>
      <w:bookmarkEnd w:id="17"/>
      <w:bookmarkEnd w:id="18"/>
      <w:bookmarkEnd w:id="19"/>
      <w:bookmarkEnd w:id="20"/>
      <w:bookmarkEnd w:id="21"/>
    </w:p>
    <w:p>
      <w:pPr>
        <w:tabs>
          <w:tab w:val="left" w:pos="8154"/>
        </w:tabs>
        <w:spacing w:line="360" w:lineRule="auto"/>
        <w:ind w:firstLine="480" w:firstLineChars="200"/>
        <w:rPr>
          <w:rFonts w:cs="Times New Roman"/>
          <w:color w:val="000000" w:themeColor="text1"/>
          <w:szCs w:val="24"/>
        </w:rPr>
      </w:pPr>
      <w:r>
        <w:rPr>
          <w:rFonts w:hint="eastAsia" w:cs="Times New Roman"/>
          <w:color w:val="000000" w:themeColor="text1"/>
          <w:szCs w:val="24"/>
        </w:rPr>
        <w:t>本项目</w:t>
      </w:r>
      <w:r>
        <w:rPr>
          <w:rFonts w:cs="Times New Roman"/>
          <w:color w:val="000000" w:themeColor="text1"/>
          <w:szCs w:val="24"/>
        </w:rPr>
        <w:t>需要关注的主要环境问题如下</w:t>
      </w:r>
      <w:r>
        <w:rPr>
          <w:rFonts w:cs="Times New Roman" w:hAnsiTheme="minorEastAsia"/>
          <w:color w:val="000000" w:themeColor="text1"/>
          <w:szCs w:val="24"/>
        </w:rPr>
        <w:t>：</w:t>
      </w:r>
    </w:p>
    <w:p>
      <w:pPr>
        <w:tabs>
          <w:tab w:val="left" w:pos="8154"/>
        </w:tabs>
        <w:spacing w:line="360" w:lineRule="auto"/>
        <w:ind w:firstLine="480" w:firstLineChars="200"/>
        <w:rPr>
          <w:rFonts w:cs="Times New Roman"/>
          <w:color w:val="000000" w:themeColor="text1"/>
          <w:szCs w:val="24"/>
        </w:rPr>
      </w:pPr>
      <w:r>
        <w:rPr>
          <w:rFonts w:cs="Times New Roman" w:hAnsiTheme="minorEastAsia"/>
          <w:color w:val="000000" w:themeColor="text1"/>
          <w:szCs w:val="24"/>
        </w:rPr>
        <w:t>（</w:t>
      </w:r>
      <w:r>
        <w:rPr>
          <w:rFonts w:cs="Times New Roman"/>
          <w:color w:val="000000" w:themeColor="text1"/>
          <w:szCs w:val="24"/>
        </w:rPr>
        <w:t>1</w:t>
      </w:r>
      <w:r>
        <w:rPr>
          <w:rFonts w:cs="Times New Roman" w:hAnsiTheme="minorEastAsia"/>
          <w:color w:val="000000" w:themeColor="text1"/>
          <w:szCs w:val="24"/>
        </w:rPr>
        <w:t>）本项目是否符合相关国家和地方的产业政策；</w:t>
      </w:r>
    </w:p>
    <w:p>
      <w:pPr>
        <w:tabs>
          <w:tab w:val="left" w:pos="8154"/>
        </w:tabs>
        <w:spacing w:line="360" w:lineRule="auto"/>
        <w:ind w:firstLine="480" w:firstLineChars="200"/>
        <w:rPr>
          <w:rFonts w:cs="Times New Roman"/>
          <w:color w:val="000000" w:themeColor="text1"/>
          <w:szCs w:val="24"/>
        </w:rPr>
      </w:pPr>
      <w:r>
        <w:rPr>
          <w:rFonts w:cs="Times New Roman" w:hAnsiTheme="minorEastAsia"/>
          <w:color w:val="000000" w:themeColor="text1"/>
          <w:szCs w:val="24"/>
        </w:rPr>
        <w:t>（</w:t>
      </w:r>
      <w:r>
        <w:rPr>
          <w:rFonts w:cs="Times New Roman"/>
          <w:color w:val="000000" w:themeColor="text1"/>
          <w:szCs w:val="24"/>
        </w:rPr>
        <w:t>2</w:t>
      </w:r>
      <w:r>
        <w:rPr>
          <w:rFonts w:cs="Times New Roman" w:hAnsiTheme="minorEastAsia"/>
          <w:color w:val="000000" w:themeColor="text1"/>
          <w:szCs w:val="24"/>
        </w:rPr>
        <w:t>）本项目是否符合相关规范要求；</w:t>
      </w:r>
    </w:p>
    <w:p>
      <w:pPr>
        <w:tabs>
          <w:tab w:val="left" w:pos="8154"/>
        </w:tabs>
        <w:spacing w:line="360" w:lineRule="auto"/>
        <w:ind w:firstLine="480" w:firstLineChars="200"/>
        <w:rPr>
          <w:rFonts w:cs="Times New Roman"/>
          <w:color w:val="000000" w:themeColor="text1"/>
          <w:szCs w:val="24"/>
        </w:rPr>
      </w:pPr>
      <w:r>
        <w:rPr>
          <w:rFonts w:cs="Times New Roman" w:hAnsiTheme="minorEastAsia"/>
          <w:color w:val="000000" w:themeColor="text1"/>
          <w:szCs w:val="24"/>
        </w:rPr>
        <w:t>（</w:t>
      </w:r>
      <w:r>
        <w:rPr>
          <w:rFonts w:cs="Times New Roman"/>
          <w:color w:val="000000" w:themeColor="text1"/>
          <w:szCs w:val="24"/>
        </w:rPr>
        <w:t>3</w:t>
      </w:r>
      <w:r>
        <w:rPr>
          <w:rFonts w:cs="Times New Roman" w:hAnsiTheme="minorEastAsia"/>
          <w:color w:val="000000" w:themeColor="text1"/>
          <w:szCs w:val="24"/>
        </w:rPr>
        <w:t>）周边敏感目标对本项目的态度等</w:t>
      </w:r>
      <w:r>
        <w:rPr>
          <w:rFonts w:hint="eastAsia" w:cs="Times New Roman" w:hAnsiTheme="minorEastAsia"/>
          <w:color w:val="000000" w:themeColor="text1"/>
          <w:szCs w:val="24"/>
        </w:rPr>
        <w:t>；</w:t>
      </w:r>
    </w:p>
    <w:p>
      <w:pPr>
        <w:tabs>
          <w:tab w:val="left" w:pos="8154"/>
        </w:tabs>
        <w:spacing w:line="360" w:lineRule="auto"/>
        <w:ind w:firstLine="480" w:firstLineChars="200"/>
        <w:rPr>
          <w:rFonts w:cs="Times New Roman"/>
          <w:color w:val="000000" w:themeColor="text1"/>
          <w:szCs w:val="24"/>
        </w:rPr>
      </w:pPr>
      <w:r>
        <w:rPr>
          <w:rFonts w:cs="Times New Roman" w:hAnsiTheme="minorEastAsia"/>
          <w:color w:val="000000" w:themeColor="text1"/>
          <w:szCs w:val="24"/>
        </w:rPr>
        <w:t>（</w:t>
      </w:r>
      <w:r>
        <w:rPr>
          <w:rFonts w:cs="Times New Roman"/>
          <w:color w:val="000000" w:themeColor="text1"/>
          <w:szCs w:val="24"/>
        </w:rPr>
        <w:t>4</w:t>
      </w:r>
      <w:r>
        <w:rPr>
          <w:rFonts w:cs="Times New Roman" w:hAnsiTheme="minorEastAsia"/>
          <w:color w:val="000000" w:themeColor="text1"/>
          <w:szCs w:val="24"/>
        </w:rPr>
        <w:t>）</w:t>
      </w:r>
      <w:r>
        <w:rPr>
          <w:rFonts w:hint="eastAsia" w:cs="Times New Roman" w:hAnsiTheme="minorEastAsia"/>
          <w:color w:val="000000" w:themeColor="text1"/>
          <w:szCs w:val="24"/>
        </w:rPr>
        <w:t>根据</w:t>
      </w:r>
      <w:r>
        <w:rPr>
          <w:rFonts w:cs="Times New Roman" w:hAnsiTheme="minorEastAsia"/>
          <w:color w:val="000000" w:themeColor="text1"/>
          <w:szCs w:val="24"/>
        </w:rPr>
        <w:t>本项目工程污染特点和周边环境制约因素</w:t>
      </w:r>
      <w:r>
        <w:rPr>
          <w:rFonts w:hint="eastAsia" w:cs="Times New Roman" w:hAnsiTheme="minorEastAsia"/>
          <w:color w:val="000000" w:themeColor="text1"/>
          <w:szCs w:val="24"/>
        </w:rPr>
        <w:t>，</w:t>
      </w:r>
      <w:r>
        <w:rPr>
          <w:rFonts w:cs="Times New Roman" w:hAnsiTheme="minorEastAsia"/>
          <w:color w:val="000000" w:themeColor="text1"/>
          <w:szCs w:val="24"/>
        </w:rPr>
        <w:t>本项目环境问题为大气污染</w:t>
      </w:r>
      <w:r>
        <w:t>（污水处理站恶臭</w:t>
      </w:r>
      <w:r>
        <w:rPr>
          <w:rFonts w:hint="eastAsia"/>
        </w:rPr>
        <w:t>、食堂油烟、锅炉废气、汽车尾气、发电机尾气</w:t>
      </w:r>
      <w:r>
        <w:t>等）、水污染、噪声污染和固废处理处置（生活垃圾、医疗废物、污水处理站污泥</w:t>
      </w:r>
      <w:r>
        <w:rPr>
          <w:color w:val="000000" w:themeColor="text1"/>
        </w:rPr>
        <w:t>），</w:t>
      </w:r>
      <w:r>
        <w:t>重点分析各类污染物达标排放的可行性、污染治理措施的可行性和合理性，环境影响的可接受水平。</w:t>
      </w:r>
      <w:r>
        <w:rPr>
          <w:szCs w:val="24"/>
        </w:rPr>
        <w:tab/>
      </w:r>
    </w:p>
    <w:p>
      <w:pPr>
        <w:pStyle w:val="4"/>
        <w:numPr>
          <w:ilvl w:val="0"/>
          <w:numId w:val="0"/>
        </w:numPr>
        <w:ind w:left="576" w:hanging="576"/>
        <w:rPr>
          <w:color w:val="000000" w:themeColor="text1"/>
        </w:rPr>
      </w:pPr>
      <w:bookmarkStart w:id="22" w:name="_Toc532376127"/>
      <w:bookmarkStart w:id="23" w:name="_Toc532498720"/>
      <w:bookmarkStart w:id="24" w:name="_Toc532497592"/>
      <w:bookmarkStart w:id="25" w:name="_Toc532763184"/>
      <w:bookmarkStart w:id="26" w:name="_Toc25826470"/>
      <w:r>
        <w:rPr>
          <w:rFonts w:hint="eastAsia"/>
          <w:color w:val="000000" w:themeColor="text1"/>
        </w:rPr>
        <w:t>Ⅴ分析判定相关情况</w:t>
      </w:r>
      <w:bookmarkEnd w:id="22"/>
      <w:bookmarkEnd w:id="23"/>
      <w:bookmarkEnd w:id="24"/>
      <w:bookmarkEnd w:id="25"/>
      <w:bookmarkEnd w:id="26"/>
    </w:p>
    <w:p>
      <w:pPr>
        <w:pStyle w:val="64"/>
        <w:numPr>
          <w:ilvl w:val="0"/>
          <w:numId w:val="2"/>
        </w:numPr>
        <w:adjustRightInd w:val="0"/>
        <w:snapToGrid w:val="0"/>
        <w:spacing w:line="360" w:lineRule="auto"/>
        <w:ind w:firstLine="480"/>
        <w:rPr>
          <w:rFonts w:cs="Times New Roman"/>
          <w:color w:val="000000" w:themeColor="text1"/>
          <w:szCs w:val="24"/>
        </w:rPr>
      </w:pPr>
      <w:r>
        <w:rPr>
          <w:rFonts w:cs="Times New Roman"/>
          <w:color w:val="000000" w:themeColor="text1"/>
          <w:szCs w:val="24"/>
        </w:rPr>
        <w:t>对照《产业结构调整指导目录》（2019年本）文件，本项目属于“鼓励类”</w:t>
      </w:r>
      <w:r>
        <w:rPr>
          <w:rFonts w:cs="Times New Roman"/>
        </w:rPr>
        <w:t>中的第三十七</w:t>
      </w:r>
      <w:r>
        <w:rPr>
          <w:rFonts w:hint="eastAsia" w:cs="Times New Roman"/>
        </w:rPr>
        <w:t>、</w:t>
      </w:r>
      <w:r>
        <w:rPr>
          <w:rFonts w:cs="Times New Roman"/>
        </w:rPr>
        <w:t>卫生健康</w:t>
      </w:r>
      <w:r>
        <w:rPr>
          <w:rFonts w:hint="eastAsia" w:cs="Times New Roman"/>
        </w:rPr>
        <w:t>，</w:t>
      </w:r>
      <w:r>
        <w:rPr>
          <w:rFonts w:cs="Times New Roman"/>
        </w:rPr>
        <w:t>第6项精神卫生专科医院和康复医院（中心）</w:t>
      </w:r>
      <w:r>
        <w:rPr>
          <w:rFonts w:cs="Times New Roman"/>
          <w:color w:val="000000" w:themeColor="text1"/>
          <w:szCs w:val="24"/>
        </w:rPr>
        <w:t>。因此，本项目符合国家现行产业政策。</w:t>
      </w:r>
    </w:p>
    <w:p>
      <w:pPr>
        <w:pStyle w:val="95"/>
        <w:numPr>
          <w:ilvl w:val="0"/>
          <w:numId w:val="2"/>
        </w:numPr>
        <w:spacing w:line="360" w:lineRule="auto"/>
        <w:ind w:firstLineChars="0"/>
      </w:pPr>
      <w:r>
        <w:t>与《环境保护综合名录（2015年版）》相符性分析</w:t>
      </w:r>
    </w:p>
    <w:p>
      <w:pPr>
        <w:pStyle w:val="95"/>
        <w:spacing w:before="0" w:line="360" w:lineRule="auto"/>
        <w:ind w:firstLine="480"/>
      </w:pPr>
      <w:r>
        <w:t>本项目不属于《环境保护综合名录（2015年版）》中“一、高污染、高环境风险产品名录”之类，符合《环境保护综合名录（2015年版）》相关要求。</w:t>
      </w:r>
    </w:p>
    <w:p>
      <w:pPr>
        <w:pStyle w:val="95"/>
        <w:numPr>
          <w:ilvl w:val="0"/>
          <w:numId w:val="2"/>
        </w:numPr>
        <w:spacing w:line="360" w:lineRule="auto"/>
        <w:ind w:firstLineChars="0"/>
      </w:pPr>
      <w:r>
        <w:rPr>
          <w:rFonts w:hint="eastAsia"/>
        </w:rPr>
        <w:t>与“三线一单”符合性分析</w:t>
      </w:r>
    </w:p>
    <w:p>
      <w:pPr>
        <w:pStyle w:val="95"/>
        <w:spacing w:before="0" w:line="360" w:lineRule="auto"/>
        <w:ind w:firstLine="480"/>
      </w:pPr>
      <w:r>
        <w:rPr>
          <w:rFonts w:hint="eastAsia"/>
        </w:rPr>
        <w:t>①生态保护红线</w:t>
      </w:r>
    </w:p>
    <w:p>
      <w:pPr>
        <w:pStyle w:val="95"/>
        <w:spacing w:before="0" w:line="360" w:lineRule="auto"/>
        <w:ind w:firstLine="480"/>
      </w:pPr>
      <w:r>
        <w:t>2018年7月26日，湖南省环保厅印发了《湖南省生态保护红线》。全省生态保护红线空间格局为“一湖三山四水”：“一湖”为洞庭湖(主要包括东洞庭湖、南洞庭湖、横岭湖、西洞庭湖等自然保护区和长江岸线)，主要生态功能为生物多样性维护、洪水调蓄。“三山”包括武陵-雪峰山脉生态屏障，主要生态功能为生物多样性维护与水土保持；罗霄-幕阜山脉生态屏障，主要生态功能为生物多样性维护、水源涵养和水土保持；南岭山脉生态屏障，主要生态功能为水源涵养和生物多样性维护，其中南岭山脉生态屏障是南方丘陵山地带的重要组成部分。“四水”为湘资沅澧(湘江、资水、沅江、澧水)的源头区及重要水域。</w:t>
      </w:r>
    </w:p>
    <w:p>
      <w:pPr>
        <w:pStyle w:val="95"/>
        <w:spacing w:line="360" w:lineRule="auto"/>
        <w:ind w:firstLine="480"/>
      </w:pPr>
      <w:r>
        <w:rPr>
          <w:rFonts w:hint="eastAsia"/>
        </w:rPr>
        <w:t>本项目位于</w:t>
      </w:r>
      <w:r>
        <w:t>岳阳市岳阳楼区福颐路48号</w:t>
      </w:r>
      <w:r>
        <w:rPr>
          <w:rFonts w:hint="eastAsia"/>
        </w:rPr>
        <w:t>，</w:t>
      </w:r>
      <w:r>
        <w:t>不在</w:t>
      </w:r>
      <w:r>
        <w:rPr>
          <w:rFonts w:hint="eastAsia"/>
        </w:rPr>
        <w:t>《湖南省生态保护红线》划定方案中“一湖三山四水”的范围内，也未涉及饮用水源、风景区、自然保护区等生态保护区，从选址上符合湖南省生态保护红线划定的相关要求。</w:t>
      </w:r>
    </w:p>
    <w:p>
      <w:pPr>
        <w:pStyle w:val="95"/>
        <w:spacing w:line="360" w:lineRule="auto"/>
        <w:ind w:firstLine="480"/>
        <w:rPr>
          <w:color w:val="000000" w:themeColor="text1"/>
        </w:rPr>
      </w:pPr>
      <w:r>
        <w:rPr>
          <w:rFonts w:hint="eastAsia"/>
          <w:color w:val="000000" w:themeColor="text1"/>
        </w:rPr>
        <w:t>②环境质量底线</w:t>
      </w:r>
    </w:p>
    <w:p>
      <w:pPr>
        <w:pStyle w:val="95"/>
        <w:spacing w:line="360" w:lineRule="auto"/>
        <w:ind w:firstLine="480"/>
        <w:rPr>
          <w:color w:val="000000" w:themeColor="text1"/>
        </w:rPr>
      </w:pPr>
      <w:r>
        <w:rPr>
          <w:rFonts w:hint="eastAsia"/>
          <w:color w:val="000000" w:themeColor="text1"/>
        </w:rPr>
        <w:t>评价区域内SO</w:t>
      </w:r>
      <w:r>
        <w:rPr>
          <w:rFonts w:hint="eastAsia"/>
          <w:color w:val="000000" w:themeColor="text1"/>
          <w:vertAlign w:val="subscript"/>
        </w:rPr>
        <w:t>2</w:t>
      </w:r>
      <w:r>
        <w:rPr>
          <w:rFonts w:hint="eastAsia"/>
          <w:color w:val="000000" w:themeColor="text1"/>
        </w:rPr>
        <w:t>、</w:t>
      </w:r>
      <w:r>
        <w:rPr>
          <w:color w:val="000000" w:themeColor="text1"/>
        </w:rPr>
        <w:t>NO</w:t>
      </w:r>
      <w:r>
        <w:rPr>
          <w:color w:val="000000" w:themeColor="text1"/>
          <w:vertAlign w:val="subscript"/>
        </w:rPr>
        <w:t>2</w:t>
      </w:r>
      <w:r>
        <w:rPr>
          <w:rFonts w:hint="eastAsia"/>
          <w:color w:val="000000" w:themeColor="text1"/>
        </w:rPr>
        <w:t>、</w:t>
      </w:r>
      <w:r>
        <w:rPr>
          <w:color w:val="000000" w:themeColor="text1"/>
        </w:rPr>
        <w:t>CO</w:t>
      </w:r>
      <w:r>
        <w:rPr>
          <w:rFonts w:hint="eastAsia"/>
          <w:color w:val="000000" w:themeColor="text1"/>
        </w:rPr>
        <w:t>、</w:t>
      </w:r>
      <w:r>
        <w:rPr>
          <w:color w:val="000000" w:themeColor="text1"/>
        </w:rPr>
        <w:t>臭氧均不存在超标</w:t>
      </w:r>
      <w:r>
        <w:rPr>
          <w:rFonts w:hint="eastAsia"/>
          <w:color w:val="000000" w:themeColor="text1"/>
        </w:rPr>
        <w:t>现象，</w:t>
      </w:r>
      <w:r>
        <w:rPr>
          <w:color w:val="000000" w:themeColor="text1"/>
        </w:rPr>
        <w:t>可满足</w:t>
      </w:r>
      <w:r>
        <w:rPr>
          <w:color w:val="000000" w:themeColor="text1"/>
          <w:szCs w:val="24"/>
        </w:rPr>
        <w:t>《环境空气质量标准》（GB3095-2012）的二类标准要求</w:t>
      </w:r>
      <w:r>
        <w:rPr>
          <w:rFonts w:hint="eastAsia"/>
          <w:color w:val="000000" w:themeColor="text1"/>
          <w:szCs w:val="24"/>
        </w:rPr>
        <w:t>，</w:t>
      </w:r>
      <w:r>
        <w:rPr>
          <w:color w:val="000000" w:themeColor="text1"/>
        </w:rPr>
        <w:t>PM</w:t>
      </w:r>
      <w:r>
        <w:rPr>
          <w:color w:val="000000" w:themeColor="text1"/>
          <w:vertAlign w:val="subscript"/>
        </w:rPr>
        <w:t>10</w:t>
      </w:r>
      <w:r>
        <w:rPr>
          <w:color w:val="000000" w:themeColor="text1"/>
        </w:rPr>
        <w:t>和PM</w:t>
      </w:r>
      <w:r>
        <w:rPr>
          <w:color w:val="000000" w:themeColor="text1"/>
          <w:vertAlign w:val="subscript"/>
        </w:rPr>
        <w:t>2.5</w:t>
      </w:r>
      <w:r>
        <w:rPr>
          <w:color w:val="000000" w:themeColor="text1"/>
        </w:rPr>
        <w:t>超标，但根据湖南省人民政府2018年6月18日发布的《湖南省污染防治攻坚战三年行动计划（2018—2020）年》的通知（湘政发〔2018〕17号）要求：到2020年，岳阳PM</w:t>
      </w:r>
      <w:r>
        <w:rPr>
          <w:color w:val="000000" w:themeColor="text1"/>
          <w:vertAlign w:val="subscript"/>
        </w:rPr>
        <w:t>10</w:t>
      </w:r>
      <w:r>
        <w:rPr>
          <w:color w:val="000000" w:themeColor="text1"/>
        </w:rPr>
        <w:t>年均浓度平均值下降到71μg/m</w:t>
      </w:r>
      <w:r>
        <w:rPr>
          <w:color w:val="000000" w:themeColor="text1"/>
          <w:vertAlign w:val="superscript"/>
        </w:rPr>
        <w:t>3</w:t>
      </w:r>
      <w:r>
        <w:rPr>
          <w:color w:val="000000" w:themeColor="text1"/>
        </w:rPr>
        <w:t>以下。同时根据岳阳市大气污染防治行动计划要求，当地政府加大环境治理力度，采取更为严格的大气防治手段，在岳阳市及岳阳县2020年PM</w:t>
      </w:r>
      <w:r>
        <w:rPr>
          <w:color w:val="000000" w:themeColor="text1"/>
          <w:vertAlign w:val="subscript"/>
        </w:rPr>
        <w:t>10</w:t>
      </w:r>
      <w:r>
        <w:rPr>
          <w:color w:val="000000" w:themeColor="text1"/>
        </w:rPr>
        <w:t>限期达标规划值后，2020年的PM</w:t>
      </w:r>
      <w:r>
        <w:rPr>
          <w:color w:val="000000" w:themeColor="text1"/>
          <w:vertAlign w:val="subscript"/>
        </w:rPr>
        <w:t>10</w:t>
      </w:r>
      <w:r>
        <w:rPr>
          <w:color w:val="000000" w:themeColor="text1"/>
        </w:rPr>
        <w:t>年平均质量浓度能符合环境质量标准，满足环境空气功能区二类区的要求，大气环境质量将得到改善。由于本项目</w:t>
      </w:r>
      <w:r>
        <w:rPr>
          <w:rFonts w:hint="eastAsia"/>
          <w:color w:val="000000" w:themeColor="text1"/>
        </w:rPr>
        <w:t>建设</w:t>
      </w:r>
      <w:r>
        <w:rPr>
          <w:color w:val="000000" w:themeColor="text1"/>
        </w:rPr>
        <w:t>不排放PM</w:t>
      </w:r>
      <w:r>
        <w:rPr>
          <w:color w:val="000000" w:themeColor="text1"/>
          <w:vertAlign w:val="subscript"/>
        </w:rPr>
        <w:t>10</w:t>
      </w:r>
      <w:r>
        <w:rPr>
          <w:color w:val="000000" w:themeColor="text1"/>
        </w:rPr>
        <w:t>和PM</w:t>
      </w:r>
      <w:r>
        <w:rPr>
          <w:color w:val="000000" w:themeColor="text1"/>
          <w:vertAlign w:val="subscript"/>
        </w:rPr>
        <w:t>2.5</w:t>
      </w:r>
      <w:r>
        <w:rPr>
          <w:rFonts w:hint="eastAsia"/>
          <w:color w:val="000000" w:themeColor="text1"/>
        </w:rPr>
        <w:t>，</w:t>
      </w:r>
      <w:r>
        <w:rPr>
          <w:color w:val="000000" w:themeColor="text1"/>
        </w:rPr>
        <w:t>则本项目废气可满足当地环境质量底线的要求</w:t>
      </w:r>
      <w:r>
        <w:rPr>
          <w:rFonts w:hint="eastAsia"/>
          <w:color w:val="000000" w:themeColor="text1"/>
        </w:rPr>
        <w:t>。</w:t>
      </w:r>
    </w:p>
    <w:p>
      <w:pPr>
        <w:pStyle w:val="95"/>
        <w:spacing w:line="360" w:lineRule="auto"/>
        <w:ind w:firstLine="480"/>
        <w:rPr>
          <w:rFonts w:hAnsiTheme="minorEastAsia"/>
          <w:color w:val="000000" w:themeColor="text1"/>
        </w:rPr>
      </w:pPr>
      <w:r>
        <w:rPr>
          <w:rFonts w:hint="eastAsia" w:hAnsiTheme="minorEastAsia"/>
          <w:color w:val="000000" w:themeColor="text1"/>
        </w:rPr>
        <w:t>本项目医院内实行污水分流措施，本医院的住院病人产生的废水、门诊病人产生的废水、洗衣房废水和医护人员的生活废水、检验室废水经过医院自建的污水处理站预处理，</w:t>
      </w:r>
      <w:r>
        <w:rPr>
          <w:rFonts w:hAnsiTheme="minorEastAsia"/>
          <w:color w:val="000000" w:themeColor="text1"/>
        </w:rPr>
        <w:t>达到《医疗机构水污染排放标准》（</w:t>
      </w:r>
      <w:r>
        <w:rPr>
          <w:color w:val="000000" w:themeColor="text1"/>
        </w:rPr>
        <w:t>GB18466-2005</w:t>
      </w:r>
      <w:r>
        <w:rPr>
          <w:rFonts w:hAnsiTheme="minorEastAsia"/>
          <w:color w:val="000000" w:themeColor="text1"/>
        </w:rPr>
        <w:t>）表</w:t>
      </w:r>
      <w:r>
        <w:rPr>
          <w:color w:val="000000" w:themeColor="text1"/>
        </w:rPr>
        <w:t>2</w:t>
      </w:r>
      <w:r>
        <w:rPr>
          <w:rFonts w:hAnsiTheme="minorEastAsia"/>
          <w:color w:val="000000" w:themeColor="text1"/>
        </w:rPr>
        <w:t>中</w:t>
      </w:r>
      <w:r>
        <w:rPr>
          <w:color w:val="000000" w:themeColor="text1"/>
        </w:rPr>
        <w:t>“</w:t>
      </w:r>
      <w:r>
        <w:rPr>
          <w:rFonts w:hAnsiTheme="minorEastAsia"/>
          <w:color w:val="000000" w:themeColor="text1"/>
        </w:rPr>
        <w:t>预处理标准</w:t>
      </w:r>
      <w:r>
        <w:rPr>
          <w:color w:val="000000" w:themeColor="text1"/>
        </w:rPr>
        <w:t>”</w:t>
      </w:r>
      <w:r>
        <w:rPr>
          <w:rFonts w:hAnsiTheme="minorEastAsia"/>
          <w:color w:val="000000" w:themeColor="text1"/>
        </w:rPr>
        <w:t>后排入市政排水管网，</w:t>
      </w:r>
      <w:r>
        <w:rPr>
          <w:rFonts w:hint="eastAsia" w:hAnsiTheme="minorEastAsia"/>
          <w:color w:val="000000" w:themeColor="text1"/>
        </w:rPr>
        <w:t>再</w:t>
      </w:r>
      <w:r>
        <w:rPr>
          <w:rFonts w:hAnsiTheme="minorEastAsia"/>
          <w:color w:val="000000" w:themeColor="text1"/>
        </w:rPr>
        <w:t>排入马壕污水处理厂处理</w:t>
      </w:r>
      <w:r>
        <w:rPr>
          <w:rFonts w:hint="eastAsia" w:hAnsiTheme="minorEastAsia"/>
          <w:color w:val="000000" w:themeColor="text1"/>
        </w:rPr>
        <w:t>，职工公寓废水经化粪池处理之后排入市政管网，再进入马壕污水处理厂处理。医院食堂废水经隔油沉淀池处理之后再进化粪池处理排入市政管网，再进入马壕污水处理厂处理。经马壕污水处理厂处理的废水达到《城镇污水处理厂污染物排放标准》（GB18918-2002）一级标准A标准之后排入东风湖。地表水影响较小；</w:t>
      </w:r>
      <w:r>
        <w:rPr>
          <w:rFonts w:hAnsiTheme="minorEastAsia"/>
          <w:color w:val="000000" w:themeColor="text1"/>
        </w:rPr>
        <w:t>院内污水处理站恶臭经喷洒除臭剂处理</w:t>
      </w:r>
      <w:r>
        <w:rPr>
          <w:rFonts w:hint="eastAsia" w:hAnsiTheme="minorEastAsia"/>
          <w:color w:val="000000" w:themeColor="text1"/>
        </w:rPr>
        <w:t>，</w:t>
      </w:r>
      <w:r>
        <w:rPr>
          <w:rFonts w:hAnsiTheme="minorEastAsia"/>
          <w:color w:val="000000" w:themeColor="text1"/>
        </w:rPr>
        <w:t>食堂油烟经油烟净化器处理后高空排放</w:t>
      </w:r>
      <w:r>
        <w:rPr>
          <w:rFonts w:hint="eastAsia" w:hAnsiTheme="minorEastAsia"/>
          <w:color w:val="000000" w:themeColor="text1"/>
        </w:rPr>
        <w:t>，</w:t>
      </w:r>
      <w:r>
        <w:rPr>
          <w:rFonts w:hAnsiTheme="minorEastAsia"/>
          <w:color w:val="000000" w:themeColor="text1"/>
        </w:rPr>
        <w:t>对周边居民较小</w:t>
      </w:r>
      <w:r>
        <w:rPr>
          <w:rFonts w:hint="eastAsia" w:hAnsiTheme="minorEastAsia"/>
          <w:color w:val="000000" w:themeColor="text1"/>
        </w:rPr>
        <w:t>，</w:t>
      </w:r>
      <w:r>
        <w:rPr>
          <w:rFonts w:hAnsiTheme="minorEastAsia"/>
          <w:color w:val="000000" w:themeColor="text1"/>
        </w:rPr>
        <w:t>停车周围加强绿化</w:t>
      </w:r>
      <w:r>
        <w:rPr>
          <w:rFonts w:hint="eastAsia" w:hAnsiTheme="minorEastAsia"/>
          <w:color w:val="000000" w:themeColor="text1"/>
        </w:rPr>
        <w:t>，</w:t>
      </w:r>
      <w:r>
        <w:rPr>
          <w:rFonts w:hAnsiTheme="minorEastAsia"/>
          <w:color w:val="000000" w:themeColor="text1"/>
        </w:rPr>
        <w:t>危险废物暂存间为密闭空间</w:t>
      </w:r>
      <w:r>
        <w:rPr>
          <w:rFonts w:hint="eastAsia" w:hAnsiTheme="minorEastAsia"/>
          <w:color w:val="000000" w:themeColor="text1"/>
        </w:rPr>
        <w:t>，</w:t>
      </w:r>
      <w:r>
        <w:rPr>
          <w:rFonts w:hAnsiTheme="minorEastAsia"/>
          <w:color w:val="000000" w:themeColor="text1"/>
        </w:rPr>
        <w:t>锅炉使用清洁原料</w:t>
      </w:r>
      <w:r>
        <w:rPr>
          <w:rFonts w:hint="eastAsia" w:hAnsiTheme="minorEastAsia"/>
          <w:color w:val="000000" w:themeColor="text1"/>
        </w:rPr>
        <w:t>（天然气）锅炉废气由排气筒高空排放，通过上述处理废气对周围环境影响较小；产生的噪声经过减振、合理布局、距离衰减之后，对周边居民楼及医院内部声环境影响较小不会产生噪声扰民问题。</w:t>
      </w:r>
    </w:p>
    <w:p>
      <w:pPr>
        <w:pStyle w:val="95"/>
        <w:spacing w:line="360" w:lineRule="auto"/>
        <w:ind w:firstLine="480"/>
        <w:rPr>
          <w:color w:val="FF0000"/>
        </w:rPr>
      </w:pPr>
      <w:r>
        <w:rPr>
          <w:rFonts w:hint="eastAsia" w:hAnsiTheme="minorEastAsia"/>
          <w:color w:val="000000" w:themeColor="text1"/>
        </w:rPr>
        <w:t>综上所述，本项目与区域环境质量底线相符。</w:t>
      </w:r>
    </w:p>
    <w:p>
      <w:pPr>
        <w:pStyle w:val="95"/>
        <w:spacing w:line="360" w:lineRule="auto"/>
        <w:ind w:firstLine="480"/>
      </w:pPr>
      <w:r>
        <w:rPr>
          <w:rFonts w:hint="eastAsia"/>
        </w:rPr>
        <w:t>③资源利用上线</w:t>
      </w:r>
    </w:p>
    <w:p>
      <w:pPr>
        <w:adjustRightInd w:val="0"/>
        <w:snapToGrid w:val="0"/>
        <w:spacing w:line="360" w:lineRule="auto"/>
        <w:ind w:firstLine="480" w:firstLineChars="200"/>
        <w:rPr>
          <w:szCs w:val="24"/>
        </w:rPr>
      </w:pPr>
      <w:r>
        <w:rPr>
          <w:rFonts w:hint="eastAsia" w:ascii="宋体" w:hAnsi="宋体"/>
          <w:szCs w:val="24"/>
        </w:rPr>
        <w:t>本项目为医院建设项目，以</w:t>
      </w:r>
      <w:r>
        <w:rPr>
          <w:rFonts w:hint="eastAsia"/>
          <w:szCs w:val="24"/>
        </w:rPr>
        <w:t>“治病救人”为主要职能，水、气等资源消耗量不大，同时项目提倡节能、节水，</w:t>
      </w:r>
      <w:r>
        <w:rPr>
          <w:rFonts w:ascii="宋体" w:hAnsi="宋体"/>
          <w:szCs w:val="24"/>
        </w:rPr>
        <w:t>且区域电能和水资源丰富，因此，符合资源利用上线要求。</w:t>
      </w:r>
    </w:p>
    <w:p>
      <w:pPr>
        <w:pStyle w:val="95"/>
        <w:spacing w:line="360" w:lineRule="auto"/>
        <w:ind w:firstLine="480"/>
      </w:pPr>
      <w:r>
        <w:rPr>
          <w:rFonts w:hint="eastAsia"/>
        </w:rPr>
        <w:t>④环境准入负面清单</w:t>
      </w:r>
    </w:p>
    <w:p>
      <w:pPr>
        <w:pStyle w:val="95"/>
        <w:spacing w:line="360" w:lineRule="auto"/>
        <w:ind w:firstLine="480"/>
        <w:rPr>
          <w:color w:val="000000" w:themeColor="text1"/>
          <w:szCs w:val="24"/>
        </w:rPr>
      </w:pPr>
      <w:r>
        <w:rPr>
          <w:rFonts w:hint="eastAsia"/>
        </w:rPr>
        <w:t>本项目为医院建设项目，有利于提高当地医疗条件，</w:t>
      </w:r>
      <w:r>
        <w:rPr>
          <w:color w:val="000000" w:themeColor="text1"/>
          <w:szCs w:val="24"/>
        </w:rPr>
        <w:t>属于“鼓励类”</w:t>
      </w:r>
      <w:r>
        <w:t>中的第三十七</w:t>
      </w:r>
      <w:r>
        <w:rPr>
          <w:rFonts w:hint="eastAsia"/>
        </w:rPr>
        <w:t>、</w:t>
      </w:r>
      <w:r>
        <w:t>卫生健康</w:t>
      </w:r>
      <w:r>
        <w:rPr>
          <w:rFonts w:hint="eastAsia"/>
        </w:rPr>
        <w:t>，</w:t>
      </w:r>
      <w:r>
        <w:t>第6项精神卫生专科医院和康复医院（中心）</w:t>
      </w:r>
      <w:r>
        <w:rPr>
          <w:color w:val="000000" w:themeColor="text1"/>
          <w:szCs w:val="24"/>
        </w:rPr>
        <w:t>。项目建设符合国家产业政策</w:t>
      </w:r>
      <w:r>
        <w:rPr>
          <w:rFonts w:hint="eastAsia"/>
          <w:color w:val="000000" w:themeColor="text1"/>
          <w:szCs w:val="24"/>
        </w:rPr>
        <w:t>，</w:t>
      </w:r>
      <w:r>
        <w:rPr>
          <w:color w:val="000000" w:themeColor="text1"/>
          <w:szCs w:val="24"/>
        </w:rPr>
        <w:t>符合土地利用规划</w:t>
      </w:r>
      <w:r>
        <w:rPr>
          <w:rFonts w:hint="eastAsia"/>
          <w:color w:val="000000" w:themeColor="text1"/>
          <w:szCs w:val="24"/>
        </w:rPr>
        <w:t>，</w:t>
      </w:r>
      <w:r>
        <w:rPr>
          <w:color w:val="000000" w:themeColor="text1"/>
          <w:szCs w:val="24"/>
        </w:rPr>
        <w:t>无明显的环境制约因素</w:t>
      </w:r>
      <w:r>
        <w:rPr>
          <w:rFonts w:hint="eastAsia"/>
          <w:color w:val="000000" w:themeColor="text1"/>
          <w:szCs w:val="24"/>
        </w:rPr>
        <w:t>。</w:t>
      </w:r>
      <w:r>
        <w:rPr>
          <w:color w:val="000000" w:themeColor="text1"/>
          <w:szCs w:val="24"/>
        </w:rPr>
        <w:t>因此项目不在环境准入负面清单范围内</w:t>
      </w:r>
      <w:r>
        <w:rPr>
          <w:rFonts w:hint="eastAsia"/>
          <w:color w:val="000000" w:themeColor="text1"/>
          <w:szCs w:val="24"/>
        </w:rPr>
        <w:t>。</w:t>
      </w:r>
    </w:p>
    <w:p>
      <w:pPr>
        <w:pStyle w:val="95"/>
        <w:spacing w:line="360" w:lineRule="auto"/>
        <w:ind w:firstLine="480"/>
        <w:rPr>
          <w:color w:val="000000" w:themeColor="text1"/>
          <w:szCs w:val="24"/>
        </w:rPr>
      </w:pPr>
      <w:r>
        <w:rPr>
          <w:rFonts w:hint="eastAsia"/>
          <w:color w:val="000000" w:themeColor="text1"/>
          <w:szCs w:val="24"/>
        </w:rPr>
        <w:t>综上所述，项目建设符合“三线一单”的相关要求。</w:t>
      </w:r>
    </w:p>
    <w:p>
      <w:pPr>
        <w:pStyle w:val="95"/>
        <w:spacing w:line="360" w:lineRule="auto"/>
        <w:ind w:firstLine="480"/>
        <w:rPr>
          <w:color w:val="000000" w:themeColor="text1"/>
          <w:szCs w:val="24"/>
        </w:rPr>
      </w:pPr>
      <w:r>
        <w:rPr>
          <w:rFonts w:hint="eastAsia"/>
          <w:color w:val="000000" w:themeColor="text1"/>
          <w:szCs w:val="24"/>
        </w:rPr>
        <w:t>（4）选址符合性分析</w:t>
      </w:r>
    </w:p>
    <w:p>
      <w:pPr>
        <w:adjustRightInd w:val="0"/>
        <w:snapToGrid w:val="0"/>
        <w:spacing w:line="360" w:lineRule="auto"/>
        <w:ind w:firstLine="480" w:firstLineChars="200"/>
        <w:rPr>
          <w:rFonts w:hAnsi="宋体"/>
          <w:color w:val="000000" w:themeColor="text1"/>
        </w:rPr>
      </w:pPr>
      <w:r>
        <w:rPr>
          <w:rFonts w:hint="eastAsia" w:hAnsi="宋体"/>
          <w:color w:val="000000" w:themeColor="text1"/>
        </w:rPr>
        <w:t>本项目位于</w:t>
      </w:r>
      <w:r>
        <w:rPr>
          <w:rFonts w:cs="Times New Roman"/>
          <w:color w:val="000000" w:themeColor="text1"/>
        </w:rPr>
        <w:t>岳阳市岳阳楼区福颐路48号</w:t>
      </w:r>
      <w:r>
        <w:rPr>
          <w:rFonts w:hint="eastAsia" w:cs="Times New Roman"/>
          <w:color w:val="000000" w:themeColor="text1"/>
        </w:rPr>
        <w:t>，</w:t>
      </w:r>
      <w:r>
        <w:rPr>
          <w:rFonts w:cs="Times New Roman"/>
          <w:color w:val="000000" w:themeColor="text1"/>
        </w:rPr>
        <w:t>南侧为福颐路</w:t>
      </w:r>
      <w:r>
        <w:rPr>
          <w:rFonts w:hint="eastAsia" w:cs="Times New Roman"/>
          <w:color w:val="000000" w:themeColor="text1"/>
        </w:rPr>
        <w:t>，</w:t>
      </w:r>
      <w:r>
        <w:rPr>
          <w:rFonts w:cs="Times New Roman"/>
          <w:color w:val="000000" w:themeColor="text1"/>
        </w:rPr>
        <w:t>东南面紧挨湖南省岳阳市看守所</w:t>
      </w:r>
      <w:r>
        <w:rPr>
          <w:rFonts w:hint="eastAsia" w:cs="Times New Roman"/>
          <w:color w:val="000000" w:themeColor="text1"/>
        </w:rPr>
        <w:t>，</w:t>
      </w:r>
      <w:r>
        <w:rPr>
          <w:rFonts w:cs="Times New Roman"/>
          <w:color w:val="000000" w:themeColor="text1"/>
        </w:rPr>
        <w:t>医院大门对面为居民住房</w:t>
      </w:r>
      <w:r>
        <w:rPr>
          <w:rFonts w:hint="eastAsia" w:cs="Times New Roman"/>
          <w:color w:val="000000" w:themeColor="text1"/>
        </w:rPr>
        <w:t>，</w:t>
      </w:r>
      <w:r>
        <w:rPr>
          <w:rFonts w:hint="eastAsia" w:hAnsi="宋体"/>
          <w:color w:val="000000" w:themeColor="text1"/>
        </w:rPr>
        <w:t>东边为金洛小区。项目主入口位于地块南侧，选址属于公共建设用地性质。</w:t>
      </w:r>
      <w:r>
        <w:rPr>
          <w:rFonts w:hint="eastAsia" w:hAnsi="宋体" w:eastAsia="宋体" w:cs="Times New Roman"/>
          <w:color w:val="000000" w:themeColor="text1"/>
        </w:rPr>
        <w:t>所在地交通方便</w:t>
      </w:r>
      <w:r>
        <w:rPr>
          <w:rFonts w:hAnsi="宋体" w:eastAsia="宋体" w:cs="Times New Roman"/>
          <w:color w:val="000000" w:themeColor="text1"/>
          <w:spacing w:val="4"/>
        </w:rPr>
        <w:t>，</w:t>
      </w:r>
      <w:r>
        <w:rPr>
          <w:rFonts w:hAnsi="宋体" w:eastAsia="宋体" w:cs="Times New Roman"/>
          <w:color w:val="000000" w:themeColor="text1"/>
          <w:kern w:val="0"/>
        </w:rPr>
        <w:t>各项城市配套设施完善，方便</w:t>
      </w:r>
      <w:r>
        <w:rPr>
          <w:rFonts w:hint="eastAsia" w:hAnsi="宋体" w:eastAsia="宋体" w:cs="Times New Roman"/>
          <w:color w:val="000000" w:themeColor="text1"/>
          <w:kern w:val="0"/>
        </w:rPr>
        <w:t>岳阳</w:t>
      </w:r>
      <w:r>
        <w:rPr>
          <w:rFonts w:hAnsi="宋体" w:eastAsia="宋体" w:cs="Times New Roman"/>
          <w:color w:val="000000" w:themeColor="text1"/>
          <w:kern w:val="0"/>
        </w:rPr>
        <w:t>市群众就医就诊。</w:t>
      </w:r>
      <w:r>
        <w:rPr>
          <w:rFonts w:hint="eastAsia" w:hAnsi="宋体" w:eastAsia="宋体" w:cs="Times New Roman"/>
          <w:color w:val="000000" w:themeColor="text1"/>
          <w:kern w:val="0"/>
        </w:rPr>
        <w:t>本项目建设对周边环境影响较小，对周边环境相容性较好，在落实各项污染防治措施的前提下，从环保角度考虑，本项目选址可行。</w:t>
      </w:r>
    </w:p>
    <w:p>
      <w:pPr>
        <w:adjustRightInd w:val="0"/>
        <w:snapToGrid w:val="0"/>
        <w:spacing w:line="360" w:lineRule="auto"/>
        <w:ind w:firstLine="480" w:firstLineChars="200"/>
        <w:rPr>
          <w:color w:val="000000" w:themeColor="text1"/>
          <w:u w:val="single"/>
        </w:rPr>
      </w:pPr>
      <w:r>
        <w:rPr>
          <w:color w:val="000000" w:themeColor="text1"/>
          <w:u w:val="single"/>
        </w:rPr>
        <w:t>（</w:t>
      </w:r>
      <w:r>
        <w:rPr>
          <w:rFonts w:hint="eastAsia"/>
          <w:color w:val="000000" w:themeColor="text1"/>
          <w:u w:val="single"/>
        </w:rPr>
        <w:t>5</w:t>
      </w:r>
      <w:r>
        <w:rPr>
          <w:color w:val="000000" w:themeColor="text1"/>
          <w:u w:val="single"/>
        </w:rPr>
        <w:t>）平面布置的合理性</w:t>
      </w:r>
    </w:p>
    <w:p>
      <w:pPr>
        <w:adjustRightInd w:val="0"/>
        <w:snapToGrid w:val="0"/>
        <w:spacing w:line="360" w:lineRule="auto"/>
        <w:ind w:firstLine="600" w:firstLineChars="250"/>
        <w:rPr>
          <w:rFonts w:hAnsi="宋体"/>
          <w:color w:val="000000" w:themeColor="text1"/>
          <w:u w:val="single"/>
        </w:rPr>
      </w:pPr>
      <w:r>
        <w:rPr>
          <w:rFonts w:hint="eastAsia" w:hAnsi="宋体"/>
          <w:color w:val="000000" w:themeColor="text1"/>
          <w:u w:val="single"/>
        </w:rPr>
        <w:t>本项目位于</w:t>
      </w:r>
      <w:r>
        <w:rPr>
          <w:rFonts w:cs="Times New Roman"/>
          <w:color w:val="000000" w:themeColor="text1"/>
          <w:u w:val="single"/>
        </w:rPr>
        <w:t>岳阳市岳阳楼区福颐路48号</w:t>
      </w:r>
      <w:r>
        <w:rPr>
          <w:rFonts w:hint="eastAsia" w:cs="Times New Roman"/>
          <w:color w:val="000000" w:themeColor="text1"/>
          <w:u w:val="single"/>
        </w:rPr>
        <w:t>，</w:t>
      </w:r>
      <w:r>
        <w:rPr>
          <w:rFonts w:cs="Times New Roman"/>
          <w:color w:val="000000" w:themeColor="text1"/>
          <w:u w:val="single"/>
        </w:rPr>
        <w:t>南侧为福颐路</w:t>
      </w:r>
      <w:r>
        <w:rPr>
          <w:rFonts w:hint="eastAsia" w:cs="Times New Roman"/>
          <w:color w:val="000000" w:themeColor="text1"/>
          <w:u w:val="single"/>
        </w:rPr>
        <w:t>，</w:t>
      </w:r>
      <w:r>
        <w:rPr>
          <w:rFonts w:cs="Times New Roman"/>
          <w:color w:val="000000" w:themeColor="text1"/>
          <w:u w:val="single"/>
        </w:rPr>
        <w:t>东南面紧挨湖南省岳阳市看守所</w:t>
      </w:r>
      <w:r>
        <w:rPr>
          <w:rFonts w:hint="eastAsia" w:cs="Times New Roman"/>
          <w:color w:val="000000" w:themeColor="text1"/>
          <w:u w:val="single"/>
        </w:rPr>
        <w:t>，</w:t>
      </w:r>
      <w:r>
        <w:rPr>
          <w:rFonts w:cs="Times New Roman"/>
          <w:color w:val="000000" w:themeColor="text1"/>
          <w:u w:val="single"/>
        </w:rPr>
        <w:t>医院大门对面为居民住房</w:t>
      </w:r>
      <w:r>
        <w:rPr>
          <w:rFonts w:hint="eastAsia" w:cs="Times New Roman"/>
          <w:color w:val="000000" w:themeColor="text1"/>
          <w:u w:val="single"/>
        </w:rPr>
        <w:t>，</w:t>
      </w:r>
      <w:r>
        <w:rPr>
          <w:rFonts w:hint="eastAsia" w:hAnsi="宋体"/>
          <w:color w:val="000000" w:themeColor="text1"/>
          <w:u w:val="single"/>
        </w:rPr>
        <w:t>东边为金洛小区。项目至南朝北设置主入口，依次为</w:t>
      </w:r>
      <w:r>
        <w:rPr>
          <w:rFonts w:hAnsi="宋体"/>
          <w:color w:val="000000" w:themeColor="text1"/>
          <w:u w:val="single"/>
        </w:rPr>
        <w:t>岳阳市康复医院美沙酮维持治疗门诊</w:t>
      </w:r>
      <w:r>
        <w:rPr>
          <w:rFonts w:hint="eastAsia" w:hAnsi="宋体"/>
          <w:color w:val="000000" w:themeColor="text1"/>
          <w:u w:val="single"/>
        </w:rPr>
        <w:t>、流浪</w:t>
      </w:r>
      <w:r>
        <w:rPr>
          <w:rFonts w:hAnsi="宋体"/>
          <w:color w:val="000000" w:themeColor="text1"/>
          <w:u w:val="single"/>
        </w:rPr>
        <w:t>精神病人专用住院楼</w:t>
      </w:r>
      <w:r>
        <w:rPr>
          <w:rFonts w:hint="eastAsia" w:hAnsi="宋体"/>
          <w:color w:val="000000" w:themeColor="text1"/>
          <w:u w:val="single"/>
        </w:rPr>
        <w:t>、再往后为办公楼，办公楼西侧为职工公寓。办公楼往北为</w:t>
      </w:r>
      <w:r>
        <w:rPr>
          <w:rFonts w:hAnsi="宋体"/>
          <w:color w:val="000000" w:themeColor="text1"/>
          <w:u w:val="single"/>
        </w:rPr>
        <w:t>老年医疗呵护大楼</w:t>
      </w:r>
      <w:r>
        <w:rPr>
          <w:rFonts w:hint="eastAsia" w:hAnsi="宋体"/>
          <w:color w:val="000000" w:themeColor="text1"/>
          <w:u w:val="single"/>
        </w:rPr>
        <w:t>。</w:t>
      </w:r>
    </w:p>
    <w:p>
      <w:pPr>
        <w:adjustRightInd w:val="0"/>
        <w:snapToGrid w:val="0"/>
        <w:spacing w:line="360" w:lineRule="auto"/>
        <w:ind w:firstLine="600" w:firstLineChars="250"/>
        <w:rPr>
          <w:rFonts w:hAnsi="宋体"/>
          <w:color w:val="000000" w:themeColor="text1"/>
          <w:u w:val="single"/>
        </w:rPr>
      </w:pPr>
      <w:r>
        <w:rPr>
          <w:rFonts w:hAnsi="宋体"/>
          <w:color w:val="000000" w:themeColor="text1"/>
          <w:u w:val="single"/>
        </w:rPr>
        <w:t>本项目医疗固废暂存间位于项目的西北角</w:t>
      </w:r>
      <w:r>
        <w:rPr>
          <w:rFonts w:hint="eastAsia" w:hAnsi="宋体"/>
          <w:color w:val="000000" w:themeColor="text1"/>
          <w:u w:val="single"/>
        </w:rPr>
        <w:t>，</w:t>
      </w:r>
      <w:r>
        <w:rPr>
          <w:rFonts w:hAnsi="宋体"/>
          <w:color w:val="000000" w:themeColor="text1"/>
          <w:u w:val="single"/>
        </w:rPr>
        <w:t>远离医院办公区域和住院部</w:t>
      </w:r>
      <w:r>
        <w:rPr>
          <w:rFonts w:hint="eastAsia" w:hAnsi="宋体"/>
          <w:color w:val="000000" w:themeColor="text1"/>
          <w:u w:val="single"/>
        </w:rPr>
        <w:t>，废水处理站位于项目最北侧，为密闭式的房间并且采用喷洒除臭剂处理来降低恶臭的影响，远离办公区域和住院部。医院柴油发电机位于精神大楼的负一楼，为密闭的房间，在发电时可降低噪声对住院病人的影响。</w:t>
      </w:r>
    </w:p>
    <w:p>
      <w:pPr>
        <w:adjustRightInd w:val="0"/>
        <w:snapToGrid w:val="0"/>
        <w:spacing w:line="360" w:lineRule="auto"/>
        <w:ind w:firstLine="600" w:firstLineChars="250"/>
        <w:rPr>
          <w:color w:val="000000" w:themeColor="text1"/>
          <w:u w:val="single"/>
        </w:rPr>
      </w:pPr>
      <w:r>
        <w:rPr>
          <w:rFonts w:hAnsi="宋体"/>
          <w:color w:val="000000" w:themeColor="text1"/>
          <w:u w:val="single"/>
        </w:rPr>
        <w:t>本</w:t>
      </w:r>
      <w:r>
        <w:rPr>
          <w:rFonts w:hint="eastAsia"/>
          <w:color w:val="000000" w:themeColor="text1"/>
          <w:u w:val="single"/>
        </w:rPr>
        <w:t>项目主体建筑中医疗综合功能区、生活区、康复疗养中心分开布置。</w:t>
      </w:r>
      <w:r>
        <w:rPr>
          <w:rFonts w:hint="eastAsia"/>
          <w:bCs/>
          <w:color w:val="000000" w:themeColor="text1"/>
          <w:kern w:val="0"/>
          <w:u w:val="single"/>
        </w:rPr>
        <w:t>院区各入口均有较好的独立性和明确的可识别性，方便引导患者到达不同的目标区域。</w:t>
      </w:r>
    </w:p>
    <w:p>
      <w:pPr>
        <w:adjustRightInd w:val="0"/>
        <w:snapToGrid w:val="0"/>
        <w:spacing w:line="360" w:lineRule="auto"/>
        <w:ind w:firstLine="480" w:firstLineChars="200"/>
        <w:jc w:val="left"/>
        <w:rPr>
          <w:rFonts w:ascii="宋体" w:hAnsi="宋体"/>
          <w:color w:val="000000" w:themeColor="text1"/>
          <w:szCs w:val="24"/>
          <w:u w:val="single"/>
        </w:rPr>
      </w:pPr>
      <w:r>
        <w:rPr>
          <w:rFonts w:hint="eastAsia" w:ascii="宋体" w:hAnsi="宋体"/>
          <w:color w:val="000000" w:themeColor="text1"/>
          <w:szCs w:val="24"/>
          <w:u w:val="single"/>
        </w:rPr>
        <w:t>综上所述，本项目总平面布局从各个方面体现了以人为本，注重生态环境、人文环境、绿色环保的理念，创造适合患者的医院环境，除能满足就医功能要求的同事，也能满足环保的要求。因此，本项目平面布局合理可行。</w:t>
      </w:r>
    </w:p>
    <w:p>
      <w:pPr>
        <w:pStyle w:val="4"/>
        <w:numPr>
          <w:ilvl w:val="0"/>
          <w:numId w:val="0"/>
        </w:numPr>
        <w:ind w:left="576" w:hanging="576"/>
        <w:rPr>
          <w:color w:val="000000" w:themeColor="text1"/>
        </w:rPr>
      </w:pPr>
      <w:bookmarkStart w:id="27" w:name="_Toc532763185"/>
      <w:bookmarkStart w:id="28" w:name="_Toc25826471"/>
      <w:bookmarkStart w:id="29" w:name="_Toc532498721"/>
      <w:bookmarkStart w:id="30" w:name="_Toc532497593"/>
      <w:bookmarkStart w:id="31" w:name="_Toc532376128"/>
      <w:r>
        <w:rPr>
          <w:rFonts w:hint="eastAsia"/>
          <w:color w:val="000000" w:themeColor="text1"/>
        </w:rPr>
        <w:t>Ⅵ本环评影响报告书的主要结论</w:t>
      </w:r>
      <w:bookmarkEnd w:id="27"/>
      <w:bookmarkEnd w:id="28"/>
      <w:bookmarkEnd w:id="29"/>
      <w:bookmarkEnd w:id="30"/>
      <w:bookmarkEnd w:id="31"/>
    </w:p>
    <w:p>
      <w:pPr>
        <w:pStyle w:val="125"/>
        <w:adjustRightInd w:val="0"/>
        <w:snapToGrid w:val="0"/>
        <w:spacing w:line="360" w:lineRule="auto"/>
        <w:jc w:val="both"/>
        <w:rPr>
          <w:rFonts w:ascii="Times New Roman" w:hAnsi="Times New Roman" w:cs="Times New Roman"/>
        </w:rPr>
      </w:pPr>
      <w:r>
        <w:rPr>
          <w:rFonts w:ascii="Times New Roman" w:hAnsi="Times New Roman" w:cs="Times New Roman"/>
          <w:color w:val="000000" w:themeColor="text1"/>
        </w:rPr>
        <w:t>本项目位于</w:t>
      </w:r>
      <w:r>
        <w:rPr>
          <w:rFonts w:ascii="Times New Roman" w:cs="Times New Roman"/>
        </w:rPr>
        <w:t>岳阳市岳阳楼区福颐路</w:t>
      </w:r>
      <w:r>
        <w:rPr>
          <w:rFonts w:ascii="Times New Roman" w:hAnsi="Times New Roman" w:cs="Times New Roman"/>
        </w:rPr>
        <w:t>48</w:t>
      </w:r>
      <w:r>
        <w:rPr>
          <w:rFonts w:ascii="Times New Roman" w:cs="Times New Roman"/>
        </w:rPr>
        <w:t>号，</w:t>
      </w:r>
      <w:r>
        <w:rPr>
          <w:rFonts w:ascii="Times New Roman" w:hAnsi="Times New Roman" w:cs="Times New Roman"/>
        </w:rPr>
        <w:t>项目建设符合国家产业政策，用地符合岳阳市土地利用和规划要求，项目选址及总平面布置基本合理，公众支持。</w:t>
      </w:r>
    </w:p>
    <w:p>
      <w:pPr>
        <w:pStyle w:val="125"/>
        <w:adjustRightInd w:val="0"/>
        <w:snapToGrid w:val="0"/>
        <w:spacing w:line="360" w:lineRule="auto"/>
        <w:jc w:val="both"/>
        <w:rPr>
          <w:rFonts w:ascii="Times New Roman" w:hAnsi="Times New Roman" w:cs="Times New Roman"/>
        </w:rPr>
      </w:pPr>
      <w:r>
        <w:rPr>
          <w:rFonts w:ascii="Times New Roman" w:hAnsi="Times New Roman" w:cs="Times New Roman"/>
        </w:rPr>
        <w:t>项目营运期主要为医疗废水、生活污水、食堂油烟、设备噪声、医疗垃圾、生活垃圾等的影响，经采取有效的环保措施后各污染物均能达标排放，对周边环境的影响较小。</w:t>
      </w:r>
    </w:p>
    <w:p>
      <w:pPr>
        <w:adjustRightInd w:val="0"/>
        <w:snapToGrid w:val="0"/>
        <w:spacing w:line="360" w:lineRule="auto"/>
        <w:ind w:firstLine="480" w:firstLineChars="200"/>
        <w:rPr>
          <w:rFonts w:cs="Times New Roman"/>
          <w:bCs/>
          <w:color w:val="000000" w:themeColor="text1"/>
        </w:rPr>
      </w:pPr>
      <w:r>
        <w:rPr>
          <w:rStyle w:val="126"/>
          <w:rFonts w:cs="Times New Roman"/>
        </w:rPr>
        <w:t>建设单位拟采取的污染防治措施技术均比较成熟、可靠，落实本报告提出的各项环保措施，加强环保设施的运行管理与维护，可以满足区域环境保护功能区划的要求，项目建设可行。</w:t>
      </w:r>
    </w:p>
    <w:p>
      <w:pPr>
        <w:adjustRightInd w:val="0"/>
        <w:snapToGrid w:val="0"/>
        <w:spacing w:line="360" w:lineRule="auto"/>
        <w:ind w:firstLine="480" w:firstLineChars="200"/>
        <w:rPr>
          <w:rFonts w:cs="Times New Roman"/>
          <w:bCs/>
          <w:color w:val="000000" w:themeColor="text1"/>
        </w:rPr>
        <w:sectPr>
          <w:headerReference r:id="rId5" w:type="default"/>
          <w:footerReference r:id="rId6" w:type="default"/>
          <w:pgSz w:w="11906" w:h="16838"/>
          <w:pgMar w:top="1440" w:right="1440" w:bottom="1440" w:left="1440" w:header="851" w:footer="680" w:gutter="0"/>
          <w:pgNumType w:start="1"/>
          <w:cols w:space="425" w:num="1"/>
          <w:docGrid w:type="lines" w:linePitch="326" w:charSpace="0"/>
        </w:sectPr>
      </w:pPr>
    </w:p>
    <w:p>
      <w:pPr>
        <w:pStyle w:val="2"/>
        <w:adjustRightInd w:val="0"/>
        <w:snapToGrid w:val="0"/>
        <w:spacing w:line="360" w:lineRule="auto"/>
        <w:rPr>
          <w:color w:val="000000" w:themeColor="text1"/>
        </w:rPr>
      </w:pPr>
      <w:bookmarkStart w:id="32" w:name="_Toc532498722"/>
      <w:bookmarkStart w:id="33" w:name="_Toc532497594"/>
      <w:bookmarkStart w:id="34" w:name="_Toc25826472"/>
      <w:bookmarkStart w:id="35" w:name="_Toc532763186"/>
      <w:bookmarkStart w:id="36" w:name="_Toc532376129"/>
      <w:r>
        <w:rPr>
          <w:rFonts w:hint="eastAsia"/>
          <w:color w:val="000000" w:themeColor="text1"/>
        </w:rPr>
        <w:t>总论</w:t>
      </w:r>
      <w:bookmarkEnd w:id="32"/>
      <w:bookmarkEnd w:id="33"/>
      <w:bookmarkEnd w:id="34"/>
      <w:bookmarkEnd w:id="35"/>
      <w:bookmarkEnd w:id="36"/>
    </w:p>
    <w:p>
      <w:pPr>
        <w:pStyle w:val="4"/>
        <w:adjustRightInd w:val="0"/>
        <w:snapToGrid w:val="0"/>
        <w:rPr>
          <w:color w:val="000000" w:themeColor="text1"/>
        </w:rPr>
      </w:pPr>
      <w:bookmarkStart w:id="37" w:name="_Toc25826473"/>
      <w:bookmarkStart w:id="38" w:name="_Toc532498723"/>
      <w:bookmarkStart w:id="39" w:name="_Toc532763187"/>
      <w:bookmarkStart w:id="40" w:name="_Toc532497595"/>
      <w:bookmarkStart w:id="41" w:name="_Toc532376130"/>
      <w:r>
        <w:rPr>
          <w:rFonts w:hint="eastAsia"/>
          <w:color w:val="000000" w:themeColor="text1"/>
        </w:rPr>
        <w:t>编制依据</w:t>
      </w:r>
      <w:bookmarkEnd w:id="37"/>
      <w:bookmarkEnd w:id="38"/>
      <w:bookmarkEnd w:id="39"/>
      <w:bookmarkEnd w:id="40"/>
      <w:bookmarkEnd w:id="41"/>
    </w:p>
    <w:p>
      <w:pPr>
        <w:pStyle w:val="5"/>
        <w:ind w:right="240"/>
        <w:rPr>
          <w:color w:val="000000" w:themeColor="text1"/>
        </w:rPr>
      </w:pPr>
      <w:bookmarkStart w:id="42" w:name="_Toc532497596"/>
      <w:r>
        <w:rPr>
          <w:rFonts w:hint="eastAsia"/>
          <w:color w:val="000000" w:themeColor="text1"/>
        </w:rPr>
        <w:t>法律法规、政策性文件</w:t>
      </w:r>
      <w:bookmarkEnd w:id="42"/>
    </w:p>
    <w:p>
      <w:pPr>
        <w:spacing w:line="360" w:lineRule="auto"/>
        <w:ind w:firstLine="480" w:firstLineChars="200"/>
        <w:rPr>
          <w:rFonts w:cs="Times New Roman"/>
        </w:rPr>
      </w:pPr>
      <w:r>
        <w:rPr>
          <w:rFonts w:cs="Times New Roman"/>
        </w:rPr>
        <w:t>（1）《中华人民共和国环境保护法》，2014年4月24日修订，2015年1月1日起实施；</w:t>
      </w:r>
    </w:p>
    <w:p>
      <w:pPr>
        <w:spacing w:line="360" w:lineRule="auto"/>
        <w:ind w:firstLine="480" w:firstLineChars="200"/>
        <w:rPr>
          <w:rFonts w:cs="Times New Roman"/>
        </w:rPr>
      </w:pPr>
      <w:r>
        <w:rPr>
          <w:rFonts w:cs="Times New Roman"/>
        </w:rPr>
        <w:t>（2）《中华人民共和国环境影响评价法》，2018年12月29日修订实施；</w:t>
      </w:r>
    </w:p>
    <w:p>
      <w:pPr>
        <w:spacing w:line="360" w:lineRule="auto"/>
        <w:ind w:firstLine="480" w:firstLineChars="200"/>
        <w:rPr>
          <w:rFonts w:cs="Times New Roman"/>
        </w:rPr>
      </w:pPr>
      <w:r>
        <w:rPr>
          <w:rFonts w:cs="Times New Roman"/>
        </w:rPr>
        <w:t>（3）《中华人民共和国水污染防治法》，2017年6月27日修订，2018年1月1日起实施；</w:t>
      </w:r>
    </w:p>
    <w:p>
      <w:pPr>
        <w:spacing w:line="360" w:lineRule="auto"/>
        <w:ind w:firstLine="480" w:firstLineChars="200"/>
        <w:rPr>
          <w:rFonts w:cs="Times New Roman"/>
        </w:rPr>
      </w:pPr>
      <w:r>
        <w:rPr>
          <w:rFonts w:cs="Times New Roman"/>
        </w:rPr>
        <w:t>（4）《中华人民共和国大气污染防治法》，2018年10月26日修订实施；</w:t>
      </w:r>
    </w:p>
    <w:p>
      <w:pPr>
        <w:spacing w:line="360" w:lineRule="auto"/>
        <w:ind w:firstLine="480" w:firstLineChars="200"/>
        <w:rPr>
          <w:rFonts w:cs="Times New Roman"/>
        </w:rPr>
      </w:pPr>
      <w:r>
        <w:rPr>
          <w:rFonts w:cs="Times New Roman"/>
        </w:rPr>
        <w:t>（5）《中华人民共和国固体废物污染环境防治法》，2016年11月7日修正，2016年11月7日起实施；</w:t>
      </w:r>
    </w:p>
    <w:p>
      <w:pPr>
        <w:spacing w:line="360" w:lineRule="auto"/>
        <w:ind w:firstLine="480" w:firstLineChars="200"/>
        <w:rPr>
          <w:rFonts w:cs="Times New Roman"/>
        </w:rPr>
      </w:pPr>
      <w:r>
        <w:rPr>
          <w:rFonts w:cs="Times New Roman"/>
        </w:rPr>
        <w:t>（6）《中华人民共和国环境噪声污染防治法》，2018年12月29日修订实施；</w:t>
      </w:r>
    </w:p>
    <w:p>
      <w:pPr>
        <w:spacing w:line="360" w:lineRule="auto"/>
        <w:ind w:firstLine="480" w:firstLineChars="200"/>
        <w:rPr>
          <w:rFonts w:cs="Times New Roman"/>
        </w:rPr>
      </w:pPr>
      <w:r>
        <w:rPr>
          <w:rFonts w:cs="Times New Roman"/>
        </w:rPr>
        <w:t>（7）《建设项目环境保护管理条例》，（国务院令第682号），2017年8月1日修订，2017年10月1日起实施；</w:t>
      </w:r>
    </w:p>
    <w:p>
      <w:pPr>
        <w:spacing w:line="360" w:lineRule="auto"/>
        <w:ind w:firstLine="480" w:firstLineChars="200"/>
        <w:rPr>
          <w:rFonts w:cs="Times New Roman"/>
        </w:rPr>
      </w:pPr>
      <w:r>
        <w:rPr>
          <w:rFonts w:cs="Times New Roman"/>
        </w:rPr>
        <w:t>（8）《建设项目环境影响评价分类管理名录》，生态环境部第1号令，2018年4月28日起实施；</w:t>
      </w:r>
    </w:p>
    <w:p>
      <w:pPr>
        <w:spacing w:line="360" w:lineRule="auto"/>
        <w:ind w:firstLine="480" w:firstLineChars="200"/>
        <w:rPr>
          <w:rFonts w:cs="Times New Roman"/>
        </w:rPr>
      </w:pPr>
      <w:r>
        <w:rPr>
          <w:rFonts w:cs="Times New Roman"/>
        </w:rPr>
        <w:t>（9）《中华人民共和国土壤污染防治法》2019年1月1日起施行；</w:t>
      </w:r>
    </w:p>
    <w:p>
      <w:pPr>
        <w:spacing w:line="360" w:lineRule="auto"/>
        <w:ind w:firstLine="480" w:firstLineChars="200"/>
        <w:rPr>
          <w:rFonts w:cs="Times New Roman"/>
        </w:rPr>
      </w:pPr>
      <w:r>
        <w:rPr>
          <w:rFonts w:cs="Times New Roman"/>
        </w:rPr>
        <w:t>（10）《环境影响评价公众参与办法》，生态环境部第4号令，2019年1月1日公布实施；</w:t>
      </w:r>
    </w:p>
    <w:p>
      <w:pPr>
        <w:spacing w:line="360" w:lineRule="auto"/>
        <w:ind w:firstLine="480" w:firstLineChars="200"/>
        <w:rPr>
          <w:rFonts w:cs="Times New Roman"/>
        </w:rPr>
      </w:pPr>
      <w:r>
        <w:rPr>
          <w:rFonts w:cs="Times New Roman"/>
        </w:rPr>
        <w:t>（12）《关于进一步加强环境影响评价管理防范环境风险的通知》，环发[2012]77号，2012年7月3日起实施；</w:t>
      </w:r>
    </w:p>
    <w:p>
      <w:pPr>
        <w:spacing w:line="360" w:lineRule="auto"/>
        <w:ind w:firstLine="480" w:firstLineChars="200"/>
        <w:rPr>
          <w:rFonts w:cs="Times New Roman"/>
          <w:color w:val="000000" w:themeColor="text1"/>
          <w:u w:val="single"/>
        </w:rPr>
      </w:pPr>
      <w:r>
        <w:rPr>
          <w:rFonts w:cs="Times New Roman"/>
          <w:color w:val="000000" w:themeColor="text1"/>
          <w:u w:val="single"/>
        </w:rPr>
        <w:t>（13）《产业结构调整指导目录（2019年本）》， 2020年1月1日起实施；</w:t>
      </w:r>
    </w:p>
    <w:p>
      <w:pPr>
        <w:spacing w:line="360" w:lineRule="auto"/>
        <w:ind w:firstLine="480" w:firstLineChars="200"/>
        <w:rPr>
          <w:rFonts w:cs="Times New Roman"/>
        </w:rPr>
      </w:pPr>
      <w:r>
        <w:rPr>
          <w:rFonts w:cs="Times New Roman"/>
        </w:rPr>
        <w:t>（14）《危险废物污染防治技术政策》，环发[2001]199号，2001年12月17日；</w:t>
      </w:r>
    </w:p>
    <w:p>
      <w:pPr>
        <w:spacing w:line="360" w:lineRule="auto"/>
        <w:ind w:firstLine="480" w:firstLineChars="200"/>
        <w:rPr>
          <w:rFonts w:cs="Times New Roman"/>
        </w:rPr>
      </w:pPr>
      <w:r>
        <w:rPr>
          <w:rFonts w:cs="Times New Roman"/>
        </w:rPr>
        <w:t>（15）关于发布《一般工业固体废物贮存、处置场污染控制标准》（GB18599-2001）等3项国家污染物控制标准修改单的公告，环保部公告2013年第36号；</w:t>
      </w:r>
    </w:p>
    <w:p>
      <w:pPr>
        <w:spacing w:line="360" w:lineRule="auto"/>
        <w:ind w:firstLine="480" w:firstLineChars="200"/>
        <w:rPr>
          <w:rFonts w:cs="Times New Roman"/>
        </w:rPr>
      </w:pPr>
      <w:r>
        <w:rPr>
          <w:rFonts w:cs="Times New Roman"/>
        </w:rPr>
        <w:t>（16）《医疗废物分类目录》，卫医发[2003]287号；</w:t>
      </w:r>
    </w:p>
    <w:p>
      <w:pPr>
        <w:adjustRightInd w:val="0"/>
        <w:snapToGrid w:val="0"/>
        <w:spacing w:line="360" w:lineRule="auto"/>
        <w:ind w:firstLine="480" w:firstLineChars="200"/>
        <w:rPr>
          <w:rFonts w:cs="Times New Roman"/>
          <w:szCs w:val="24"/>
        </w:rPr>
      </w:pPr>
      <w:r>
        <w:rPr>
          <w:rFonts w:cs="Times New Roman"/>
        </w:rPr>
        <w:t>（17）</w:t>
      </w:r>
      <w:r>
        <w:rPr>
          <w:rFonts w:hAnsi="宋体" w:cs="Times New Roman"/>
          <w:szCs w:val="24"/>
        </w:rPr>
        <w:t>《医疗废物管理条例》，国务院</w:t>
      </w:r>
      <w:r>
        <w:rPr>
          <w:rFonts w:cs="Times New Roman"/>
          <w:szCs w:val="24"/>
        </w:rPr>
        <w:t>[2003]</w:t>
      </w:r>
      <w:r>
        <w:rPr>
          <w:rFonts w:hAnsi="宋体" w:cs="Times New Roman"/>
          <w:szCs w:val="24"/>
        </w:rPr>
        <w:t>第</w:t>
      </w:r>
      <w:r>
        <w:rPr>
          <w:rFonts w:cs="Times New Roman"/>
          <w:szCs w:val="24"/>
        </w:rPr>
        <w:t xml:space="preserve"> 380 </w:t>
      </w:r>
      <w:r>
        <w:rPr>
          <w:rFonts w:hAnsi="宋体" w:cs="Times New Roman"/>
          <w:szCs w:val="24"/>
        </w:rPr>
        <w:t>号令），</w:t>
      </w:r>
      <w:r>
        <w:rPr>
          <w:rFonts w:cs="Times New Roman"/>
          <w:szCs w:val="24"/>
        </w:rPr>
        <w:t xml:space="preserve">2003 </w:t>
      </w:r>
      <w:r>
        <w:rPr>
          <w:rFonts w:hAnsi="宋体" w:cs="Times New Roman"/>
          <w:szCs w:val="24"/>
        </w:rPr>
        <w:t>年</w:t>
      </w:r>
      <w:r>
        <w:rPr>
          <w:rFonts w:cs="Times New Roman"/>
          <w:szCs w:val="24"/>
        </w:rPr>
        <w:t xml:space="preserve"> 6 </w:t>
      </w:r>
      <w:r>
        <w:rPr>
          <w:rFonts w:hAnsi="宋体" w:cs="Times New Roman"/>
          <w:szCs w:val="24"/>
        </w:rPr>
        <w:t>月</w:t>
      </w:r>
      <w:r>
        <w:rPr>
          <w:rFonts w:cs="Times New Roman"/>
          <w:szCs w:val="24"/>
        </w:rPr>
        <w:t xml:space="preserve"> 16 </w:t>
      </w:r>
      <w:r>
        <w:rPr>
          <w:rFonts w:hAnsi="宋体" w:cs="Times New Roman"/>
          <w:szCs w:val="24"/>
        </w:rPr>
        <w:t>日；</w:t>
      </w:r>
    </w:p>
    <w:p>
      <w:pPr>
        <w:spacing w:line="360" w:lineRule="auto"/>
        <w:ind w:firstLine="480" w:firstLineChars="200"/>
        <w:rPr>
          <w:rFonts w:cs="Times New Roman"/>
        </w:rPr>
      </w:pPr>
      <w:r>
        <w:rPr>
          <w:rFonts w:cs="Times New Roman"/>
        </w:rPr>
        <w:t>（18）《国家危险废物名录》，环境保护部令第39号，2016年8月1日施行；</w:t>
      </w:r>
    </w:p>
    <w:p>
      <w:pPr>
        <w:adjustRightInd w:val="0"/>
        <w:snapToGrid w:val="0"/>
        <w:spacing w:line="360" w:lineRule="auto"/>
        <w:ind w:firstLine="480" w:firstLineChars="200"/>
        <w:rPr>
          <w:rFonts w:hAnsi="宋体" w:cs="Times New Roman"/>
          <w:szCs w:val="24"/>
        </w:rPr>
      </w:pPr>
      <w:r>
        <w:rPr>
          <w:rFonts w:cs="Times New Roman"/>
        </w:rPr>
        <w:t>（19）</w:t>
      </w:r>
      <w:r>
        <w:rPr>
          <w:rFonts w:hAnsi="宋体" w:cs="Times New Roman"/>
          <w:szCs w:val="24"/>
        </w:rPr>
        <w:t>《关于发布</w:t>
      </w:r>
      <w:r>
        <w:rPr>
          <w:rFonts w:cs="Times New Roman"/>
          <w:szCs w:val="24"/>
        </w:rPr>
        <w:t>&lt;</w:t>
      </w:r>
      <w:r>
        <w:rPr>
          <w:rFonts w:hAnsi="宋体" w:cs="Times New Roman"/>
          <w:szCs w:val="24"/>
        </w:rPr>
        <w:t>建设项目危险废物环境影响评价指南</w:t>
      </w:r>
      <w:r>
        <w:rPr>
          <w:rFonts w:cs="Times New Roman"/>
          <w:szCs w:val="24"/>
        </w:rPr>
        <w:t>&gt;</w:t>
      </w:r>
      <w:r>
        <w:rPr>
          <w:rFonts w:hAnsi="宋体" w:cs="Times New Roman"/>
          <w:szCs w:val="24"/>
        </w:rPr>
        <w:t>的公告》，环境保护部公告</w:t>
      </w:r>
      <w:r>
        <w:rPr>
          <w:rFonts w:cs="Times New Roman"/>
          <w:szCs w:val="24"/>
        </w:rPr>
        <w:t>2017</w:t>
      </w:r>
      <w:r>
        <w:rPr>
          <w:rFonts w:hAnsi="宋体" w:cs="Times New Roman"/>
          <w:szCs w:val="24"/>
        </w:rPr>
        <w:t>年第</w:t>
      </w:r>
      <w:r>
        <w:rPr>
          <w:rFonts w:cs="Times New Roman"/>
          <w:szCs w:val="24"/>
        </w:rPr>
        <w:t>43</w:t>
      </w:r>
      <w:r>
        <w:rPr>
          <w:rFonts w:hAnsi="宋体" w:cs="Times New Roman"/>
          <w:szCs w:val="24"/>
        </w:rPr>
        <w:t>号，</w:t>
      </w:r>
      <w:r>
        <w:rPr>
          <w:rFonts w:cs="Times New Roman"/>
          <w:szCs w:val="24"/>
        </w:rPr>
        <w:t>2017</w:t>
      </w:r>
      <w:r>
        <w:rPr>
          <w:rFonts w:hAnsi="宋体" w:cs="Times New Roman"/>
          <w:szCs w:val="24"/>
        </w:rPr>
        <w:t>年</w:t>
      </w:r>
      <w:r>
        <w:rPr>
          <w:rFonts w:cs="Times New Roman"/>
          <w:szCs w:val="24"/>
        </w:rPr>
        <w:t>8</w:t>
      </w:r>
      <w:r>
        <w:rPr>
          <w:rFonts w:hAnsi="宋体" w:cs="Times New Roman"/>
          <w:szCs w:val="24"/>
        </w:rPr>
        <w:t>月</w:t>
      </w:r>
      <w:r>
        <w:rPr>
          <w:rFonts w:cs="Times New Roman"/>
          <w:szCs w:val="24"/>
        </w:rPr>
        <w:t>29</w:t>
      </w:r>
      <w:r>
        <w:rPr>
          <w:rFonts w:hAnsi="宋体" w:cs="Times New Roman"/>
          <w:szCs w:val="24"/>
        </w:rPr>
        <w:t>日。</w:t>
      </w:r>
    </w:p>
    <w:p>
      <w:pPr>
        <w:adjustRightInd w:val="0"/>
        <w:snapToGrid w:val="0"/>
        <w:spacing w:line="360" w:lineRule="auto"/>
        <w:ind w:firstLine="480" w:firstLineChars="200"/>
        <w:rPr>
          <w:rFonts w:hAnsi="宋体" w:cs="Times New Roman"/>
          <w:szCs w:val="24"/>
        </w:rPr>
      </w:pPr>
      <w:r>
        <w:rPr>
          <w:rFonts w:hint="eastAsia" w:hAnsi="宋体" w:cs="Times New Roman"/>
          <w:szCs w:val="24"/>
        </w:rPr>
        <w:t>（20）</w:t>
      </w:r>
      <w:r>
        <w:rPr>
          <w:rFonts w:hAnsi="宋体" w:cs="Times New Roman"/>
          <w:szCs w:val="24"/>
        </w:rPr>
        <w:t>《医疗废物集中处置技术规范》（环发[2003]206 号，2003年12月26日起实施）；</w:t>
      </w:r>
    </w:p>
    <w:p>
      <w:pPr>
        <w:adjustRightInd w:val="0"/>
        <w:snapToGrid w:val="0"/>
        <w:spacing w:line="360" w:lineRule="auto"/>
        <w:ind w:firstLine="480" w:firstLineChars="200"/>
        <w:rPr>
          <w:rFonts w:cs="Times New Roman"/>
          <w:szCs w:val="24"/>
        </w:rPr>
      </w:pPr>
      <w:r>
        <w:rPr>
          <w:rFonts w:hint="eastAsia" w:cs="Times New Roman"/>
          <w:szCs w:val="24"/>
        </w:rPr>
        <w:t>（21）</w:t>
      </w:r>
      <w:r>
        <w:rPr>
          <w:rFonts w:cs="Times New Roman"/>
          <w:szCs w:val="24"/>
        </w:rPr>
        <w:t>《医疗废物专用包装物、 容器标准和警示标识规定》(环发[2003]188号， 2003 年 1 月 11 日起实施)；</w:t>
      </w:r>
    </w:p>
    <w:p>
      <w:pPr>
        <w:adjustRightInd w:val="0"/>
        <w:snapToGrid w:val="0"/>
        <w:spacing w:line="360" w:lineRule="auto"/>
        <w:ind w:firstLine="480" w:firstLineChars="200"/>
        <w:rPr>
          <w:rFonts w:cs="Times New Roman"/>
          <w:szCs w:val="24"/>
        </w:rPr>
      </w:pPr>
      <w:r>
        <w:rPr>
          <w:rFonts w:hint="eastAsia" w:cs="Times New Roman"/>
          <w:szCs w:val="24"/>
        </w:rPr>
        <w:t>（22）</w:t>
      </w:r>
      <w:r>
        <w:rPr>
          <w:rFonts w:cs="Times New Roman"/>
          <w:szCs w:val="24"/>
        </w:rPr>
        <w:t>《医院污水处理技术指南》（环发[2003]197号，2003年12月10日施行）。</w:t>
      </w:r>
    </w:p>
    <w:p>
      <w:pPr>
        <w:pStyle w:val="5"/>
        <w:rPr>
          <w:color w:val="000000" w:themeColor="text1"/>
        </w:rPr>
      </w:pPr>
      <w:bookmarkStart w:id="43" w:name="_Toc532497597"/>
      <w:r>
        <w:rPr>
          <w:rFonts w:hint="eastAsia"/>
          <w:color w:val="000000" w:themeColor="text1"/>
        </w:rPr>
        <w:t>地方性法律法规、政策性文件</w:t>
      </w:r>
      <w:bookmarkEnd w:id="43"/>
    </w:p>
    <w:p>
      <w:pPr>
        <w:pStyle w:val="64"/>
        <w:numPr>
          <w:ilvl w:val="0"/>
          <w:numId w:val="3"/>
        </w:numPr>
        <w:adjustRightInd w:val="0"/>
        <w:snapToGrid w:val="0"/>
        <w:spacing w:line="360" w:lineRule="auto"/>
        <w:ind w:firstLine="480"/>
        <w:rPr>
          <w:rFonts w:cs="Times New Roman"/>
          <w:color w:val="000000" w:themeColor="text1"/>
          <w:szCs w:val="24"/>
        </w:rPr>
      </w:pPr>
      <w:r>
        <w:rPr>
          <w:rFonts w:cs="Times New Roman"/>
          <w:color w:val="000000" w:themeColor="text1"/>
          <w:szCs w:val="24"/>
        </w:rPr>
        <w:t>《湖南省主要水系地表水环境功能区划》（DB43/023-2005）；</w:t>
      </w:r>
    </w:p>
    <w:p>
      <w:pPr>
        <w:pStyle w:val="64"/>
        <w:numPr>
          <w:ilvl w:val="0"/>
          <w:numId w:val="3"/>
        </w:numPr>
        <w:adjustRightInd w:val="0"/>
        <w:snapToGrid w:val="0"/>
        <w:spacing w:line="360" w:lineRule="auto"/>
        <w:ind w:firstLine="480"/>
        <w:rPr>
          <w:rFonts w:cs="Times New Roman"/>
          <w:color w:val="000000" w:themeColor="text1"/>
          <w:szCs w:val="24"/>
        </w:rPr>
      </w:pPr>
      <w:r>
        <w:rPr>
          <w:rFonts w:cs="Times New Roman"/>
          <w:color w:val="000000" w:themeColor="text1"/>
          <w:szCs w:val="24"/>
        </w:rPr>
        <w:t>《湖南省建设项目环境保护管理办法》（湖南省人民政府令（第215号））；</w:t>
      </w:r>
    </w:p>
    <w:p>
      <w:pPr>
        <w:pStyle w:val="64"/>
        <w:numPr>
          <w:ilvl w:val="0"/>
          <w:numId w:val="3"/>
        </w:numPr>
        <w:adjustRightInd w:val="0"/>
        <w:snapToGrid w:val="0"/>
        <w:spacing w:line="360" w:lineRule="auto"/>
        <w:ind w:firstLine="480"/>
        <w:rPr>
          <w:rFonts w:cs="Times New Roman"/>
          <w:color w:val="000000" w:themeColor="text1"/>
          <w:szCs w:val="24"/>
        </w:rPr>
      </w:pPr>
      <w:r>
        <w:rPr>
          <w:rFonts w:cs="Times New Roman"/>
          <w:color w:val="000000" w:themeColor="text1"/>
          <w:szCs w:val="24"/>
        </w:rPr>
        <w:t>《湖南省环境保护条例（2019年修正）》湖南省人大常委会；</w:t>
      </w:r>
    </w:p>
    <w:p>
      <w:pPr>
        <w:pStyle w:val="64"/>
        <w:numPr>
          <w:ilvl w:val="0"/>
          <w:numId w:val="3"/>
        </w:numPr>
        <w:adjustRightInd w:val="0"/>
        <w:snapToGrid w:val="0"/>
        <w:spacing w:line="360" w:lineRule="auto"/>
        <w:ind w:firstLineChars="0"/>
        <w:rPr>
          <w:rFonts w:cs="Times New Roman"/>
        </w:rPr>
      </w:pPr>
      <w:r>
        <w:rPr>
          <w:rFonts w:hAnsi="宋体" w:cs="Times New Roman"/>
          <w:szCs w:val="24"/>
        </w:rPr>
        <w:t>《湖南省</w:t>
      </w:r>
      <w:r>
        <w:rPr>
          <w:rFonts w:cs="Times New Roman"/>
          <w:szCs w:val="24"/>
        </w:rPr>
        <w:t>“</w:t>
      </w:r>
      <w:r>
        <w:rPr>
          <w:rFonts w:hAnsi="宋体" w:cs="Times New Roman"/>
          <w:szCs w:val="24"/>
        </w:rPr>
        <w:t>十三五</w:t>
      </w:r>
      <w:r>
        <w:rPr>
          <w:rFonts w:cs="Times New Roman"/>
          <w:szCs w:val="24"/>
        </w:rPr>
        <w:t>”</w:t>
      </w:r>
      <w:r>
        <w:rPr>
          <w:rFonts w:hAnsi="宋体" w:cs="Times New Roman"/>
          <w:szCs w:val="24"/>
        </w:rPr>
        <w:t>环境保护规划》，湘政办发〔</w:t>
      </w:r>
      <w:r>
        <w:rPr>
          <w:rFonts w:cs="Times New Roman"/>
          <w:szCs w:val="24"/>
        </w:rPr>
        <w:t>2016</w:t>
      </w:r>
      <w:r>
        <w:rPr>
          <w:rFonts w:hAnsi="宋体" w:cs="Times New Roman"/>
          <w:szCs w:val="24"/>
        </w:rPr>
        <w:t>〕</w:t>
      </w:r>
      <w:r>
        <w:rPr>
          <w:rFonts w:cs="Times New Roman"/>
          <w:szCs w:val="24"/>
        </w:rPr>
        <w:t>25</w:t>
      </w:r>
      <w:r>
        <w:rPr>
          <w:rFonts w:hAnsi="宋体" w:cs="Times New Roman"/>
          <w:szCs w:val="24"/>
        </w:rPr>
        <w:t>号；</w:t>
      </w:r>
    </w:p>
    <w:p>
      <w:pPr>
        <w:pStyle w:val="64"/>
        <w:numPr>
          <w:ilvl w:val="0"/>
          <w:numId w:val="3"/>
        </w:numPr>
        <w:adjustRightInd w:val="0"/>
        <w:snapToGrid w:val="0"/>
        <w:spacing w:line="360" w:lineRule="auto"/>
        <w:ind w:firstLine="480"/>
        <w:rPr>
          <w:rFonts w:cs="Times New Roman"/>
          <w:color w:val="000000" w:themeColor="text1"/>
          <w:szCs w:val="24"/>
        </w:rPr>
      </w:pPr>
      <w:r>
        <w:rPr>
          <w:rFonts w:cs="Times New Roman"/>
          <w:color w:val="000000" w:themeColor="text1"/>
          <w:szCs w:val="24"/>
        </w:rPr>
        <w:t>《湖南省污染防治攻坚战三年行动计划（2018-2020年）》（湘政发[2018]17号）；</w:t>
      </w:r>
    </w:p>
    <w:p>
      <w:pPr>
        <w:pStyle w:val="64"/>
        <w:numPr>
          <w:ilvl w:val="0"/>
          <w:numId w:val="3"/>
        </w:numPr>
        <w:adjustRightInd w:val="0"/>
        <w:snapToGrid w:val="0"/>
        <w:spacing w:line="360" w:lineRule="auto"/>
        <w:ind w:firstLine="480"/>
        <w:rPr>
          <w:rFonts w:cs="Times New Roman"/>
          <w:color w:val="000000" w:themeColor="text1"/>
          <w:szCs w:val="24"/>
        </w:rPr>
      </w:pPr>
      <w:r>
        <w:rPr>
          <w:rFonts w:cs="Times New Roman"/>
          <w:color w:val="000000" w:themeColor="text1"/>
          <w:szCs w:val="24"/>
        </w:rPr>
        <w:t>《湖南省人民政府关于印发《湖南省生态保护红线的通知》》（湘政发[2018]20号）；</w:t>
      </w:r>
    </w:p>
    <w:p>
      <w:pPr>
        <w:pStyle w:val="64"/>
        <w:numPr>
          <w:ilvl w:val="0"/>
          <w:numId w:val="3"/>
        </w:numPr>
        <w:adjustRightInd w:val="0"/>
        <w:snapToGrid w:val="0"/>
        <w:spacing w:line="360" w:lineRule="auto"/>
        <w:ind w:firstLine="480"/>
        <w:rPr>
          <w:rFonts w:cs="Times New Roman"/>
          <w:color w:val="000000" w:themeColor="text1"/>
          <w:szCs w:val="24"/>
        </w:rPr>
      </w:pPr>
      <w:r>
        <w:rPr>
          <w:rFonts w:cs="Times New Roman"/>
          <w:color w:val="000000" w:themeColor="text1"/>
          <w:szCs w:val="24"/>
        </w:rPr>
        <w:t>《湖南省蓝天保卫战实施方案》（2018-2020年）；</w:t>
      </w:r>
    </w:p>
    <w:p>
      <w:pPr>
        <w:pStyle w:val="64"/>
        <w:numPr>
          <w:ilvl w:val="0"/>
          <w:numId w:val="3"/>
        </w:numPr>
        <w:adjustRightInd w:val="0"/>
        <w:snapToGrid w:val="0"/>
        <w:spacing w:line="360" w:lineRule="auto"/>
        <w:ind w:firstLine="480"/>
        <w:rPr>
          <w:rFonts w:cs="Times New Roman"/>
          <w:color w:val="000000" w:themeColor="text1"/>
          <w:szCs w:val="24"/>
        </w:rPr>
      </w:pPr>
      <w:r>
        <w:rPr>
          <w:rFonts w:cs="Times New Roman"/>
        </w:rPr>
        <w:t>湖南省地方标准《用水定额》（DB43/T388-2014）；</w:t>
      </w:r>
    </w:p>
    <w:p>
      <w:pPr>
        <w:pStyle w:val="64"/>
        <w:numPr>
          <w:ilvl w:val="0"/>
          <w:numId w:val="3"/>
        </w:numPr>
        <w:adjustRightInd w:val="0"/>
        <w:snapToGrid w:val="0"/>
        <w:spacing w:line="360" w:lineRule="auto"/>
        <w:ind w:firstLine="480"/>
        <w:rPr>
          <w:rFonts w:cs="Times New Roman"/>
          <w:color w:val="000000" w:themeColor="text1"/>
          <w:szCs w:val="24"/>
        </w:rPr>
      </w:pPr>
      <w:r>
        <w:rPr>
          <w:rFonts w:cs="Times New Roman"/>
        </w:rPr>
        <w:t>岳阳市人民政府办公室关于印发《岳阳市水环境功能区管理规定》和《岳阳市水环境功能区划分》的通知（岳政办发[2010]30号）；</w:t>
      </w:r>
    </w:p>
    <w:p>
      <w:pPr>
        <w:pStyle w:val="95"/>
        <w:numPr>
          <w:ilvl w:val="0"/>
          <w:numId w:val="3"/>
        </w:numPr>
        <w:spacing w:line="360" w:lineRule="auto"/>
        <w:ind w:firstLine="480"/>
        <w:rPr>
          <w:color w:val="000000" w:themeColor="text1"/>
          <w:szCs w:val="24"/>
        </w:rPr>
      </w:pPr>
      <w:r>
        <w:t>岳阳市贯彻落实《大气污染防治行动计划》实施方案，岳政办发〔2014〕17号。</w:t>
      </w:r>
    </w:p>
    <w:p>
      <w:pPr>
        <w:pStyle w:val="5"/>
        <w:ind w:right="240"/>
        <w:rPr>
          <w:color w:val="000000" w:themeColor="text1"/>
        </w:rPr>
      </w:pPr>
      <w:bookmarkStart w:id="44" w:name="_Toc532497598"/>
      <w:r>
        <w:rPr>
          <w:rFonts w:hint="eastAsia"/>
          <w:color w:val="000000" w:themeColor="text1"/>
        </w:rPr>
        <w:t>环境影响评价技术导则与规范</w:t>
      </w:r>
      <w:bookmarkEnd w:id="44"/>
    </w:p>
    <w:p>
      <w:pPr>
        <w:pStyle w:val="64"/>
        <w:numPr>
          <w:ilvl w:val="0"/>
          <w:numId w:val="4"/>
        </w:numPr>
        <w:adjustRightInd w:val="0"/>
        <w:snapToGrid w:val="0"/>
        <w:spacing w:line="360" w:lineRule="auto"/>
        <w:ind w:firstLineChars="0"/>
        <w:rPr>
          <w:color w:val="000000" w:themeColor="text1"/>
          <w:szCs w:val="24"/>
        </w:rPr>
      </w:pPr>
      <w:r>
        <w:rPr>
          <w:color w:val="000000" w:themeColor="text1"/>
          <w:szCs w:val="24"/>
        </w:rPr>
        <w:t>《</w:t>
      </w:r>
      <w:r>
        <w:rPr>
          <w:rFonts w:hint="eastAsia"/>
          <w:color w:val="000000" w:themeColor="text1"/>
          <w:szCs w:val="24"/>
        </w:rPr>
        <w:t>建设项目</w:t>
      </w:r>
      <w:r>
        <w:rPr>
          <w:color w:val="000000" w:themeColor="text1"/>
          <w:szCs w:val="24"/>
        </w:rPr>
        <w:t>环境影响评价技术导则—总纲》（HJ2.1-20</w:t>
      </w:r>
      <w:r>
        <w:rPr>
          <w:rFonts w:hint="eastAsia"/>
          <w:color w:val="000000" w:themeColor="text1"/>
          <w:szCs w:val="24"/>
        </w:rPr>
        <w:t>16</w:t>
      </w:r>
      <w:r>
        <w:rPr>
          <w:color w:val="000000" w:themeColor="text1"/>
          <w:szCs w:val="24"/>
        </w:rPr>
        <w:t>）</w:t>
      </w:r>
      <w:r>
        <w:rPr>
          <w:rFonts w:hint="eastAsia"/>
          <w:color w:val="000000" w:themeColor="text1"/>
          <w:szCs w:val="24"/>
        </w:rPr>
        <w:t>；</w:t>
      </w:r>
    </w:p>
    <w:p>
      <w:pPr>
        <w:pStyle w:val="64"/>
        <w:numPr>
          <w:ilvl w:val="0"/>
          <w:numId w:val="4"/>
        </w:numPr>
        <w:adjustRightInd w:val="0"/>
        <w:snapToGrid w:val="0"/>
        <w:spacing w:line="360" w:lineRule="auto"/>
        <w:ind w:firstLineChars="0"/>
        <w:rPr>
          <w:color w:val="000000" w:themeColor="text1"/>
          <w:szCs w:val="24"/>
        </w:rPr>
      </w:pPr>
      <w:r>
        <w:rPr>
          <w:color w:val="000000" w:themeColor="text1"/>
          <w:szCs w:val="24"/>
        </w:rPr>
        <w:t>《环境影响评价技术导则—大气环境》（HJ2.2-20</w:t>
      </w:r>
      <w:r>
        <w:rPr>
          <w:rFonts w:hint="eastAsia"/>
          <w:color w:val="000000" w:themeColor="text1"/>
          <w:szCs w:val="24"/>
        </w:rPr>
        <w:t>1</w:t>
      </w:r>
      <w:r>
        <w:rPr>
          <w:color w:val="000000" w:themeColor="text1"/>
          <w:szCs w:val="24"/>
        </w:rPr>
        <w:t>8）</w:t>
      </w:r>
      <w:r>
        <w:rPr>
          <w:rFonts w:hint="eastAsia"/>
          <w:color w:val="000000" w:themeColor="text1"/>
          <w:szCs w:val="24"/>
        </w:rPr>
        <w:t>；</w:t>
      </w:r>
    </w:p>
    <w:p>
      <w:pPr>
        <w:pStyle w:val="64"/>
        <w:numPr>
          <w:ilvl w:val="0"/>
          <w:numId w:val="4"/>
        </w:numPr>
        <w:adjustRightInd w:val="0"/>
        <w:snapToGrid w:val="0"/>
        <w:spacing w:line="360" w:lineRule="auto"/>
        <w:ind w:firstLineChars="0"/>
        <w:rPr>
          <w:color w:val="000000" w:themeColor="text1"/>
          <w:szCs w:val="24"/>
        </w:rPr>
      </w:pPr>
      <w:r>
        <w:rPr>
          <w:color w:val="000000" w:themeColor="text1"/>
          <w:szCs w:val="24"/>
        </w:rPr>
        <w:t>《环境影响评价技术导则—</w:t>
      </w:r>
      <w:r>
        <w:rPr>
          <w:rFonts w:hint="eastAsia"/>
          <w:color w:val="000000" w:themeColor="text1"/>
          <w:szCs w:val="24"/>
        </w:rPr>
        <w:t>地面</w:t>
      </w:r>
      <w:r>
        <w:rPr>
          <w:color w:val="000000" w:themeColor="text1"/>
          <w:szCs w:val="24"/>
        </w:rPr>
        <w:t>水环境》（HJ2.3-</w:t>
      </w:r>
      <w:r>
        <w:rPr>
          <w:rFonts w:hint="eastAsia"/>
          <w:color w:val="000000" w:themeColor="text1"/>
          <w:szCs w:val="24"/>
        </w:rPr>
        <w:t>2018</w:t>
      </w:r>
      <w:r>
        <w:rPr>
          <w:color w:val="000000" w:themeColor="text1"/>
          <w:szCs w:val="24"/>
        </w:rPr>
        <w:t>）</w:t>
      </w:r>
      <w:r>
        <w:rPr>
          <w:rFonts w:hint="eastAsia"/>
          <w:color w:val="000000" w:themeColor="text1"/>
          <w:szCs w:val="24"/>
        </w:rPr>
        <w:t>；</w:t>
      </w:r>
    </w:p>
    <w:p>
      <w:pPr>
        <w:pStyle w:val="64"/>
        <w:numPr>
          <w:ilvl w:val="0"/>
          <w:numId w:val="4"/>
        </w:numPr>
        <w:adjustRightInd w:val="0"/>
        <w:snapToGrid w:val="0"/>
        <w:spacing w:line="360" w:lineRule="auto"/>
        <w:ind w:firstLineChars="0"/>
        <w:rPr>
          <w:color w:val="000000" w:themeColor="text1"/>
          <w:szCs w:val="24"/>
        </w:rPr>
      </w:pPr>
      <w:r>
        <w:rPr>
          <w:color w:val="000000" w:themeColor="text1"/>
          <w:szCs w:val="24"/>
        </w:rPr>
        <w:t>《环境影响评价技术导则—地下水环境》（HJ 610-2016）</w:t>
      </w:r>
      <w:r>
        <w:rPr>
          <w:rFonts w:hint="eastAsia"/>
          <w:color w:val="000000" w:themeColor="text1"/>
          <w:szCs w:val="24"/>
        </w:rPr>
        <w:t>；</w:t>
      </w:r>
    </w:p>
    <w:p>
      <w:pPr>
        <w:pStyle w:val="64"/>
        <w:numPr>
          <w:ilvl w:val="0"/>
          <w:numId w:val="4"/>
        </w:numPr>
        <w:adjustRightInd w:val="0"/>
        <w:snapToGrid w:val="0"/>
        <w:spacing w:line="360" w:lineRule="auto"/>
        <w:ind w:firstLineChars="0"/>
        <w:rPr>
          <w:color w:val="000000" w:themeColor="text1"/>
          <w:szCs w:val="24"/>
        </w:rPr>
      </w:pPr>
      <w:r>
        <w:rPr>
          <w:color w:val="000000" w:themeColor="text1"/>
          <w:szCs w:val="24"/>
        </w:rPr>
        <w:t>《环境影响评价技术导则—声环境》（HJ2.4-2009）</w:t>
      </w:r>
      <w:r>
        <w:rPr>
          <w:rFonts w:hint="eastAsia"/>
          <w:color w:val="000000" w:themeColor="text1"/>
          <w:szCs w:val="24"/>
        </w:rPr>
        <w:t>；</w:t>
      </w:r>
    </w:p>
    <w:p>
      <w:pPr>
        <w:pStyle w:val="64"/>
        <w:numPr>
          <w:ilvl w:val="0"/>
          <w:numId w:val="4"/>
        </w:numPr>
        <w:adjustRightInd w:val="0"/>
        <w:snapToGrid w:val="0"/>
        <w:spacing w:line="360" w:lineRule="auto"/>
        <w:ind w:firstLineChars="0"/>
        <w:rPr>
          <w:color w:val="000000" w:themeColor="text1"/>
          <w:szCs w:val="24"/>
        </w:rPr>
      </w:pPr>
      <w:r>
        <w:rPr>
          <w:color w:val="000000" w:themeColor="text1"/>
          <w:szCs w:val="24"/>
        </w:rPr>
        <w:t>《环境影响评价技术导则—生态影响》（HJ19-2011）</w:t>
      </w:r>
      <w:r>
        <w:rPr>
          <w:rFonts w:hint="eastAsia"/>
          <w:color w:val="000000" w:themeColor="text1"/>
          <w:szCs w:val="24"/>
        </w:rPr>
        <w:t>；</w:t>
      </w:r>
    </w:p>
    <w:p>
      <w:pPr>
        <w:pStyle w:val="64"/>
        <w:numPr>
          <w:ilvl w:val="0"/>
          <w:numId w:val="4"/>
        </w:numPr>
        <w:adjustRightInd w:val="0"/>
        <w:snapToGrid w:val="0"/>
        <w:spacing w:line="360" w:lineRule="auto"/>
        <w:ind w:firstLineChars="0"/>
        <w:rPr>
          <w:color w:val="000000"/>
          <w:szCs w:val="24"/>
        </w:rPr>
      </w:pPr>
      <w:r>
        <w:rPr>
          <w:rFonts w:eastAsia="宋体" w:cs="Times New Roman"/>
          <w:color w:val="000000"/>
          <w:szCs w:val="24"/>
        </w:rPr>
        <w:t>《环境影响评价技术导则—土壤环境》（HJ964-2018）</w:t>
      </w:r>
      <w:r>
        <w:rPr>
          <w:rFonts w:hint="eastAsia"/>
          <w:color w:val="000000"/>
          <w:szCs w:val="24"/>
        </w:rPr>
        <w:t>；</w:t>
      </w:r>
    </w:p>
    <w:p>
      <w:pPr>
        <w:pStyle w:val="64"/>
        <w:numPr>
          <w:ilvl w:val="0"/>
          <w:numId w:val="4"/>
        </w:numPr>
        <w:adjustRightInd w:val="0"/>
        <w:snapToGrid w:val="0"/>
        <w:spacing w:line="360" w:lineRule="auto"/>
        <w:ind w:firstLineChars="0"/>
        <w:rPr>
          <w:color w:val="000000" w:themeColor="text1"/>
          <w:szCs w:val="24"/>
        </w:rPr>
      </w:pPr>
      <w:r>
        <w:rPr>
          <w:color w:val="000000" w:themeColor="text1"/>
          <w:szCs w:val="24"/>
        </w:rPr>
        <w:t>《建设项目风险评价技术导则》（HJ169-20</w:t>
      </w:r>
      <w:r>
        <w:rPr>
          <w:rFonts w:hint="eastAsia"/>
          <w:color w:val="000000" w:themeColor="text1"/>
          <w:szCs w:val="24"/>
        </w:rPr>
        <w:t>18</w:t>
      </w:r>
      <w:r>
        <w:rPr>
          <w:color w:val="000000" w:themeColor="text1"/>
          <w:szCs w:val="24"/>
        </w:rPr>
        <w:t>）；</w:t>
      </w:r>
    </w:p>
    <w:p>
      <w:pPr>
        <w:pStyle w:val="64"/>
        <w:numPr>
          <w:ilvl w:val="0"/>
          <w:numId w:val="4"/>
        </w:numPr>
        <w:adjustRightInd w:val="0"/>
        <w:snapToGrid w:val="0"/>
        <w:spacing w:line="360" w:lineRule="auto"/>
        <w:ind w:firstLineChars="0"/>
        <w:rPr>
          <w:color w:val="000000" w:themeColor="text1"/>
          <w:kern w:val="10"/>
          <w:szCs w:val="24"/>
          <w:lang w:val="zh-CN"/>
        </w:rPr>
      </w:pPr>
      <w:r>
        <w:rPr>
          <w:rFonts w:hint="eastAsia"/>
        </w:rPr>
        <w:t>《医院污水处理工程技术规范》（HJ2029-2013）。</w:t>
      </w:r>
    </w:p>
    <w:p>
      <w:pPr>
        <w:pStyle w:val="5"/>
        <w:ind w:right="240"/>
        <w:rPr>
          <w:color w:val="000000" w:themeColor="text1"/>
          <w:kern w:val="10"/>
          <w:lang w:val="zh-CN"/>
        </w:rPr>
      </w:pPr>
      <w:bookmarkStart w:id="45" w:name="_Toc532497599"/>
      <w:r>
        <w:rPr>
          <w:rFonts w:hint="eastAsia"/>
          <w:color w:val="000000" w:themeColor="text1"/>
          <w:kern w:val="10"/>
          <w:lang w:val="zh-CN"/>
        </w:rPr>
        <w:t>技术性文件及相关资料</w:t>
      </w:r>
      <w:bookmarkEnd w:id="45"/>
    </w:p>
    <w:p>
      <w:pPr>
        <w:pStyle w:val="64"/>
        <w:numPr>
          <w:ilvl w:val="0"/>
          <w:numId w:val="5"/>
        </w:numPr>
        <w:adjustRightInd w:val="0"/>
        <w:snapToGrid w:val="0"/>
        <w:spacing w:line="360" w:lineRule="auto"/>
        <w:ind w:firstLine="480"/>
        <w:rPr>
          <w:rFonts w:cs="Times New Roman"/>
          <w:color w:val="000000" w:themeColor="text1"/>
          <w:szCs w:val="24"/>
        </w:rPr>
      </w:pPr>
      <w:r>
        <w:rPr>
          <w:rFonts w:cs="Times New Roman"/>
          <w:color w:val="000000" w:themeColor="text1"/>
          <w:szCs w:val="24"/>
        </w:rPr>
        <w:t>环评委托书；</w:t>
      </w:r>
    </w:p>
    <w:p>
      <w:pPr>
        <w:pStyle w:val="64"/>
        <w:numPr>
          <w:ilvl w:val="0"/>
          <w:numId w:val="5"/>
        </w:numPr>
        <w:adjustRightInd w:val="0"/>
        <w:snapToGrid w:val="0"/>
        <w:spacing w:line="360" w:lineRule="auto"/>
        <w:ind w:firstLine="480"/>
        <w:rPr>
          <w:rFonts w:cs="Times New Roman"/>
          <w:snapToGrid w:val="0"/>
          <w:color w:val="000000" w:themeColor="text1"/>
          <w:kern w:val="0"/>
        </w:rPr>
      </w:pPr>
      <w:r>
        <w:rPr>
          <w:rFonts w:hint="eastAsia" w:eastAsia="宋体" w:cs="Times New Roman"/>
          <w:snapToGrid w:val="0"/>
          <w:color w:val="000000" w:themeColor="text1"/>
          <w:kern w:val="0"/>
        </w:rPr>
        <w:t>设置医疗机构批准书</w:t>
      </w:r>
      <w:r>
        <w:rPr>
          <w:rFonts w:eastAsia="宋体" w:cs="Times New Roman"/>
          <w:snapToGrid w:val="0"/>
          <w:color w:val="000000" w:themeColor="text1"/>
          <w:kern w:val="0"/>
        </w:rPr>
        <w:t>；</w:t>
      </w:r>
    </w:p>
    <w:p>
      <w:pPr>
        <w:pStyle w:val="64"/>
        <w:numPr>
          <w:ilvl w:val="0"/>
          <w:numId w:val="5"/>
        </w:numPr>
        <w:adjustRightInd w:val="0"/>
        <w:snapToGrid w:val="0"/>
        <w:spacing w:line="360" w:lineRule="auto"/>
        <w:ind w:firstLine="480"/>
        <w:rPr>
          <w:rFonts w:cs="Times New Roman"/>
          <w:color w:val="000000" w:themeColor="text1"/>
          <w:szCs w:val="24"/>
        </w:rPr>
      </w:pPr>
      <w:r>
        <w:rPr>
          <w:rFonts w:cs="Times New Roman"/>
          <w:color w:val="000000" w:themeColor="text1"/>
          <w:szCs w:val="24"/>
        </w:rPr>
        <w:t>监测报告及质保单；</w:t>
      </w:r>
    </w:p>
    <w:p>
      <w:pPr>
        <w:pStyle w:val="64"/>
        <w:numPr>
          <w:ilvl w:val="0"/>
          <w:numId w:val="5"/>
        </w:numPr>
        <w:adjustRightInd w:val="0"/>
        <w:snapToGrid w:val="0"/>
        <w:spacing w:line="360" w:lineRule="auto"/>
        <w:ind w:firstLine="480"/>
        <w:rPr>
          <w:rFonts w:cs="Times New Roman"/>
          <w:color w:val="000000" w:themeColor="text1"/>
          <w:szCs w:val="24"/>
        </w:rPr>
      </w:pPr>
      <w:r>
        <w:rPr>
          <w:rFonts w:cs="Times New Roman"/>
          <w:color w:val="000000" w:themeColor="text1"/>
          <w:szCs w:val="24"/>
        </w:rPr>
        <w:t>建设单位提供的其他关于本项目的技术资料。</w:t>
      </w:r>
    </w:p>
    <w:p>
      <w:pPr>
        <w:pStyle w:val="4"/>
        <w:rPr>
          <w:color w:val="000000" w:themeColor="text1"/>
        </w:rPr>
      </w:pPr>
      <w:bookmarkStart w:id="46" w:name="_Toc532498724"/>
      <w:bookmarkStart w:id="47" w:name="_Toc532376131"/>
      <w:bookmarkStart w:id="48" w:name="_Toc532763188"/>
      <w:bookmarkStart w:id="49" w:name="_Toc532497600"/>
      <w:bookmarkStart w:id="50" w:name="_Toc25826474"/>
      <w:r>
        <w:rPr>
          <w:rFonts w:hint="eastAsia"/>
          <w:color w:val="000000" w:themeColor="text1"/>
        </w:rPr>
        <w:t>评价目的及原则</w:t>
      </w:r>
      <w:bookmarkEnd w:id="46"/>
      <w:bookmarkEnd w:id="47"/>
      <w:bookmarkEnd w:id="48"/>
      <w:bookmarkEnd w:id="49"/>
      <w:bookmarkEnd w:id="50"/>
    </w:p>
    <w:p>
      <w:pPr>
        <w:pStyle w:val="5"/>
        <w:ind w:right="240"/>
        <w:rPr>
          <w:color w:val="000000" w:themeColor="text1"/>
        </w:rPr>
      </w:pPr>
      <w:bookmarkStart w:id="51" w:name="_Toc532497601"/>
      <w:r>
        <w:rPr>
          <w:rFonts w:hint="eastAsia"/>
          <w:color w:val="000000" w:themeColor="text1"/>
        </w:rPr>
        <w:t>评价目的</w:t>
      </w:r>
      <w:bookmarkEnd w:id="51"/>
    </w:p>
    <w:p>
      <w:pPr>
        <w:pStyle w:val="64"/>
        <w:adjustRightInd w:val="0"/>
        <w:snapToGrid w:val="0"/>
        <w:spacing w:line="360" w:lineRule="auto"/>
        <w:ind w:firstLine="480"/>
        <w:rPr>
          <w:color w:val="000000" w:themeColor="text1"/>
          <w:szCs w:val="24"/>
        </w:rPr>
      </w:pPr>
      <w:r>
        <w:rPr>
          <w:rFonts w:hint="eastAsia" w:eastAsia="宋体" w:cs="Times New Roman"/>
          <w:szCs w:val="24"/>
        </w:rPr>
        <w:t>开展环境影响评价的目的就是通过查清环境背景、现有工程存在的环境问题，明确环境保护目标，对项目环境问题进行剖析，提出整改措施，确保项目所有污染物均能达标排放，以求将不利的环境影响减小到最低程度，促使项目运行过程中取得最佳的社会、环境和经济综合效益。</w:t>
      </w:r>
    </w:p>
    <w:p>
      <w:pPr>
        <w:pStyle w:val="5"/>
        <w:rPr>
          <w:color w:val="000000" w:themeColor="text1"/>
        </w:rPr>
      </w:pPr>
      <w:bookmarkStart w:id="52" w:name="_Toc532497602"/>
      <w:r>
        <w:rPr>
          <w:rFonts w:hint="eastAsia"/>
          <w:color w:val="000000" w:themeColor="text1"/>
        </w:rPr>
        <w:t>评价原则</w:t>
      </w:r>
      <w:bookmarkEnd w:id="52"/>
    </w:p>
    <w:p>
      <w:pPr>
        <w:adjustRightInd w:val="0"/>
        <w:snapToGrid w:val="0"/>
        <w:spacing w:line="360" w:lineRule="auto"/>
        <w:ind w:firstLine="480" w:firstLineChars="200"/>
        <w:rPr>
          <w:rFonts w:cs="Times New Roman"/>
          <w:color w:val="000000" w:themeColor="text1"/>
        </w:rPr>
      </w:pPr>
      <w:r>
        <w:rPr>
          <w:rFonts w:cs="Times New Roman"/>
          <w:color w:val="000000" w:themeColor="text1"/>
        </w:rPr>
        <w:t>本评价将遵循以下原则：</w:t>
      </w:r>
    </w:p>
    <w:p>
      <w:pPr>
        <w:adjustRightInd w:val="0"/>
        <w:snapToGrid w:val="0"/>
        <w:spacing w:line="360" w:lineRule="auto"/>
        <w:ind w:firstLine="480" w:firstLineChars="200"/>
        <w:rPr>
          <w:rFonts w:cs="Times New Roman"/>
          <w:color w:val="000000" w:themeColor="text1"/>
        </w:rPr>
      </w:pPr>
      <w:r>
        <w:rPr>
          <w:rFonts w:cs="Times New Roman"/>
          <w:color w:val="000000" w:themeColor="text1"/>
        </w:rPr>
        <w:t>（1）依法评价</w:t>
      </w:r>
      <w:r>
        <w:rPr>
          <w:rFonts w:cs="Times New Roman" w:hAnsiTheme="minorEastAsia"/>
          <w:color w:val="000000" w:themeColor="text1"/>
        </w:rPr>
        <w:t>：贯彻执行我国环境保护相关法律法规、标准、政策和规划等，优化项目建设，服务环境管理。</w:t>
      </w:r>
    </w:p>
    <w:p>
      <w:pPr>
        <w:adjustRightInd w:val="0"/>
        <w:snapToGrid w:val="0"/>
        <w:spacing w:line="360" w:lineRule="auto"/>
        <w:ind w:firstLine="480" w:firstLineChars="200"/>
        <w:rPr>
          <w:rFonts w:cs="Times New Roman"/>
          <w:color w:val="000000" w:themeColor="text1"/>
        </w:rPr>
      </w:pPr>
      <w:r>
        <w:rPr>
          <w:rFonts w:cs="Times New Roman"/>
          <w:color w:val="000000" w:themeColor="text1"/>
        </w:rPr>
        <w:t>（2）科学评价</w:t>
      </w:r>
      <w:r>
        <w:rPr>
          <w:rFonts w:cs="Times New Roman" w:hAnsiTheme="minorEastAsia"/>
          <w:color w:val="000000" w:themeColor="text1"/>
        </w:rPr>
        <w:t>：规范环境评价方法、科学分析项目建设对环境质量的影响</w:t>
      </w:r>
      <w:r>
        <w:rPr>
          <w:rFonts w:cs="Times New Roman"/>
          <w:color w:val="000000" w:themeColor="text1"/>
        </w:rPr>
        <w:t>。</w:t>
      </w:r>
    </w:p>
    <w:p>
      <w:pPr>
        <w:adjustRightInd w:val="0"/>
        <w:snapToGrid w:val="0"/>
        <w:spacing w:line="360" w:lineRule="auto"/>
        <w:ind w:firstLine="480" w:firstLineChars="200"/>
        <w:rPr>
          <w:rFonts w:cs="Times New Roman"/>
          <w:color w:val="000000" w:themeColor="text1"/>
        </w:rPr>
      </w:pPr>
      <w:r>
        <w:rPr>
          <w:rFonts w:cs="Times New Roman"/>
          <w:color w:val="000000" w:themeColor="text1"/>
        </w:rPr>
        <w:t>（3）根据建设项目的工程内容及其特点，明确与环境要素间的作用效应关系，根据规划环境影响评价结论和审查意见，充分利用符合时效的数据资料及成果，对建设项目主要环境影响予以重点分析和评价。</w:t>
      </w:r>
    </w:p>
    <w:p>
      <w:pPr>
        <w:pStyle w:val="4"/>
        <w:adjustRightInd w:val="0"/>
        <w:snapToGrid w:val="0"/>
        <w:rPr>
          <w:color w:val="000000" w:themeColor="text1"/>
        </w:rPr>
      </w:pPr>
      <w:bookmarkStart w:id="53" w:name="_Toc532763189"/>
      <w:bookmarkStart w:id="54" w:name="_Toc532376132"/>
      <w:bookmarkStart w:id="55" w:name="_Toc532497603"/>
      <w:bookmarkStart w:id="56" w:name="_Toc25826475"/>
      <w:bookmarkStart w:id="57" w:name="_Toc532498725"/>
      <w:r>
        <w:rPr>
          <w:rFonts w:hint="eastAsia"/>
          <w:color w:val="000000" w:themeColor="text1"/>
        </w:rPr>
        <w:t>评价时段</w:t>
      </w:r>
      <w:bookmarkEnd w:id="53"/>
      <w:bookmarkEnd w:id="54"/>
      <w:bookmarkEnd w:id="55"/>
      <w:bookmarkEnd w:id="56"/>
      <w:bookmarkEnd w:id="57"/>
    </w:p>
    <w:p>
      <w:pPr>
        <w:adjustRightInd w:val="0"/>
        <w:snapToGrid w:val="0"/>
        <w:spacing w:line="360" w:lineRule="auto"/>
        <w:ind w:firstLine="480" w:firstLineChars="200"/>
        <w:rPr>
          <w:color w:val="000000" w:themeColor="text1"/>
        </w:rPr>
      </w:pPr>
      <w:r>
        <w:rPr>
          <w:color w:val="000000" w:themeColor="text1"/>
        </w:rPr>
        <w:t>本项目属新建</w:t>
      </w:r>
      <w:r>
        <w:rPr>
          <w:rFonts w:hint="eastAsia"/>
          <w:color w:val="000000" w:themeColor="text1"/>
        </w:rPr>
        <w:t>（补办）</w:t>
      </w:r>
      <w:r>
        <w:rPr>
          <w:color w:val="000000" w:themeColor="text1"/>
        </w:rPr>
        <w:t>项目，评价时段以生产运行（运营期）为主。</w:t>
      </w:r>
    </w:p>
    <w:p>
      <w:pPr>
        <w:pStyle w:val="4"/>
        <w:rPr>
          <w:color w:val="000000" w:themeColor="text1"/>
        </w:rPr>
      </w:pPr>
      <w:bookmarkStart w:id="58" w:name="_Toc532497607"/>
      <w:bookmarkStart w:id="59" w:name="_Toc532498727"/>
      <w:bookmarkStart w:id="60" w:name="_Toc532763191"/>
      <w:bookmarkStart w:id="61" w:name="_Toc532376134"/>
      <w:bookmarkStart w:id="62" w:name="_Toc25826476"/>
      <w:r>
        <w:rPr>
          <w:rFonts w:hint="eastAsia"/>
          <w:color w:val="000000" w:themeColor="text1"/>
        </w:rPr>
        <w:t>评价重点</w:t>
      </w:r>
      <w:bookmarkEnd w:id="58"/>
      <w:bookmarkEnd w:id="59"/>
      <w:bookmarkEnd w:id="60"/>
      <w:bookmarkEnd w:id="61"/>
      <w:bookmarkEnd w:id="62"/>
    </w:p>
    <w:p>
      <w:pPr>
        <w:spacing w:line="360" w:lineRule="auto"/>
        <w:ind w:firstLine="480" w:firstLineChars="200"/>
      </w:pPr>
      <w:r>
        <w:rPr>
          <w:rFonts w:hint="eastAsia"/>
        </w:rPr>
        <w:t>根据区域环境特点、项目污染物特征和环境管理等方面的要求，确定本次评价工作的重点为：</w:t>
      </w:r>
    </w:p>
    <w:p>
      <w:pPr>
        <w:numPr>
          <w:ilvl w:val="0"/>
          <w:numId w:val="6"/>
        </w:numPr>
        <w:spacing w:line="360" w:lineRule="auto"/>
        <w:ind w:firstLine="480" w:firstLineChars="200"/>
      </w:pPr>
      <w:r>
        <w:rPr>
          <w:rFonts w:hint="eastAsia"/>
        </w:rPr>
        <w:t>工程分析；</w:t>
      </w:r>
    </w:p>
    <w:p>
      <w:pPr>
        <w:numPr>
          <w:ilvl w:val="0"/>
          <w:numId w:val="6"/>
        </w:numPr>
        <w:spacing w:line="360" w:lineRule="auto"/>
        <w:ind w:firstLine="480" w:firstLineChars="200"/>
      </w:pPr>
      <w:r>
        <w:rPr>
          <w:rFonts w:hint="eastAsia"/>
        </w:rPr>
        <w:t>采取的污染防治措施的可行性分析；</w:t>
      </w:r>
    </w:p>
    <w:p>
      <w:pPr>
        <w:numPr>
          <w:ilvl w:val="0"/>
          <w:numId w:val="6"/>
        </w:numPr>
        <w:spacing w:line="360" w:lineRule="auto"/>
        <w:ind w:firstLine="480" w:firstLineChars="200"/>
      </w:pPr>
      <w:r>
        <w:rPr>
          <w:rFonts w:hint="eastAsia"/>
        </w:rPr>
        <w:t>项目选址的可行性分析；</w:t>
      </w:r>
    </w:p>
    <w:p>
      <w:pPr>
        <w:numPr>
          <w:ilvl w:val="0"/>
          <w:numId w:val="6"/>
        </w:numPr>
        <w:spacing w:line="360" w:lineRule="auto"/>
        <w:ind w:firstLine="480" w:firstLineChars="200"/>
      </w:pPr>
      <w:r>
        <w:rPr>
          <w:rFonts w:hint="eastAsia"/>
        </w:rPr>
        <w:t>本项目的影响分析。</w:t>
      </w:r>
    </w:p>
    <w:p>
      <w:pPr>
        <w:pStyle w:val="4"/>
        <w:adjustRightInd w:val="0"/>
        <w:snapToGrid w:val="0"/>
        <w:rPr>
          <w:color w:val="000000" w:themeColor="text1"/>
        </w:rPr>
      </w:pPr>
      <w:bookmarkStart w:id="63" w:name="_Toc532763190"/>
      <w:bookmarkStart w:id="64" w:name="_Toc532497604"/>
      <w:bookmarkStart w:id="65" w:name="_Toc25826477"/>
      <w:bookmarkStart w:id="66" w:name="_Toc532498726"/>
      <w:bookmarkStart w:id="67" w:name="_Toc532376133"/>
      <w:r>
        <w:rPr>
          <w:rFonts w:hint="eastAsia"/>
          <w:color w:val="000000" w:themeColor="text1"/>
        </w:rPr>
        <w:t>环境影响因素识别和评价因子筛选</w:t>
      </w:r>
      <w:bookmarkEnd w:id="63"/>
      <w:bookmarkEnd w:id="64"/>
      <w:bookmarkEnd w:id="65"/>
      <w:bookmarkEnd w:id="66"/>
      <w:bookmarkEnd w:id="67"/>
    </w:p>
    <w:p>
      <w:pPr>
        <w:pStyle w:val="5"/>
        <w:rPr>
          <w:color w:val="000000" w:themeColor="text1"/>
        </w:rPr>
      </w:pPr>
      <w:bookmarkStart w:id="68" w:name="_Toc532497605"/>
      <w:r>
        <w:rPr>
          <w:rFonts w:hint="eastAsia"/>
          <w:color w:val="000000" w:themeColor="text1"/>
        </w:rPr>
        <w:t>环境影响因素识别</w:t>
      </w:r>
      <w:bookmarkEnd w:id="68"/>
    </w:p>
    <w:p>
      <w:pPr>
        <w:spacing w:line="360" w:lineRule="auto"/>
        <w:ind w:firstLine="480" w:firstLineChars="200"/>
      </w:pPr>
      <w:r>
        <w:rPr>
          <w:rFonts w:hint="eastAsia"/>
        </w:rPr>
        <w:t>本项目工程概况和环境概况分析的基础上，通过对各环境要素影响的初步分析，建立主要环境要素识别矩阵和评价因子筛选矩阵，详</w:t>
      </w:r>
      <w:r>
        <w:t>见</w:t>
      </w:r>
      <w:r>
        <w:fldChar w:fldCharType="begin"/>
      </w:r>
      <w:r>
        <w:instrText xml:space="preserve"> REF _Ref23426867 \h </w:instrText>
      </w:r>
      <w:r>
        <w:fldChar w:fldCharType="separate"/>
      </w:r>
      <w:r>
        <w:rPr>
          <w:rFonts w:hint="eastAsia"/>
        </w:rPr>
        <w:t>表</w:t>
      </w:r>
      <w:r>
        <w:t>1.5</w:t>
      </w:r>
      <w:r>
        <w:noBreakHyphen/>
      </w:r>
      <w:r>
        <w:t>1</w:t>
      </w:r>
      <w:r>
        <w:fldChar w:fldCharType="end"/>
      </w:r>
      <w:r>
        <w:rPr>
          <w:rFonts w:hint="eastAsia"/>
        </w:rPr>
        <w:t>。</w:t>
      </w:r>
      <w:bookmarkStart w:id="69" w:name="_Ref23426867"/>
    </w:p>
    <w:p>
      <w:pPr>
        <w:pStyle w:val="14"/>
        <w:spacing w:line="240" w:lineRule="auto"/>
      </w:pPr>
      <w:r>
        <w:rPr>
          <w:rFonts w:hint="eastAsia"/>
        </w:rPr>
        <w:t>表</w:t>
      </w:r>
      <w:r>
        <w:fldChar w:fldCharType="begin"/>
      </w:r>
      <w:r>
        <w:instrText xml:space="preserve"> STYLEREF 2 \s </w:instrText>
      </w:r>
      <w:r>
        <w:fldChar w:fldCharType="separate"/>
      </w:r>
      <w:r>
        <w:t>1.5</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bookmarkEnd w:id="69"/>
      <w:r>
        <w:rPr>
          <w:rFonts w:hint="eastAsia"/>
        </w:rPr>
        <w:t xml:space="preserve">  主要环境要素影响识别矩阵</w:t>
      </w:r>
    </w:p>
    <w:tbl>
      <w:tblPr>
        <w:tblStyle w:val="39"/>
        <w:tblW w:w="51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1"/>
        <w:gridCol w:w="1213"/>
        <w:gridCol w:w="1117"/>
        <w:gridCol w:w="1117"/>
        <w:gridCol w:w="1117"/>
        <w:gridCol w:w="1117"/>
        <w:gridCol w:w="1117"/>
        <w:gridCol w:w="1117"/>
        <w:gridCol w:w="1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exact"/>
          <w:jc w:val="center"/>
        </w:trPr>
        <w:tc>
          <w:tcPr>
            <w:tcW w:w="978" w:type="pct"/>
            <w:gridSpan w:val="2"/>
            <w:vMerge w:val="restart"/>
            <w:tcBorders>
              <w:top w:val="single" w:color="auto" w:sz="4" w:space="0"/>
              <w:left w:val="single" w:color="auto" w:sz="4" w:space="0"/>
              <w:bottom w:val="single" w:color="auto" w:sz="4" w:space="0"/>
              <w:right w:val="single" w:color="auto" w:sz="4" w:space="0"/>
              <w:tl2br w:val="single" w:color="auto" w:sz="4" w:space="0"/>
            </w:tcBorders>
            <w:tcMar>
              <w:left w:w="28" w:type="dxa"/>
              <w:right w:w="28" w:type="dxa"/>
            </w:tcMar>
            <w:vAlign w:val="center"/>
          </w:tcPr>
          <w:p>
            <w:pPr>
              <w:adjustRightInd w:val="0"/>
              <w:snapToGrid w:val="0"/>
              <w:spacing w:line="240" w:lineRule="exact"/>
              <w:jc w:val="right"/>
              <w:rPr>
                <w:sz w:val="21"/>
              </w:rPr>
            </w:pPr>
            <w:r>
              <w:rPr>
                <w:sz w:val="21"/>
              </w:rPr>
              <w:t>工程行为</w:t>
            </w:r>
          </w:p>
          <w:p>
            <w:pPr>
              <w:adjustRightInd w:val="0"/>
              <w:snapToGrid w:val="0"/>
              <w:spacing w:line="240" w:lineRule="exact"/>
              <w:jc w:val="center"/>
              <w:rPr>
                <w:sz w:val="21"/>
              </w:rPr>
            </w:pPr>
          </w:p>
          <w:p>
            <w:pPr>
              <w:adjustRightInd w:val="0"/>
              <w:snapToGrid w:val="0"/>
              <w:spacing w:line="240" w:lineRule="exact"/>
              <w:ind w:firstLine="105" w:firstLineChars="50"/>
              <w:rPr>
                <w:position w:val="-30"/>
                <w:sz w:val="21"/>
              </w:rPr>
            </w:pPr>
            <w:r>
              <w:rPr>
                <w:sz w:val="21"/>
              </w:rPr>
              <w:t>环境资源</w:t>
            </w:r>
          </w:p>
        </w:tc>
        <w:tc>
          <w:tcPr>
            <w:tcW w:w="550" w:type="pct"/>
            <w:gridSpan w:val="7"/>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spacing w:line="240" w:lineRule="exact"/>
              <w:jc w:val="center"/>
              <w:rPr>
                <w:sz w:val="21"/>
              </w:rPr>
            </w:pPr>
            <w:r>
              <w:rPr>
                <w:sz w:val="21"/>
              </w:rPr>
              <w:t>营运期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978" w:type="pct"/>
            <w:gridSpan w:val="2"/>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spacing w:line="240" w:lineRule="exact"/>
            </w:pP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spacing w:line="240" w:lineRule="exact"/>
              <w:jc w:val="center"/>
              <w:rPr>
                <w:sz w:val="21"/>
              </w:rPr>
            </w:pPr>
            <w:r>
              <w:rPr>
                <w:sz w:val="21"/>
              </w:rPr>
              <w:t>设备</w:t>
            </w:r>
          </w:p>
          <w:p>
            <w:pPr>
              <w:adjustRightInd w:val="0"/>
              <w:snapToGrid w:val="0"/>
              <w:spacing w:line="240" w:lineRule="exact"/>
              <w:jc w:val="center"/>
              <w:rPr>
                <w:sz w:val="21"/>
              </w:rPr>
            </w:pPr>
            <w:r>
              <w:rPr>
                <w:sz w:val="21"/>
              </w:rPr>
              <w:t>运转</w:t>
            </w: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spacing w:line="240" w:lineRule="exact"/>
              <w:jc w:val="center"/>
              <w:rPr>
                <w:sz w:val="21"/>
              </w:rPr>
            </w:pPr>
            <w:r>
              <w:rPr>
                <w:sz w:val="21"/>
              </w:rPr>
              <w:t>废水</w:t>
            </w:r>
          </w:p>
          <w:p>
            <w:pPr>
              <w:adjustRightInd w:val="0"/>
              <w:snapToGrid w:val="0"/>
              <w:spacing w:line="240" w:lineRule="exact"/>
              <w:jc w:val="center"/>
              <w:rPr>
                <w:sz w:val="21"/>
              </w:rPr>
            </w:pPr>
            <w:r>
              <w:rPr>
                <w:sz w:val="21"/>
              </w:rPr>
              <w:t>排放</w:t>
            </w: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spacing w:line="240" w:lineRule="exact"/>
              <w:jc w:val="center"/>
              <w:rPr>
                <w:sz w:val="21"/>
              </w:rPr>
            </w:pPr>
            <w:r>
              <w:rPr>
                <w:sz w:val="21"/>
              </w:rPr>
              <w:t>废水</w:t>
            </w:r>
          </w:p>
          <w:p>
            <w:pPr>
              <w:adjustRightInd w:val="0"/>
              <w:snapToGrid w:val="0"/>
              <w:spacing w:line="240" w:lineRule="exact"/>
              <w:jc w:val="center"/>
              <w:rPr>
                <w:sz w:val="21"/>
              </w:rPr>
            </w:pPr>
            <w:r>
              <w:rPr>
                <w:rFonts w:hint="eastAsia"/>
                <w:sz w:val="21"/>
              </w:rPr>
              <w:t>治理</w:t>
            </w: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spacing w:line="240" w:lineRule="exact"/>
              <w:jc w:val="center"/>
              <w:rPr>
                <w:sz w:val="21"/>
              </w:rPr>
            </w:pPr>
            <w:r>
              <w:rPr>
                <w:sz w:val="21"/>
              </w:rPr>
              <w:t>废气</w:t>
            </w:r>
          </w:p>
          <w:p>
            <w:pPr>
              <w:adjustRightInd w:val="0"/>
              <w:snapToGrid w:val="0"/>
              <w:spacing w:line="240" w:lineRule="exact"/>
              <w:jc w:val="center"/>
              <w:rPr>
                <w:sz w:val="21"/>
              </w:rPr>
            </w:pPr>
            <w:r>
              <w:rPr>
                <w:sz w:val="21"/>
              </w:rPr>
              <w:t>排放</w:t>
            </w: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spacing w:line="240" w:lineRule="exact"/>
              <w:jc w:val="center"/>
              <w:rPr>
                <w:sz w:val="21"/>
              </w:rPr>
            </w:pPr>
            <w:r>
              <w:rPr>
                <w:sz w:val="21"/>
              </w:rPr>
              <w:t>废气</w:t>
            </w:r>
          </w:p>
          <w:p>
            <w:pPr>
              <w:adjustRightInd w:val="0"/>
              <w:snapToGrid w:val="0"/>
              <w:spacing w:line="240" w:lineRule="exact"/>
              <w:jc w:val="center"/>
              <w:rPr>
                <w:sz w:val="21"/>
              </w:rPr>
            </w:pPr>
            <w:r>
              <w:rPr>
                <w:sz w:val="21"/>
              </w:rPr>
              <w:t>治理</w:t>
            </w: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spacing w:line="240" w:lineRule="exact"/>
              <w:jc w:val="center"/>
              <w:rPr>
                <w:sz w:val="21"/>
              </w:rPr>
            </w:pPr>
            <w:r>
              <w:rPr>
                <w:rFonts w:hint="eastAsia"/>
                <w:sz w:val="21"/>
              </w:rPr>
              <w:t>固废</w:t>
            </w:r>
          </w:p>
          <w:p>
            <w:pPr>
              <w:adjustRightInd w:val="0"/>
              <w:snapToGrid w:val="0"/>
              <w:spacing w:line="240" w:lineRule="exact"/>
              <w:jc w:val="center"/>
              <w:rPr>
                <w:sz w:val="21"/>
              </w:rPr>
            </w:pPr>
            <w:r>
              <w:rPr>
                <w:sz w:val="21"/>
              </w:rPr>
              <w:t>堆存</w:t>
            </w:r>
          </w:p>
        </w:tc>
        <w:tc>
          <w:tcPr>
            <w:tcW w:w="55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sz w:val="21"/>
              </w:rPr>
            </w:pPr>
            <w:r>
              <w:rPr>
                <w:rFonts w:hint="eastAsia"/>
                <w:sz w:val="21"/>
              </w:rPr>
              <w:t>固废</w:t>
            </w:r>
          </w:p>
          <w:p>
            <w:pPr>
              <w:adjustRightInd w:val="0"/>
              <w:snapToGrid w:val="0"/>
              <w:spacing w:line="240" w:lineRule="exact"/>
              <w:jc w:val="center"/>
              <w:rPr>
                <w:sz w:val="21"/>
              </w:rPr>
            </w:pPr>
            <w:r>
              <w:rPr>
                <w:sz w:val="21"/>
              </w:rPr>
              <w:t>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exact"/>
          <w:jc w:val="center"/>
        </w:trPr>
        <w:tc>
          <w:tcPr>
            <w:tcW w:w="380" w:type="pct"/>
            <w:vMerge w:val="restar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r>
              <w:t>社会</w:t>
            </w:r>
          </w:p>
          <w:p>
            <w:pPr>
              <w:pStyle w:val="127"/>
              <w:adjustRightInd w:val="0"/>
              <w:snapToGrid w:val="0"/>
            </w:pPr>
            <w:r>
              <w:t>发展</w:t>
            </w:r>
          </w:p>
        </w:tc>
        <w:tc>
          <w:tcPr>
            <w:tcW w:w="598"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r>
              <w:t>劳动就业</w:t>
            </w: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r>
              <w:rPr>
                <w:rFonts w:hint="eastAsia" w:ascii="宋体" w:hAnsi="宋体" w:cs="宋体"/>
              </w:rPr>
              <w:t>☆</w:t>
            </w: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r>
              <w:rPr>
                <w:rFonts w:hint="eastAsia" w:ascii="宋体" w:hAnsi="宋体" w:cs="宋体"/>
              </w:rPr>
              <w:t>☆</w:t>
            </w: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50" w:type="pct"/>
            <w:tcBorders>
              <w:top w:val="single" w:color="auto" w:sz="4" w:space="0"/>
              <w:left w:val="single" w:color="auto" w:sz="4" w:space="0"/>
              <w:bottom w:val="single" w:color="auto" w:sz="4" w:space="0"/>
              <w:right w:val="single" w:color="auto" w:sz="4" w:space="0"/>
            </w:tcBorders>
            <w:vAlign w:val="center"/>
          </w:tcPr>
          <w:p>
            <w:pPr>
              <w:pStyle w:val="127"/>
              <w:adjustRightInd w:val="0"/>
              <w:snapToGrid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exact"/>
          <w:jc w:val="center"/>
        </w:trPr>
        <w:tc>
          <w:tcPr>
            <w:tcW w:w="380" w:type="pct"/>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98"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r>
              <w:t>经济发展</w:t>
            </w: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r>
              <w:rPr>
                <w:rFonts w:hint="eastAsia" w:ascii="宋体" w:hAnsi="宋体" w:cs="宋体"/>
              </w:rPr>
              <w:t>☆</w:t>
            </w: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r>
              <w:rPr>
                <w:rFonts w:hint="eastAsia" w:ascii="宋体" w:hAnsi="宋体" w:cs="宋体"/>
              </w:rPr>
              <w:t>☆</w:t>
            </w: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r>
              <w:rPr>
                <w:rFonts w:hint="eastAsia" w:ascii="宋体" w:hAnsi="宋体" w:cs="宋体"/>
              </w:rPr>
              <w:t>☆</w:t>
            </w: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50" w:type="pct"/>
            <w:tcBorders>
              <w:top w:val="single" w:color="auto" w:sz="4" w:space="0"/>
              <w:left w:val="single" w:color="auto" w:sz="4" w:space="0"/>
              <w:bottom w:val="single" w:color="auto" w:sz="4" w:space="0"/>
              <w:right w:val="single" w:color="auto" w:sz="4" w:space="0"/>
            </w:tcBorders>
            <w:vAlign w:val="center"/>
          </w:tcPr>
          <w:p>
            <w:pPr>
              <w:pStyle w:val="127"/>
              <w:adjustRightInd w:val="0"/>
              <w:snapToGrid w:val="0"/>
            </w:pP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exact"/>
          <w:jc w:val="center"/>
        </w:trPr>
        <w:tc>
          <w:tcPr>
            <w:tcW w:w="380" w:type="pct"/>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98"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r>
              <w:t>土地作用</w:t>
            </w: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r>
              <w:rPr>
                <w:rFonts w:hint="eastAsia" w:ascii="宋体" w:hAnsi="宋体" w:cs="宋体"/>
              </w:rPr>
              <w:t>☆</w:t>
            </w: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r>
              <w:rPr>
                <w:rFonts w:hint="eastAsia" w:ascii="宋体" w:hAnsi="宋体" w:cs="宋体"/>
              </w:rPr>
              <w:t>★</w:t>
            </w:r>
          </w:p>
        </w:tc>
        <w:tc>
          <w:tcPr>
            <w:tcW w:w="550" w:type="pct"/>
            <w:tcBorders>
              <w:top w:val="single" w:color="auto" w:sz="4" w:space="0"/>
              <w:left w:val="single" w:color="auto" w:sz="4" w:space="0"/>
              <w:bottom w:val="single" w:color="auto" w:sz="4" w:space="0"/>
              <w:right w:val="single" w:color="auto" w:sz="4" w:space="0"/>
            </w:tcBorders>
            <w:vAlign w:val="center"/>
          </w:tcPr>
          <w:p>
            <w:pPr>
              <w:pStyle w:val="127"/>
              <w:adjustRightInd w:val="0"/>
              <w:snapToGrid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exact"/>
          <w:jc w:val="center"/>
        </w:trPr>
        <w:tc>
          <w:tcPr>
            <w:tcW w:w="380" w:type="pct"/>
            <w:vMerge w:val="restar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r>
              <w:t>自然</w:t>
            </w:r>
          </w:p>
          <w:p>
            <w:pPr>
              <w:pStyle w:val="127"/>
              <w:adjustRightInd w:val="0"/>
              <w:snapToGrid w:val="0"/>
            </w:pPr>
            <w:r>
              <w:t>资源</w:t>
            </w:r>
          </w:p>
        </w:tc>
        <w:tc>
          <w:tcPr>
            <w:tcW w:w="598"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r>
              <w:t>生态环境</w:t>
            </w: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r>
              <w:rPr>
                <w:rFonts w:hint="eastAsia" w:ascii="宋体" w:hAnsi="宋体" w:cs="宋体"/>
              </w:rPr>
              <w:t>★</w:t>
            </w: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r>
              <w:rPr>
                <w:rFonts w:hint="eastAsia" w:ascii="宋体" w:hAnsi="宋体" w:cs="宋体"/>
              </w:rPr>
              <w:t>☆</w:t>
            </w: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r>
              <w:rPr>
                <w:rFonts w:hint="eastAsia" w:ascii="宋体" w:hAnsi="宋体" w:cs="宋体"/>
              </w:rPr>
              <w:t>★</w:t>
            </w:r>
          </w:p>
        </w:tc>
        <w:tc>
          <w:tcPr>
            <w:tcW w:w="550" w:type="pct"/>
            <w:tcBorders>
              <w:top w:val="single" w:color="auto" w:sz="4" w:space="0"/>
              <w:left w:val="single" w:color="auto" w:sz="4" w:space="0"/>
              <w:bottom w:val="single" w:color="auto" w:sz="4" w:space="0"/>
              <w:right w:val="single" w:color="auto" w:sz="4" w:space="0"/>
            </w:tcBorders>
            <w:vAlign w:val="center"/>
          </w:tcPr>
          <w:p>
            <w:pPr>
              <w:pStyle w:val="127"/>
              <w:adjustRightInd w:val="0"/>
              <w:snapToGrid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exact"/>
          <w:jc w:val="center"/>
        </w:trPr>
        <w:tc>
          <w:tcPr>
            <w:tcW w:w="380" w:type="pct"/>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98"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r>
              <w:t>自然景观</w:t>
            </w: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r>
              <w:rPr>
                <w:rFonts w:hint="eastAsia" w:ascii="宋体" w:hAnsi="宋体" w:cs="宋体"/>
              </w:rPr>
              <w:t>★</w:t>
            </w:r>
          </w:p>
        </w:tc>
        <w:tc>
          <w:tcPr>
            <w:tcW w:w="550" w:type="pct"/>
            <w:tcBorders>
              <w:top w:val="single" w:color="auto" w:sz="4" w:space="0"/>
              <w:left w:val="single" w:color="auto" w:sz="4" w:space="0"/>
              <w:bottom w:val="single" w:color="auto" w:sz="4" w:space="0"/>
              <w:right w:val="single" w:color="auto" w:sz="4" w:space="0"/>
            </w:tcBorders>
            <w:vAlign w:val="center"/>
          </w:tcPr>
          <w:p>
            <w:pPr>
              <w:pStyle w:val="127"/>
              <w:adjustRightInd w:val="0"/>
              <w:snapToGrid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exact"/>
          <w:jc w:val="center"/>
        </w:trPr>
        <w:tc>
          <w:tcPr>
            <w:tcW w:w="380" w:type="pct"/>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98"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r>
              <w:t>地表水体</w:t>
            </w: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r>
              <w:rPr>
                <w:rFonts w:hint="eastAsia" w:ascii="宋体" w:hAnsi="宋体" w:cs="宋体"/>
              </w:rPr>
              <w:t>★</w:t>
            </w: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r>
              <w:rPr>
                <w:rFonts w:hint="eastAsia" w:ascii="宋体" w:hAnsi="宋体" w:cs="宋体"/>
              </w:rPr>
              <w:t>★</w:t>
            </w:r>
          </w:p>
        </w:tc>
        <w:tc>
          <w:tcPr>
            <w:tcW w:w="550" w:type="pct"/>
            <w:tcBorders>
              <w:top w:val="single" w:color="auto" w:sz="4" w:space="0"/>
              <w:left w:val="single" w:color="auto" w:sz="4" w:space="0"/>
              <w:bottom w:val="single" w:color="auto" w:sz="4" w:space="0"/>
              <w:right w:val="single" w:color="auto" w:sz="4" w:space="0"/>
            </w:tcBorders>
            <w:vAlign w:val="center"/>
          </w:tcPr>
          <w:p>
            <w:pPr>
              <w:pStyle w:val="127"/>
              <w:adjustRightInd w:val="0"/>
              <w:snapToGrid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exact"/>
          <w:jc w:val="center"/>
        </w:trPr>
        <w:tc>
          <w:tcPr>
            <w:tcW w:w="380" w:type="pct"/>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98"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r>
              <w:t>地下水体</w:t>
            </w: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r>
              <w:rPr>
                <w:rFonts w:hint="eastAsia" w:ascii="宋体" w:hAnsi="宋体" w:cs="宋体"/>
              </w:rPr>
              <w:t>★</w:t>
            </w: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r>
              <w:rPr>
                <w:rFonts w:hint="eastAsia" w:ascii="宋体" w:hAnsi="宋体" w:cs="宋体"/>
              </w:rPr>
              <w:t>★</w:t>
            </w:r>
          </w:p>
        </w:tc>
        <w:tc>
          <w:tcPr>
            <w:tcW w:w="550" w:type="pct"/>
            <w:tcBorders>
              <w:top w:val="single" w:color="auto" w:sz="4" w:space="0"/>
              <w:left w:val="single" w:color="auto" w:sz="4" w:space="0"/>
              <w:bottom w:val="single" w:color="auto" w:sz="4" w:space="0"/>
              <w:right w:val="single" w:color="auto" w:sz="4" w:space="0"/>
            </w:tcBorders>
            <w:vAlign w:val="center"/>
          </w:tcPr>
          <w:p>
            <w:pPr>
              <w:pStyle w:val="127"/>
              <w:adjustRightInd w:val="0"/>
              <w:snapToGrid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exact"/>
          <w:jc w:val="center"/>
        </w:trPr>
        <w:tc>
          <w:tcPr>
            <w:tcW w:w="380" w:type="pct"/>
            <w:vMerge w:val="restar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r>
              <w:t>居民</w:t>
            </w:r>
          </w:p>
          <w:p>
            <w:pPr>
              <w:pStyle w:val="127"/>
              <w:adjustRightInd w:val="0"/>
              <w:snapToGrid w:val="0"/>
            </w:pPr>
            <w:r>
              <w:t>生活</w:t>
            </w:r>
          </w:p>
          <w:p>
            <w:pPr>
              <w:pStyle w:val="127"/>
              <w:adjustRightInd w:val="0"/>
              <w:snapToGrid w:val="0"/>
            </w:pPr>
            <w:r>
              <w:t>质量</w:t>
            </w:r>
          </w:p>
        </w:tc>
        <w:tc>
          <w:tcPr>
            <w:tcW w:w="598"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r>
              <w:t>空气质量</w:t>
            </w: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r>
              <w:rPr>
                <w:rFonts w:hint="eastAsia" w:ascii="宋体" w:hAnsi="宋体" w:cs="宋体"/>
              </w:rPr>
              <w:t>★</w:t>
            </w: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r>
              <w:rPr>
                <w:rFonts w:hint="eastAsia" w:ascii="宋体" w:hAnsi="宋体" w:cs="宋体"/>
              </w:rPr>
              <w:t>★</w:t>
            </w: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r>
              <w:rPr>
                <w:rFonts w:hint="eastAsia" w:ascii="宋体" w:hAnsi="宋体" w:cs="宋体"/>
              </w:rPr>
              <w:t>☆</w:t>
            </w: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50" w:type="pct"/>
            <w:tcBorders>
              <w:top w:val="single" w:color="auto" w:sz="4" w:space="0"/>
              <w:left w:val="single" w:color="auto" w:sz="4" w:space="0"/>
              <w:bottom w:val="single" w:color="auto" w:sz="4" w:space="0"/>
              <w:right w:val="single" w:color="auto" w:sz="4" w:space="0"/>
            </w:tcBorders>
            <w:vAlign w:val="center"/>
          </w:tcPr>
          <w:p>
            <w:pPr>
              <w:pStyle w:val="127"/>
              <w:adjustRightInd w:val="0"/>
              <w:snapToGrid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exact"/>
          <w:jc w:val="center"/>
        </w:trPr>
        <w:tc>
          <w:tcPr>
            <w:tcW w:w="380" w:type="pct"/>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98"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r>
              <w:t>地表水质</w:t>
            </w: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r>
              <w:rPr>
                <w:rFonts w:hint="eastAsia" w:ascii="宋体" w:hAnsi="宋体" w:cs="宋体"/>
              </w:rPr>
              <w:t>★</w:t>
            </w: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r>
              <w:rPr>
                <w:rFonts w:hint="eastAsia" w:ascii="宋体" w:hAnsi="宋体" w:cs="宋体"/>
              </w:rPr>
              <w:t>★</w:t>
            </w:r>
          </w:p>
        </w:tc>
        <w:tc>
          <w:tcPr>
            <w:tcW w:w="550" w:type="pct"/>
            <w:tcBorders>
              <w:top w:val="single" w:color="auto" w:sz="4" w:space="0"/>
              <w:left w:val="single" w:color="auto" w:sz="4" w:space="0"/>
              <w:bottom w:val="single" w:color="auto" w:sz="4" w:space="0"/>
              <w:right w:val="single" w:color="auto" w:sz="4" w:space="0"/>
            </w:tcBorders>
            <w:vAlign w:val="center"/>
          </w:tcPr>
          <w:p>
            <w:pPr>
              <w:pStyle w:val="127"/>
              <w:adjustRightInd w:val="0"/>
              <w:snapToGrid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exact"/>
          <w:jc w:val="center"/>
        </w:trPr>
        <w:tc>
          <w:tcPr>
            <w:tcW w:w="380" w:type="pct"/>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98"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r>
              <w:t>声学环境</w:t>
            </w: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r>
              <w:rPr>
                <w:rFonts w:hint="eastAsia" w:ascii="宋体" w:hAnsi="宋体" w:cs="宋体"/>
              </w:rPr>
              <w:t>★</w:t>
            </w: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50" w:type="pct"/>
            <w:tcBorders>
              <w:top w:val="single" w:color="auto" w:sz="4" w:space="0"/>
              <w:left w:val="single" w:color="auto" w:sz="4" w:space="0"/>
              <w:bottom w:val="single" w:color="auto" w:sz="4" w:space="0"/>
              <w:right w:val="single" w:color="auto" w:sz="4" w:space="0"/>
            </w:tcBorders>
            <w:vAlign w:val="center"/>
          </w:tcPr>
          <w:p>
            <w:pPr>
              <w:pStyle w:val="127"/>
              <w:adjustRightInd w:val="0"/>
              <w:snapToGrid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exact"/>
          <w:jc w:val="center"/>
        </w:trPr>
        <w:tc>
          <w:tcPr>
            <w:tcW w:w="380" w:type="pct"/>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98"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r>
              <w:t>居住条件</w:t>
            </w: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r>
              <w:rPr>
                <w:rFonts w:hint="eastAsia" w:ascii="宋体" w:hAnsi="宋体" w:cs="宋体"/>
              </w:rPr>
              <w:t>★</w:t>
            </w: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r>
              <w:rPr>
                <w:rFonts w:hint="eastAsia" w:ascii="宋体" w:hAnsi="宋体" w:cs="宋体"/>
              </w:rPr>
              <w:t>☆</w:t>
            </w: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r>
              <w:rPr>
                <w:rFonts w:hint="eastAsia" w:ascii="宋体" w:hAnsi="宋体" w:cs="宋体"/>
              </w:rPr>
              <w:t>★</w:t>
            </w: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r>
              <w:rPr>
                <w:rFonts w:hint="eastAsia" w:ascii="宋体" w:hAnsi="宋体" w:cs="宋体"/>
              </w:rPr>
              <w:t>☆</w:t>
            </w: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50" w:type="pct"/>
            <w:tcBorders>
              <w:top w:val="single" w:color="auto" w:sz="4" w:space="0"/>
              <w:left w:val="single" w:color="auto" w:sz="4" w:space="0"/>
              <w:bottom w:val="single" w:color="auto" w:sz="4" w:space="0"/>
              <w:right w:val="single" w:color="auto" w:sz="4" w:space="0"/>
            </w:tcBorders>
            <w:vAlign w:val="center"/>
          </w:tcPr>
          <w:p>
            <w:pPr>
              <w:pStyle w:val="127"/>
              <w:adjustRightInd w:val="0"/>
              <w:snapToGrid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exact"/>
          <w:jc w:val="center"/>
        </w:trPr>
        <w:tc>
          <w:tcPr>
            <w:tcW w:w="380" w:type="pct"/>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98"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r>
              <w:t>经济收入</w:t>
            </w: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r>
              <w:rPr>
                <w:rFonts w:hint="eastAsia" w:ascii="宋体" w:hAnsi="宋体" w:cs="宋体"/>
              </w:rPr>
              <w:t>☆</w:t>
            </w: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5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7"/>
              <w:adjustRightInd w:val="0"/>
              <w:snapToGrid w:val="0"/>
            </w:pPr>
          </w:p>
        </w:tc>
        <w:tc>
          <w:tcPr>
            <w:tcW w:w="550" w:type="pct"/>
            <w:tcBorders>
              <w:top w:val="single" w:color="auto" w:sz="4" w:space="0"/>
              <w:left w:val="single" w:color="auto" w:sz="4" w:space="0"/>
              <w:bottom w:val="single" w:color="auto" w:sz="4" w:space="0"/>
              <w:right w:val="single" w:color="auto" w:sz="4" w:space="0"/>
            </w:tcBorders>
            <w:vAlign w:val="center"/>
          </w:tcPr>
          <w:p>
            <w:pPr>
              <w:pStyle w:val="127"/>
              <w:adjustRightInd w:val="0"/>
              <w:snapToGrid w:val="0"/>
            </w:pP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exact"/>
          <w:jc w:val="center"/>
        </w:trPr>
        <w:tc>
          <w:tcPr>
            <w:tcW w:w="550" w:type="pct"/>
            <w:gridSpan w:val="9"/>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0" w:lineRule="atLeast"/>
              <w:rPr>
                <w:sz w:val="21"/>
              </w:rPr>
            </w:pPr>
            <w:r>
              <w:rPr>
                <w:b/>
                <w:sz w:val="21"/>
              </w:rPr>
              <w:t>注：</w:t>
            </w:r>
            <w:r>
              <w:rPr>
                <w:rFonts w:hint="eastAsia" w:ascii="宋体" w:hAnsi="宋体" w:cs="宋体"/>
                <w:sz w:val="21"/>
              </w:rPr>
              <w:t>★</w:t>
            </w:r>
            <w:r>
              <w:rPr>
                <w:sz w:val="21"/>
              </w:rPr>
              <w:t>/</w:t>
            </w:r>
            <w:r>
              <w:rPr>
                <w:rFonts w:hint="eastAsia" w:ascii="宋体" w:hAnsi="宋体" w:cs="宋体"/>
                <w:sz w:val="21"/>
              </w:rPr>
              <w:t>☆</w:t>
            </w:r>
            <w:r>
              <w:rPr>
                <w:sz w:val="21"/>
              </w:rPr>
              <w:t>表示长期不利影响/有利影响；</w:t>
            </w:r>
            <w:r>
              <w:rPr>
                <w:rFonts w:hint="eastAsia" w:ascii="宋体" w:hAnsi="宋体" w:cs="宋体"/>
                <w:sz w:val="21"/>
              </w:rPr>
              <w:t>▲</w:t>
            </w:r>
            <w:r>
              <w:rPr>
                <w:rFonts w:ascii="Dutch801 Rm BT" w:hAnsi="Dutch801 Rm BT" w:cs="Dutch801 Rm BT"/>
                <w:sz w:val="21"/>
              </w:rPr>
              <w:t>/</w:t>
            </w:r>
            <w:r>
              <w:rPr>
                <w:rFonts w:hint="eastAsia" w:ascii="宋体" w:hAnsi="宋体" w:cs="宋体"/>
                <w:sz w:val="21"/>
              </w:rPr>
              <w:t>△</w:t>
            </w:r>
            <w:r>
              <w:rPr>
                <w:sz w:val="21"/>
              </w:rPr>
              <w:t>表示短期不利影响/有利影响，空格表示没</w:t>
            </w:r>
            <w:r>
              <w:rPr>
                <w:rFonts w:hint="eastAsia"/>
                <w:sz w:val="21"/>
              </w:rPr>
              <w:t>有</w:t>
            </w:r>
            <w:r>
              <w:rPr>
                <w:sz w:val="21"/>
              </w:rPr>
              <w:t>影响。</w:t>
            </w:r>
          </w:p>
          <w:p>
            <w:pPr>
              <w:pStyle w:val="127"/>
              <w:adjustRightInd w:val="0"/>
              <w:snapToGrid w:val="0"/>
              <w:rPr>
                <w:rFonts w:ascii="宋体" w:hAnsi="宋体" w:cs="宋体"/>
              </w:rPr>
            </w:pPr>
          </w:p>
        </w:tc>
      </w:tr>
    </w:tbl>
    <w:p>
      <w:pPr>
        <w:adjustRightInd w:val="0"/>
        <w:snapToGrid w:val="0"/>
        <w:spacing w:line="360" w:lineRule="auto"/>
        <w:ind w:firstLine="480" w:firstLineChars="200"/>
        <w:rPr>
          <w:bCs/>
          <w:kern w:val="0"/>
        </w:rPr>
      </w:pPr>
      <w:r>
        <w:rPr>
          <w:bCs/>
          <w:kern w:val="0"/>
        </w:rPr>
        <w:t>综合分析认为：</w:t>
      </w:r>
    </w:p>
    <w:p>
      <w:pPr>
        <w:pStyle w:val="95"/>
        <w:spacing w:before="0" w:line="360" w:lineRule="auto"/>
        <w:ind w:firstLine="480"/>
        <w:rPr>
          <w:color w:val="000000" w:themeColor="text1"/>
        </w:rPr>
      </w:pPr>
      <w:r>
        <w:rPr>
          <w:color w:val="000000" w:themeColor="text1"/>
        </w:rPr>
        <w:t>（1）本工程</w:t>
      </w:r>
      <w:r>
        <w:rPr>
          <w:rFonts w:hint="eastAsia"/>
          <w:color w:val="000000" w:themeColor="text1"/>
        </w:rPr>
        <w:t>运营</w:t>
      </w:r>
      <w:r>
        <w:rPr>
          <w:color w:val="000000" w:themeColor="text1"/>
        </w:rPr>
        <w:t>后，对区域的劳动就业</w:t>
      </w:r>
      <w:r>
        <w:rPr>
          <w:rFonts w:hint="eastAsia"/>
          <w:color w:val="000000" w:themeColor="text1"/>
        </w:rPr>
        <w:t>、地表水环境</w:t>
      </w:r>
      <w:r>
        <w:rPr>
          <w:color w:val="000000" w:themeColor="text1"/>
        </w:rPr>
        <w:t>和经济发展呈有利影响。</w:t>
      </w:r>
    </w:p>
    <w:p>
      <w:pPr>
        <w:pStyle w:val="95"/>
        <w:spacing w:before="0" w:line="360" w:lineRule="auto"/>
        <w:ind w:firstLine="480"/>
        <w:rPr>
          <w:bCs/>
          <w:color w:val="000000" w:themeColor="text1"/>
        </w:rPr>
      </w:pPr>
      <w:r>
        <w:rPr>
          <w:bCs/>
          <w:color w:val="000000" w:themeColor="text1"/>
        </w:rPr>
        <w:t>（2）</w:t>
      </w:r>
      <w:r>
        <w:rPr>
          <w:bCs/>
          <w:color w:val="000000" w:themeColor="text1"/>
          <w:kern w:val="0"/>
        </w:rPr>
        <w:t>营运期的主要环境影响：废气排放对环境空气质量的影响；生产设备运转等产生的噪声对环境的影响</w:t>
      </w:r>
      <w:r>
        <w:rPr>
          <w:rFonts w:hint="eastAsia"/>
          <w:bCs/>
          <w:color w:val="000000" w:themeColor="text1"/>
          <w:kern w:val="0"/>
        </w:rPr>
        <w:t>；固废产生</w:t>
      </w:r>
      <w:r>
        <w:rPr>
          <w:bCs/>
          <w:color w:val="000000" w:themeColor="text1"/>
          <w:kern w:val="0"/>
        </w:rPr>
        <w:t>对环境质量的影响。</w:t>
      </w:r>
    </w:p>
    <w:p>
      <w:pPr>
        <w:pStyle w:val="95"/>
        <w:spacing w:before="0" w:line="360" w:lineRule="auto"/>
        <w:ind w:firstLine="480"/>
        <w:rPr>
          <w:color w:val="000000" w:themeColor="text1"/>
        </w:rPr>
      </w:pPr>
      <w:r>
        <w:rPr>
          <w:color w:val="000000" w:themeColor="text1"/>
        </w:rPr>
        <w:t>根据项目特点，确定本项目营运期主要环境影响是</w:t>
      </w:r>
      <w:r>
        <w:rPr>
          <w:rFonts w:hint="eastAsia"/>
          <w:color w:val="000000" w:themeColor="text1"/>
        </w:rPr>
        <w:t>废水、</w:t>
      </w:r>
      <w:r>
        <w:rPr>
          <w:color w:val="000000" w:themeColor="text1"/>
        </w:rPr>
        <w:t>废气和噪声排放、固体废物处理及环境风险。</w:t>
      </w:r>
    </w:p>
    <w:p>
      <w:pPr>
        <w:pStyle w:val="95"/>
        <w:spacing w:before="0" w:line="360" w:lineRule="auto"/>
        <w:ind w:firstLine="480"/>
        <w:rPr>
          <w:color w:val="000000" w:themeColor="text1"/>
        </w:rPr>
      </w:pPr>
      <w:r>
        <w:rPr>
          <w:color w:val="000000" w:themeColor="text1"/>
        </w:rPr>
        <w:t>废水污染源主要是：生活污水</w:t>
      </w:r>
      <w:r>
        <w:rPr>
          <w:rFonts w:hint="eastAsia"/>
          <w:color w:val="000000" w:themeColor="text1"/>
        </w:rPr>
        <w:t>、医疗废水</w:t>
      </w:r>
      <w:r>
        <w:rPr>
          <w:color w:val="000000" w:themeColor="text1"/>
        </w:rPr>
        <w:t>。</w:t>
      </w:r>
    </w:p>
    <w:p>
      <w:pPr>
        <w:pStyle w:val="95"/>
        <w:spacing w:before="0" w:line="360" w:lineRule="auto"/>
        <w:ind w:firstLine="480"/>
        <w:rPr>
          <w:color w:val="000000" w:themeColor="text1"/>
        </w:rPr>
      </w:pPr>
      <w:r>
        <w:rPr>
          <w:color w:val="000000" w:themeColor="text1"/>
        </w:rPr>
        <w:t>废气污染源为：锅炉废气</w:t>
      </w:r>
      <w:r>
        <w:rPr>
          <w:rFonts w:hint="eastAsia"/>
          <w:color w:val="000000" w:themeColor="text1"/>
        </w:rPr>
        <w:t>、</w:t>
      </w:r>
      <w:r>
        <w:rPr>
          <w:color w:val="000000" w:themeColor="text1"/>
        </w:rPr>
        <w:t>食堂油烟</w:t>
      </w:r>
      <w:r>
        <w:rPr>
          <w:rFonts w:hint="eastAsia"/>
          <w:color w:val="000000" w:themeColor="text1"/>
        </w:rPr>
        <w:t>、</w:t>
      </w:r>
      <w:r>
        <w:rPr>
          <w:color w:val="000000" w:themeColor="text1"/>
        </w:rPr>
        <w:t>汽车尾气</w:t>
      </w:r>
      <w:r>
        <w:rPr>
          <w:rFonts w:hint="eastAsia"/>
          <w:color w:val="000000" w:themeColor="text1"/>
        </w:rPr>
        <w:t>、</w:t>
      </w:r>
      <w:r>
        <w:rPr>
          <w:color w:val="000000" w:themeColor="text1"/>
        </w:rPr>
        <w:t>污水处理站恶臭。</w:t>
      </w:r>
    </w:p>
    <w:p>
      <w:pPr>
        <w:pStyle w:val="95"/>
        <w:spacing w:before="0" w:line="360" w:lineRule="auto"/>
        <w:ind w:firstLine="480"/>
        <w:rPr>
          <w:color w:val="000000" w:themeColor="text1"/>
        </w:rPr>
      </w:pPr>
      <w:r>
        <w:rPr>
          <w:color w:val="000000" w:themeColor="text1"/>
        </w:rPr>
        <w:t>固体废弃物主要来源：</w:t>
      </w:r>
      <w:r>
        <w:rPr>
          <w:rFonts w:hint="eastAsia"/>
          <w:color w:val="000000" w:themeColor="text1"/>
        </w:rPr>
        <w:t>①</w:t>
      </w:r>
      <w:r>
        <w:rPr>
          <w:color w:val="000000" w:themeColor="text1"/>
        </w:rPr>
        <w:t>医疗固废</w:t>
      </w:r>
      <w:r>
        <w:rPr>
          <w:rFonts w:hint="eastAsia"/>
          <w:color w:val="000000" w:themeColor="text1"/>
        </w:rPr>
        <w:t>②</w:t>
      </w:r>
      <w:r>
        <w:rPr>
          <w:color w:val="000000" w:themeColor="text1"/>
        </w:rPr>
        <w:t>职工办公</w:t>
      </w:r>
      <w:bookmarkStart w:id="70" w:name="OLE_LINK58"/>
      <w:r>
        <w:rPr>
          <w:color w:val="000000" w:themeColor="text1"/>
        </w:rPr>
        <w:t>生活垃圾</w:t>
      </w:r>
      <w:bookmarkEnd w:id="70"/>
      <w:r>
        <w:rPr>
          <w:rFonts w:hint="eastAsia"/>
          <w:color w:val="000000" w:themeColor="text1"/>
        </w:rPr>
        <w:t>。</w:t>
      </w:r>
    </w:p>
    <w:p>
      <w:pPr>
        <w:pStyle w:val="95"/>
        <w:spacing w:before="0" w:line="360" w:lineRule="auto"/>
        <w:ind w:firstLine="480"/>
        <w:rPr>
          <w:color w:val="000000" w:themeColor="text1"/>
        </w:rPr>
      </w:pPr>
      <w:r>
        <w:rPr>
          <w:color w:val="000000" w:themeColor="text1"/>
        </w:rPr>
        <w:t>噪声污染源：项目噪声主要来自于较大功率的机械设备。</w:t>
      </w:r>
    </w:p>
    <w:p>
      <w:pPr>
        <w:pStyle w:val="5"/>
        <w:rPr>
          <w:color w:val="000000" w:themeColor="text1"/>
        </w:rPr>
      </w:pPr>
      <w:bookmarkStart w:id="71" w:name="_Toc532497606"/>
      <w:r>
        <w:rPr>
          <w:rFonts w:hint="eastAsia"/>
          <w:color w:val="000000" w:themeColor="text1"/>
        </w:rPr>
        <w:t>评价因为筛选</w:t>
      </w:r>
    </w:p>
    <w:p>
      <w:pPr>
        <w:spacing w:line="360" w:lineRule="auto"/>
        <w:ind w:firstLine="480" w:firstLineChars="200"/>
        <w:rPr>
          <w:color w:val="000000" w:themeColor="text1"/>
        </w:rPr>
      </w:pPr>
      <w:r>
        <w:rPr>
          <w:color w:val="000000" w:themeColor="text1"/>
        </w:rPr>
        <w:t>根据项目工程分析和环境影响因子识别结果，结合当地环境特征和本工程情况，筛选出本次评价因子见</w:t>
      </w:r>
      <w:r>
        <w:fldChar w:fldCharType="begin"/>
      </w:r>
      <w:r>
        <w:instrText xml:space="preserve"> REF _Ref493597934 \h  \* MERGEFORMAT </w:instrText>
      </w:r>
      <w:r>
        <w:fldChar w:fldCharType="separate"/>
      </w:r>
      <w:r>
        <w:rPr>
          <w:rFonts w:hint="eastAsia"/>
          <w:color w:val="000000" w:themeColor="text1"/>
        </w:rPr>
        <w:t>表</w:t>
      </w:r>
      <w:r>
        <w:rPr>
          <w:color w:val="000000" w:themeColor="text1"/>
        </w:rPr>
        <w:t>1.5</w:t>
      </w:r>
      <w:r>
        <w:rPr>
          <w:color w:val="000000" w:themeColor="text1"/>
        </w:rPr>
        <w:noBreakHyphen/>
      </w:r>
      <w:r>
        <w:rPr>
          <w:color w:val="000000" w:themeColor="text1"/>
        </w:rPr>
        <w:t>2</w:t>
      </w:r>
      <w:r>
        <w:rPr>
          <w:color w:val="000000" w:themeColor="text1"/>
        </w:rPr>
        <w:fldChar w:fldCharType="end"/>
      </w:r>
      <w:r>
        <w:rPr>
          <w:rFonts w:hint="eastAsia"/>
          <w:color w:val="000000" w:themeColor="text1"/>
        </w:rPr>
        <w:t>。</w:t>
      </w:r>
    </w:p>
    <w:p>
      <w:pPr>
        <w:keepNext/>
        <w:ind w:firstLine="482" w:firstLineChars="200"/>
        <w:jc w:val="center"/>
        <w:rPr>
          <w:b/>
          <w:color w:val="000000" w:themeColor="text1"/>
        </w:rPr>
      </w:pPr>
      <w:bookmarkStart w:id="72" w:name="_Ref493597934"/>
      <w:r>
        <w:rPr>
          <w:rFonts w:hint="eastAsia"/>
          <w:b/>
          <w:color w:val="000000" w:themeColor="text1"/>
        </w:rPr>
        <w:t>表</w:t>
      </w:r>
      <w:r>
        <w:rPr>
          <w:b/>
          <w:color w:val="000000" w:themeColor="text1"/>
        </w:rPr>
        <w:fldChar w:fldCharType="begin"/>
      </w:r>
      <w:r>
        <w:rPr>
          <w:b/>
          <w:color w:val="000000" w:themeColor="text1"/>
        </w:rPr>
        <w:instrText xml:space="preserve"> </w:instrText>
      </w:r>
      <w:r>
        <w:rPr>
          <w:rFonts w:hint="eastAsia"/>
          <w:b/>
          <w:color w:val="000000" w:themeColor="text1"/>
        </w:rPr>
        <w:instrText xml:space="preserve">STYLEREF 2 \s</w:instrText>
      </w:r>
      <w:r>
        <w:rPr>
          <w:b/>
          <w:color w:val="000000" w:themeColor="text1"/>
        </w:rPr>
        <w:instrText xml:space="preserve"> </w:instrText>
      </w:r>
      <w:r>
        <w:rPr>
          <w:b/>
          <w:color w:val="000000" w:themeColor="text1"/>
        </w:rPr>
        <w:fldChar w:fldCharType="separate"/>
      </w:r>
      <w:r>
        <w:rPr>
          <w:b/>
          <w:color w:val="000000" w:themeColor="text1"/>
        </w:rPr>
        <w:t>1.5</w:t>
      </w:r>
      <w:r>
        <w:rPr>
          <w:b/>
          <w:color w:val="000000" w:themeColor="text1"/>
        </w:rPr>
        <w:fldChar w:fldCharType="end"/>
      </w:r>
      <w:r>
        <w:rPr>
          <w:b/>
          <w:color w:val="000000" w:themeColor="text1"/>
        </w:rPr>
        <w:noBreakHyphen/>
      </w:r>
      <w:r>
        <w:rPr>
          <w:b/>
          <w:color w:val="000000" w:themeColor="text1"/>
        </w:rPr>
        <w:fldChar w:fldCharType="begin"/>
      </w:r>
      <w:r>
        <w:rPr>
          <w:b/>
          <w:color w:val="000000" w:themeColor="text1"/>
        </w:rPr>
        <w:instrText xml:space="preserve"> </w:instrText>
      </w:r>
      <w:r>
        <w:rPr>
          <w:rFonts w:hint="eastAsia"/>
          <w:b/>
          <w:color w:val="000000" w:themeColor="text1"/>
        </w:rPr>
        <w:instrText xml:space="preserve">SEQ 表 \* ARABIC \s 2</w:instrText>
      </w:r>
      <w:r>
        <w:rPr>
          <w:b/>
          <w:color w:val="000000" w:themeColor="text1"/>
        </w:rPr>
        <w:instrText xml:space="preserve"> </w:instrText>
      </w:r>
      <w:r>
        <w:rPr>
          <w:b/>
          <w:color w:val="000000" w:themeColor="text1"/>
        </w:rPr>
        <w:fldChar w:fldCharType="separate"/>
      </w:r>
      <w:r>
        <w:rPr>
          <w:b/>
          <w:color w:val="000000" w:themeColor="text1"/>
        </w:rPr>
        <w:t>2</w:t>
      </w:r>
      <w:r>
        <w:rPr>
          <w:b/>
          <w:color w:val="000000" w:themeColor="text1"/>
        </w:rPr>
        <w:fldChar w:fldCharType="end"/>
      </w:r>
      <w:bookmarkEnd w:id="72"/>
      <w:r>
        <w:rPr>
          <w:rFonts w:hint="eastAsia"/>
          <w:b/>
          <w:color w:val="000000" w:themeColor="text1"/>
        </w:rPr>
        <w:t xml:space="preserve">  评价因子识别结果表</w:t>
      </w:r>
    </w:p>
    <w:tbl>
      <w:tblPr>
        <w:tblStyle w:val="39"/>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960"/>
        <w:gridCol w:w="1403"/>
        <w:gridCol w:w="628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16" w:type="pct"/>
            <w:vAlign w:val="center"/>
          </w:tcPr>
          <w:p>
            <w:pPr>
              <w:jc w:val="center"/>
              <w:rPr>
                <w:color w:val="000000" w:themeColor="text1"/>
                <w:kern w:val="21"/>
                <w:sz w:val="21"/>
              </w:rPr>
            </w:pPr>
            <w:r>
              <w:rPr>
                <w:color w:val="000000" w:themeColor="text1"/>
                <w:kern w:val="21"/>
                <w:sz w:val="21"/>
              </w:rPr>
              <w:t>环境要素</w:t>
            </w:r>
          </w:p>
        </w:tc>
        <w:tc>
          <w:tcPr>
            <w:tcW w:w="727" w:type="pct"/>
            <w:vAlign w:val="center"/>
          </w:tcPr>
          <w:p>
            <w:pPr>
              <w:jc w:val="center"/>
              <w:rPr>
                <w:color w:val="000000" w:themeColor="text1"/>
                <w:kern w:val="21"/>
                <w:sz w:val="21"/>
              </w:rPr>
            </w:pPr>
            <w:r>
              <w:rPr>
                <w:color w:val="000000" w:themeColor="text1"/>
                <w:kern w:val="21"/>
                <w:sz w:val="21"/>
              </w:rPr>
              <w:t>评价类别</w:t>
            </w:r>
          </w:p>
        </w:tc>
        <w:tc>
          <w:tcPr>
            <w:tcW w:w="3257" w:type="pct"/>
            <w:vAlign w:val="center"/>
          </w:tcPr>
          <w:p>
            <w:pPr>
              <w:jc w:val="center"/>
              <w:rPr>
                <w:color w:val="000000" w:themeColor="text1"/>
                <w:kern w:val="21"/>
                <w:sz w:val="21"/>
              </w:rPr>
            </w:pPr>
            <w:r>
              <w:rPr>
                <w:color w:val="000000" w:themeColor="text1"/>
                <w:kern w:val="21"/>
                <w:sz w:val="21"/>
              </w:rPr>
              <w:t>评价因子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16" w:type="pct"/>
            <w:vMerge w:val="restart"/>
            <w:vAlign w:val="center"/>
          </w:tcPr>
          <w:p>
            <w:pPr>
              <w:jc w:val="center"/>
              <w:rPr>
                <w:color w:val="000000" w:themeColor="text1"/>
                <w:kern w:val="21"/>
                <w:sz w:val="21"/>
              </w:rPr>
            </w:pPr>
            <w:r>
              <w:rPr>
                <w:color w:val="000000" w:themeColor="text1"/>
                <w:kern w:val="21"/>
                <w:sz w:val="21"/>
              </w:rPr>
              <w:t>大气环境</w:t>
            </w:r>
          </w:p>
        </w:tc>
        <w:tc>
          <w:tcPr>
            <w:tcW w:w="727" w:type="pct"/>
            <w:vAlign w:val="center"/>
          </w:tcPr>
          <w:p>
            <w:pPr>
              <w:jc w:val="center"/>
              <w:rPr>
                <w:color w:val="000000" w:themeColor="text1"/>
                <w:kern w:val="21"/>
                <w:sz w:val="21"/>
              </w:rPr>
            </w:pPr>
            <w:r>
              <w:rPr>
                <w:color w:val="000000" w:themeColor="text1"/>
                <w:kern w:val="21"/>
                <w:sz w:val="21"/>
              </w:rPr>
              <w:t>现状评价</w:t>
            </w:r>
          </w:p>
        </w:tc>
        <w:tc>
          <w:tcPr>
            <w:tcW w:w="3257" w:type="pct"/>
            <w:vAlign w:val="center"/>
          </w:tcPr>
          <w:p>
            <w:pPr>
              <w:ind w:firstLine="420"/>
              <w:jc w:val="center"/>
              <w:rPr>
                <w:rFonts w:cs="Times New Roman"/>
                <w:color w:val="000000" w:themeColor="text1"/>
                <w:kern w:val="21"/>
                <w:sz w:val="21"/>
              </w:rPr>
            </w:pPr>
            <w:r>
              <w:rPr>
                <w:rFonts w:cs="Times New Roman"/>
                <w:sz w:val="21"/>
              </w:rPr>
              <w:t>SO</w:t>
            </w:r>
            <w:r>
              <w:rPr>
                <w:rFonts w:cs="Times New Roman"/>
                <w:sz w:val="21"/>
                <w:vertAlign w:val="subscript"/>
              </w:rPr>
              <w:t>2</w:t>
            </w:r>
            <w:r>
              <w:rPr>
                <w:rFonts w:cs="Times New Roman"/>
                <w:sz w:val="21"/>
              </w:rPr>
              <w:t>、NO</w:t>
            </w:r>
            <w:r>
              <w:rPr>
                <w:rFonts w:cs="Times New Roman"/>
                <w:sz w:val="21"/>
                <w:vertAlign w:val="subscript"/>
              </w:rPr>
              <w:t>2</w:t>
            </w:r>
            <w:r>
              <w:rPr>
                <w:rFonts w:cs="Times New Roman"/>
                <w:sz w:val="21"/>
              </w:rPr>
              <w:t>、PM</w:t>
            </w:r>
            <w:r>
              <w:rPr>
                <w:rFonts w:cs="Times New Roman"/>
                <w:sz w:val="21"/>
                <w:vertAlign w:val="subscript"/>
              </w:rPr>
              <w:t>10</w:t>
            </w:r>
            <w:r>
              <w:rPr>
                <w:rFonts w:cs="Times New Roman"/>
                <w:sz w:val="21"/>
              </w:rPr>
              <w:t>、PM</w:t>
            </w:r>
            <w:r>
              <w:rPr>
                <w:rFonts w:hint="eastAsia" w:cs="Times New Roman"/>
                <w:sz w:val="21"/>
                <w:vertAlign w:val="subscript"/>
              </w:rPr>
              <w:t>2.5</w:t>
            </w:r>
            <w:r>
              <w:rPr>
                <w:rFonts w:hint="eastAsia" w:cs="Times New Roman"/>
                <w:sz w:val="21"/>
              </w:rPr>
              <w:t>、</w:t>
            </w:r>
            <w:r>
              <w:rPr>
                <w:rFonts w:cs="Times New Roman"/>
                <w:sz w:val="21"/>
              </w:rPr>
              <w:t>TSP、CO、O</w:t>
            </w:r>
            <w:r>
              <w:rPr>
                <w:rFonts w:cs="Times New Roman"/>
                <w:sz w:val="21"/>
                <w:vertAlign w:val="subscript"/>
              </w:rPr>
              <w:t>3</w:t>
            </w:r>
            <w:r>
              <w:rPr>
                <w:rFonts w:cs="Times New Roman"/>
                <w:sz w:val="21"/>
              </w:rPr>
              <w:t>、NH</w:t>
            </w:r>
            <w:r>
              <w:rPr>
                <w:rFonts w:cs="Times New Roman"/>
                <w:sz w:val="21"/>
                <w:vertAlign w:val="subscript"/>
              </w:rPr>
              <w:t>3</w:t>
            </w:r>
            <w:r>
              <w:rPr>
                <w:rFonts w:cs="Times New Roman"/>
                <w:sz w:val="21"/>
              </w:rPr>
              <w:t>、H</w:t>
            </w:r>
            <w:r>
              <w:rPr>
                <w:rFonts w:cs="Times New Roman"/>
                <w:sz w:val="21"/>
                <w:vertAlign w:val="subscript"/>
              </w:rPr>
              <w:t>2</w:t>
            </w:r>
            <w:r>
              <w:rPr>
                <w:rFonts w:cs="Times New Roman"/>
                <w:sz w:val="21"/>
              </w:rPr>
              <w:t>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16" w:type="pct"/>
            <w:vMerge w:val="continue"/>
            <w:vAlign w:val="center"/>
          </w:tcPr>
          <w:p>
            <w:pPr>
              <w:ind w:firstLine="420"/>
              <w:jc w:val="center"/>
              <w:rPr>
                <w:color w:val="000000" w:themeColor="text1"/>
                <w:kern w:val="21"/>
                <w:sz w:val="21"/>
              </w:rPr>
            </w:pPr>
          </w:p>
        </w:tc>
        <w:tc>
          <w:tcPr>
            <w:tcW w:w="727" w:type="pct"/>
            <w:vAlign w:val="center"/>
          </w:tcPr>
          <w:p>
            <w:pPr>
              <w:jc w:val="center"/>
              <w:rPr>
                <w:color w:val="000000" w:themeColor="text1"/>
                <w:kern w:val="21"/>
                <w:sz w:val="21"/>
              </w:rPr>
            </w:pPr>
            <w:r>
              <w:rPr>
                <w:color w:val="000000" w:themeColor="text1"/>
                <w:kern w:val="21"/>
                <w:sz w:val="21"/>
              </w:rPr>
              <w:t>影响分析</w:t>
            </w:r>
          </w:p>
        </w:tc>
        <w:tc>
          <w:tcPr>
            <w:tcW w:w="3257" w:type="pct"/>
            <w:vAlign w:val="center"/>
          </w:tcPr>
          <w:p>
            <w:pPr>
              <w:ind w:firstLine="420"/>
              <w:jc w:val="center"/>
              <w:rPr>
                <w:rFonts w:cs="Times New Roman"/>
                <w:color w:val="000000" w:themeColor="text1"/>
                <w:kern w:val="21"/>
                <w:sz w:val="21"/>
              </w:rPr>
            </w:pPr>
            <w:r>
              <w:rPr>
                <w:rFonts w:cs="Times New Roman"/>
                <w:sz w:val="21"/>
              </w:rPr>
              <w:t>TSP</w:t>
            </w:r>
            <w:r>
              <w:rPr>
                <w:rFonts w:hint="eastAsia"/>
                <w:color w:val="000000" w:themeColor="text1"/>
                <w:sz w:val="21"/>
              </w:rPr>
              <w:t>、</w:t>
            </w:r>
            <w:r>
              <w:rPr>
                <w:color w:val="000000" w:themeColor="text1"/>
                <w:sz w:val="21"/>
              </w:rPr>
              <w:t>SO</w:t>
            </w:r>
            <w:r>
              <w:rPr>
                <w:color w:val="000000" w:themeColor="text1"/>
                <w:sz w:val="21"/>
                <w:vertAlign w:val="subscript"/>
              </w:rPr>
              <w:t>2</w:t>
            </w:r>
            <w:r>
              <w:rPr>
                <w:color w:val="000000" w:themeColor="text1"/>
                <w:sz w:val="21"/>
              </w:rPr>
              <w:t>、NO</w:t>
            </w:r>
            <w:r>
              <w:rPr>
                <w:rFonts w:hint="eastAsia"/>
                <w:color w:val="000000" w:themeColor="text1"/>
                <w:sz w:val="21"/>
                <w:vertAlign w:val="subscript"/>
              </w:rPr>
              <w:t>x</w:t>
            </w:r>
            <w:r>
              <w:rPr>
                <w:rFonts w:hint="eastAsia" w:cs="Times New Roman"/>
                <w:color w:val="000000" w:themeColor="text1"/>
                <w:sz w:val="21"/>
              </w:rPr>
              <w:t>、</w:t>
            </w:r>
            <w:r>
              <w:rPr>
                <w:rFonts w:cs="Times New Roman"/>
                <w:color w:val="000000" w:themeColor="text1"/>
                <w:sz w:val="21"/>
              </w:rPr>
              <w:t>NH</w:t>
            </w:r>
            <w:r>
              <w:rPr>
                <w:rFonts w:cs="Times New Roman"/>
                <w:color w:val="000000" w:themeColor="text1"/>
                <w:sz w:val="21"/>
                <w:vertAlign w:val="subscript"/>
              </w:rPr>
              <w:t>3</w:t>
            </w:r>
            <w:r>
              <w:rPr>
                <w:rFonts w:cs="Times New Roman"/>
                <w:color w:val="000000" w:themeColor="text1"/>
                <w:sz w:val="21"/>
              </w:rPr>
              <w:t>、H</w:t>
            </w:r>
            <w:r>
              <w:rPr>
                <w:rFonts w:cs="Times New Roman"/>
                <w:color w:val="000000" w:themeColor="text1"/>
                <w:sz w:val="21"/>
                <w:vertAlign w:val="subscript"/>
              </w:rPr>
              <w:t>2</w:t>
            </w:r>
            <w:r>
              <w:rPr>
                <w:rFonts w:cs="Times New Roman"/>
                <w:color w:val="000000" w:themeColor="text1"/>
                <w:sz w:val="21"/>
              </w:rPr>
              <w:t>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15" w:hRule="atLeast"/>
          <w:jc w:val="center"/>
        </w:trPr>
        <w:tc>
          <w:tcPr>
            <w:tcW w:w="1016" w:type="pct"/>
            <w:vAlign w:val="center"/>
          </w:tcPr>
          <w:p>
            <w:pPr>
              <w:jc w:val="center"/>
              <w:rPr>
                <w:color w:val="000000" w:themeColor="text1"/>
                <w:kern w:val="21"/>
                <w:sz w:val="21"/>
              </w:rPr>
            </w:pPr>
            <w:r>
              <w:rPr>
                <w:rFonts w:hint="eastAsia"/>
                <w:color w:val="000000" w:themeColor="text1"/>
                <w:kern w:val="21"/>
                <w:sz w:val="21"/>
              </w:rPr>
              <w:t>地表水环境</w:t>
            </w:r>
          </w:p>
        </w:tc>
        <w:tc>
          <w:tcPr>
            <w:tcW w:w="727" w:type="pct"/>
            <w:vAlign w:val="center"/>
          </w:tcPr>
          <w:p>
            <w:pPr>
              <w:jc w:val="center"/>
              <w:rPr>
                <w:color w:val="000000" w:themeColor="text1"/>
                <w:kern w:val="21"/>
                <w:sz w:val="21"/>
              </w:rPr>
            </w:pPr>
            <w:r>
              <w:rPr>
                <w:color w:val="000000" w:themeColor="text1"/>
                <w:kern w:val="21"/>
                <w:sz w:val="21"/>
              </w:rPr>
              <w:t>现状评价</w:t>
            </w:r>
          </w:p>
        </w:tc>
        <w:tc>
          <w:tcPr>
            <w:tcW w:w="3257" w:type="pct"/>
            <w:vAlign w:val="center"/>
          </w:tcPr>
          <w:p>
            <w:pPr>
              <w:jc w:val="center"/>
              <w:rPr>
                <w:rFonts w:cs="Times New Roman"/>
                <w:color w:val="000000" w:themeColor="text1"/>
                <w:sz w:val="21"/>
              </w:rPr>
            </w:pPr>
            <w:r>
              <w:rPr>
                <w:rFonts w:cs="Times New Roman"/>
                <w:color w:val="000000" w:themeColor="text1"/>
                <w:sz w:val="21"/>
              </w:rPr>
              <w:t>pH、COD、BOD</w:t>
            </w:r>
            <w:r>
              <w:rPr>
                <w:rFonts w:cs="Times New Roman"/>
                <w:color w:val="000000" w:themeColor="text1"/>
                <w:sz w:val="21"/>
                <w:vertAlign w:val="subscript"/>
              </w:rPr>
              <w:t>5</w:t>
            </w:r>
            <w:r>
              <w:rPr>
                <w:rFonts w:cs="Times New Roman"/>
                <w:color w:val="000000" w:themeColor="text1"/>
                <w:sz w:val="21"/>
              </w:rPr>
              <w:t>、氨氮</w:t>
            </w:r>
            <w:r>
              <w:rPr>
                <w:rStyle w:val="43"/>
                <w:rFonts w:cs="Times New Roman"/>
                <w:color w:val="000000" w:themeColor="text1"/>
              </w:rPr>
              <w:t>、</w:t>
            </w:r>
            <w:r>
              <w:rPr>
                <w:rFonts w:cs="Times New Roman"/>
                <w:color w:val="000000" w:themeColor="text1"/>
                <w:sz w:val="21"/>
              </w:rPr>
              <w:t>总磷、溶解氧、石油类、阴离子表面活性剂、粪大肠菌群</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1016" w:type="pct"/>
            <w:vAlign w:val="center"/>
          </w:tcPr>
          <w:p>
            <w:pPr>
              <w:jc w:val="center"/>
              <w:rPr>
                <w:color w:val="000000" w:themeColor="text1"/>
                <w:kern w:val="21"/>
                <w:sz w:val="21"/>
              </w:rPr>
            </w:pPr>
            <w:r>
              <w:rPr>
                <w:color w:val="000000" w:themeColor="text1"/>
                <w:kern w:val="21"/>
                <w:sz w:val="21"/>
              </w:rPr>
              <w:t>声环境</w:t>
            </w:r>
          </w:p>
        </w:tc>
        <w:tc>
          <w:tcPr>
            <w:tcW w:w="727" w:type="pct"/>
            <w:vAlign w:val="center"/>
          </w:tcPr>
          <w:p>
            <w:pPr>
              <w:jc w:val="center"/>
              <w:rPr>
                <w:color w:val="000000" w:themeColor="text1"/>
                <w:kern w:val="21"/>
                <w:sz w:val="21"/>
              </w:rPr>
            </w:pPr>
            <w:r>
              <w:rPr>
                <w:color w:val="000000" w:themeColor="text1"/>
                <w:kern w:val="21"/>
                <w:sz w:val="21"/>
              </w:rPr>
              <w:t>现状评价</w:t>
            </w:r>
          </w:p>
          <w:p>
            <w:pPr>
              <w:jc w:val="center"/>
              <w:rPr>
                <w:color w:val="000000" w:themeColor="text1"/>
                <w:kern w:val="21"/>
                <w:sz w:val="21"/>
              </w:rPr>
            </w:pPr>
            <w:r>
              <w:rPr>
                <w:color w:val="000000" w:themeColor="text1"/>
                <w:kern w:val="21"/>
                <w:sz w:val="21"/>
              </w:rPr>
              <w:t>影响分析</w:t>
            </w:r>
          </w:p>
        </w:tc>
        <w:tc>
          <w:tcPr>
            <w:tcW w:w="3257" w:type="pct"/>
            <w:vAlign w:val="center"/>
          </w:tcPr>
          <w:p>
            <w:pPr>
              <w:ind w:firstLine="420"/>
              <w:jc w:val="center"/>
              <w:rPr>
                <w:color w:val="000000" w:themeColor="text1"/>
                <w:kern w:val="21"/>
                <w:sz w:val="21"/>
              </w:rPr>
            </w:pPr>
            <w:r>
              <w:rPr>
                <w:rFonts w:eastAsia="宋体"/>
                <w:color w:val="000000" w:themeColor="text1"/>
                <w:sz w:val="21"/>
              </w:rPr>
              <w:t>等效连续A声级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8" w:hRule="atLeast"/>
          <w:jc w:val="center"/>
        </w:trPr>
        <w:tc>
          <w:tcPr>
            <w:tcW w:w="1016" w:type="pct"/>
            <w:vAlign w:val="center"/>
          </w:tcPr>
          <w:p>
            <w:pPr>
              <w:jc w:val="center"/>
              <w:rPr>
                <w:color w:val="000000" w:themeColor="text1"/>
                <w:kern w:val="21"/>
                <w:sz w:val="21"/>
              </w:rPr>
            </w:pPr>
            <w:r>
              <w:rPr>
                <w:rFonts w:hint="eastAsia"/>
                <w:color w:val="000000" w:themeColor="text1"/>
                <w:kern w:val="21"/>
                <w:sz w:val="21"/>
              </w:rPr>
              <w:t>土壤环境</w:t>
            </w:r>
          </w:p>
        </w:tc>
        <w:tc>
          <w:tcPr>
            <w:tcW w:w="727" w:type="pct"/>
            <w:vAlign w:val="center"/>
          </w:tcPr>
          <w:p>
            <w:pPr>
              <w:jc w:val="center"/>
              <w:rPr>
                <w:color w:val="000000" w:themeColor="text1"/>
                <w:kern w:val="21"/>
                <w:sz w:val="21"/>
              </w:rPr>
            </w:pPr>
            <w:r>
              <w:rPr>
                <w:color w:val="000000" w:themeColor="text1"/>
                <w:kern w:val="21"/>
                <w:sz w:val="21"/>
              </w:rPr>
              <w:t>现状评价</w:t>
            </w:r>
          </w:p>
        </w:tc>
        <w:tc>
          <w:tcPr>
            <w:tcW w:w="3257" w:type="pct"/>
            <w:vAlign w:val="center"/>
          </w:tcPr>
          <w:p>
            <w:pPr>
              <w:ind w:firstLine="420"/>
              <w:jc w:val="center"/>
              <w:rPr>
                <w:rFonts w:cs="Times New Roman"/>
                <w:color w:val="000000" w:themeColor="text1"/>
                <w:kern w:val="21"/>
                <w:sz w:val="21"/>
              </w:rPr>
            </w:pPr>
            <w:r>
              <w:rPr>
                <w:rFonts w:cs="Times New Roman"/>
                <w:color w:val="000000" w:themeColor="text1"/>
                <w:sz w:val="21"/>
              </w:rPr>
              <w:t>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 h)蒽、茚并(1,2,3-c,d)芘、萘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16" w:type="pct"/>
            <w:vAlign w:val="center"/>
          </w:tcPr>
          <w:p>
            <w:pPr>
              <w:jc w:val="center"/>
              <w:rPr>
                <w:color w:val="000000" w:themeColor="text1"/>
                <w:kern w:val="21"/>
                <w:sz w:val="21"/>
              </w:rPr>
            </w:pPr>
            <w:r>
              <w:rPr>
                <w:color w:val="000000" w:themeColor="text1"/>
                <w:kern w:val="21"/>
                <w:sz w:val="21"/>
              </w:rPr>
              <w:t>固体废物</w:t>
            </w:r>
          </w:p>
        </w:tc>
        <w:tc>
          <w:tcPr>
            <w:tcW w:w="727" w:type="pct"/>
            <w:vAlign w:val="center"/>
          </w:tcPr>
          <w:p>
            <w:pPr>
              <w:jc w:val="center"/>
              <w:rPr>
                <w:color w:val="000000" w:themeColor="text1"/>
                <w:kern w:val="21"/>
                <w:sz w:val="21"/>
              </w:rPr>
            </w:pPr>
            <w:r>
              <w:rPr>
                <w:rFonts w:hint="eastAsia"/>
                <w:color w:val="000000" w:themeColor="text1"/>
                <w:kern w:val="21"/>
                <w:sz w:val="21"/>
              </w:rPr>
              <w:t>影响分析</w:t>
            </w:r>
          </w:p>
        </w:tc>
        <w:tc>
          <w:tcPr>
            <w:tcW w:w="3257" w:type="pct"/>
            <w:vAlign w:val="center"/>
          </w:tcPr>
          <w:p>
            <w:pPr>
              <w:ind w:firstLine="420"/>
              <w:jc w:val="center"/>
              <w:rPr>
                <w:color w:val="000000" w:themeColor="text1"/>
                <w:kern w:val="21"/>
                <w:sz w:val="21"/>
              </w:rPr>
            </w:pPr>
            <w:r>
              <w:rPr>
                <w:color w:val="000000" w:themeColor="text1"/>
                <w:kern w:val="21"/>
                <w:sz w:val="21"/>
              </w:rPr>
              <w:t>固体废物产生量及处置情况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16" w:type="pct"/>
            <w:vMerge w:val="restart"/>
            <w:vAlign w:val="center"/>
          </w:tcPr>
          <w:p>
            <w:pPr>
              <w:jc w:val="center"/>
              <w:rPr>
                <w:color w:val="000000" w:themeColor="text1"/>
                <w:kern w:val="21"/>
                <w:sz w:val="21"/>
              </w:rPr>
            </w:pPr>
            <w:r>
              <w:rPr>
                <w:color w:val="000000" w:themeColor="text1"/>
                <w:kern w:val="21"/>
                <w:sz w:val="21"/>
              </w:rPr>
              <w:t>生态环境</w:t>
            </w:r>
          </w:p>
        </w:tc>
        <w:tc>
          <w:tcPr>
            <w:tcW w:w="727" w:type="pct"/>
            <w:vAlign w:val="center"/>
          </w:tcPr>
          <w:p>
            <w:pPr>
              <w:jc w:val="center"/>
              <w:rPr>
                <w:color w:val="000000" w:themeColor="text1"/>
                <w:kern w:val="21"/>
                <w:sz w:val="21"/>
              </w:rPr>
            </w:pPr>
            <w:r>
              <w:rPr>
                <w:color w:val="000000" w:themeColor="text1"/>
                <w:kern w:val="21"/>
                <w:sz w:val="21"/>
              </w:rPr>
              <w:t>现状评价</w:t>
            </w:r>
          </w:p>
        </w:tc>
        <w:tc>
          <w:tcPr>
            <w:tcW w:w="3257" w:type="pct"/>
            <w:vAlign w:val="center"/>
          </w:tcPr>
          <w:p>
            <w:pPr>
              <w:ind w:firstLine="420"/>
              <w:jc w:val="center"/>
              <w:rPr>
                <w:color w:val="000000" w:themeColor="text1"/>
                <w:kern w:val="21"/>
                <w:sz w:val="21"/>
              </w:rPr>
            </w:pPr>
            <w:r>
              <w:rPr>
                <w:color w:val="000000" w:themeColor="text1"/>
                <w:kern w:val="21"/>
                <w:sz w:val="21"/>
              </w:rPr>
              <w:t>土地利用、动植物资源及种类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16" w:type="pct"/>
            <w:vMerge w:val="continue"/>
            <w:vAlign w:val="center"/>
          </w:tcPr>
          <w:p>
            <w:pPr>
              <w:ind w:firstLine="420"/>
              <w:jc w:val="center"/>
              <w:rPr>
                <w:color w:val="000000" w:themeColor="text1"/>
                <w:kern w:val="21"/>
                <w:sz w:val="21"/>
              </w:rPr>
            </w:pPr>
          </w:p>
        </w:tc>
        <w:tc>
          <w:tcPr>
            <w:tcW w:w="727" w:type="pct"/>
            <w:vAlign w:val="center"/>
          </w:tcPr>
          <w:p>
            <w:pPr>
              <w:jc w:val="center"/>
              <w:rPr>
                <w:color w:val="000000" w:themeColor="text1"/>
                <w:kern w:val="21"/>
                <w:sz w:val="21"/>
              </w:rPr>
            </w:pPr>
            <w:r>
              <w:rPr>
                <w:color w:val="000000" w:themeColor="text1"/>
                <w:kern w:val="21"/>
                <w:sz w:val="21"/>
              </w:rPr>
              <w:t>影响分析</w:t>
            </w:r>
          </w:p>
        </w:tc>
        <w:tc>
          <w:tcPr>
            <w:tcW w:w="3257" w:type="pct"/>
            <w:vAlign w:val="center"/>
          </w:tcPr>
          <w:p>
            <w:pPr>
              <w:ind w:firstLine="420"/>
              <w:jc w:val="center"/>
              <w:rPr>
                <w:color w:val="000000" w:themeColor="text1"/>
                <w:kern w:val="21"/>
                <w:sz w:val="21"/>
              </w:rPr>
            </w:pPr>
            <w:r>
              <w:rPr>
                <w:color w:val="000000" w:themeColor="text1"/>
                <w:kern w:val="21"/>
                <w:sz w:val="21"/>
              </w:rPr>
              <w:t>土地利用、水土流失、动植物资源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16" w:type="pct"/>
            <w:vMerge w:val="restart"/>
            <w:vAlign w:val="center"/>
          </w:tcPr>
          <w:p>
            <w:pPr>
              <w:ind w:firstLine="210" w:firstLineChars="100"/>
              <w:rPr>
                <w:color w:val="000000" w:themeColor="text1"/>
                <w:kern w:val="21"/>
                <w:sz w:val="21"/>
              </w:rPr>
            </w:pPr>
            <w:r>
              <w:rPr>
                <w:rFonts w:hint="eastAsia"/>
                <w:color w:val="000000" w:themeColor="text1"/>
                <w:kern w:val="21"/>
                <w:sz w:val="21"/>
              </w:rPr>
              <w:t>总量控制因子</w:t>
            </w:r>
          </w:p>
        </w:tc>
        <w:tc>
          <w:tcPr>
            <w:tcW w:w="727" w:type="pct"/>
            <w:vAlign w:val="center"/>
          </w:tcPr>
          <w:p>
            <w:pPr>
              <w:jc w:val="center"/>
              <w:rPr>
                <w:color w:val="000000" w:themeColor="text1"/>
                <w:kern w:val="21"/>
                <w:sz w:val="21"/>
              </w:rPr>
            </w:pPr>
            <w:r>
              <w:rPr>
                <w:rFonts w:hint="eastAsia"/>
                <w:color w:val="000000" w:themeColor="text1"/>
                <w:kern w:val="21"/>
                <w:sz w:val="21"/>
              </w:rPr>
              <w:t>废气</w:t>
            </w:r>
          </w:p>
        </w:tc>
        <w:tc>
          <w:tcPr>
            <w:tcW w:w="3257" w:type="pct"/>
            <w:vAlign w:val="center"/>
          </w:tcPr>
          <w:p>
            <w:pPr>
              <w:ind w:firstLine="420"/>
              <w:jc w:val="center"/>
              <w:rPr>
                <w:color w:val="000000" w:themeColor="text1"/>
                <w:sz w:val="21"/>
              </w:rPr>
            </w:pPr>
            <w:r>
              <w:rPr>
                <w:color w:val="000000" w:themeColor="text1"/>
                <w:sz w:val="21"/>
              </w:rPr>
              <w:t>SO</w:t>
            </w:r>
            <w:r>
              <w:rPr>
                <w:color w:val="000000" w:themeColor="text1"/>
                <w:sz w:val="21"/>
                <w:vertAlign w:val="subscript"/>
              </w:rPr>
              <w:t>2</w:t>
            </w:r>
            <w:r>
              <w:rPr>
                <w:color w:val="000000" w:themeColor="text1"/>
                <w:sz w:val="21"/>
              </w:rPr>
              <w:t>、NO</w:t>
            </w:r>
            <w:r>
              <w:rPr>
                <w:color w:val="000000" w:themeColor="text1"/>
                <w:sz w:val="21"/>
                <w:vertAlign w:val="subscript"/>
              </w:rPr>
              <w:t>x</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16" w:type="pct"/>
            <w:vMerge w:val="continue"/>
            <w:vAlign w:val="center"/>
          </w:tcPr>
          <w:p>
            <w:pPr>
              <w:ind w:firstLine="420"/>
              <w:jc w:val="center"/>
              <w:rPr>
                <w:color w:val="000000" w:themeColor="text1"/>
                <w:kern w:val="21"/>
                <w:sz w:val="21"/>
              </w:rPr>
            </w:pPr>
          </w:p>
        </w:tc>
        <w:tc>
          <w:tcPr>
            <w:tcW w:w="727" w:type="pct"/>
            <w:vAlign w:val="center"/>
          </w:tcPr>
          <w:p>
            <w:pPr>
              <w:jc w:val="center"/>
              <w:rPr>
                <w:color w:val="000000" w:themeColor="text1"/>
                <w:kern w:val="21"/>
                <w:sz w:val="21"/>
              </w:rPr>
            </w:pPr>
            <w:r>
              <w:rPr>
                <w:rFonts w:hint="eastAsia"/>
                <w:color w:val="000000" w:themeColor="text1"/>
                <w:kern w:val="21"/>
                <w:sz w:val="21"/>
              </w:rPr>
              <w:t>废水</w:t>
            </w:r>
          </w:p>
        </w:tc>
        <w:tc>
          <w:tcPr>
            <w:tcW w:w="3257" w:type="pct"/>
            <w:vAlign w:val="center"/>
          </w:tcPr>
          <w:p>
            <w:pPr>
              <w:ind w:firstLine="420"/>
              <w:jc w:val="center"/>
              <w:rPr>
                <w:color w:val="000000" w:themeColor="text1"/>
                <w:kern w:val="21"/>
                <w:sz w:val="21"/>
              </w:rPr>
            </w:pPr>
            <w:r>
              <w:rPr>
                <w:rFonts w:eastAsia="宋体"/>
                <w:color w:val="000000" w:themeColor="text1"/>
                <w:sz w:val="21"/>
              </w:rPr>
              <w:t>COD</w:t>
            </w:r>
            <w:r>
              <w:rPr>
                <w:color w:val="000000" w:themeColor="text1"/>
                <w:kern w:val="21"/>
                <w:sz w:val="21"/>
              </w:rPr>
              <w:t>、</w:t>
            </w:r>
            <w:r>
              <w:rPr>
                <w:rFonts w:eastAsia="宋体"/>
                <w:color w:val="000000" w:themeColor="text1"/>
                <w:sz w:val="21"/>
              </w:rPr>
              <w:t>氨氮</w:t>
            </w:r>
          </w:p>
        </w:tc>
      </w:tr>
    </w:tbl>
    <w:p>
      <w:pPr>
        <w:pStyle w:val="5"/>
        <w:rPr>
          <w:color w:val="000000" w:themeColor="text1"/>
        </w:rPr>
      </w:pPr>
      <w:r>
        <w:rPr>
          <w:rFonts w:hint="eastAsia"/>
          <w:color w:val="000000" w:themeColor="text1"/>
        </w:rPr>
        <w:t>环境功能区划</w:t>
      </w:r>
    </w:p>
    <w:p>
      <w:pPr>
        <w:pStyle w:val="95"/>
        <w:spacing w:line="360" w:lineRule="auto"/>
        <w:ind w:firstLine="480"/>
        <w:rPr>
          <w:color w:val="000000" w:themeColor="text1"/>
        </w:rPr>
      </w:pPr>
      <w:r>
        <w:rPr>
          <w:color w:val="000000" w:themeColor="text1"/>
        </w:rPr>
        <w:t>（1）地表水环境</w:t>
      </w:r>
    </w:p>
    <w:p>
      <w:pPr>
        <w:adjustRightInd w:val="0"/>
        <w:snapToGrid w:val="0"/>
        <w:spacing w:line="360" w:lineRule="auto"/>
        <w:ind w:firstLine="480" w:firstLineChars="200"/>
        <w:rPr>
          <w:rFonts w:cs="Times New Roman"/>
          <w:color w:val="000000" w:themeColor="text1"/>
        </w:rPr>
      </w:pPr>
      <w:r>
        <w:rPr>
          <w:rFonts w:cs="Times New Roman"/>
          <w:color w:val="000000" w:themeColor="text1"/>
        </w:rPr>
        <w:t>评价范围内的东风湖（马壕污水处理厂排放口上游500m至下游1500m），</w:t>
      </w:r>
      <w:r>
        <w:rPr>
          <w:rFonts w:cs="Times New Roman"/>
        </w:rPr>
        <w:t>根据《岳阳市水环境功能区划分》（岳政办发[2010]30号），东风湖、吉家湖、王家河均为景观娱乐用水区，水环境功能区参照执行IV类标准。</w:t>
      </w:r>
    </w:p>
    <w:p>
      <w:pPr>
        <w:pStyle w:val="95"/>
        <w:spacing w:line="360" w:lineRule="auto"/>
        <w:ind w:firstLine="480"/>
      </w:pPr>
      <w:r>
        <w:t>（2）大气环境</w:t>
      </w:r>
    </w:p>
    <w:p>
      <w:pPr>
        <w:pStyle w:val="95"/>
        <w:spacing w:before="0" w:line="360" w:lineRule="auto"/>
        <w:ind w:firstLine="480"/>
      </w:pPr>
      <w:r>
        <w:t>本项目评价区环境空气功能属于二类功能区，执行《环境空气质量标准》（GB3095-2012）中的二级标准。根据环境现状监测结果，评价区SO</w:t>
      </w:r>
      <w:r>
        <w:rPr>
          <w:vertAlign w:val="subscript"/>
        </w:rPr>
        <w:t>2</w:t>
      </w:r>
      <w:r>
        <w:t>、</w:t>
      </w:r>
      <w:r>
        <w:rPr>
          <w:color w:val="000000" w:themeColor="text1"/>
        </w:rPr>
        <w:t>NO</w:t>
      </w:r>
      <w:r>
        <w:rPr>
          <w:color w:val="000000" w:themeColor="text1"/>
          <w:vertAlign w:val="subscript"/>
        </w:rPr>
        <w:t>2</w:t>
      </w:r>
      <w:r>
        <w:t>、PM</w:t>
      </w:r>
      <w:r>
        <w:rPr>
          <w:vertAlign w:val="subscript"/>
        </w:rPr>
        <w:t>10</w:t>
      </w:r>
      <w:r>
        <w:t>环境空气质量现状可符合《环境空气质量标准》（GB3095-2012）二级标准</w:t>
      </w:r>
      <w:r>
        <w:rPr>
          <w:rFonts w:hint="eastAsia"/>
        </w:rPr>
        <w:t>。</w:t>
      </w:r>
      <w:r>
        <w:t>本项目建设符合环境空气功能区划要求。</w:t>
      </w:r>
    </w:p>
    <w:p>
      <w:pPr>
        <w:pStyle w:val="95"/>
        <w:spacing w:line="360" w:lineRule="auto"/>
        <w:ind w:firstLine="480"/>
      </w:pPr>
      <w:r>
        <w:t>（3）声环境</w:t>
      </w:r>
    </w:p>
    <w:p>
      <w:pPr>
        <w:adjustRightInd w:val="0"/>
        <w:snapToGrid w:val="0"/>
        <w:spacing w:line="360" w:lineRule="auto"/>
        <w:ind w:firstLine="480" w:firstLineChars="200"/>
      </w:pPr>
      <w:r>
        <w:t>本项目声环境适用《声环境质量标准》（GB3096-2008）中</w:t>
      </w:r>
      <w:r>
        <w:rPr>
          <w:rFonts w:hint="eastAsia"/>
        </w:rPr>
        <w:t>2</w:t>
      </w:r>
      <w:r>
        <w:t>类声环境功能区，执行《声环境质量标准》（GB3096-2008）中的</w:t>
      </w:r>
      <w:r>
        <w:rPr>
          <w:rFonts w:hint="eastAsia"/>
        </w:rPr>
        <w:t>2</w:t>
      </w:r>
      <w:r>
        <w:t>类环境噪声限值。根据环评期间的环境噪声现状监测结果，厂界声环境均可达到《声环境质量标准》(GB3096-2008)中</w:t>
      </w:r>
      <w:r>
        <w:rPr>
          <w:rFonts w:hint="eastAsia"/>
        </w:rPr>
        <w:t>2</w:t>
      </w:r>
      <w:r>
        <w:t>类标准要求，可满足本项目建设的需要。</w:t>
      </w:r>
    </w:p>
    <w:p>
      <w:pPr>
        <w:pStyle w:val="95"/>
        <w:spacing w:line="360" w:lineRule="auto"/>
        <w:ind w:firstLine="480"/>
      </w:pPr>
      <w:r>
        <w:t>（4）地下水环境</w:t>
      </w:r>
    </w:p>
    <w:p>
      <w:pPr>
        <w:adjustRightInd w:val="0"/>
        <w:snapToGrid w:val="0"/>
        <w:spacing w:line="360" w:lineRule="auto"/>
        <w:ind w:firstLine="480" w:firstLineChars="200"/>
      </w:pPr>
      <w:r>
        <w:t>本项目所在地的地下水执行《地下水环境质量标准》（GB14848-2017）中的Ⅲ类标准，监测点处各监测因子满足《地下水环境质量标准》（GB/T14848-2017）Ⅲ类标准要求。</w:t>
      </w:r>
    </w:p>
    <w:p>
      <w:pPr>
        <w:pStyle w:val="95"/>
        <w:spacing w:line="360" w:lineRule="auto"/>
        <w:ind w:firstLine="480"/>
      </w:pPr>
      <w:r>
        <w:t>（5）土壤环境</w:t>
      </w:r>
    </w:p>
    <w:p>
      <w:pPr>
        <w:adjustRightInd w:val="0"/>
        <w:snapToGrid w:val="0"/>
        <w:spacing w:line="360" w:lineRule="auto"/>
        <w:ind w:firstLine="480" w:firstLineChars="200"/>
      </w:pPr>
      <w:r>
        <w:t>项目所在地土壤执行《土壤环境质量建设用地土壤污染风险管控标准》（GB</w:t>
      </w:r>
      <w:r>
        <w:rPr>
          <w:rFonts w:hint="eastAsia"/>
        </w:rPr>
        <w:t>36600</w:t>
      </w:r>
      <w:r>
        <w:t>-</w:t>
      </w:r>
      <w:r>
        <w:rPr>
          <w:rFonts w:hint="eastAsia"/>
        </w:rPr>
        <w:t>2018</w:t>
      </w:r>
      <w:r>
        <w:t>）中筛选值的第一类用地标准值，根据土壤的历史监测结果，项目区域土壤各监测因子均能达标，可满足项目建设的需要。</w:t>
      </w:r>
    </w:p>
    <w:p>
      <w:pPr>
        <w:pStyle w:val="5"/>
      </w:pPr>
      <w:r>
        <w:rPr>
          <w:rFonts w:hint="eastAsia"/>
        </w:rPr>
        <w:t>项目所在区域环境功能属性汇总</w:t>
      </w:r>
    </w:p>
    <w:p>
      <w:pPr>
        <w:adjustRightInd w:val="0"/>
        <w:snapToGrid w:val="0"/>
        <w:spacing w:line="360" w:lineRule="auto"/>
        <w:ind w:firstLine="480" w:firstLineChars="200"/>
      </w:pPr>
      <w:r>
        <w:rPr>
          <w:rFonts w:hint="eastAsia"/>
        </w:rPr>
        <w:t>项目所在区的功能属于见</w:t>
      </w:r>
      <w:r>
        <w:fldChar w:fldCharType="begin"/>
      </w:r>
      <w:r>
        <w:rPr>
          <w:rFonts w:hint="eastAsia"/>
        </w:rPr>
        <w:instrText xml:space="preserve">REF _Ref13737984 \h</w:instrText>
      </w:r>
      <w:r>
        <w:fldChar w:fldCharType="separate"/>
      </w:r>
      <w:r>
        <w:rPr>
          <w:rFonts w:hint="eastAsia"/>
        </w:rPr>
        <w:t>表</w:t>
      </w:r>
      <w:r>
        <w:t>1.5</w:t>
      </w:r>
      <w:r>
        <w:noBreakHyphen/>
      </w:r>
      <w:r>
        <w:t>3</w:t>
      </w:r>
      <w:r>
        <w:fldChar w:fldCharType="end"/>
      </w:r>
      <w:r>
        <w:rPr>
          <w:rFonts w:hint="eastAsia"/>
        </w:rPr>
        <w:t>。</w:t>
      </w:r>
    </w:p>
    <w:p>
      <w:pPr>
        <w:pStyle w:val="14"/>
        <w:adjustRightInd w:val="0"/>
        <w:snapToGrid w:val="0"/>
        <w:spacing w:line="240" w:lineRule="auto"/>
      </w:pPr>
      <w:bookmarkStart w:id="73" w:name="_Ref13737984"/>
    </w:p>
    <w:p>
      <w:pPr>
        <w:pStyle w:val="14"/>
        <w:adjustRightInd w:val="0"/>
        <w:snapToGrid w:val="0"/>
        <w:spacing w:line="240" w:lineRule="auto"/>
      </w:pPr>
      <w:r>
        <w:rPr>
          <w:rFonts w:hint="eastAsia"/>
        </w:rPr>
        <w:t>表</w:t>
      </w:r>
      <w:r>
        <w:fldChar w:fldCharType="begin"/>
      </w:r>
      <w:r>
        <w:instrText xml:space="preserve"> STYLEREF 2 \s </w:instrText>
      </w:r>
      <w:r>
        <w:fldChar w:fldCharType="separate"/>
      </w:r>
      <w:r>
        <w:t>1.5</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3</w:t>
      </w:r>
      <w:r>
        <w:fldChar w:fldCharType="end"/>
      </w:r>
      <w:bookmarkEnd w:id="73"/>
      <w:r>
        <w:rPr>
          <w:rFonts w:hint="eastAsia"/>
        </w:rPr>
        <w:t xml:space="preserve"> 项目拟选环境功能属性</w:t>
      </w:r>
    </w:p>
    <w:tbl>
      <w:tblPr>
        <w:tblStyle w:val="39"/>
        <w:tblW w:w="5000"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108" w:type="dxa"/>
          <w:bottom w:w="0" w:type="dxa"/>
          <w:right w:w="108" w:type="dxa"/>
        </w:tblCellMar>
      </w:tblPr>
      <w:tblGrid>
        <w:gridCol w:w="842"/>
        <w:gridCol w:w="3145"/>
        <w:gridCol w:w="2074"/>
        <w:gridCol w:w="1702"/>
        <w:gridCol w:w="1883"/>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2" w:hRule="atLeast"/>
        </w:trPr>
        <w:tc>
          <w:tcPr>
            <w:tcW w:w="437" w:type="pct"/>
            <w:tcBorders>
              <w:top w:val="single" w:color="000000" w:sz="4" w:space="0"/>
              <w:left w:val="single" w:color="000000" w:sz="4" w:space="0"/>
              <w:bottom w:val="single" w:color="000000" w:sz="4" w:space="0"/>
            </w:tcBorders>
            <w:vAlign w:val="center"/>
          </w:tcPr>
          <w:p>
            <w:pPr>
              <w:jc w:val="center"/>
              <w:rPr>
                <w:rFonts w:cs="Times New Roman"/>
                <w:sz w:val="21"/>
              </w:rPr>
            </w:pPr>
            <w:r>
              <w:rPr>
                <w:rFonts w:cs="Times New Roman"/>
                <w:sz w:val="21"/>
              </w:rPr>
              <w:t>编号</w:t>
            </w:r>
          </w:p>
        </w:tc>
        <w:tc>
          <w:tcPr>
            <w:tcW w:w="1630" w:type="pct"/>
            <w:tcBorders>
              <w:top w:val="single" w:color="000000" w:sz="4" w:space="0"/>
              <w:bottom w:val="single" w:color="000000" w:sz="4" w:space="0"/>
            </w:tcBorders>
            <w:vAlign w:val="center"/>
          </w:tcPr>
          <w:p>
            <w:pPr>
              <w:jc w:val="center"/>
              <w:rPr>
                <w:rFonts w:cs="Times New Roman"/>
                <w:sz w:val="21"/>
              </w:rPr>
            </w:pPr>
            <w:r>
              <w:rPr>
                <w:rFonts w:cs="Times New Roman"/>
                <w:sz w:val="21"/>
              </w:rPr>
              <w:t>项目</w:t>
            </w:r>
          </w:p>
        </w:tc>
        <w:tc>
          <w:tcPr>
            <w:tcW w:w="2933" w:type="pct"/>
            <w:gridSpan w:val="3"/>
            <w:tcBorders>
              <w:top w:val="single" w:color="000000" w:sz="4" w:space="0"/>
              <w:bottom w:val="single" w:color="000000" w:sz="4" w:space="0"/>
              <w:right w:val="single" w:color="000000" w:sz="4" w:space="0"/>
            </w:tcBorders>
            <w:vAlign w:val="center"/>
          </w:tcPr>
          <w:p>
            <w:pPr>
              <w:jc w:val="center"/>
              <w:rPr>
                <w:rFonts w:cs="Times New Roman"/>
                <w:sz w:val="21"/>
              </w:rPr>
            </w:pPr>
            <w:r>
              <w:rPr>
                <w:rFonts w:cs="Times New Roman"/>
                <w:sz w:val="21"/>
              </w:rPr>
              <w:t>功能属性及执行标准</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65" w:hRule="atLeast"/>
        </w:trPr>
        <w:tc>
          <w:tcPr>
            <w:tcW w:w="437" w:type="pct"/>
            <w:tcBorders>
              <w:top w:val="single" w:color="000000" w:sz="4" w:space="0"/>
              <w:left w:val="single" w:color="000000" w:sz="4" w:space="0"/>
              <w:bottom w:val="single" w:color="000000" w:sz="4" w:space="0"/>
            </w:tcBorders>
            <w:vAlign w:val="center"/>
          </w:tcPr>
          <w:p>
            <w:pPr>
              <w:jc w:val="center"/>
              <w:rPr>
                <w:rFonts w:cs="Times New Roman"/>
                <w:sz w:val="21"/>
              </w:rPr>
            </w:pPr>
            <w:r>
              <w:rPr>
                <w:rFonts w:cs="Times New Roman"/>
                <w:sz w:val="21"/>
              </w:rPr>
              <w:t>1</w:t>
            </w:r>
          </w:p>
        </w:tc>
        <w:tc>
          <w:tcPr>
            <w:tcW w:w="1630" w:type="pct"/>
            <w:tcBorders>
              <w:top w:val="single" w:color="000000" w:sz="4" w:space="0"/>
              <w:bottom w:val="single" w:color="000000" w:sz="4" w:space="0"/>
            </w:tcBorders>
            <w:vAlign w:val="center"/>
          </w:tcPr>
          <w:p>
            <w:pPr>
              <w:jc w:val="center"/>
              <w:rPr>
                <w:rFonts w:cs="Times New Roman"/>
                <w:sz w:val="21"/>
              </w:rPr>
            </w:pPr>
            <w:r>
              <w:rPr>
                <w:rFonts w:cs="Times New Roman"/>
                <w:sz w:val="21"/>
              </w:rPr>
              <w:t>水环境功能区</w:t>
            </w:r>
          </w:p>
        </w:tc>
        <w:tc>
          <w:tcPr>
            <w:tcW w:w="1075" w:type="pct"/>
            <w:tcBorders>
              <w:top w:val="single" w:color="000000" w:sz="4" w:space="0"/>
              <w:bottom w:val="single" w:color="000000" w:sz="4" w:space="0"/>
            </w:tcBorders>
            <w:vAlign w:val="center"/>
          </w:tcPr>
          <w:p>
            <w:pPr>
              <w:jc w:val="center"/>
              <w:rPr>
                <w:rFonts w:cs="Times New Roman"/>
                <w:color w:val="000000" w:themeColor="text1"/>
                <w:sz w:val="21"/>
              </w:rPr>
            </w:pPr>
            <w:r>
              <w:rPr>
                <w:rFonts w:cs="Times New Roman"/>
                <w:color w:val="000000" w:themeColor="text1"/>
                <w:sz w:val="21"/>
              </w:rPr>
              <w:t>东风湖</w:t>
            </w:r>
          </w:p>
        </w:tc>
        <w:tc>
          <w:tcPr>
            <w:tcW w:w="882" w:type="pct"/>
            <w:tcBorders>
              <w:top w:val="single" w:color="000000" w:sz="4" w:space="0"/>
              <w:bottom w:val="single" w:color="000000" w:sz="4" w:space="0"/>
              <w:right w:val="single" w:color="auto" w:sz="4" w:space="0"/>
            </w:tcBorders>
            <w:vAlign w:val="center"/>
          </w:tcPr>
          <w:p>
            <w:pPr>
              <w:jc w:val="center"/>
              <w:rPr>
                <w:rFonts w:cs="Times New Roman"/>
                <w:color w:val="000000" w:themeColor="text1"/>
                <w:sz w:val="21"/>
              </w:rPr>
            </w:pPr>
            <w:r>
              <w:rPr>
                <w:rFonts w:cs="Times New Roman"/>
                <w:color w:val="000000" w:themeColor="text1"/>
                <w:sz w:val="21"/>
              </w:rPr>
              <w:t>景观用水</w:t>
            </w:r>
          </w:p>
        </w:tc>
        <w:tc>
          <w:tcPr>
            <w:tcW w:w="976" w:type="pct"/>
            <w:tcBorders>
              <w:top w:val="single" w:color="000000" w:sz="4" w:space="0"/>
              <w:left w:val="single" w:color="auto" w:sz="4" w:space="0"/>
              <w:bottom w:val="single" w:color="000000" w:sz="4" w:space="0"/>
              <w:right w:val="single" w:color="000000" w:sz="4" w:space="0"/>
            </w:tcBorders>
            <w:vAlign w:val="center"/>
          </w:tcPr>
          <w:p>
            <w:pPr>
              <w:jc w:val="center"/>
              <w:rPr>
                <w:rFonts w:cs="Times New Roman"/>
                <w:color w:val="000000" w:themeColor="text1"/>
                <w:sz w:val="21"/>
              </w:rPr>
            </w:pPr>
            <w:r>
              <w:rPr>
                <w:rFonts w:cs="Times New Roman"/>
                <w:color w:val="000000" w:themeColor="text1"/>
                <w:sz w:val="21"/>
              </w:rPr>
              <w:t>Ⅳ类</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2" w:hRule="atLeast"/>
        </w:trPr>
        <w:tc>
          <w:tcPr>
            <w:tcW w:w="437" w:type="pct"/>
            <w:tcBorders>
              <w:top w:val="single" w:color="000000" w:sz="4" w:space="0"/>
              <w:left w:val="single" w:color="000000" w:sz="4" w:space="0"/>
              <w:bottom w:val="single" w:color="000000" w:sz="4" w:space="0"/>
            </w:tcBorders>
            <w:vAlign w:val="center"/>
          </w:tcPr>
          <w:p>
            <w:pPr>
              <w:jc w:val="center"/>
              <w:rPr>
                <w:rFonts w:cs="Times New Roman"/>
                <w:sz w:val="21"/>
              </w:rPr>
            </w:pPr>
            <w:r>
              <w:rPr>
                <w:rFonts w:cs="Times New Roman"/>
                <w:sz w:val="21"/>
              </w:rPr>
              <w:t>2</w:t>
            </w:r>
          </w:p>
        </w:tc>
        <w:tc>
          <w:tcPr>
            <w:tcW w:w="1630" w:type="pct"/>
            <w:tcBorders>
              <w:top w:val="single" w:color="000000" w:sz="4" w:space="0"/>
              <w:bottom w:val="single" w:color="000000" w:sz="4" w:space="0"/>
            </w:tcBorders>
            <w:vAlign w:val="center"/>
          </w:tcPr>
          <w:p>
            <w:pPr>
              <w:jc w:val="center"/>
              <w:rPr>
                <w:rFonts w:cs="Times New Roman"/>
                <w:sz w:val="21"/>
              </w:rPr>
            </w:pPr>
            <w:r>
              <w:rPr>
                <w:rFonts w:cs="Times New Roman"/>
                <w:sz w:val="21"/>
              </w:rPr>
              <w:t>环境空气质量功能区</w:t>
            </w:r>
          </w:p>
        </w:tc>
        <w:tc>
          <w:tcPr>
            <w:tcW w:w="2933" w:type="pct"/>
            <w:gridSpan w:val="3"/>
            <w:tcBorders>
              <w:top w:val="single" w:color="000000" w:sz="4" w:space="0"/>
              <w:bottom w:val="single" w:color="000000" w:sz="4" w:space="0"/>
              <w:right w:val="single" w:color="000000" w:sz="4" w:space="0"/>
            </w:tcBorders>
            <w:vAlign w:val="center"/>
          </w:tcPr>
          <w:p>
            <w:pPr>
              <w:jc w:val="center"/>
              <w:rPr>
                <w:rFonts w:cs="Times New Roman"/>
                <w:sz w:val="21"/>
              </w:rPr>
            </w:pPr>
            <w:r>
              <w:rPr>
                <w:rFonts w:cs="Times New Roman"/>
                <w:sz w:val="21"/>
              </w:rPr>
              <w:t>二类区，环境空气质量执行《环境空气质量标准》（GB3095-2012）的二级标准</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105" w:hRule="atLeast"/>
        </w:trPr>
        <w:tc>
          <w:tcPr>
            <w:tcW w:w="437" w:type="pct"/>
            <w:tcBorders>
              <w:top w:val="single" w:color="000000" w:sz="4" w:space="0"/>
              <w:left w:val="single" w:color="000000" w:sz="4" w:space="0"/>
              <w:bottom w:val="single" w:color="000000" w:sz="4" w:space="0"/>
            </w:tcBorders>
            <w:vAlign w:val="center"/>
          </w:tcPr>
          <w:p>
            <w:pPr>
              <w:jc w:val="center"/>
              <w:rPr>
                <w:rFonts w:cs="Times New Roman"/>
                <w:sz w:val="21"/>
              </w:rPr>
            </w:pPr>
            <w:r>
              <w:rPr>
                <w:rFonts w:cs="Times New Roman"/>
                <w:sz w:val="21"/>
              </w:rPr>
              <w:t>3</w:t>
            </w:r>
          </w:p>
        </w:tc>
        <w:tc>
          <w:tcPr>
            <w:tcW w:w="1630" w:type="pct"/>
            <w:tcBorders>
              <w:top w:val="single" w:color="000000" w:sz="4" w:space="0"/>
              <w:bottom w:val="single" w:color="000000" w:sz="4" w:space="0"/>
            </w:tcBorders>
            <w:vAlign w:val="center"/>
          </w:tcPr>
          <w:p>
            <w:pPr>
              <w:jc w:val="center"/>
              <w:rPr>
                <w:rFonts w:cs="Times New Roman"/>
                <w:sz w:val="21"/>
              </w:rPr>
            </w:pPr>
            <w:r>
              <w:rPr>
                <w:rFonts w:cs="Times New Roman"/>
                <w:sz w:val="21"/>
              </w:rPr>
              <w:t>声环境功能区</w:t>
            </w:r>
          </w:p>
        </w:tc>
        <w:tc>
          <w:tcPr>
            <w:tcW w:w="2933" w:type="pct"/>
            <w:gridSpan w:val="3"/>
            <w:tcBorders>
              <w:top w:val="single" w:color="000000" w:sz="4" w:space="0"/>
              <w:bottom w:val="single" w:color="000000" w:sz="4" w:space="0"/>
              <w:right w:val="single" w:color="000000" w:sz="4" w:space="0"/>
            </w:tcBorders>
            <w:vAlign w:val="center"/>
          </w:tcPr>
          <w:p>
            <w:pPr>
              <w:jc w:val="center"/>
              <w:rPr>
                <w:rFonts w:cs="Times New Roman"/>
                <w:sz w:val="21"/>
              </w:rPr>
            </w:pPr>
            <w:r>
              <w:rPr>
                <w:rFonts w:cs="Times New Roman"/>
                <w:sz w:val="21"/>
              </w:rPr>
              <w:t>2类声环境功能区，执行《声环境质量标准》（GB3096—2008）2类环境噪声限值</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105" w:hRule="atLeast"/>
        </w:trPr>
        <w:tc>
          <w:tcPr>
            <w:tcW w:w="437" w:type="pct"/>
            <w:tcBorders>
              <w:top w:val="single" w:color="000000" w:sz="4" w:space="0"/>
              <w:left w:val="single" w:color="000000" w:sz="4" w:space="0"/>
              <w:bottom w:val="single" w:color="000000" w:sz="4" w:space="0"/>
            </w:tcBorders>
            <w:vAlign w:val="center"/>
          </w:tcPr>
          <w:p>
            <w:pPr>
              <w:jc w:val="center"/>
              <w:rPr>
                <w:rFonts w:cs="Times New Roman"/>
                <w:sz w:val="21"/>
              </w:rPr>
            </w:pPr>
            <w:r>
              <w:rPr>
                <w:rFonts w:cs="Times New Roman"/>
                <w:sz w:val="21"/>
              </w:rPr>
              <w:t>4</w:t>
            </w:r>
          </w:p>
        </w:tc>
        <w:tc>
          <w:tcPr>
            <w:tcW w:w="1630" w:type="pct"/>
            <w:tcBorders>
              <w:top w:val="single" w:color="000000" w:sz="4" w:space="0"/>
              <w:bottom w:val="single" w:color="000000" w:sz="4" w:space="0"/>
            </w:tcBorders>
            <w:vAlign w:val="center"/>
          </w:tcPr>
          <w:p>
            <w:pPr>
              <w:jc w:val="center"/>
              <w:rPr>
                <w:rFonts w:cs="Times New Roman"/>
                <w:sz w:val="21"/>
              </w:rPr>
            </w:pPr>
            <w:r>
              <w:rPr>
                <w:rFonts w:cs="Times New Roman"/>
                <w:sz w:val="21"/>
              </w:rPr>
              <w:t>地下水环境功能区</w:t>
            </w:r>
          </w:p>
        </w:tc>
        <w:tc>
          <w:tcPr>
            <w:tcW w:w="2933" w:type="pct"/>
            <w:gridSpan w:val="3"/>
            <w:tcBorders>
              <w:top w:val="single" w:color="000000" w:sz="4" w:space="0"/>
              <w:bottom w:val="single" w:color="000000" w:sz="4" w:space="0"/>
              <w:right w:val="single" w:color="000000" w:sz="4" w:space="0"/>
            </w:tcBorders>
            <w:vAlign w:val="center"/>
          </w:tcPr>
          <w:p>
            <w:pPr>
              <w:jc w:val="center"/>
              <w:rPr>
                <w:rFonts w:cs="Times New Roman"/>
                <w:sz w:val="21"/>
              </w:rPr>
            </w:pPr>
            <w:r>
              <w:rPr>
                <w:rFonts w:cs="Times New Roman"/>
                <w:sz w:val="21"/>
              </w:rPr>
              <w:t>Ⅲ类区，执行《地下水质量标准》（GB/T14848-2017）的Ⅲ类标准值</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105" w:hRule="atLeast"/>
        </w:trPr>
        <w:tc>
          <w:tcPr>
            <w:tcW w:w="437" w:type="pct"/>
            <w:tcBorders>
              <w:top w:val="single" w:color="000000" w:sz="4" w:space="0"/>
              <w:left w:val="single" w:color="000000" w:sz="4" w:space="0"/>
              <w:bottom w:val="single" w:color="000000" w:sz="4" w:space="0"/>
            </w:tcBorders>
            <w:vAlign w:val="center"/>
          </w:tcPr>
          <w:p>
            <w:pPr>
              <w:jc w:val="center"/>
              <w:rPr>
                <w:rFonts w:cs="Times New Roman"/>
                <w:sz w:val="21"/>
              </w:rPr>
            </w:pPr>
            <w:r>
              <w:rPr>
                <w:rFonts w:cs="Times New Roman"/>
                <w:sz w:val="21"/>
              </w:rPr>
              <w:t>5</w:t>
            </w:r>
          </w:p>
        </w:tc>
        <w:tc>
          <w:tcPr>
            <w:tcW w:w="1630" w:type="pct"/>
            <w:tcBorders>
              <w:top w:val="single" w:color="000000" w:sz="4" w:space="0"/>
              <w:bottom w:val="single" w:color="000000" w:sz="4" w:space="0"/>
            </w:tcBorders>
            <w:vAlign w:val="center"/>
          </w:tcPr>
          <w:p>
            <w:pPr>
              <w:jc w:val="center"/>
              <w:rPr>
                <w:rFonts w:cs="Times New Roman"/>
                <w:sz w:val="21"/>
              </w:rPr>
            </w:pPr>
            <w:r>
              <w:rPr>
                <w:rFonts w:cs="Times New Roman"/>
                <w:sz w:val="21"/>
              </w:rPr>
              <w:t>土壤环境功能区</w:t>
            </w:r>
          </w:p>
        </w:tc>
        <w:tc>
          <w:tcPr>
            <w:tcW w:w="2933" w:type="pct"/>
            <w:gridSpan w:val="3"/>
            <w:tcBorders>
              <w:top w:val="single" w:color="000000" w:sz="4" w:space="0"/>
              <w:bottom w:val="single" w:color="000000" w:sz="4" w:space="0"/>
              <w:right w:val="single" w:color="000000" w:sz="4" w:space="0"/>
            </w:tcBorders>
            <w:vAlign w:val="center"/>
          </w:tcPr>
          <w:p>
            <w:pPr>
              <w:jc w:val="center"/>
              <w:rPr>
                <w:rFonts w:cs="Times New Roman"/>
                <w:sz w:val="21"/>
              </w:rPr>
            </w:pPr>
            <w:r>
              <w:rPr>
                <w:rFonts w:cs="Times New Roman"/>
                <w:sz w:val="21"/>
              </w:rPr>
              <w:t>执行《土壤环境质量建设用地土壤污染风险管控标准》（GB36600-2018）中筛选值第一类用地标准值</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2" w:hRule="atLeast"/>
        </w:trPr>
        <w:tc>
          <w:tcPr>
            <w:tcW w:w="437" w:type="pct"/>
            <w:tcBorders>
              <w:top w:val="single" w:color="000000" w:sz="4" w:space="0"/>
              <w:left w:val="single" w:color="000000" w:sz="4" w:space="0"/>
              <w:bottom w:val="single" w:color="000000" w:sz="4" w:space="0"/>
            </w:tcBorders>
            <w:vAlign w:val="center"/>
          </w:tcPr>
          <w:p>
            <w:pPr>
              <w:jc w:val="center"/>
              <w:rPr>
                <w:rFonts w:cs="Times New Roman"/>
                <w:sz w:val="21"/>
              </w:rPr>
            </w:pPr>
            <w:r>
              <w:rPr>
                <w:rFonts w:cs="Times New Roman"/>
                <w:sz w:val="21"/>
              </w:rPr>
              <w:t>6</w:t>
            </w:r>
          </w:p>
        </w:tc>
        <w:tc>
          <w:tcPr>
            <w:tcW w:w="1630" w:type="pct"/>
            <w:tcBorders>
              <w:top w:val="single" w:color="000000" w:sz="4" w:space="0"/>
              <w:bottom w:val="single" w:color="000000" w:sz="4" w:space="0"/>
            </w:tcBorders>
            <w:vAlign w:val="center"/>
          </w:tcPr>
          <w:p>
            <w:pPr>
              <w:jc w:val="center"/>
              <w:rPr>
                <w:rFonts w:cs="Times New Roman"/>
                <w:sz w:val="21"/>
              </w:rPr>
            </w:pPr>
            <w:r>
              <w:rPr>
                <w:rFonts w:cs="Times New Roman"/>
                <w:sz w:val="21"/>
              </w:rPr>
              <w:t>是否基本农田保护区</w:t>
            </w:r>
          </w:p>
        </w:tc>
        <w:tc>
          <w:tcPr>
            <w:tcW w:w="2933" w:type="pct"/>
            <w:gridSpan w:val="3"/>
            <w:tcBorders>
              <w:top w:val="single" w:color="000000" w:sz="4" w:space="0"/>
              <w:bottom w:val="single" w:color="000000" w:sz="4" w:space="0"/>
              <w:right w:val="single" w:color="000000" w:sz="4" w:space="0"/>
            </w:tcBorders>
            <w:vAlign w:val="center"/>
          </w:tcPr>
          <w:p>
            <w:pPr>
              <w:jc w:val="center"/>
              <w:rPr>
                <w:rFonts w:cs="Times New Roman"/>
                <w:sz w:val="21"/>
              </w:rPr>
            </w:pPr>
            <w:r>
              <w:rPr>
                <w:rFonts w:cs="Times New Roman"/>
                <w:sz w:val="21"/>
              </w:rPr>
              <w:t>否</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2" w:hRule="atLeast"/>
        </w:trPr>
        <w:tc>
          <w:tcPr>
            <w:tcW w:w="437" w:type="pct"/>
            <w:tcBorders>
              <w:top w:val="single" w:color="000000" w:sz="4" w:space="0"/>
              <w:left w:val="single" w:color="000000" w:sz="4" w:space="0"/>
              <w:bottom w:val="single" w:color="000000" w:sz="4" w:space="0"/>
            </w:tcBorders>
            <w:vAlign w:val="center"/>
          </w:tcPr>
          <w:p>
            <w:pPr>
              <w:jc w:val="center"/>
              <w:rPr>
                <w:rFonts w:cs="Times New Roman"/>
                <w:sz w:val="21"/>
              </w:rPr>
            </w:pPr>
            <w:r>
              <w:rPr>
                <w:rFonts w:cs="Times New Roman"/>
                <w:sz w:val="21"/>
              </w:rPr>
              <w:t>7</w:t>
            </w:r>
          </w:p>
        </w:tc>
        <w:tc>
          <w:tcPr>
            <w:tcW w:w="1630" w:type="pct"/>
            <w:tcBorders>
              <w:top w:val="single" w:color="000000" w:sz="4" w:space="0"/>
              <w:bottom w:val="single" w:color="000000" w:sz="4" w:space="0"/>
            </w:tcBorders>
            <w:vAlign w:val="center"/>
          </w:tcPr>
          <w:p>
            <w:pPr>
              <w:jc w:val="center"/>
              <w:rPr>
                <w:rFonts w:cs="Times New Roman"/>
                <w:sz w:val="21"/>
              </w:rPr>
            </w:pPr>
            <w:r>
              <w:rPr>
                <w:rFonts w:cs="Times New Roman"/>
                <w:sz w:val="21"/>
              </w:rPr>
              <w:t>是否森林公园</w:t>
            </w:r>
          </w:p>
        </w:tc>
        <w:tc>
          <w:tcPr>
            <w:tcW w:w="2933" w:type="pct"/>
            <w:gridSpan w:val="3"/>
            <w:tcBorders>
              <w:top w:val="single" w:color="000000" w:sz="4" w:space="0"/>
              <w:bottom w:val="single" w:color="000000" w:sz="4" w:space="0"/>
              <w:right w:val="single" w:color="000000" w:sz="4" w:space="0"/>
            </w:tcBorders>
            <w:vAlign w:val="center"/>
          </w:tcPr>
          <w:p>
            <w:pPr>
              <w:jc w:val="center"/>
              <w:rPr>
                <w:rFonts w:cs="Times New Roman"/>
                <w:sz w:val="21"/>
              </w:rPr>
            </w:pPr>
            <w:r>
              <w:rPr>
                <w:rFonts w:cs="Times New Roman"/>
                <w:sz w:val="21"/>
              </w:rPr>
              <w:t>否</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2" w:hRule="atLeast"/>
        </w:trPr>
        <w:tc>
          <w:tcPr>
            <w:tcW w:w="437" w:type="pct"/>
            <w:tcBorders>
              <w:top w:val="single" w:color="000000" w:sz="4" w:space="0"/>
              <w:left w:val="single" w:color="000000" w:sz="4" w:space="0"/>
              <w:bottom w:val="single" w:color="000000" w:sz="4" w:space="0"/>
            </w:tcBorders>
            <w:vAlign w:val="center"/>
          </w:tcPr>
          <w:p>
            <w:pPr>
              <w:jc w:val="center"/>
              <w:rPr>
                <w:rFonts w:cs="Times New Roman"/>
                <w:sz w:val="21"/>
              </w:rPr>
            </w:pPr>
            <w:r>
              <w:rPr>
                <w:rFonts w:cs="Times New Roman"/>
                <w:sz w:val="21"/>
              </w:rPr>
              <w:t>8</w:t>
            </w:r>
          </w:p>
        </w:tc>
        <w:tc>
          <w:tcPr>
            <w:tcW w:w="1630" w:type="pct"/>
            <w:tcBorders>
              <w:top w:val="single" w:color="000000" w:sz="4" w:space="0"/>
              <w:bottom w:val="single" w:color="000000" w:sz="4" w:space="0"/>
            </w:tcBorders>
            <w:vAlign w:val="center"/>
          </w:tcPr>
          <w:p>
            <w:pPr>
              <w:jc w:val="center"/>
              <w:rPr>
                <w:rFonts w:cs="Times New Roman"/>
                <w:sz w:val="21"/>
              </w:rPr>
            </w:pPr>
            <w:r>
              <w:rPr>
                <w:rFonts w:cs="Times New Roman"/>
                <w:sz w:val="21"/>
              </w:rPr>
              <w:t>是否生态功能保护区</w:t>
            </w:r>
          </w:p>
        </w:tc>
        <w:tc>
          <w:tcPr>
            <w:tcW w:w="2933" w:type="pct"/>
            <w:gridSpan w:val="3"/>
            <w:tcBorders>
              <w:top w:val="single" w:color="000000" w:sz="4" w:space="0"/>
              <w:bottom w:val="single" w:color="000000" w:sz="4" w:space="0"/>
              <w:right w:val="single" w:color="000000" w:sz="4" w:space="0"/>
            </w:tcBorders>
            <w:vAlign w:val="center"/>
          </w:tcPr>
          <w:p>
            <w:pPr>
              <w:jc w:val="center"/>
              <w:rPr>
                <w:rFonts w:cs="Times New Roman"/>
                <w:sz w:val="21"/>
              </w:rPr>
            </w:pPr>
            <w:r>
              <w:rPr>
                <w:rFonts w:cs="Times New Roman"/>
                <w:sz w:val="21"/>
              </w:rPr>
              <w:t>否</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2" w:hRule="atLeast"/>
        </w:trPr>
        <w:tc>
          <w:tcPr>
            <w:tcW w:w="437" w:type="pct"/>
            <w:tcBorders>
              <w:top w:val="single" w:color="000000" w:sz="4" w:space="0"/>
              <w:left w:val="single" w:color="000000" w:sz="4" w:space="0"/>
              <w:bottom w:val="single" w:color="000000" w:sz="4" w:space="0"/>
            </w:tcBorders>
            <w:vAlign w:val="center"/>
          </w:tcPr>
          <w:p>
            <w:pPr>
              <w:jc w:val="center"/>
              <w:rPr>
                <w:rFonts w:cs="Times New Roman"/>
                <w:sz w:val="21"/>
              </w:rPr>
            </w:pPr>
            <w:r>
              <w:rPr>
                <w:rFonts w:cs="Times New Roman"/>
                <w:sz w:val="21"/>
              </w:rPr>
              <w:t>9</w:t>
            </w:r>
          </w:p>
        </w:tc>
        <w:tc>
          <w:tcPr>
            <w:tcW w:w="1630" w:type="pct"/>
            <w:tcBorders>
              <w:top w:val="single" w:color="000000" w:sz="4" w:space="0"/>
              <w:bottom w:val="single" w:color="000000" w:sz="4" w:space="0"/>
            </w:tcBorders>
            <w:vAlign w:val="center"/>
          </w:tcPr>
          <w:p>
            <w:pPr>
              <w:jc w:val="center"/>
              <w:rPr>
                <w:rFonts w:cs="Times New Roman"/>
                <w:sz w:val="21"/>
              </w:rPr>
            </w:pPr>
            <w:r>
              <w:rPr>
                <w:rFonts w:cs="Times New Roman"/>
                <w:sz w:val="21"/>
              </w:rPr>
              <w:t>是否水土流失重点防治区</w:t>
            </w:r>
          </w:p>
        </w:tc>
        <w:tc>
          <w:tcPr>
            <w:tcW w:w="2933" w:type="pct"/>
            <w:gridSpan w:val="3"/>
            <w:tcBorders>
              <w:top w:val="single" w:color="000000" w:sz="4" w:space="0"/>
              <w:bottom w:val="single" w:color="000000" w:sz="4" w:space="0"/>
              <w:right w:val="single" w:color="000000" w:sz="4" w:space="0"/>
            </w:tcBorders>
            <w:vAlign w:val="center"/>
          </w:tcPr>
          <w:p>
            <w:pPr>
              <w:jc w:val="center"/>
              <w:rPr>
                <w:rFonts w:cs="Times New Roman"/>
                <w:sz w:val="21"/>
              </w:rPr>
            </w:pPr>
            <w:r>
              <w:rPr>
                <w:rFonts w:cs="Times New Roman"/>
                <w:sz w:val="21"/>
              </w:rPr>
              <w:t>否</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2" w:hRule="atLeast"/>
        </w:trPr>
        <w:tc>
          <w:tcPr>
            <w:tcW w:w="437" w:type="pct"/>
            <w:tcBorders>
              <w:top w:val="single" w:color="000000" w:sz="4" w:space="0"/>
              <w:left w:val="single" w:color="000000" w:sz="4" w:space="0"/>
              <w:bottom w:val="single" w:color="000000" w:sz="4" w:space="0"/>
            </w:tcBorders>
            <w:vAlign w:val="center"/>
          </w:tcPr>
          <w:p>
            <w:pPr>
              <w:jc w:val="center"/>
              <w:rPr>
                <w:rFonts w:cs="Times New Roman"/>
                <w:sz w:val="21"/>
              </w:rPr>
            </w:pPr>
            <w:r>
              <w:rPr>
                <w:rFonts w:cs="Times New Roman"/>
                <w:sz w:val="21"/>
              </w:rPr>
              <w:t>10</w:t>
            </w:r>
          </w:p>
        </w:tc>
        <w:tc>
          <w:tcPr>
            <w:tcW w:w="1630" w:type="pct"/>
            <w:tcBorders>
              <w:top w:val="single" w:color="000000" w:sz="4" w:space="0"/>
              <w:bottom w:val="single" w:color="000000" w:sz="4" w:space="0"/>
            </w:tcBorders>
            <w:vAlign w:val="center"/>
          </w:tcPr>
          <w:p>
            <w:pPr>
              <w:jc w:val="center"/>
              <w:rPr>
                <w:rFonts w:cs="Times New Roman"/>
                <w:sz w:val="21"/>
              </w:rPr>
            </w:pPr>
            <w:r>
              <w:rPr>
                <w:rFonts w:cs="Times New Roman"/>
                <w:sz w:val="21"/>
              </w:rPr>
              <w:t>是否人口密集区</w:t>
            </w:r>
          </w:p>
        </w:tc>
        <w:tc>
          <w:tcPr>
            <w:tcW w:w="2933" w:type="pct"/>
            <w:gridSpan w:val="3"/>
            <w:tcBorders>
              <w:top w:val="single" w:color="000000" w:sz="4" w:space="0"/>
              <w:bottom w:val="single" w:color="000000" w:sz="4" w:space="0"/>
              <w:right w:val="single" w:color="000000" w:sz="4" w:space="0"/>
            </w:tcBorders>
            <w:vAlign w:val="center"/>
          </w:tcPr>
          <w:p>
            <w:pPr>
              <w:jc w:val="center"/>
              <w:rPr>
                <w:rFonts w:cs="Times New Roman"/>
                <w:sz w:val="21"/>
              </w:rPr>
            </w:pPr>
            <w:r>
              <w:rPr>
                <w:rFonts w:hint="eastAsia" w:cs="Times New Roman"/>
                <w:sz w:val="21"/>
              </w:rPr>
              <w:t>是</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2" w:hRule="atLeast"/>
        </w:trPr>
        <w:tc>
          <w:tcPr>
            <w:tcW w:w="437" w:type="pct"/>
            <w:tcBorders>
              <w:top w:val="single" w:color="000000" w:sz="4" w:space="0"/>
              <w:left w:val="single" w:color="000000" w:sz="4" w:space="0"/>
              <w:bottom w:val="single" w:color="000000" w:sz="4" w:space="0"/>
            </w:tcBorders>
            <w:vAlign w:val="center"/>
          </w:tcPr>
          <w:p>
            <w:pPr>
              <w:jc w:val="center"/>
              <w:rPr>
                <w:rFonts w:cs="Times New Roman"/>
                <w:sz w:val="21"/>
              </w:rPr>
            </w:pPr>
            <w:r>
              <w:rPr>
                <w:rFonts w:cs="Times New Roman"/>
                <w:sz w:val="21"/>
              </w:rPr>
              <w:t>11</w:t>
            </w:r>
          </w:p>
        </w:tc>
        <w:tc>
          <w:tcPr>
            <w:tcW w:w="1630" w:type="pct"/>
            <w:tcBorders>
              <w:top w:val="single" w:color="000000" w:sz="4" w:space="0"/>
              <w:bottom w:val="single" w:color="000000" w:sz="4" w:space="0"/>
            </w:tcBorders>
            <w:vAlign w:val="center"/>
          </w:tcPr>
          <w:p>
            <w:pPr>
              <w:jc w:val="center"/>
              <w:rPr>
                <w:rFonts w:cs="Times New Roman"/>
                <w:sz w:val="21"/>
              </w:rPr>
            </w:pPr>
            <w:r>
              <w:rPr>
                <w:rFonts w:cs="Times New Roman"/>
                <w:sz w:val="21"/>
              </w:rPr>
              <w:t>是否重点文物保护单位</w:t>
            </w:r>
          </w:p>
        </w:tc>
        <w:tc>
          <w:tcPr>
            <w:tcW w:w="2933" w:type="pct"/>
            <w:gridSpan w:val="3"/>
            <w:tcBorders>
              <w:top w:val="single" w:color="000000" w:sz="4" w:space="0"/>
              <w:bottom w:val="single" w:color="000000" w:sz="4" w:space="0"/>
              <w:right w:val="single" w:color="000000" w:sz="4" w:space="0"/>
            </w:tcBorders>
            <w:vAlign w:val="center"/>
          </w:tcPr>
          <w:p>
            <w:pPr>
              <w:jc w:val="center"/>
              <w:rPr>
                <w:rFonts w:cs="Times New Roman"/>
                <w:sz w:val="21"/>
              </w:rPr>
            </w:pPr>
            <w:r>
              <w:rPr>
                <w:rFonts w:cs="Times New Roman"/>
                <w:sz w:val="21"/>
              </w:rPr>
              <w:t>否</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2" w:hRule="atLeast"/>
        </w:trPr>
        <w:tc>
          <w:tcPr>
            <w:tcW w:w="437" w:type="pct"/>
            <w:tcBorders>
              <w:top w:val="single" w:color="000000" w:sz="4" w:space="0"/>
              <w:left w:val="single" w:color="000000" w:sz="4" w:space="0"/>
              <w:bottom w:val="single" w:color="000000" w:sz="4" w:space="0"/>
            </w:tcBorders>
            <w:vAlign w:val="center"/>
          </w:tcPr>
          <w:p>
            <w:pPr>
              <w:jc w:val="center"/>
              <w:rPr>
                <w:rFonts w:cs="Times New Roman"/>
                <w:sz w:val="21"/>
              </w:rPr>
            </w:pPr>
            <w:r>
              <w:rPr>
                <w:rFonts w:cs="Times New Roman"/>
                <w:sz w:val="21"/>
              </w:rPr>
              <w:t>12</w:t>
            </w:r>
          </w:p>
        </w:tc>
        <w:tc>
          <w:tcPr>
            <w:tcW w:w="1630" w:type="pct"/>
            <w:tcBorders>
              <w:top w:val="single" w:color="000000" w:sz="4" w:space="0"/>
              <w:bottom w:val="single" w:color="000000" w:sz="4" w:space="0"/>
            </w:tcBorders>
            <w:vAlign w:val="center"/>
          </w:tcPr>
          <w:p>
            <w:pPr>
              <w:jc w:val="center"/>
              <w:rPr>
                <w:rFonts w:cs="Times New Roman"/>
                <w:sz w:val="21"/>
              </w:rPr>
            </w:pPr>
            <w:r>
              <w:rPr>
                <w:rFonts w:cs="Times New Roman"/>
                <w:sz w:val="21"/>
              </w:rPr>
              <w:t>是否三河、三湖、两控区</w:t>
            </w:r>
          </w:p>
        </w:tc>
        <w:tc>
          <w:tcPr>
            <w:tcW w:w="2933" w:type="pct"/>
            <w:gridSpan w:val="3"/>
            <w:tcBorders>
              <w:top w:val="single" w:color="000000" w:sz="4" w:space="0"/>
              <w:bottom w:val="single" w:color="000000" w:sz="4" w:space="0"/>
              <w:right w:val="single" w:color="000000" w:sz="4" w:space="0"/>
            </w:tcBorders>
            <w:vAlign w:val="center"/>
          </w:tcPr>
          <w:p>
            <w:pPr>
              <w:jc w:val="center"/>
              <w:rPr>
                <w:rFonts w:cs="Times New Roman"/>
                <w:sz w:val="21"/>
              </w:rPr>
            </w:pPr>
            <w:r>
              <w:rPr>
                <w:rFonts w:cs="Times New Roman"/>
                <w:sz w:val="21"/>
              </w:rPr>
              <w:t>是（两控区）</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2" w:hRule="atLeast"/>
        </w:trPr>
        <w:tc>
          <w:tcPr>
            <w:tcW w:w="437" w:type="pct"/>
            <w:tcBorders>
              <w:top w:val="single" w:color="000000" w:sz="4" w:space="0"/>
              <w:left w:val="single" w:color="000000" w:sz="4" w:space="0"/>
              <w:bottom w:val="single" w:color="000000" w:sz="4" w:space="0"/>
            </w:tcBorders>
            <w:vAlign w:val="center"/>
          </w:tcPr>
          <w:p>
            <w:pPr>
              <w:jc w:val="center"/>
              <w:rPr>
                <w:rFonts w:cs="Times New Roman"/>
                <w:sz w:val="21"/>
              </w:rPr>
            </w:pPr>
            <w:r>
              <w:rPr>
                <w:rFonts w:cs="Times New Roman"/>
                <w:sz w:val="21"/>
              </w:rPr>
              <w:t>13</w:t>
            </w:r>
          </w:p>
        </w:tc>
        <w:tc>
          <w:tcPr>
            <w:tcW w:w="1630" w:type="pct"/>
            <w:tcBorders>
              <w:top w:val="single" w:color="000000" w:sz="4" w:space="0"/>
              <w:bottom w:val="single" w:color="000000" w:sz="4" w:space="0"/>
            </w:tcBorders>
            <w:vAlign w:val="center"/>
          </w:tcPr>
          <w:p>
            <w:pPr>
              <w:jc w:val="center"/>
              <w:rPr>
                <w:rFonts w:cs="Times New Roman"/>
                <w:sz w:val="21"/>
              </w:rPr>
            </w:pPr>
            <w:r>
              <w:rPr>
                <w:rFonts w:cs="Times New Roman"/>
                <w:sz w:val="21"/>
              </w:rPr>
              <w:t>是否水库库区</w:t>
            </w:r>
          </w:p>
        </w:tc>
        <w:tc>
          <w:tcPr>
            <w:tcW w:w="2933" w:type="pct"/>
            <w:gridSpan w:val="3"/>
            <w:tcBorders>
              <w:top w:val="single" w:color="000000" w:sz="4" w:space="0"/>
              <w:bottom w:val="single" w:color="000000" w:sz="4" w:space="0"/>
              <w:right w:val="single" w:color="000000" w:sz="4" w:space="0"/>
            </w:tcBorders>
            <w:vAlign w:val="center"/>
          </w:tcPr>
          <w:p>
            <w:pPr>
              <w:jc w:val="center"/>
              <w:rPr>
                <w:rFonts w:cs="Times New Roman"/>
                <w:sz w:val="21"/>
              </w:rPr>
            </w:pPr>
            <w:r>
              <w:rPr>
                <w:rFonts w:cs="Times New Roman"/>
                <w:sz w:val="21"/>
              </w:rPr>
              <w:t>否</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2" w:hRule="atLeast"/>
        </w:trPr>
        <w:tc>
          <w:tcPr>
            <w:tcW w:w="437" w:type="pct"/>
            <w:tcBorders>
              <w:top w:val="single" w:color="000000" w:sz="4" w:space="0"/>
              <w:left w:val="single" w:color="000000" w:sz="4" w:space="0"/>
              <w:bottom w:val="single" w:color="000000" w:sz="4" w:space="0"/>
            </w:tcBorders>
            <w:vAlign w:val="center"/>
          </w:tcPr>
          <w:p>
            <w:pPr>
              <w:jc w:val="center"/>
              <w:rPr>
                <w:rFonts w:cs="Times New Roman"/>
                <w:sz w:val="21"/>
              </w:rPr>
            </w:pPr>
            <w:r>
              <w:rPr>
                <w:rFonts w:cs="Times New Roman"/>
                <w:sz w:val="21"/>
              </w:rPr>
              <w:t>14</w:t>
            </w:r>
          </w:p>
        </w:tc>
        <w:tc>
          <w:tcPr>
            <w:tcW w:w="1630" w:type="pct"/>
            <w:tcBorders>
              <w:top w:val="single" w:color="000000" w:sz="4" w:space="0"/>
              <w:bottom w:val="single" w:color="000000" w:sz="4" w:space="0"/>
            </w:tcBorders>
            <w:vAlign w:val="center"/>
          </w:tcPr>
          <w:p>
            <w:pPr>
              <w:jc w:val="center"/>
              <w:rPr>
                <w:rFonts w:cs="Times New Roman"/>
                <w:sz w:val="21"/>
              </w:rPr>
            </w:pPr>
            <w:r>
              <w:rPr>
                <w:rFonts w:cs="Times New Roman"/>
                <w:sz w:val="21"/>
              </w:rPr>
              <w:t>是否污水处理厂集水范围</w:t>
            </w:r>
          </w:p>
        </w:tc>
        <w:tc>
          <w:tcPr>
            <w:tcW w:w="2933" w:type="pct"/>
            <w:gridSpan w:val="3"/>
            <w:tcBorders>
              <w:top w:val="single" w:color="000000" w:sz="4" w:space="0"/>
              <w:bottom w:val="single" w:color="000000" w:sz="4" w:space="0"/>
              <w:right w:val="single" w:color="000000" w:sz="4" w:space="0"/>
            </w:tcBorders>
            <w:vAlign w:val="center"/>
          </w:tcPr>
          <w:p>
            <w:pPr>
              <w:jc w:val="center"/>
              <w:rPr>
                <w:rFonts w:cs="Times New Roman"/>
                <w:color w:val="000000" w:themeColor="text1"/>
                <w:sz w:val="21"/>
              </w:rPr>
            </w:pPr>
            <w:r>
              <w:rPr>
                <w:rFonts w:cs="Times New Roman"/>
                <w:color w:val="000000" w:themeColor="text1"/>
                <w:sz w:val="21"/>
              </w:rPr>
              <w:t>是（马豪污水处理厂）</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2" w:hRule="atLeast"/>
        </w:trPr>
        <w:tc>
          <w:tcPr>
            <w:tcW w:w="437" w:type="pct"/>
            <w:tcBorders>
              <w:top w:val="single" w:color="000000" w:sz="4" w:space="0"/>
              <w:left w:val="single" w:color="000000" w:sz="4" w:space="0"/>
              <w:bottom w:val="single" w:color="000000" w:sz="4" w:space="0"/>
            </w:tcBorders>
            <w:vAlign w:val="center"/>
          </w:tcPr>
          <w:p>
            <w:pPr>
              <w:jc w:val="center"/>
              <w:rPr>
                <w:rFonts w:cs="Times New Roman"/>
                <w:sz w:val="21"/>
              </w:rPr>
            </w:pPr>
            <w:r>
              <w:rPr>
                <w:rFonts w:cs="Times New Roman"/>
                <w:sz w:val="21"/>
              </w:rPr>
              <w:t>15</w:t>
            </w:r>
          </w:p>
        </w:tc>
        <w:tc>
          <w:tcPr>
            <w:tcW w:w="1630" w:type="pct"/>
            <w:tcBorders>
              <w:top w:val="single" w:color="000000" w:sz="4" w:space="0"/>
              <w:bottom w:val="single" w:color="000000" w:sz="4" w:space="0"/>
            </w:tcBorders>
            <w:vAlign w:val="center"/>
          </w:tcPr>
          <w:p>
            <w:pPr>
              <w:jc w:val="center"/>
              <w:rPr>
                <w:rFonts w:cs="Times New Roman"/>
                <w:sz w:val="21"/>
              </w:rPr>
            </w:pPr>
            <w:r>
              <w:rPr>
                <w:rFonts w:cs="Times New Roman"/>
                <w:sz w:val="21"/>
              </w:rPr>
              <w:t>是否属于生态敏感与脆弱区</w:t>
            </w:r>
          </w:p>
        </w:tc>
        <w:tc>
          <w:tcPr>
            <w:tcW w:w="2933" w:type="pct"/>
            <w:gridSpan w:val="3"/>
            <w:tcBorders>
              <w:top w:val="single" w:color="000000" w:sz="4" w:space="0"/>
              <w:bottom w:val="single" w:color="000000" w:sz="4" w:space="0"/>
              <w:right w:val="single" w:color="000000" w:sz="4" w:space="0"/>
            </w:tcBorders>
            <w:vAlign w:val="center"/>
          </w:tcPr>
          <w:p>
            <w:pPr>
              <w:jc w:val="center"/>
              <w:rPr>
                <w:rFonts w:cs="Times New Roman"/>
                <w:sz w:val="21"/>
              </w:rPr>
            </w:pPr>
            <w:r>
              <w:rPr>
                <w:rFonts w:cs="Times New Roman"/>
                <w:sz w:val="21"/>
              </w:rPr>
              <w:t>否</w:t>
            </w:r>
          </w:p>
        </w:tc>
      </w:tr>
      <w:bookmarkEnd w:id="71"/>
    </w:tbl>
    <w:p>
      <w:pPr>
        <w:pStyle w:val="4"/>
        <w:adjustRightInd w:val="0"/>
        <w:snapToGrid w:val="0"/>
        <w:rPr>
          <w:color w:val="000000" w:themeColor="text1"/>
        </w:rPr>
      </w:pPr>
      <w:bookmarkStart w:id="74" w:name="_Toc532498728"/>
      <w:bookmarkStart w:id="75" w:name="_Toc532376135"/>
      <w:bookmarkStart w:id="76" w:name="_Toc25826478"/>
      <w:bookmarkStart w:id="77" w:name="_Toc532497608"/>
      <w:bookmarkStart w:id="78" w:name="_Toc532763192"/>
      <w:r>
        <w:rPr>
          <w:rFonts w:hint="eastAsia"/>
          <w:color w:val="000000" w:themeColor="text1"/>
        </w:rPr>
        <w:t>评价标准</w:t>
      </w:r>
      <w:bookmarkEnd w:id="74"/>
      <w:bookmarkEnd w:id="75"/>
      <w:bookmarkEnd w:id="76"/>
      <w:bookmarkEnd w:id="77"/>
      <w:bookmarkEnd w:id="78"/>
    </w:p>
    <w:p>
      <w:pPr>
        <w:adjustRightInd w:val="0"/>
        <w:snapToGrid w:val="0"/>
        <w:spacing w:line="360" w:lineRule="auto"/>
        <w:ind w:firstLine="480" w:firstLineChars="200"/>
        <w:rPr>
          <w:color w:val="000000" w:themeColor="text1"/>
        </w:rPr>
      </w:pPr>
      <w:bookmarkStart w:id="79" w:name="_Ref229931109"/>
      <w:bookmarkStart w:id="80" w:name="_Ref229931098"/>
      <w:r>
        <w:rPr>
          <w:color w:val="000000" w:themeColor="text1"/>
        </w:rPr>
        <w:t>根据岳阳市环境保护局岳阳楼分局对该项目环评执行标准的复函</w:t>
      </w:r>
      <w:r>
        <w:rPr>
          <w:rFonts w:hint="eastAsia"/>
          <w:color w:val="000000" w:themeColor="text1"/>
        </w:rPr>
        <w:t>，</w:t>
      </w:r>
      <w:r>
        <w:rPr>
          <w:color w:val="000000" w:themeColor="text1"/>
        </w:rPr>
        <w:t>确定本次环评各环境要素执行的环境质量标准和污染物排放标准如下，本次评价拟执行标准如下：</w:t>
      </w:r>
      <w:bookmarkEnd w:id="79"/>
      <w:bookmarkEnd w:id="80"/>
    </w:p>
    <w:p>
      <w:pPr>
        <w:pStyle w:val="5"/>
        <w:rPr>
          <w:color w:val="000000" w:themeColor="text1"/>
        </w:rPr>
      </w:pPr>
      <w:bookmarkStart w:id="81" w:name="_Toc532497609"/>
      <w:r>
        <w:rPr>
          <w:rFonts w:hint="eastAsia"/>
          <w:color w:val="000000" w:themeColor="text1"/>
        </w:rPr>
        <w:t>环境质量标准</w:t>
      </w:r>
      <w:bookmarkEnd w:id="81"/>
    </w:p>
    <w:p>
      <w:pPr>
        <w:pStyle w:val="56"/>
        <w:adjustRightInd w:val="0"/>
        <w:snapToGrid w:val="0"/>
        <w:rPr>
          <w:rFonts w:cs="Times New Roman"/>
          <w:color w:val="000000" w:themeColor="text1"/>
        </w:rPr>
      </w:pPr>
      <w:r>
        <w:rPr>
          <w:rFonts w:cs="Times New Roman"/>
          <w:color w:val="000000" w:themeColor="text1"/>
        </w:rPr>
        <w:t>大气环境</w:t>
      </w:r>
    </w:p>
    <w:p>
      <w:pPr>
        <w:spacing w:line="360" w:lineRule="auto"/>
        <w:ind w:firstLine="480" w:firstLineChars="200"/>
        <w:rPr>
          <w:rFonts w:cs="Times New Roman"/>
          <w:color w:val="000000" w:themeColor="text1"/>
        </w:rPr>
      </w:pPr>
      <w:r>
        <w:rPr>
          <w:rFonts w:cs="Times New Roman"/>
          <w:color w:val="000000" w:themeColor="text1"/>
        </w:rPr>
        <w:t>项目所在区域属于环境空气二类功能区，环境空气质量执行《环境空气质量标准》（GB3095-2012）中的二级标准限定值，对于《环境空气质量标准》（GB3095-2012）中没有的特征因子，H</w:t>
      </w:r>
      <w:r>
        <w:rPr>
          <w:rFonts w:cs="Times New Roman"/>
          <w:color w:val="000000" w:themeColor="text1"/>
          <w:vertAlign w:val="subscript"/>
        </w:rPr>
        <w:t>2</w:t>
      </w:r>
      <w:r>
        <w:rPr>
          <w:rFonts w:cs="Times New Roman"/>
          <w:color w:val="000000" w:themeColor="text1"/>
        </w:rPr>
        <w:t>S和NH</w:t>
      </w:r>
      <w:r>
        <w:rPr>
          <w:rFonts w:cs="Times New Roman"/>
          <w:color w:val="000000" w:themeColor="text1"/>
          <w:vertAlign w:val="subscript"/>
        </w:rPr>
        <w:t>3</w:t>
      </w:r>
      <w:r>
        <w:rPr>
          <w:rFonts w:cs="Times New Roman"/>
          <w:color w:val="000000" w:themeColor="text1"/>
        </w:rPr>
        <w:t>参照执行《环境影响评价技术导则 大气环境》（HJ2.2-2018）中附录D.1“其他污染物空气质量浓度参考限值”，标准值见</w:t>
      </w:r>
      <w:r>
        <w:fldChar w:fldCharType="begin"/>
      </w:r>
      <w:r>
        <w:instrText xml:space="preserve"> REF _Ref493600324 \h  \* MERGEFORMAT </w:instrText>
      </w:r>
      <w:r>
        <w:fldChar w:fldCharType="separate"/>
      </w:r>
      <w:r>
        <w:rPr>
          <w:rFonts w:cs="Times New Roman"/>
          <w:color w:val="000000" w:themeColor="text1"/>
        </w:rPr>
        <w:t>表1.6</w:t>
      </w:r>
      <w:r>
        <w:rPr>
          <w:rFonts w:cs="Times New Roman"/>
          <w:color w:val="000000" w:themeColor="text1"/>
        </w:rPr>
        <w:noBreakHyphen/>
      </w:r>
      <w:r>
        <w:rPr>
          <w:rFonts w:cs="Times New Roman"/>
          <w:color w:val="000000" w:themeColor="text1"/>
        </w:rPr>
        <w:t>1</w:t>
      </w:r>
      <w:r>
        <w:rPr>
          <w:rFonts w:cs="Times New Roman"/>
          <w:color w:val="000000" w:themeColor="text1"/>
        </w:rPr>
        <w:fldChar w:fldCharType="end"/>
      </w:r>
      <w:r>
        <w:rPr>
          <w:rFonts w:cs="Times New Roman"/>
          <w:color w:val="000000" w:themeColor="text1"/>
        </w:rPr>
        <w:t>。</w:t>
      </w:r>
    </w:p>
    <w:p>
      <w:pPr>
        <w:pStyle w:val="56"/>
        <w:keepNext w:val="0"/>
        <w:keepLines w:val="0"/>
        <w:numPr>
          <w:ilvl w:val="0"/>
          <w:numId w:val="0"/>
        </w:numPr>
        <w:adjustRightInd w:val="0"/>
        <w:snapToGrid w:val="0"/>
        <w:spacing w:line="240" w:lineRule="auto"/>
        <w:ind w:firstLine="482" w:firstLineChars="200"/>
        <w:jc w:val="center"/>
        <w:outlineLvl w:val="9"/>
        <w:rPr>
          <w:color w:val="000000" w:themeColor="text1"/>
        </w:rPr>
      </w:pPr>
      <w:bookmarkStart w:id="82" w:name="_Ref493600324"/>
      <w:r>
        <w:rPr>
          <w:rFonts w:hint="eastAsia"/>
          <w:color w:val="000000" w:themeColor="text1"/>
        </w:rPr>
        <w:t>表</w:t>
      </w:r>
      <w:r>
        <w:rPr>
          <w:color w:val="000000" w:themeColor="text1"/>
        </w:rPr>
        <w:fldChar w:fldCharType="begin"/>
      </w:r>
      <w:r>
        <w:rPr>
          <w:color w:val="000000" w:themeColor="text1"/>
        </w:rPr>
        <w:instrText xml:space="preserve"> </w:instrText>
      </w:r>
      <w:r>
        <w:rPr>
          <w:rFonts w:hint="eastAsia"/>
          <w:color w:val="000000" w:themeColor="text1"/>
        </w:rPr>
        <w:instrText xml:space="preserve">STYLEREF 2 \s</w:instrText>
      </w:r>
      <w:r>
        <w:rPr>
          <w:color w:val="000000" w:themeColor="text1"/>
        </w:rPr>
        <w:instrText xml:space="preserve"> </w:instrText>
      </w:r>
      <w:r>
        <w:rPr>
          <w:color w:val="000000" w:themeColor="text1"/>
        </w:rPr>
        <w:fldChar w:fldCharType="separate"/>
      </w:r>
      <w:r>
        <w:rPr>
          <w:color w:val="000000" w:themeColor="text1"/>
        </w:rPr>
        <w:t>1.6</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表 \* ARABIC \s 2</w:instrText>
      </w:r>
      <w:r>
        <w:rPr>
          <w:color w:val="000000" w:themeColor="text1"/>
        </w:rPr>
        <w:instrText xml:space="preserve"> </w:instrText>
      </w:r>
      <w:r>
        <w:rPr>
          <w:color w:val="000000" w:themeColor="text1"/>
        </w:rPr>
        <w:fldChar w:fldCharType="separate"/>
      </w:r>
      <w:r>
        <w:rPr>
          <w:color w:val="000000" w:themeColor="text1"/>
        </w:rPr>
        <w:t>1</w:t>
      </w:r>
      <w:r>
        <w:rPr>
          <w:color w:val="000000" w:themeColor="text1"/>
        </w:rPr>
        <w:fldChar w:fldCharType="end"/>
      </w:r>
      <w:bookmarkEnd w:id="82"/>
      <w:r>
        <w:rPr>
          <w:rFonts w:hint="eastAsia"/>
          <w:color w:val="000000" w:themeColor="text1"/>
        </w:rPr>
        <w:t xml:space="preserve"> 环境空气质量浓度限值  </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984"/>
        <w:gridCol w:w="1843"/>
        <w:gridCol w:w="3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污染物名称</w:t>
            </w:r>
          </w:p>
        </w:tc>
        <w:tc>
          <w:tcPr>
            <w:tcW w:w="1984" w:type="dxa"/>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取值时间</w:t>
            </w:r>
          </w:p>
        </w:tc>
        <w:tc>
          <w:tcPr>
            <w:tcW w:w="1843" w:type="dxa"/>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浓度限值</w:t>
            </w:r>
          </w:p>
        </w:tc>
        <w:tc>
          <w:tcPr>
            <w:tcW w:w="3889" w:type="dxa"/>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restart"/>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eastAsia="宋体"/>
                <w:b w:val="0"/>
                <w:snapToGrid w:val="0"/>
                <w:color w:val="000000" w:themeColor="text1"/>
                <w:kern w:val="0"/>
                <w:sz w:val="21"/>
                <w:szCs w:val="21"/>
              </w:rPr>
              <w:t>SO</w:t>
            </w:r>
            <w:r>
              <w:rPr>
                <w:rFonts w:eastAsia="宋体"/>
                <w:b w:val="0"/>
                <w:snapToGrid w:val="0"/>
                <w:color w:val="000000" w:themeColor="text1"/>
                <w:kern w:val="0"/>
                <w:sz w:val="21"/>
                <w:szCs w:val="21"/>
                <w:vertAlign w:val="subscript"/>
              </w:rPr>
              <w:t>2</w:t>
            </w:r>
          </w:p>
        </w:tc>
        <w:tc>
          <w:tcPr>
            <w:tcW w:w="1984" w:type="dxa"/>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年平均</w:t>
            </w:r>
          </w:p>
        </w:tc>
        <w:tc>
          <w:tcPr>
            <w:tcW w:w="1843" w:type="dxa"/>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60ug/m</w:t>
            </w:r>
            <w:r>
              <w:rPr>
                <w:rFonts w:hint="eastAsia" w:eastAsia="宋体"/>
                <w:b w:val="0"/>
                <w:color w:val="000000" w:themeColor="text1"/>
                <w:sz w:val="21"/>
                <w:szCs w:val="21"/>
                <w:vertAlign w:val="superscript"/>
              </w:rPr>
              <w:t>3</w:t>
            </w:r>
          </w:p>
        </w:tc>
        <w:tc>
          <w:tcPr>
            <w:tcW w:w="3889" w:type="dxa"/>
            <w:vMerge w:val="restart"/>
            <w:vAlign w:val="center"/>
          </w:tcPr>
          <w:p>
            <w:pPr>
              <w:adjustRightInd w:val="0"/>
              <w:snapToGrid w:val="0"/>
              <w:jc w:val="center"/>
              <w:rPr>
                <w:rFonts w:eastAsia="宋体" w:cs="Times New Roman"/>
                <w:snapToGrid w:val="0"/>
                <w:color w:val="000000" w:themeColor="text1"/>
                <w:kern w:val="0"/>
                <w:sz w:val="21"/>
              </w:rPr>
            </w:pPr>
            <w:r>
              <w:rPr>
                <w:rFonts w:eastAsia="宋体" w:cs="Times New Roman"/>
                <w:snapToGrid w:val="0"/>
                <w:color w:val="000000" w:themeColor="text1"/>
                <w:kern w:val="0"/>
                <w:sz w:val="21"/>
              </w:rPr>
              <w:t>《环境空气质量标准》</w:t>
            </w:r>
          </w:p>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eastAsia="宋体"/>
                <w:b w:val="0"/>
                <w:snapToGrid w:val="0"/>
                <w:color w:val="000000" w:themeColor="text1"/>
                <w:kern w:val="0"/>
                <w:sz w:val="21"/>
                <w:szCs w:val="21"/>
              </w:rPr>
              <w:t>GB3095-2012</w:t>
            </w:r>
            <w:r>
              <w:rPr>
                <w:rFonts w:hint="eastAsia" w:eastAsia="宋体"/>
                <w:b w:val="0"/>
                <w:snapToGrid w:val="0"/>
                <w:color w:val="000000" w:themeColor="text1"/>
                <w:kern w:val="0"/>
                <w:sz w:val="21"/>
                <w:szCs w:val="21"/>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p>
        </w:tc>
        <w:tc>
          <w:tcPr>
            <w:tcW w:w="1984" w:type="dxa"/>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24小时平均</w:t>
            </w:r>
          </w:p>
        </w:tc>
        <w:tc>
          <w:tcPr>
            <w:tcW w:w="1843" w:type="dxa"/>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150ug/m</w:t>
            </w:r>
            <w:r>
              <w:rPr>
                <w:rFonts w:hint="eastAsia" w:eastAsia="宋体"/>
                <w:b w:val="0"/>
                <w:color w:val="000000" w:themeColor="text1"/>
                <w:sz w:val="21"/>
                <w:szCs w:val="21"/>
                <w:vertAlign w:val="superscript"/>
              </w:rPr>
              <w:t>3</w:t>
            </w:r>
          </w:p>
        </w:tc>
        <w:tc>
          <w:tcPr>
            <w:tcW w:w="3889" w:type="dxa"/>
            <w:vMerge w:val="continue"/>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p>
        </w:tc>
        <w:tc>
          <w:tcPr>
            <w:tcW w:w="1984" w:type="dxa"/>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1小时平均</w:t>
            </w:r>
          </w:p>
        </w:tc>
        <w:tc>
          <w:tcPr>
            <w:tcW w:w="1843" w:type="dxa"/>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500ug/m</w:t>
            </w:r>
            <w:r>
              <w:rPr>
                <w:rFonts w:hint="eastAsia" w:eastAsia="宋体"/>
                <w:b w:val="0"/>
                <w:color w:val="000000" w:themeColor="text1"/>
                <w:sz w:val="21"/>
                <w:szCs w:val="21"/>
                <w:vertAlign w:val="superscript"/>
              </w:rPr>
              <w:t>3</w:t>
            </w:r>
          </w:p>
        </w:tc>
        <w:tc>
          <w:tcPr>
            <w:tcW w:w="3889" w:type="dxa"/>
            <w:vMerge w:val="continue"/>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restart"/>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snapToGrid w:val="0"/>
                <w:color w:val="000000" w:themeColor="text1"/>
                <w:sz w:val="21"/>
                <w:szCs w:val="21"/>
              </w:rPr>
              <w:t>PM</w:t>
            </w:r>
            <w:r>
              <w:rPr>
                <w:rFonts w:hint="eastAsia" w:eastAsia="宋体"/>
                <w:b w:val="0"/>
                <w:snapToGrid w:val="0"/>
                <w:color w:val="000000" w:themeColor="text1"/>
                <w:sz w:val="21"/>
                <w:szCs w:val="21"/>
                <w:vertAlign w:val="subscript"/>
              </w:rPr>
              <w:t>10</w:t>
            </w:r>
          </w:p>
        </w:tc>
        <w:tc>
          <w:tcPr>
            <w:tcW w:w="1984" w:type="dxa"/>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年平均</w:t>
            </w:r>
          </w:p>
        </w:tc>
        <w:tc>
          <w:tcPr>
            <w:tcW w:w="1843" w:type="dxa"/>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70ug/m</w:t>
            </w:r>
            <w:r>
              <w:rPr>
                <w:rFonts w:hint="eastAsia" w:eastAsia="宋体"/>
                <w:b w:val="0"/>
                <w:color w:val="000000" w:themeColor="text1"/>
                <w:sz w:val="21"/>
                <w:szCs w:val="21"/>
                <w:vertAlign w:val="superscript"/>
              </w:rPr>
              <w:t>3</w:t>
            </w:r>
          </w:p>
        </w:tc>
        <w:tc>
          <w:tcPr>
            <w:tcW w:w="3889" w:type="dxa"/>
            <w:vMerge w:val="continue"/>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p>
        </w:tc>
        <w:tc>
          <w:tcPr>
            <w:tcW w:w="1984" w:type="dxa"/>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24小时平均</w:t>
            </w:r>
          </w:p>
        </w:tc>
        <w:tc>
          <w:tcPr>
            <w:tcW w:w="1843" w:type="dxa"/>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150ug/m</w:t>
            </w:r>
            <w:r>
              <w:rPr>
                <w:rFonts w:hint="eastAsia" w:eastAsia="宋体"/>
                <w:b w:val="0"/>
                <w:color w:val="000000" w:themeColor="text1"/>
                <w:sz w:val="21"/>
                <w:szCs w:val="21"/>
                <w:vertAlign w:val="superscript"/>
              </w:rPr>
              <w:t>3</w:t>
            </w:r>
          </w:p>
        </w:tc>
        <w:tc>
          <w:tcPr>
            <w:tcW w:w="3889" w:type="dxa"/>
            <w:vMerge w:val="continue"/>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restart"/>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snapToGrid w:val="0"/>
                <w:color w:val="000000" w:themeColor="text1"/>
                <w:sz w:val="21"/>
                <w:szCs w:val="21"/>
              </w:rPr>
              <w:t>PM</w:t>
            </w:r>
            <w:r>
              <w:rPr>
                <w:rFonts w:hint="eastAsia" w:eastAsia="宋体"/>
                <w:b w:val="0"/>
                <w:snapToGrid w:val="0"/>
                <w:color w:val="000000" w:themeColor="text1"/>
                <w:sz w:val="21"/>
                <w:szCs w:val="21"/>
                <w:vertAlign w:val="subscript"/>
              </w:rPr>
              <w:t>2.5</w:t>
            </w:r>
          </w:p>
        </w:tc>
        <w:tc>
          <w:tcPr>
            <w:tcW w:w="1984" w:type="dxa"/>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年平均</w:t>
            </w:r>
          </w:p>
        </w:tc>
        <w:tc>
          <w:tcPr>
            <w:tcW w:w="1843" w:type="dxa"/>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35ug/m</w:t>
            </w:r>
            <w:r>
              <w:rPr>
                <w:rFonts w:hint="eastAsia" w:eastAsia="宋体"/>
                <w:b w:val="0"/>
                <w:color w:val="000000" w:themeColor="text1"/>
                <w:sz w:val="21"/>
                <w:szCs w:val="21"/>
                <w:vertAlign w:val="superscript"/>
              </w:rPr>
              <w:t>3</w:t>
            </w:r>
          </w:p>
        </w:tc>
        <w:tc>
          <w:tcPr>
            <w:tcW w:w="3889" w:type="dxa"/>
            <w:vMerge w:val="continue"/>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p>
        </w:tc>
        <w:tc>
          <w:tcPr>
            <w:tcW w:w="1984" w:type="dxa"/>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24小时平均</w:t>
            </w:r>
          </w:p>
        </w:tc>
        <w:tc>
          <w:tcPr>
            <w:tcW w:w="1843" w:type="dxa"/>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75ug/m</w:t>
            </w:r>
            <w:r>
              <w:rPr>
                <w:rFonts w:hint="eastAsia" w:eastAsia="宋体"/>
                <w:b w:val="0"/>
                <w:color w:val="000000" w:themeColor="text1"/>
                <w:sz w:val="21"/>
                <w:szCs w:val="21"/>
                <w:vertAlign w:val="superscript"/>
              </w:rPr>
              <w:t>3</w:t>
            </w:r>
          </w:p>
        </w:tc>
        <w:tc>
          <w:tcPr>
            <w:tcW w:w="3889" w:type="dxa"/>
            <w:vMerge w:val="continue"/>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restart"/>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eastAsia="宋体"/>
                <w:b w:val="0"/>
                <w:color w:val="000000" w:themeColor="text1"/>
                <w:sz w:val="21"/>
                <w:szCs w:val="21"/>
                <w:lang w:val="en-GB"/>
              </w:rPr>
              <w:t>NO</w:t>
            </w:r>
            <w:r>
              <w:rPr>
                <w:rFonts w:eastAsia="宋体"/>
                <w:b w:val="0"/>
                <w:color w:val="000000" w:themeColor="text1"/>
                <w:sz w:val="21"/>
                <w:szCs w:val="21"/>
                <w:vertAlign w:val="subscript"/>
                <w:lang w:val="en-GB"/>
              </w:rPr>
              <w:t>2</w:t>
            </w:r>
          </w:p>
        </w:tc>
        <w:tc>
          <w:tcPr>
            <w:tcW w:w="1984" w:type="dxa"/>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年平均</w:t>
            </w:r>
          </w:p>
        </w:tc>
        <w:tc>
          <w:tcPr>
            <w:tcW w:w="1843" w:type="dxa"/>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40ug/m</w:t>
            </w:r>
            <w:r>
              <w:rPr>
                <w:rFonts w:hint="eastAsia" w:eastAsia="宋体"/>
                <w:b w:val="0"/>
                <w:color w:val="000000" w:themeColor="text1"/>
                <w:sz w:val="21"/>
                <w:szCs w:val="21"/>
                <w:vertAlign w:val="superscript"/>
              </w:rPr>
              <w:t>3</w:t>
            </w:r>
          </w:p>
        </w:tc>
        <w:tc>
          <w:tcPr>
            <w:tcW w:w="3889" w:type="dxa"/>
            <w:vMerge w:val="continue"/>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p>
        </w:tc>
        <w:tc>
          <w:tcPr>
            <w:tcW w:w="1984" w:type="dxa"/>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24小时平均</w:t>
            </w:r>
          </w:p>
        </w:tc>
        <w:tc>
          <w:tcPr>
            <w:tcW w:w="1843" w:type="dxa"/>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80ug/m</w:t>
            </w:r>
            <w:r>
              <w:rPr>
                <w:rFonts w:hint="eastAsia" w:eastAsia="宋体"/>
                <w:b w:val="0"/>
                <w:color w:val="000000" w:themeColor="text1"/>
                <w:sz w:val="21"/>
                <w:szCs w:val="21"/>
                <w:vertAlign w:val="superscript"/>
              </w:rPr>
              <w:t>3</w:t>
            </w:r>
          </w:p>
        </w:tc>
        <w:tc>
          <w:tcPr>
            <w:tcW w:w="3889" w:type="dxa"/>
            <w:vMerge w:val="continue"/>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p>
        </w:tc>
        <w:tc>
          <w:tcPr>
            <w:tcW w:w="1984" w:type="dxa"/>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1小时平均</w:t>
            </w:r>
          </w:p>
        </w:tc>
        <w:tc>
          <w:tcPr>
            <w:tcW w:w="1843" w:type="dxa"/>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200ug/m</w:t>
            </w:r>
            <w:r>
              <w:rPr>
                <w:rFonts w:hint="eastAsia" w:eastAsia="宋体"/>
                <w:b w:val="0"/>
                <w:color w:val="000000" w:themeColor="text1"/>
                <w:sz w:val="21"/>
                <w:szCs w:val="21"/>
                <w:vertAlign w:val="superscript"/>
              </w:rPr>
              <w:t>3</w:t>
            </w:r>
          </w:p>
        </w:tc>
        <w:tc>
          <w:tcPr>
            <w:tcW w:w="3889" w:type="dxa"/>
            <w:vMerge w:val="continue"/>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restart"/>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CO</w:t>
            </w:r>
          </w:p>
        </w:tc>
        <w:tc>
          <w:tcPr>
            <w:tcW w:w="1984" w:type="dxa"/>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日均值</w:t>
            </w:r>
          </w:p>
        </w:tc>
        <w:tc>
          <w:tcPr>
            <w:tcW w:w="1843" w:type="dxa"/>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4mg/m</w:t>
            </w:r>
            <w:r>
              <w:rPr>
                <w:rFonts w:hint="eastAsia" w:eastAsia="宋体"/>
                <w:b w:val="0"/>
                <w:color w:val="000000" w:themeColor="text1"/>
                <w:sz w:val="21"/>
                <w:szCs w:val="21"/>
                <w:vertAlign w:val="superscript"/>
              </w:rPr>
              <w:t>3</w:t>
            </w:r>
          </w:p>
        </w:tc>
        <w:tc>
          <w:tcPr>
            <w:tcW w:w="3889" w:type="dxa"/>
            <w:vMerge w:val="continue"/>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p>
        </w:tc>
        <w:tc>
          <w:tcPr>
            <w:tcW w:w="1984" w:type="dxa"/>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1小时平均</w:t>
            </w:r>
          </w:p>
        </w:tc>
        <w:tc>
          <w:tcPr>
            <w:tcW w:w="1843" w:type="dxa"/>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10mg/m</w:t>
            </w:r>
            <w:r>
              <w:rPr>
                <w:rFonts w:hint="eastAsia" w:eastAsia="宋体"/>
                <w:b w:val="0"/>
                <w:color w:val="000000" w:themeColor="text1"/>
                <w:sz w:val="21"/>
                <w:szCs w:val="21"/>
                <w:vertAlign w:val="superscript"/>
              </w:rPr>
              <w:t>3</w:t>
            </w:r>
          </w:p>
        </w:tc>
        <w:tc>
          <w:tcPr>
            <w:tcW w:w="3889" w:type="dxa"/>
            <w:vMerge w:val="continue"/>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restart"/>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O</w:t>
            </w:r>
            <w:r>
              <w:rPr>
                <w:rFonts w:hint="eastAsia" w:eastAsia="宋体"/>
                <w:b w:val="0"/>
                <w:color w:val="000000" w:themeColor="text1"/>
                <w:sz w:val="21"/>
                <w:szCs w:val="21"/>
                <w:vertAlign w:val="subscript"/>
              </w:rPr>
              <w:t>3</w:t>
            </w:r>
          </w:p>
        </w:tc>
        <w:tc>
          <w:tcPr>
            <w:tcW w:w="1984" w:type="dxa"/>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日最大8小时平均</w:t>
            </w:r>
          </w:p>
        </w:tc>
        <w:tc>
          <w:tcPr>
            <w:tcW w:w="1843" w:type="dxa"/>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160ug/m</w:t>
            </w:r>
            <w:r>
              <w:rPr>
                <w:rFonts w:hint="eastAsia" w:eastAsia="宋体"/>
                <w:b w:val="0"/>
                <w:color w:val="000000" w:themeColor="text1"/>
                <w:sz w:val="21"/>
                <w:szCs w:val="21"/>
                <w:vertAlign w:val="superscript"/>
              </w:rPr>
              <w:t>3</w:t>
            </w:r>
          </w:p>
        </w:tc>
        <w:tc>
          <w:tcPr>
            <w:tcW w:w="3889" w:type="dxa"/>
            <w:vMerge w:val="continue"/>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p>
        </w:tc>
        <w:tc>
          <w:tcPr>
            <w:tcW w:w="1984" w:type="dxa"/>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1小时平均</w:t>
            </w:r>
          </w:p>
        </w:tc>
        <w:tc>
          <w:tcPr>
            <w:tcW w:w="1843" w:type="dxa"/>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r>
              <w:rPr>
                <w:rFonts w:hint="eastAsia" w:eastAsia="宋体"/>
                <w:b w:val="0"/>
                <w:color w:val="000000" w:themeColor="text1"/>
                <w:sz w:val="21"/>
                <w:szCs w:val="21"/>
              </w:rPr>
              <w:t>200ug/m</w:t>
            </w:r>
            <w:r>
              <w:rPr>
                <w:rFonts w:hint="eastAsia" w:eastAsia="宋体"/>
                <w:b w:val="0"/>
                <w:color w:val="000000" w:themeColor="text1"/>
                <w:sz w:val="21"/>
                <w:szCs w:val="21"/>
                <w:vertAlign w:val="superscript"/>
              </w:rPr>
              <w:t>3</w:t>
            </w:r>
          </w:p>
        </w:tc>
        <w:tc>
          <w:tcPr>
            <w:tcW w:w="3889" w:type="dxa"/>
            <w:vMerge w:val="continue"/>
            <w:vAlign w:val="center"/>
          </w:tcPr>
          <w:p>
            <w:pPr>
              <w:pStyle w:val="56"/>
              <w:keepNext w:val="0"/>
              <w:keepLines w:val="0"/>
              <w:numPr>
                <w:ilvl w:val="0"/>
                <w:numId w:val="0"/>
              </w:numPr>
              <w:adjustRightInd w:val="0"/>
              <w:snapToGrid w:val="0"/>
              <w:spacing w:line="240" w:lineRule="auto"/>
              <w:jc w:val="center"/>
              <w:rPr>
                <w:rFonts w:eastAsia="宋体"/>
                <w:b w:val="0"/>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526" w:type="dxa"/>
            <w:vAlign w:val="center"/>
          </w:tcPr>
          <w:p>
            <w:pPr>
              <w:pStyle w:val="56"/>
              <w:keepNext w:val="0"/>
              <w:keepLines w:val="0"/>
              <w:numPr>
                <w:ilvl w:val="0"/>
                <w:numId w:val="0"/>
              </w:numPr>
              <w:adjustRightInd w:val="0"/>
              <w:snapToGrid w:val="0"/>
              <w:spacing w:line="240" w:lineRule="auto"/>
              <w:jc w:val="center"/>
              <w:rPr>
                <w:rFonts w:eastAsia="宋体" w:cs="Times New Roman"/>
                <w:b w:val="0"/>
                <w:color w:val="000000" w:themeColor="text1"/>
                <w:sz w:val="21"/>
                <w:szCs w:val="21"/>
              </w:rPr>
            </w:pPr>
            <w:r>
              <w:rPr>
                <w:rFonts w:hint="eastAsia" w:eastAsia="宋体" w:cs="Times New Roman"/>
                <w:b w:val="0"/>
                <w:color w:val="000000" w:themeColor="text1"/>
                <w:sz w:val="21"/>
                <w:szCs w:val="21"/>
              </w:rPr>
              <w:t>H</w:t>
            </w:r>
            <w:r>
              <w:rPr>
                <w:rFonts w:hint="eastAsia" w:eastAsia="宋体" w:cs="Times New Roman"/>
                <w:b w:val="0"/>
                <w:color w:val="000000" w:themeColor="text1"/>
                <w:sz w:val="21"/>
                <w:szCs w:val="21"/>
                <w:vertAlign w:val="subscript"/>
              </w:rPr>
              <w:t>2</w:t>
            </w:r>
            <w:r>
              <w:rPr>
                <w:rFonts w:hint="eastAsia" w:eastAsia="宋体" w:cs="Times New Roman"/>
                <w:b w:val="0"/>
                <w:color w:val="000000" w:themeColor="text1"/>
                <w:sz w:val="21"/>
                <w:szCs w:val="21"/>
              </w:rPr>
              <w:t>S</w:t>
            </w:r>
          </w:p>
        </w:tc>
        <w:tc>
          <w:tcPr>
            <w:tcW w:w="1984" w:type="dxa"/>
            <w:vAlign w:val="center"/>
          </w:tcPr>
          <w:p>
            <w:pPr>
              <w:pStyle w:val="56"/>
              <w:keepNext w:val="0"/>
              <w:keepLines w:val="0"/>
              <w:numPr>
                <w:ilvl w:val="0"/>
                <w:numId w:val="0"/>
              </w:numPr>
              <w:adjustRightInd w:val="0"/>
              <w:snapToGrid w:val="0"/>
              <w:spacing w:line="240" w:lineRule="auto"/>
              <w:jc w:val="center"/>
              <w:rPr>
                <w:rFonts w:eastAsia="宋体" w:cs="Times New Roman"/>
                <w:b w:val="0"/>
                <w:color w:val="000000" w:themeColor="text1"/>
                <w:sz w:val="21"/>
                <w:szCs w:val="21"/>
              </w:rPr>
            </w:pPr>
            <w:r>
              <w:rPr>
                <w:rFonts w:hint="eastAsia" w:eastAsia="宋体" w:cs="Times New Roman"/>
                <w:b w:val="0"/>
                <w:color w:val="000000" w:themeColor="text1"/>
                <w:sz w:val="21"/>
                <w:szCs w:val="21"/>
              </w:rPr>
              <w:t>1小时平均</w:t>
            </w:r>
          </w:p>
        </w:tc>
        <w:tc>
          <w:tcPr>
            <w:tcW w:w="1843" w:type="dxa"/>
            <w:vAlign w:val="center"/>
          </w:tcPr>
          <w:p>
            <w:pPr>
              <w:pStyle w:val="56"/>
              <w:keepNext w:val="0"/>
              <w:keepLines w:val="0"/>
              <w:numPr>
                <w:ilvl w:val="0"/>
                <w:numId w:val="0"/>
              </w:numPr>
              <w:adjustRightInd w:val="0"/>
              <w:snapToGrid w:val="0"/>
              <w:spacing w:line="240" w:lineRule="auto"/>
              <w:jc w:val="center"/>
              <w:rPr>
                <w:rFonts w:eastAsia="宋体" w:cs="Times New Roman"/>
                <w:b w:val="0"/>
                <w:color w:val="000000" w:themeColor="text1"/>
                <w:sz w:val="21"/>
                <w:szCs w:val="21"/>
              </w:rPr>
            </w:pPr>
            <w:r>
              <w:rPr>
                <w:rFonts w:hint="eastAsia" w:eastAsia="宋体" w:cs="Times New Roman"/>
                <w:b w:val="0"/>
                <w:color w:val="000000" w:themeColor="text1"/>
                <w:sz w:val="21"/>
                <w:szCs w:val="21"/>
              </w:rPr>
              <w:t>10</w:t>
            </w:r>
            <w:r>
              <w:rPr>
                <w:rFonts w:hint="eastAsia" w:eastAsia="宋体"/>
                <w:b w:val="0"/>
                <w:color w:val="000000" w:themeColor="text1"/>
                <w:sz w:val="21"/>
                <w:szCs w:val="21"/>
              </w:rPr>
              <w:t>ug/m</w:t>
            </w:r>
            <w:r>
              <w:rPr>
                <w:rFonts w:hint="eastAsia" w:eastAsia="宋体"/>
                <w:b w:val="0"/>
                <w:color w:val="000000" w:themeColor="text1"/>
                <w:sz w:val="21"/>
                <w:szCs w:val="21"/>
                <w:vertAlign w:val="superscript"/>
              </w:rPr>
              <w:t>3</w:t>
            </w:r>
          </w:p>
        </w:tc>
        <w:tc>
          <w:tcPr>
            <w:tcW w:w="3889" w:type="dxa"/>
            <w:vMerge w:val="restart"/>
            <w:vAlign w:val="center"/>
          </w:tcPr>
          <w:p>
            <w:pPr>
              <w:adjustRightInd w:val="0"/>
              <w:snapToGrid w:val="0"/>
              <w:jc w:val="center"/>
              <w:rPr>
                <w:rFonts w:eastAsia="宋体" w:cs="Times New Roman"/>
                <w:snapToGrid w:val="0"/>
                <w:color w:val="000000" w:themeColor="text1"/>
                <w:kern w:val="0"/>
                <w:sz w:val="21"/>
              </w:rPr>
            </w:pPr>
            <w:r>
              <w:rPr>
                <w:rFonts w:eastAsia="宋体" w:cs="Times New Roman"/>
                <w:snapToGrid w:val="0"/>
                <w:color w:val="000000" w:themeColor="text1"/>
                <w:kern w:val="0"/>
                <w:sz w:val="21"/>
              </w:rPr>
              <w:t>《环境影响评价技术导则大气环境》（HJ2.2-2018）中附录 D.1“其他污染物空气质量浓度参考限值”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1526" w:type="dxa"/>
            <w:vAlign w:val="center"/>
          </w:tcPr>
          <w:p>
            <w:pPr>
              <w:pStyle w:val="56"/>
              <w:keepNext w:val="0"/>
              <w:keepLines w:val="0"/>
              <w:numPr>
                <w:ilvl w:val="0"/>
                <w:numId w:val="0"/>
              </w:numPr>
              <w:adjustRightInd w:val="0"/>
              <w:snapToGrid w:val="0"/>
              <w:spacing w:line="240" w:lineRule="auto"/>
              <w:jc w:val="center"/>
              <w:rPr>
                <w:rFonts w:eastAsia="宋体" w:cs="Times New Roman"/>
                <w:b w:val="0"/>
                <w:color w:val="000000" w:themeColor="text1"/>
                <w:sz w:val="21"/>
                <w:szCs w:val="21"/>
              </w:rPr>
            </w:pPr>
            <w:r>
              <w:rPr>
                <w:rFonts w:hint="eastAsia" w:eastAsia="宋体" w:cs="Times New Roman"/>
                <w:b w:val="0"/>
                <w:color w:val="000000" w:themeColor="text1"/>
                <w:sz w:val="21"/>
                <w:szCs w:val="21"/>
              </w:rPr>
              <w:t>NH</w:t>
            </w:r>
            <w:r>
              <w:rPr>
                <w:rFonts w:hint="eastAsia" w:eastAsia="宋体" w:cs="Times New Roman"/>
                <w:b w:val="0"/>
                <w:color w:val="000000" w:themeColor="text1"/>
                <w:sz w:val="21"/>
                <w:szCs w:val="21"/>
                <w:vertAlign w:val="subscript"/>
              </w:rPr>
              <w:t>3</w:t>
            </w:r>
          </w:p>
        </w:tc>
        <w:tc>
          <w:tcPr>
            <w:tcW w:w="1984" w:type="dxa"/>
            <w:vAlign w:val="center"/>
          </w:tcPr>
          <w:p>
            <w:pPr>
              <w:pStyle w:val="56"/>
              <w:keepNext w:val="0"/>
              <w:keepLines w:val="0"/>
              <w:numPr>
                <w:ilvl w:val="0"/>
                <w:numId w:val="0"/>
              </w:numPr>
              <w:adjustRightInd w:val="0"/>
              <w:snapToGrid w:val="0"/>
              <w:spacing w:line="240" w:lineRule="auto"/>
              <w:jc w:val="center"/>
              <w:rPr>
                <w:rFonts w:eastAsia="宋体" w:cs="Times New Roman"/>
                <w:b w:val="0"/>
                <w:color w:val="000000" w:themeColor="text1"/>
                <w:sz w:val="21"/>
                <w:szCs w:val="21"/>
              </w:rPr>
            </w:pPr>
            <w:r>
              <w:rPr>
                <w:rFonts w:hint="eastAsia" w:eastAsia="宋体" w:cs="Times New Roman"/>
                <w:b w:val="0"/>
                <w:color w:val="000000" w:themeColor="text1"/>
                <w:sz w:val="21"/>
                <w:szCs w:val="21"/>
              </w:rPr>
              <w:t>1小时平均</w:t>
            </w:r>
          </w:p>
        </w:tc>
        <w:tc>
          <w:tcPr>
            <w:tcW w:w="1843" w:type="dxa"/>
            <w:vAlign w:val="center"/>
          </w:tcPr>
          <w:p>
            <w:pPr>
              <w:pStyle w:val="56"/>
              <w:keepNext w:val="0"/>
              <w:keepLines w:val="0"/>
              <w:numPr>
                <w:ilvl w:val="0"/>
                <w:numId w:val="0"/>
              </w:numPr>
              <w:adjustRightInd w:val="0"/>
              <w:snapToGrid w:val="0"/>
              <w:spacing w:line="240" w:lineRule="auto"/>
              <w:jc w:val="center"/>
              <w:rPr>
                <w:rFonts w:eastAsia="宋体" w:cs="Times New Roman"/>
                <w:b w:val="0"/>
                <w:color w:val="000000" w:themeColor="text1"/>
                <w:sz w:val="21"/>
                <w:szCs w:val="21"/>
              </w:rPr>
            </w:pPr>
            <w:r>
              <w:rPr>
                <w:rFonts w:hint="eastAsia" w:eastAsia="宋体" w:cs="Times New Roman"/>
                <w:b w:val="0"/>
                <w:color w:val="000000" w:themeColor="text1"/>
                <w:sz w:val="21"/>
                <w:szCs w:val="21"/>
              </w:rPr>
              <w:t>200</w:t>
            </w:r>
            <w:r>
              <w:rPr>
                <w:rFonts w:hint="eastAsia" w:eastAsia="宋体"/>
                <w:b w:val="0"/>
                <w:color w:val="000000" w:themeColor="text1"/>
                <w:sz w:val="21"/>
                <w:szCs w:val="21"/>
              </w:rPr>
              <w:t>ug/m</w:t>
            </w:r>
            <w:r>
              <w:rPr>
                <w:rFonts w:hint="eastAsia" w:eastAsia="宋体"/>
                <w:b w:val="0"/>
                <w:color w:val="000000" w:themeColor="text1"/>
                <w:sz w:val="21"/>
                <w:szCs w:val="21"/>
                <w:vertAlign w:val="superscript"/>
              </w:rPr>
              <w:t>3</w:t>
            </w:r>
          </w:p>
        </w:tc>
        <w:tc>
          <w:tcPr>
            <w:tcW w:w="3889" w:type="dxa"/>
            <w:vMerge w:val="continue"/>
            <w:vAlign w:val="center"/>
          </w:tcPr>
          <w:p>
            <w:pPr>
              <w:adjustRightInd w:val="0"/>
              <w:snapToGrid w:val="0"/>
              <w:jc w:val="center"/>
              <w:rPr>
                <w:rFonts w:eastAsia="宋体" w:cs="Times New Roman"/>
                <w:snapToGrid w:val="0"/>
                <w:color w:val="000000" w:themeColor="text1"/>
                <w:kern w:val="0"/>
                <w:sz w:val="21"/>
              </w:rPr>
            </w:pPr>
          </w:p>
        </w:tc>
      </w:tr>
    </w:tbl>
    <w:p>
      <w:pPr>
        <w:pStyle w:val="56"/>
        <w:adjustRightInd w:val="0"/>
        <w:snapToGrid w:val="0"/>
        <w:rPr>
          <w:color w:val="000000" w:themeColor="text1"/>
        </w:rPr>
      </w:pPr>
      <w:r>
        <w:rPr>
          <w:rFonts w:hint="eastAsia"/>
          <w:color w:val="000000" w:themeColor="text1"/>
        </w:rPr>
        <w:t>地表水</w:t>
      </w:r>
    </w:p>
    <w:p>
      <w:pPr>
        <w:spacing w:line="360" w:lineRule="auto"/>
        <w:ind w:firstLine="480" w:firstLineChars="200"/>
        <w:rPr>
          <w:rFonts w:cs="Times New Roman"/>
          <w:color w:val="000000" w:themeColor="text1"/>
        </w:rPr>
      </w:pPr>
      <w:r>
        <w:rPr>
          <w:rFonts w:cs="Times New Roman"/>
          <w:color w:val="000000" w:themeColor="text1"/>
        </w:rPr>
        <w:t>评价范围内的东风湖（马壕污水处理厂排放口上游500m至下游1500m），</w:t>
      </w:r>
      <w:r>
        <w:rPr>
          <w:rFonts w:cs="Times New Roman"/>
        </w:rPr>
        <w:t>根据《岳阳市水环境功能区划分》（岳政办发[2010]30号），东风湖、吉家湖、王家河均为景观娱乐用水区，水环境功能区参照执行IV类标准。</w:t>
      </w:r>
      <w:r>
        <w:rPr>
          <w:rFonts w:cs="Times New Roman"/>
          <w:color w:val="000000" w:themeColor="text1"/>
        </w:rPr>
        <w:t>具体标准值见下表。</w:t>
      </w:r>
    </w:p>
    <w:p>
      <w:pPr>
        <w:pStyle w:val="56"/>
        <w:numPr>
          <w:ilvl w:val="0"/>
          <w:numId w:val="0"/>
        </w:numPr>
        <w:adjustRightInd w:val="0"/>
        <w:snapToGrid w:val="0"/>
        <w:spacing w:line="240" w:lineRule="auto"/>
        <w:ind w:firstLine="482" w:firstLineChars="200"/>
        <w:jc w:val="center"/>
        <w:outlineLvl w:val="9"/>
        <w:rPr>
          <w:color w:val="000000" w:themeColor="text1"/>
        </w:rPr>
      </w:pPr>
      <w:r>
        <w:rPr>
          <w:rFonts w:hint="eastAsia"/>
          <w:color w:val="000000" w:themeColor="text1"/>
          <w:kern w:val="0"/>
        </w:rPr>
        <w:t>表</w:t>
      </w:r>
      <w:r>
        <w:rPr>
          <w:color w:val="000000" w:themeColor="text1"/>
          <w:kern w:val="0"/>
        </w:rPr>
        <w:fldChar w:fldCharType="begin"/>
      </w:r>
      <w:r>
        <w:rPr>
          <w:color w:val="000000" w:themeColor="text1"/>
          <w:kern w:val="0"/>
        </w:rPr>
        <w:instrText xml:space="preserve"> </w:instrText>
      </w:r>
      <w:r>
        <w:rPr>
          <w:rFonts w:hint="eastAsia"/>
          <w:color w:val="000000" w:themeColor="text1"/>
          <w:kern w:val="0"/>
        </w:rPr>
        <w:instrText xml:space="preserve">STYLEREF 2 \s</w:instrText>
      </w:r>
      <w:r>
        <w:rPr>
          <w:color w:val="000000" w:themeColor="text1"/>
          <w:kern w:val="0"/>
        </w:rPr>
        <w:instrText xml:space="preserve"> </w:instrText>
      </w:r>
      <w:r>
        <w:rPr>
          <w:color w:val="000000" w:themeColor="text1"/>
          <w:kern w:val="0"/>
        </w:rPr>
        <w:fldChar w:fldCharType="separate"/>
      </w:r>
      <w:r>
        <w:rPr>
          <w:color w:val="000000" w:themeColor="text1"/>
          <w:kern w:val="0"/>
        </w:rPr>
        <w:t>1.6</w:t>
      </w:r>
      <w:r>
        <w:rPr>
          <w:color w:val="000000" w:themeColor="text1"/>
          <w:kern w:val="0"/>
        </w:rPr>
        <w:fldChar w:fldCharType="end"/>
      </w:r>
      <w:r>
        <w:rPr>
          <w:color w:val="000000" w:themeColor="text1"/>
          <w:kern w:val="0"/>
        </w:rPr>
        <w:noBreakHyphen/>
      </w:r>
      <w:r>
        <w:rPr>
          <w:color w:val="000000" w:themeColor="text1"/>
          <w:kern w:val="0"/>
        </w:rPr>
        <w:fldChar w:fldCharType="begin"/>
      </w:r>
      <w:r>
        <w:rPr>
          <w:color w:val="000000" w:themeColor="text1"/>
          <w:kern w:val="0"/>
        </w:rPr>
        <w:instrText xml:space="preserve"> </w:instrText>
      </w:r>
      <w:r>
        <w:rPr>
          <w:rFonts w:hint="eastAsia"/>
          <w:color w:val="000000" w:themeColor="text1"/>
          <w:kern w:val="0"/>
        </w:rPr>
        <w:instrText xml:space="preserve">SEQ 表 \* ARABIC \s 2</w:instrText>
      </w:r>
      <w:r>
        <w:rPr>
          <w:color w:val="000000" w:themeColor="text1"/>
          <w:kern w:val="0"/>
        </w:rPr>
        <w:instrText xml:space="preserve"> </w:instrText>
      </w:r>
      <w:r>
        <w:rPr>
          <w:color w:val="000000" w:themeColor="text1"/>
          <w:kern w:val="0"/>
        </w:rPr>
        <w:fldChar w:fldCharType="separate"/>
      </w:r>
      <w:r>
        <w:rPr>
          <w:color w:val="000000" w:themeColor="text1"/>
          <w:kern w:val="0"/>
        </w:rPr>
        <w:t>2</w:t>
      </w:r>
      <w:r>
        <w:rPr>
          <w:color w:val="000000" w:themeColor="text1"/>
          <w:kern w:val="0"/>
        </w:rPr>
        <w:fldChar w:fldCharType="end"/>
      </w:r>
      <w:r>
        <w:rPr>
          <w:rFonts w:hint="eastAsia"/>
          <w:color w:val="000000" w:themeColor="text1"/>
        </w:rPr>
        <w:t>地表水环境质量标准  单位：mg/L(pH除外)</w:t>
      </w:r>
    </w:p>
    <w:tbl>
      <w:tblPr>
        <w:tblStyle w:val="3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45"/>
        <w:gridCol w:w="945"/>
        <w:gridCol w:w="945"/>
        <w:gridCol w:w="945"/>
        <w:gridCol w:w="945"/>
        <w:gridCol w:w="945"/>
        <w:gridCol w:w="945"/>
        <w:gridCol w:w="945"/>
        <w:gridCol w:w="945"/>
        <w:gridCol w:w="9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jc w:val="center"/>
        </w:trPr>
        <w:tc>
          <w:tcPr>
            <w:tcW w:w="500" w:type="pct"/>
            <w:tcMar>
              <w:top w:w="15" w:type="dxa"/>
              <w:left w:w="15" w:type="dxa"/>
              <w:bottom w:w="0" w:type="dxa"/>
              <w:right w:w="15" w:type="dxa"/>
            </w:tcMar>
            <w:vAlign w:val="center"/>
          </w:tcPr>
          <w:p>
            <w:pPr>
              <w:autoSpaceDE w:val="0"/>
              <w:autoSpaceDN w:val="0"/>
              <w:adjustRightInd w:val="0"/>
              <w:jc w:val="center"/>
              <w:rPr>
                <w:color w:val="000000" w:themeColor="text1"/>
                <w:kern w:val="24"/>
                <w:sz w:val="21"/>
              </w:rPr>
            </w:pPr>
            <w:r>
              <w:rPr>
                <w:color w:val="000000" w:themeColor="text1"/>
                <w:kern w:val="24"/>
                <w:sz w:val="21"/>
              </w:rPr>
              <w:t>项目</w:t>
            </w:r>
          </w:p>
        </w:tc>
        <w:tc>
          <w:tcPr>
            <w:tcW w:w="500" w:type="pct"/>
            <w:vAlign w:val="center"/>
          </w:tcPr>
          <w:p>
            <w:pPr>
              <w:autoSpaceDE w:val="0"/>
              <w:autoSpaceDN w:val="0"/>
              <w:adjustRightInd w:val="0"/>
              <w:jc w:val="center"/>
              <w:rPr>
                <w:color w:val="000000" w:themeColor="text1"/>
                <w:kern w:val="24"/>
                <w:sz w:val="21"/>
              </w:rPr>
            </w:pPr>
            <w:r>
              <w:rPr>
                <w:color w:val="000000" w:themeColor="text1"/>
                <w:kern w:val="24"/>
                <w:sz w:val="21"/>
              </w:rPr>
              <w:t>类别</w:t>
            </w:r>
          </w:p>
        </w:tc>
        <w:tc>
          <w:tcPr>
            <w:tcW w:w="500" w:type="pct"/>
            <w:vAlign w:val="center"/>
          </w:tcPr>
          <w:p>
            <w:pPr>
              <w:autoSpaceDE w:val="0"/>
              <w:autoSpaceDN w:val="0"/>
              <w:adjustRightInd w:val="0"/>
              <w:jc w:val="center"/>
              <w:rPr>
                <w:color w:val="000000" w:themeColor="text1"/>
                <w:kern w:val="24"/>
                <w:sz w:val="21"/>
              </w:rPr>
            </w:pPr>
            <w:r>
              <w:rPr>
                <w:color w:val="000000" w:themeColor="text1"/>
                <w:kern w:val="24"/>
                <w:sz w:val="21"/>
              </w:rPr>
              <w:t>pH</w:t>
            </w:r>
          </w:p>
        </w:tc>
        <w:tc>
          <w:tcPr>
            <w:tcW w:w="500" w:type="pct"/>
            <w:vAlign w:val="center"/>
          </w:tcPr>
          <w:p>
            <w:pPr>
              <w:autoSpaceDE w:val="0"/>
              <w:autoSpaceDN w:val="0"/>
              <w:adjustRightInd w:val="0"/>
              <w:jc w:val="center"/>
              <w:rPr>
                <w:color w:val="000000" w:themeColor="text1"/>
                <w:kern w:val="24"/>
                <w:sz w:val="21"/>
              </w:rPr>
            </w:pPr>
            <w:r>
              <w:rPr>
                <w:color w:val="000000" w:themeColor="text1"/>
                <w:kern w:val="24"/>
                <w:sz w:val="21"/>
              </w:rPr>
              <w:t>COD</w:t>
            </w:r>
          </w:p>
        </w:tc>
        <w:tc>
          <w:tcPr>
            <w:tcW w:w="500" w:type="pct"/>
            <w:vAlign w:val="center"/>
          </w:tcPr>
          <w:p>
            <w:pPr>
              <w:autoSpaceDE w:val="0"/>
              <w:autoSpaceDN w:val="0"/>
              <w:adjustRightInd w:val="0"/>
              <w:jc w:val="center"/>
              <w:rPr>
                <w:color w:val="000000" w:themeColor="text1"/>
                <w:kern w:val="24"/>
                <w:sz w:val="21"/>
              </w:rPr>
            </w:pPr>
            <w:r>
              <w:rPr>
                <w:color w:val="000000" w:themeColor="text1"/>
                <w:kern w:val="24"/>
                <w:sz w:val="21"/>
              </w:rPr>
              <w:t>BOD</w:t>
            </w:r>
            <w:r>
              <w:rPr>
                <w:color w:val="000000" w:themeColor="text1"/>
                <w:kern w:val="24"/>
                <w:sz w:val="21"/>
                <w:vertAlign w:val="subscript"/>
              </w:rPr>
              <w:t>5</w:t>
            </w:r>
          </w:p>
        </w:tc>
        <w:tc>
          <w:tcPr>
            <w:tcW w:w="500" w:type="pct"/>
            <w:vAlign w:val="center"/>
          </w:tcPr>
          <w:p>
            <w:pPr>
              <w:autoSpaceDE w:val="0"/>
              <w:autoSpaceDN w:val="0"/>
              <w:adjustRightInd w:val="0"/>
              <w:jc w:val="center"/>
              <w:rPr>
                <w:color w:val="000000" w:themeColor="text1"/>
                <w:kern w:val="24"/>
                <w:sz w:val="21"/>
              </w:rPr>
            </w:pPr>
            <w:r>
              <w:rPr>
                <w:color w:val="000000" w:themeColor="text1"/>
                <w:kern w:val="24"/>
                <w:sz w:val="21"/>
              </w:rPr>
              <w:t>氨氮</w:t>
            </w:r>
          </w:p>
        </w:tc>
        <w:tc>
          <w:tcPr>
            <w:tcW w:w="500" w:type="pct"/>
            <w:vAlign w:val="center"/>
          </w:tcPr>
          <w:p>
            <w:pPr>
              <w:autoSpaceDE w:val="0"/>
              <w:autoSpaceDN w:val="0"/>
              <w:adjustRightInd w:val="0"/>
              <w:jc w:val="center"/>
              <w:rPr>
                <w:color w:val="000000" w:themeColor="text1"/>
                <w:kern w:val="24"/>
                <w:sz w:val="21"/>
              </w:rPr>
            </w:pPr>
            <w:r>
              <w:rPr>
                <w:rFonts w:hint="eastAsia"/>
                <w:color w:val="000000" w:themeColor="text1"/>
                <w:kern w:val="24"/>
                <w:sz w:val="21"/>
              </w:rPr>
              <w:t>总磷</w:t>
            </w:r>
          </w:p>
        </w:tc>
        <w:tc>
          <w:tcPr>
            <w:tcW w:w="500" w:type="pct"/>
            <w:vAlign w:val="center"/>
          </w:tcPr>
          <w:p>
            <w:pPr>
              <w:autoSpaceDE w:val="0"/>
              <w:autoSpaceDN w:val="0"/>
              <w:adjustRightInd w:val="0"/>
              <w:jc w:val="center"/>
              <w:rPr>
                <w:color w:val="000000" w:themeColor="text1"/>
                <w:kern w:val="24"/>
                <w:sz w:val="21"/>
              </w:rPr>
            </w:pPr>
            <w:r>
              <w:rPr>
                <w:color w:val="000000" w:themeColor="text1"/>
                <w:kern w:val="24"/>
                <w:sz w:val="21"/>
              </w:rPr>
              <w:t>DO</w:t>
            </w:r>
          </w:p>
        </w:tc>
        <w:tc>
          <w:tcPr>
            <w:tcW w:w="500" w:type="pct"/>
            <w:vAlign w:val="center"/>
          </w:tcPr>
          <w:p>
            <w:pPr>
              <w:autoSpaceDE w:val="0"/>
              <w:autoSpaceDN w:val="0"/>
              <w:adjustRightInd w:val="0"/>
              <w:jc w:val="center"/>
              <w:rPr>
                <w:color w:val="000000" w:themeColor="text1"/>
                <w:kern w:val="24"/>
                <w:sz w:val="21"/>
              </w:rPr>
            </w:pPr>
            <w:r>
              <w:rPr>
                <w:rFonts w:hint="eastAsia"/>
                <w:color w:val="000000" w:themeColor="text1"/>
                <w:kern w:val="24"/>
                <w:sz w:val="21"/>
              </w:rPr>
              <w:t>总氮</w:t>
            </w:r>
          </w:p>
        </w:tc>
        <w:tc>
          <w:tcPr>
            <w:tcW w:w="500" w:type="pct"/>
            <w:vAlign w:val="center"/>
          </w:tcPr>
          <w:p>
            <w:pPr>
              <w:autoSpaceDE w:val="0"/>
              <w:autoSpaceDN w:val="0"/>
              <w:adjustRightInd w:val="0"/>
              <w:jc w:val="center"/>
              <w:rPr>
                <w:color w:val="000000" w:themeColor="text1"/>
                <w:kern w:val="24"/>
                <w:sz w:val="21"/>
              </w:rPr>
            </w:pPr>
            <w:r>
              <w:rPr>
                <w:rFonts w:hint="eastAsia"/>
                <w:color w:val="000000" w:themeColor="text1"/>
                <w:kern w:val="24"/>
                <w:sz w:val="21"/>
              </w:rPr>
              <w:t>SS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500" w:type="pct"/>
            <w:tcMar>
              <w:top w:w="15" w:type="dxa"/>
              <w:left w:w="15" w:type="dxa"/>
              <w:bottom w:w="0" w:type="dxa"/>
              <w:right w:w="15" w:type="dxa"/>
            </w:tcMar>
            <w:vAlign w:val="center"/>
          </w:tcPr>
          <w:p>
            <w:pPr>
              <w:autoSpaceDE w:val="0"/>
              <w:autoSpaceDN w:val="0"/>
              <w:adjustRightInd w:val="0"/>
              <w:jc w:val="center"/>
              <w:rPr>
                <w:color w:val="000000" w:themeColor="text1"/>
                <w:kern w:val="24"/>
                <w:sz w:val="21"/>
              </w:rPr>
            </w:pPr>
            <w:r>
              <w:rPr>
                <w:color w:val="000000" w:themeColor="text1"/>
                <w:kern w:val="24"/>
                <w:sz w:val="21"/>
              </w:rPr>
              <w:t>标准值</w:t>
            </w:r>
          </w:p>
        </w:tc>
        <w:tc>
          <w:tcPr>
            <w:tcW w:w="500" w:type="pct"/>
            <w:vAlign w:val="center"/>
          </w:tcPr>
          <w:p>
            <w:pPr>
              <w:autoSpaceDE w:val="0"/>
              <w:autoSpaceDN w:val="0"/>
              <w:adjustRightInd w:val="0"/>
              <w:jc w:val="center"/>
              <w:rPr>
                <w:color w:val="000000" w:themeColor="text1"/>
                <w:kern w:val="24"/>
                <w:sz w:val="21"/>
              </w:rPr>
            </w:pPr>
            <w:r>
              <w:rPr>
                <w:rFonts w:hint="eastAsia" w:ascii="宋体" w:hAnsi="宋体"/>
                <w:color w:val="000000" w:themeColor="text1"/>
                <w:sz w:val="21"/>
              </w:rPr>
              <w:t>Ⅲ</w:t>
            </w:r>
          </w:p>
        </w:tc>
        <w:tc>
          <w:tcPr>
            <w:tcW w:w="500" w:type="pct"/>
            <w:vAlign w:val="center"/>
          </w:tcPr>
          <w:p>
            <w:pPr>
              <w:autoSpaceDE w:val="0"/>
              <w:autoSpaceDN w:val="0"/>
              <w:adjustRightInd w:val="0"/>
              <w:jc w:val="center"/>
              <w:rPr>
                <w:color w:val="000000" w:themeColor="text1"/>
                <w:kern w:val="24"/>
                <w:sz w:val="21"/>
              </w:rPr>
            </w:pPr>
            <w:r>
              <w:rPr>
                <w:color w:val="000000" w:themeColor="text1"/>
                <w:kern w:val="24"/>
                <w:sz w:val="21"/>
              </w:rPr>
              <w:t>6～9</w:t>
            </w:r>
          </w:p>
        </w:tc>
        <w:tc>
          <w:tcPr>
            <w:tcW w:w="500" w:type="pct"/>
            <w:vAlign w:val="center"/>
          </w:tcPr>
          <w:p>
            <w:pPr>
              <w:autoSpaceDE w:val="0"/>
              <w:autoSpaceDN w:val="0"/>
              <w:adjustRightInd w:val="0"/>
              <w:jc w:val="center"/>
              <w:rPr>
                <w:color w:val="000000" w:themeColor="text1"/>
                <w:kern w:val="24"/>
                <w:sz w:val="21"/>
              </w:rPr>
            </w:pPr>
            <w:r>
              <w:rPr>
                <w:color w:val="000000" w:themeColor="text1"/>
                <w:kern w:val="24"/>
                <w:sz w:val="21"/>
              </w:rPr>
              <w:t>≤</w:t>
            </w:r>
            <w:r>
              <w:rPr>
                <w:rFonts w:hint="eastAsia"/>
                <w:color w:val="000000" w:themeColor="text1"/>
                <w:kern w:val="24"/>
                <w:sz w:val="21"/>
              </w:rPr>
              <w:t>30</w:t>
            </w:r>
          </w:p>
        </w:tc>
        <w:tc>
          <w:tcPr>
            <w:tcW w:w="500" w:type="pct"/>
            <w:vAlign w:val="center"/>
          </w:tcPr>
          <w:p>
            <w:pPr>
              <w:autoSpaceDE w:val="0"/>
              <w:autoSpaceDN w:val="0"/>
              <w:adjustRightInd w:val="0"/>
              <w:jc w:val="center"/>
              <w:rPr>
                <w:color w:val="000000" w:themeColor="text1"/>
                <w:kern w:val="24"/>
                <w:sz w:val="21"/>
              </w:rPr>
            </w:pPr>
            <w:r>
              <w:rPr>
                <w:color w:val="000000" w:themeColor="text1"/>
                <w:kern w:val="24"/>
                <w:sz w:val="21"/>
              </w:rPr>
              <w:t>≤</w:t>
            </w:r>
            <w:r>
              <w:rPr>
                <w:rFonts w:hint="eastAsia"/>
                <w:color w:val="000000" w:themeColor="text1"/>
                <w:kern w:val="24"/>
                <w:sz w:val="21"/>
              </w:rPr>
              <w:t>6</w:t>
            </w:r>
          </w:p>
        </w:tc>
        <w:tc>
          <w:tcPr>
            <w:tcW w:w="500" w:type="pct"/>
            <w:vAlign w:val="center"/>
          </w:tcPr>
          <w:p>
            <w:pPr>
              <w:autoSpaceDE w:val="0"/>
              <w:autoSpaceDN w:val="0"/>
              <w:adjustRightInd w:val="0"/>
              <w:jc w:val="center"/>
              <w:rPr>
                <w:color w:val="000000" w:themeColor="text1"/>
                <w:kern w:val="24"/>
                <w:sz w:val="21"/>
              </w:rPr>
            </w:pPr>
            <w:r>
              <w:rPr>
                <w:color w:val="000000" w:themeColor="text1"/>
                <w:kern w:val="24"/>
                <w:sz w:val="21"/>
              </w:rPr>
              <w:t>≤1</w:t>
            </w:r>
            <w:r>
              <w:rPr>
                <w:rFonts w:hint="eastAsia"/>
                <w:color w:val="000000" w:themeColor="text1"/>
                <w:kern w:val="24"/>
                <w:sz w:val="21"/>
              </w:rPr>
              <w:t>.5</w:t>
            </w:r>
          </w:p>
        </w:tc>
        <w:tc>
          <w:tcPr>
            <w:tcW w:w="500" w:type="pct"/>
            <w:vAlign w:val="center"/>
          </w:tcPr>
          <w:p>
            <w:pPr>
              <w:autoSpaceDE w:val="0"/>
              <w:autoSpaceDN w:val="0"/>
              <w:adjustRightInd w:val="0"/>
              <w:jc w:val="center"/>
              <w:rPr>
                <w:color w:val="000000" w:themeColor="text1"/>
                <w:kern w:val="24"/>
                <w:sz w:val="21"/>
              </w:rPr>
            </w:pPr>
            <w:r>
              <w:rPr>
                <w:color w:val="000000" w:themeColor="text1"/>
                <w:kern w:val="24"/>
                <w:sz w:val="21"/>
              </w:rPr>
              <w:t>≤</w:t>
            </w:r>
            <w:r>
              <w:rPr>
                <w:rFonts w:hint="eastAsia"/>
                <w:color w:val="000000" w:themeColor="text1"/>
                <w:kern w:val="24"/>
                <w:sz w:val="21"/>
              </w:rPr>
              <w:t>0.3</w:t>
            </w:r>
          </w:p>
        </w:tc>
        <w:tc>
          <w:tcPr>
            <w:tcW w:w="500" w:type="pct"/>
            <w:vAlign w:val="center"/>
          </w:tcPr>
          <w:p>
            <w:pPr>
              <w:autoSpaceDE w:val="0"/>
              <w:autoSpaceDN w:val="0"/>
              <w:adjustRightInd w:val="0"/>
              <w:jc w:val="center"/>
              <w:rPr>
                <w:color w:val="000000" w:themeColor="text1"/>
                <w:kern w:val="24"/>
                <w:sz w:val="21"/>
              </w:rPr>
            </w:pPr>
            <w:r>
              <w:rPr>
                <w:color w:val="000000" w:themeColor="text1"/>
                <w:kern w:val="24"/>
                <w:sz w:val="21"/>
              </w:rPr>
              <w:t>≥</w:t>
            </w:r>
            <w:r>
              <w:rPr>
                <w:rFonts w:hint="eastAsia"/>
                <w:color w:val="000000" w:themeColor="text1"/>
                <w:kern w:val="24"/>
                <w:sz w:val="21"/>
              </w:rPr>
              <w:t>3</w:t>
            </w:r>
          </w:p>
        </w:tc>
        <w:tc>
          <w:tcPr>
            <w:tcW w:w="500" w:type="pct"/>
            <w:vAlign w:val="center"/>
          </w:tcPr>
          <w:p>
            <w:pPr>
              <w:autoSpaceDE w:val="0"/>
              <w:autoSpaceDN w:val="0"/>
              <w:adjustRightInd w:val="0"/>
              <w:jc w:val="center"/>
              <w:rPr>
                <w:color w:val="000000" w:themeColor="text1"/>
                <w:kern w:val="24"/>
                <w:sz w:val="21"/>
              </w:rPr>
            </w:pPr>
            <w:r>
              <w:rPr>
                <w:color w:val="000000" w:themeColor="text1"/>
                <w:kern w:val="24"/>
                <w:sz w:val="21"/>
              </w:rPr>
              <w:t>≤1.</w:t>
            </w:r>
            <w:r>
              <w:rPr>
                <w:rFonts w:hint="eastAsia"/>
                <w:color w:val="000000" w:themeColor="text1"/>
                <w:kern w:val="24"/>
                <w:sz w:val="21"/>
              </w:rPr>
              <w:t>5</w:t>
            </w:r>
          </w:p>
        </w:tc>
        <w:tc>
          <w:tcPr>
            <w:tcW w:w="500" w:type="pct"/>
            <w:vAlign w:val="center"/>
          </w:tcPr>
          <w:p>
            <w:pPr>
              <w:autoSpaceDE w:val="0"/>
              <w:autoSpaceDN w:val="0"/>
              <w:adjustRightInd w:val="0"/>
              <w:jc w:val="center"/>
              <w:rPr>
                <w:color w:val="000000" w:themeColor="text1"/>
                <w:kern w:val="24"/>
                <w:sz w:val="21"/>
              </w:rPr>
            </w:pPr>
            <w:r>
              <w:rPr>
                <w:rFonts w:hint="eastAsia"/>
                <w:color w:val="000000" w:themeColor="text1"/>
                <w:kern w:val="24"/>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500" w:type="pct"/>
            <w:tcMar>
              <w:top w:w="15" w:type="dxa"/>
              <w:left w:w="15" w:type="dxa"/>
              <w:bottom w:w="0" w:type="dxa"/>
              <w:right w:w="15" w:type="dxa"/>
            </w:tcMar>
            <w:vAlign w:val="center"/>
          </w:tcPr>
          <w:p>
            <w:pPr>
              <w:autoSpaceDE w:val="0"/>
              <w:autoSpaceDN w:val="0"/>
              <w:adjustRightInd w:val="0"/>
              <w:jc w:val="center"/>
              <w:rPr>
                <w:color w:val="000000" w:themeColor="text1"/>
                <w:kern w:val="24"/>
                <w:sz w:val="21"/>
              </w:rPr>
            </w:pPr>
            <w:r>
              <w:rPr>
                <w:color w:val="000000" w:themeColor="text1"/>
                <w:kern w:val="24"/>
                <w:sz w:val="21"/>
              </w:rPr>
              <w:t>项目</w:t>
            </w:r>
          </w:p>
        </w:tc>
        <w:tc>
          <w:tcPr>
            <w:tcW w:w="500" w:type="pct"/>
            <w:vAlign w:val="center"/>
          </w:tcPr>
          <w:p>
            <w:pPr>
              <w:autoSpaceDE w:val="0"/>
              <w:autoSpaceDN w:val="0"/>
              <w:adjustRightInd w:val="0"/>
              <w:jc w:val="center"/>
              <w:rPr>
                <w:color w:val="000000" w:themeColor="text1"/>
                <w:kern w:val="24"/>
                <w:sz w:val="21"/>
              </w:rPr>
            </w:pPr>
            <w:r>
              <w:rPr>
                <w:color w:val="000000" w:themeColor="text1"/>
                <w:kern w:val="24"/>
                <w:sz w:val="21"/>
              </w:rPr>
              <w:t>类别</w:t>
            </w:r>
          </w:p>
        </w:tc>
        <w:tc>
          <w:tcPr>
            <w:tcW w:w="500" w:type="pct"/>
            <w:vAlign w:val="center"/>
          </w:tcPr>
          <w:p>
            <w:pPr>
              <w:autoSpaceDE w:val="0"/>
              <w:autoSpaceDN w:val="0"/>
              <w:adjustRightInd w:val="0"/>
              <w:jc w:val="center"/>
              <w:rPr>
                <w:color w:val="000000" w:themeColor="text1"/>
                <w:kern w:val="24"/>
                <w:sz w:val="21"/>
              </w:rPr>
            </w:pPr>
            <w:r>
              <w:rPr>
                <w:rFonts w:hint="eastAsia"/>
                <w:color w:val="000000" w:themeColor="text1"/>
                <w:kern w:val="24"/>
                <w:sz w:val="21"/>
              </w:rPr>
              <w:t>氰化物</w:t>
            </w:r>
          </w:p>
        </w:tc>
        <w:tc>
          <w:tcPr>
            <w:tcW w:w="500" w:type="pct"/>
            <w:vAlign w:val="center"/>
          </w:tcPr>
          <w:p>
            <w:pPr>
              <w:autoSpaceDE w:val="0"/>
              <w:autoSpaceDN w:val="0"/>
              <w:adjustRightInd w:val="0"/>
              <w:jc w:val="center"/>
              <w:rPr>
                <w:color w:val="000000" w:themeColor="text1"/>
                <w:kern w:val="24"/>
                <w:sz w:val="21"/>
              </w:rPr>
            </w:pPr>
            <w:r>
              <w:rPr>
                <w:color w:val="000000" w:themeColor="text1"/>
                <w:kern w:val="24"/>
                <w:sz w:val="21"/>
              </w:rPr>
              <w:t>粪大肠菌群</w:t>
            </w:r>
          </w:p>
        </w:tc>
        <w:tc>
          <w:tcPr>
            <w:tcW w:w="500" w:type="pct"/>
            <w:vAlign w:val="center"/>
          </w:tcPr>
          <w:p>
            <w:pPr>
              <w:autoSpaceDE w:val="0"/>
              <w:autoSpaceDN w:val="0"/>
              <w:adjustRightInd w:val="0"/>
              <w:jc w:val="center"/>
              <w:rPr>
                <w:color w:val="000000" w:themeColor="text1"/>
                <w:kern w:val="24"/>
                <w:sz w:val="21"/>
              </w:rPr>
            </w:pPr>
            <w:r>
              <w:rPr>
                <w:rFonts w:hint="eastAsia"/>
                <w:color w:val="000000" w:themeColor="text1"/>
                <w:kern w:val="24"/>
                <w:sz w:val="21"/>
              </w:rPr>
              <w:t>石油类</w:t>
            </w:r>
          </w:p>
        </w:tc>
        <w:tc>
          <w:tcPr>
            <w:tcW w:w="2500" w:type="pct"/>
            <w:gridSpan w:val="5"/>
            <w:vMerge w:val="restart"/>
            <w:vAlign w:val="center"/>
          </w:tcPr>
          <w:p>
            <w:pPr>
              <w:autoSpaceDE w:val="0"/>
              <w:autoSpaceDN w:val="0"/>
              <w:adjustRightInd w:val="0"/>
              <w:jc w:val="center"/>
              <w:rPr>
                <w:color w:val="000000" w:themeColor="text1"/>
                <w:kern w:val="24"/>
                <w:sz w:val="21"/>
              </w:rPr>
            </w:pPr>
            <w:r>
              <w:rPr>
                <w:rFonts w:hint="eastAsia"/>
                <w:color w:val="000000" w:themeColor="text1"/>
                <w:kern w:val="24"/>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500" w:type="pct"/>
            <w:tcMar>
              <w:top w:w="15" w:type="dxa"/>
              <w:left w:w="15" w:type="dxa"/>
              <w:bottom w:w="0" w:type="dxa"/>
              <w:right w:w="15" w:type="dxa"/>
            </w:tcMar>
            <w:vAlign w:val="center"/>
          </w:tcPr>
          <w:p>
            <w:pPr>
              <w:autoSpaceDE w:val="0"/>
              <w:autoSpaceDN w:val="0"/>
              <w:adjustRightInd w:val="0"/>
              <w:jc w:val="center"/>
              <w:rPr>
                <w:color w:val="000000" w:themeColor="text1"/>
                <w:kern w:val="24"/>
                <w:sz w:val="21"/>
              </w:rPr>
            </w:pPr>
            <w:r>
              <w:rPr>
                <w:color w:val="000000" w:themeColor="text1"/>
                <w:kern w:val="24"/>
                <w:sz w:val="21"/>
              </w:rPr>
              <w:t>标准值</w:t>
            </w:r>
          </w:p>
        </w:tc>
        <w:tc>
          <w:tcPr>
            <w:tcW w:w="500" w:type="pct"/>
            <w:vAlign w:val="center"/>
          </w:tcPr>
          <w:p>
            <w:pPr>
              <w:autoSpaceDE w:val="0"/>
              <w:autoSpaceDN w:val="0"/>
              <w:adjustRightInd w:val="0"/>
              <w:jc w:val="center"/>
              <w:rPr>
                <w:color w:val="000000" w:themeColor="text1"/>
                <w:kern w:val="24"/>
                <w:sz w:val="21"/>
              </w:rPr>
            </w:pPr>
            <w:r>
              <w:rPr>
                <w:rFonts w:hint="eastAsia" w:ascii="宋体" w:hAnsi="宋体"/>
                <w:color w:val="000000" w:themeColor="text1"/>
                <w:sz w:val="21"/>
              </w:rPr>
              <w:t>Ⅲ</w:t>
            </w:r>
          </w:p>
        </w:tc>
        <w:tc>
          <w:tcPr>
            <w:tcW w:w="500" w:type="pct"/>
            <w:vAlign w:val="center"/>
          </w:tcPr>
          <w:p>
            <w:pPr>
              <w:autoSpaceDE w:val="0"/>
              <w:autoSpaceDN w:val="0"/>
              <w:adjustRightInd w:val="0"/>
              <w:jc w:val="center"/>
              <w:rPr>
                <w:color w:val="000000" w:themeColor="text1"/>
                <w:kern w:val="24"/>
                <w:sz w:val="21"/>
              </w:rPr>
            </w:pPr>
            <w:r>
              <w:rPr>
                <w:color w:val="000000" w:themeColor="text1"/>
                <w:kern w:val="24"/>
                <w:sz w:val="21"/>
              </w:rPr>
              <w:t>≤</w:t>
            </w:r>
            <w:r>
              <w:rPr>
                <w:rFonts w:hint="eastAsia"/>
                <w:color w:val="000000" w:themeColor="text1"/>
                <w:kern w:val="24"/>
                <w:sz w:val="21"/>
              </w:rPr>
              <w:t>1.5</w:t>
            </w:r>
          </w:p>
        </w:tc>
        <w:tc>
          <w:tcPr>
            <w:tcW w:w="500" w:type="pct"/>
            <w:vAlign w:val="center"/>
          </w:tcPr>
          <w:p>
            <w:pPr>
              <w:autoSpaceDE w:val="0"/>
              <w:autoSpaceDN w:val="0"/>
              <w:adjustRightInd w:val="0"/>
              <w:jc w:val="center"/>
              <w:rPr>
                <w:color w:val="000000" w:themeColor="text1"/>
                <w:kern w:val="24"/>
                <w:sz w:val="21"/>
              </w:rPr>
            </w:pPr>
            <w:r>
              <w:rPr>
                <w:color w:val="000000" w:themeColor="text1"/>
                <w:kern w:val="24"/>
                <w:sz w:val="21"/>
              </w:rPr>
              <w:t>≤</w:t>
            </w:r>
            <w:r>
              <w:rPr>
                <w:rFonts w:hint="eastAsia"/>
                <w:color w:val="000000" w:themeColor="text1"/>
                <w:kern w:val="24"/>
                <w:sz w:val="21"/>
              </w:rPr>
              <w:t>20000</w:t>
            </w:r>
          </w:p>
        </w:tc>
        <w:tc>
          <w:tcPr>
            <w:tcW w:w="500" w:type="pct"/>
            <w:vAlign w:val="center"/>
          </w:tcPr>
          <w:p>
            <w:pPr>
              <w:autoSpaceDE w:val="0"/>
              <w:autoSpaceDN w:val="0"/>
              <w:adjustRightInd w:val="0"/>
              <w:jc w:val="center"/>
              <w:rPr>
                <w:color w:val="000000" w:themeColor="text1"/>
                <w:kern w:val="24"/>
                <w:sz w:val="21"/>
              </w:rPr>
            </w:pPr>
            <w:r>
              <w:rPr>
                <w:color w:val="000000" w:themeColor="text1"/>
                <w:kern w:val="24"/>
                <w:sz w:val="21"/>
              </w:rPr>
              <w:t>≤</w:t>
            </w:r>
            <w:r>
              <w:rPr>
                <w:rFonts w:hint="eastAsia"/>
                <w:color w:val="000000" w:themeColor="text1"/>
                <w:kern w:val="24"/>
                <w:sz w:val="21"/>
              </w:rPr>
              <w:t>0.5</w:t>
            </w:r>
          </w:p>
        </w:tc>
        <w:tc>
          <w:tcPr>
            <w:tcW w:w="2500" w:type="pct"/>
            <w:gridSpan w:val="5"/>
            <w:vMerge w:val="continue"/>
            <w:vAlign w:val="center"/>
          </w:tcPr>
          <w:p>
            <w:pPr>
              <w:autoSpaceDE w:val="0"/>
              <w:autoSpaceDN w:val="0"/>
              <w:adjustRightInd w:val="0"/>
              <w:jc w:val="center"/>
              <w:rPr>
                <w:color w:val="000000" w:themeColor="text1"/>
                <w:kern w:val="24"/>
                <w:sz w:val="21"/>
              </w:rPr>
            </w:pPr>
          </w:p>
        </w:tc>
      </w:tr>
    </w:tbl>
    <w:p>
      <w:pPr>
        <w:pStyle w:val="56"/>
        <w:rPr>
          <w:color w:val="000000" w:themeColor="text1"/>
        </w:rPr>
      </w:pPr>
      <w:r>
        <w:rPr>
          <w:rFonts w:hint="eastAsia"/>
          <w:color w:val="000000" w:themeColor="text1"/>
        </w:rPr>
        <w:t>声环境</w:t>
      </w:r>
    </w:p>
    <w:p>
      <w:pPr>
        <w:spacing w:line="360" w:lineRule="auto"/>
        <w:ind w:firstLine="480" w:firstLineChars="200"/>
        <w:rPr>
          <w:b/>
          <w:color w:val="000000" w:themeColor="text1"/>
        </w:rPr>
      </w:pPr>
      <w:r>
        <w:rPr>
          <w:color w:val="000000" w:themeColor="text1"/>
        </w:rPr>
        <w:t>项目所在区域执行《声环境质量标准》（GB3096-2008）中</w:t>
      </w:r>
      <w:r>
        <w:rPr>
          <w:rFonts w:hint="eastAsia"/>
          <w:color w:val="000000" w:themeColor="text1"/>
        </w:rPr>
        <w:t>2</w:t>
      </w:r>
      <w:r>
        <w:rPr>
          <w:color w:val="000000" w:themeColor="text1"/>
        </w:rPr>
        <w:t>类</w:t>
      </w:r>
      <w:r>
        <w:rPr>
          <w:rFonts w:hint="eastAsia"/>
          <w:color w:val="000000" w:themeColor="text1"/>
        </w:rPr>
        <w:t>区</w:t>
      </w:r>
      <w:r>
        <w:rPr>
          <w:color w:val="000000" w:themeColor="text1"/>
        </w:rPr>
        <w:t>标准。</w:t>
      </w:r>
    </w:p>
    <w:p>
      <w:pPr>
        <w:pStyle w:val="56"/>
        <w:numPr>
          <w:ilvl w:val="0"/>
          <w:numId w:val="0"/>
        </w:numPr>
        <w:spacing w:line="240" w:lineRule="auto"/>
        <w:ind w:firstLine="482" w:firstLineChars="200"/>
        <w:jc w:val="center"/>
        <w:outlineLvl w:val="9"/>
        <w:rPr>
          <w:color w:val="000000" w:themeColor="text1"/>
        </w:rPr>
      </w:pPr>
      <w:r>
        <w:rPr>
          <w:rFonts w:hint="eastAsia"/>
          <w:color w:val="000000" w:themeColor="text1"/>
        </w:rPr>
        <w:t>表</w:t>
      </w:r>
      <w:r>
        <w:rPr>
          <w:color w:val="000000" w:themeColor="text1"/>
        </w:rPr>
        <w:fldChar w:fldCharType="begin"/>
      </w:r>
      <w:r>
        <w:rPr>
          <w:color w:val="000000" w:themeColor="text1"/>
        </w:rPr>
        <w:instrText xml:space="preserve"> </w:instrText>
      </w:r>
      <w:r>
        <w:rPr>
          <w:rFonts w:hint="eastAsia"/>
          <w:color w:val="000000" w:themeColor="text1"/>
        </w:rPr>
        <w:instrText xml:space="preserve">STYLEREF 2 \s</w:instrText>
      </w:r>
      <w:r>
        <w:rPr>
          <w:color w:val="000000" w:themeColor="text1"/>
        </w:rPr>
        <w:instrText xml:space="preserve"> </w:instrText>
      </w:r>
      <w:r>
        <w:rPr>
          <w:color w:val="000000" w:themeColor="text1"/>
        </w:rPr>
        <w:fldChar w:fldCharType="separate"/>
      </w:r>
      <w:r>
        <w:rPr>
          <w:color w:val="000000" w:themeColor="text1"/>
        </w:rPr>
        <w:t>1.6</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表 \* ARABIC \s 2</w:instrText>
      </w:r>
      <w:r>
        <w:rPr>
          <w:color w:val="000000" w:themeColor="text1"/>
        </w:rPr>
        <w:instrText xml:space="preserve"> </w:instrText>
      </w:r>
      <w:r>
        <w:rPr>
          <w:color w:val="000000" w:themeColor="text1"/>
        </w:rPr>
        <w:fldChar w:fldCharType="separate"/>
      </w:r>
      <w:r>
        <w:rPr>
          <w:color w:val="000000" w:themeColor="text1"/>
        </w:rPr>
        <w:t>3</w:t>
      </w:r>
      <w:r>
        <w:rPr>
          <w:color w:val="000000" w:themeColor="text1"/>
        </w:rPr>
        <w:fldChar w:fldCharType="end"/>
      </w:r>
      <w:r>
        <w:rPr>
          <w:rFonts w:hint="eastAsia"/>
          <w:color w:val="000000" w:themeColor="text1"/>
        </w:rPr>
        <w:t xml:space="preserve">  声环境质量标准  </w:t>
      </w:r>
      <w:r>
        <w:rPr>
          <w:color w:val="000000" w:themeColor="text1"/>
        </w:rPr>
        <w:t>单位:dB（A）</w:t>
      </w:r>
    </w:p>
    <w:tbl>
      <w:tblPr>
        <w:tblStyle w:val="39"/>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477"/>
        <w:gridCol w:w="2705"/>
        <w:gridCol w:w="246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21" w:type="pct"/>
            <w:vAlign w:val="center"/>
          </w:tcPr>
          <w:p>
            <w:pPr>
              <w:tabs>
                <w:tab w:val="left" w:pos="360"/>
              </w:tabs>
              <w:ind w:firstLine="420"/>
              <w:jc w:val="center"/>
              <w:rPr>
                <w:color w:val="000000" w:themeColor="text1"/>
                <w:sz w:val="21"/>
              </w:rPr>
            </w:pPr>
            <w:r>
              <w:rPr>
                <w:color w:val="000000" w:themeColor="text1"/>
                <w:sz w:val="21"/>
              </w:rPr>
              <w:t>类别</w:t>
            </w:r>
          </w:p>
        </w:tc>
        <w:tc>
          <w:tcPr>
            <w:tcW w:w="1402" w:type="pct"/>
            <w:vAlign w:val="center"/>
          </w:tcPr>
          <w:p>
            <w:pPr>
              <w:tabs>
                <w:tab w:val="left" w:pos="360"/>
              </w:tabs>
              <w:jc w:val="center"/>
              <w:rPr>
                <w:color w:val="000000" w:themeColor="text1"/>
                <w:sz w:val="21"/>
              </w:rPr>
            </w:pPr>
            <w:r>
              <w:rPr>
                <w:color w:val="000000" w:themeColor="text1"/>
                <w:sz w:val="21"/>
              </w:rPr>
              <w:t>昼间</w:t>
            </w:r>
          </w:p>
        </w:tc>
        <w:tc>
          <w:tcPr>
            <w:tcW w:w="1277" w:type="pct"/>
            <w:vAlign w:val="center"/>
          </w:tcPr>
          <w:p>
            <w:pPr>
              <w:tabs>
                <w:tab w:val="left" w:pos="360"/>
              </w:tabs>
              <w:jc w:val="center"/>
              <w:rPr>
                <w:color w:val="000000" w:themeColor="text1"/>
                <w:sz w:val="21"/>
              </w:rPr>
            </w:pPr>
            <w:r>
              <w:rPr>
                <w:color w:val="000000" w:themeColor="text1"/>
                <w:sz w:val="21"/>
              </w:rPr>
              <w:t>夜间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21" w:type="pct"/>
            <w:vAlign w:val="center"/>
          </w:tcPr>
          <w:p>
            <w:pPr>
              <w:tabs>
                <w:tab w:val="left" w:pos="360"/>
              </w:tabs>
              <w:ind w:firstLine="420"/>
              <w:jc w:val="center"/>
              <w:rPr>
                <w:color w:val="000000" w:themeColor="text1"/>
                <w:sz w:val="21"/>
              </w:rPr>
            </w:pPr>
            <w:r>
              <w:rPr>
                <w:color w:val="000000" w:themeColor="text1"/>
                <w:sz w:val="21"/>
              </w:rPr>
              <w:t>GB3096-2008 中</w:t>
            </w:r>
            <w:r>
              <w:rPr>
                <w:rFonts w:hint="eastAsia"/>
                <w:color w:val="000000" w:themeColor="text1"/>
                <w:sz w:val="21"/>
              </w:rPr>
              <w:t>2</w:t>
            </w:r>
            <w:r>
              <w:rPr>
                <w:color w:val="000000" w:themeColor="text1"/>
                <w:sz w:val="21"/>
              </w:rPr>
              <w:t>类</w:t>
            </w:r>
            <w:r>
              <w:rPr>
                <w:rFonts w:hint="eastAsia"/>
                <w:color w:val="000000" w:themeColor="text1"/>
                <w:sz w:val="21"/>
              </w:rPr>
              <w:t>区</w:t>
            </w:r>
            <w:r>
              <w:rPr>
                <w:color w:val="000000" w:themeColor="text1"/>
                <w:sz w:val="21"/>
              </w:rPr>
              <w:t>标准</w:t>
            </w:r>
          </w:p>
        </w:tc>
        <w:tc>
          <w:tcPr>
            <w:tcW w:w="1402" w:type="pct"/>
            <w:vAlign w:val="center"/>
          </w:tcPr>
          <w:p>
            <w:pPr>
              <w:tabs>
                <w:tab w:val="left" w:pos="360"/>
              </w:tabs>
              <w:jc w:val="center"/>
              <w:rPr>
                <w:color w:val="000000" w:themeColor="text1"/>
                <w:sz w:val="21"/>
              </w:rPr>
            </w:pPr>
            <w:r>
              <w:rPr>
                <w:rFonts w:hint="eastAsia"/>
                <w:color w:val="000000" w:themeColor="text1"/>
                <w:sz w:val="21"/>
              </w:rPr>
              <w:t>60</w:t>
            </w:r>
          </w:p>
        </w:tc>
        <w:tc>
          <w:tcPr>
            <w:tcW w:w="1277" w:type="pct"/>
            <w:vAlign w:val="center"/>
          </w:tcPr>
          <w:p>
            <w:pPr>
              <w:tabs>
                <w:tab w:val="left" w:pos="360"/>
              </w:tabs>
              <w:jc w:val="center"/>
              <w:rPr>
                <w:color w:val="000000" w:themeColor="text1"/>
                <w:sz w:val="21"/>
              </w:rPr>
            </w:pPr>
            <w:r>
              <w:rPr>
                <w:rFonts w:hint="eastAsia"/>
                <w:color w:val="000000" w:themeColor="text1"/>
                <w:sz w:val="21"/>
              </w:rPr>
              <w:t>50</w:t>
            </w:r>
          </w:p>
        </w:tc>
      </w:tr>
    </w:tbl>
    <w:p>
      <w:pPr>
        <w:pStyle w:val="56"/>
        <w:rPr>
          <w:color w:val="000000" w:themeColor="text1"/>
        </w:rPr>
      </w:pPr>
      <w:bookmarkStart w:id="83" w:name="_Toc532497610"/>
      <w:r>
        <w:rPr>
          <w:rFonts w:hint="eastAsia"/>
          <w:color w:val="000000" w:themeColor="text1"/>
        </w:rPr>
        <w:t>土壤标准</w:t>
      </w:r>
    </w:p>
    <w:p>
      <w:pPr>
        <w:spacing w:line="360" w:lineRule="auto"/>
        <w:ind w:firstLine="480" w:firstLineChars="200"/>
        <w:rPr>
          <w:rFonts w:cs="Times New Roman"/>
          <w:color w:val="000000" w:themeColor="text1"/>
        </w:rPr>
      </w:pPr>
      <w:r>
        <w:t>本项目土壤环境执行《土壤环境质量建设用地土壤污染风险管控标准（试行）》（GB36600-2018）中第一类用地筛选值标准要求。</w:t>
      </w:r>
    </w:p>
    <w:p>
      <w:pPr>
        <w:pStyle w:val="14"/>
        <w:spacing w:line="240" w:lineRule="auto"/>
        <w:rPr>
          <w:rFonts w:cs="Times New Roman"/>
          <w:color w:val="000000" w:themeColor="text1"/>
        </w:rPr>
      </w:pPr>
      <w:r>
        <w:rPr>
          <w:rFonts w:hint="eastAsia"/>
        </w:rPr>
        <w:t>表</w:t>
      </w:r>
      <w:r>
        <w:fldChar w:fldCharType="begin"/>
      </w:r>
      <w:r>
        <w:instrText xml:space="preserve"> STYLEREF 2 \s </w:instrText>
      </w:r>
      <w:r>
        <w:fldChar w:fldCharType="separate"/>
      </w:r>
      <w:r>
        <w:t>1.6</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4</w:t>
      </w:r>
      <w:r>
        <w:fldChar w:fldCharType="end"/>
      </w:r>
      <w:r>
        <w:rPr>
          <w:rFonts w:hint="eastAsia"/>
        </w:rPr>
        <w:t xml:space="preserve">  土壤环境质量标准限值 （</w:t>
      </w:r>
      <w:r>
        <w:rPr>
          <w:rFonts w:hint="eastAsia"/>
          <w:color w:val="000000"/>
          <w:szCs w:val="24"/>
        </w:rPr>
        <w:t>单位：mg/kg，PH为无量纲</w:t>
      </w:r>
      <w:r>
        <w:rPr>
          <w:rFonts w:hint="eastAsia"/>
        </w:rPr>
        <w:t>）</w:t>
      </w:r>
    </w:p>
    <w:tbl>
      <w:tblPr>
        <w:tblStyle w:val="39"/>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565"/>
        <w:gridCol w:w="3835"/>
        <w:gridCol w:w="424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11" w:type="pct"/>
            <w:vAlign w:val="center"/>
          </w:tcPr>
          <w:p>
            <w:pPr>
              <w:adjustRightInd w:val="0"/>
              <w:snapToGrid w:val="0"/>
              <w:jc w:val="center"/>
              <w:rPr>
                <w:color w:val="000000"/>
                <w:sz w:val="21"/>
              </w:rPr>
            </w:pPr>
            <w:r>
              <w:rPr>
                <w:color w:val="000000"/>
                <w:sz w:val="21"/>
              </w:rPr>
              <w:t>序号</w:t>
            </w:r>
          </w:p>
        </w:tc>
        <w:tc>
          <w:tcPr>
            <w:tcW w:w="1988" w:type="pct"/>
            <w:vAlign w:val="center"/>
          </w:tcPr>
          <w:p>
            <w:pPr>
              <w:pStyle w:val="29"/>
              <w:adjustRightInd w:val="0"/>
              <w:snapToGrid w:val="0"/>
              <w:jc w:val="center"/>
              <w:rPr>
                <w:rFonts w:ascii="Times New Roman" w:hAnsi="Times New Roman"/>
                <w:b w:val="0"/>
                <w:color w:val="000000"/>
                <w:sz w:val="21"/>
                <w:szCs w:val="21"/>
              </w:rPr>
            </w:pPr>
            <w:r>
              <w:rPr>
                <w:rFonts w:ascii="Times New Roman"/>
                <w:b w:val="0"/>
                <w:color w:val="000000"/>
                <w:sz w:val="21"/>
                <w:szCs w:val="21"/>
              </w:rPr>
              <w:t>项目</w:t>
            </w:r>
          </w:p>
        </w:tc>
        <w:tc>
          <w:tcPr>
            <w:tcW w:w="2201" w:type="pct"/>
            <w:vAlign w:val="center"/>
          </w:tcPr>
          <w:p>
            <w:pPr>
              <w:adjustRightInd w:val="0"/>
              <w:snapToGrid w:val="0"/>
              <w:ind w:firstLine="420"/>
              <w:jc w:val="center"/>
              <w:rPr>
                <w:color w:val="000000"/>
                <w:sz w:val="21"/>
              </w:rPr>
            </w:pPr>
            <w:r>
              <w:rPr>
                <w:color w:val="000000"/>
                <w:sz w:val="21"/>
              </w:rPr>
              <w:t>GB36600-2018</w:t>
            </w:r>
          </w:p>
          <w:p>
            <w:pPr>
              <w:adjustRightInd w:val="0"/>
              <w:snapToGrid w:val="0"/>
              <w:ind w:firstLine="420"/>
              <w:jc w:val="center"/>
              <w:rPr>
                <w:color w:val="000000"/>
                <w:sz w:val="21"/>
              </w:rPr>
            </w:pPr>
            <w:r>
              <w:rPr>
                <w:color w:val="000000"/>
                <w:sz w:val="21"/>
              </w:rPr>
              <w:t>第</w:t>
            </w:r>
            <w:r>
              <w:rPr>
                <w:rFonts w:hint="eastAsia"/>
                <w:color w:val="000000"/>
                <w:sz w:val="21"/>
              </w:rPr>
              <w:t>一</w:t>
            </w:r>
            <w:r>
              <w:rPr>
                <w:color w:val="000000"/>
                <w:sz w:val="21"/>
              </w:rPr>
              <w:t>类用地筛选值标准要求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11" w:type="pct"/>
            <w:vAlign w:val="center"/>
          </w:tcPr>
          <w:p>
            <w:pPr>
              <w:adjustRightInd w:val="0"/>
              <w:snapToGrid w:val="0"/>
              <w:jc w:val="center"/>
              <w:rPr>
                <w:color w:val="000000"/>
                <w:sz w:val="21"/>
              </w:rPr>
            </w:pPr>
            <w:r>
              <w:rPr>
                <w:color w:val="000000"/>
                <w:sz w:val="21"/>
              </w:rPr>
              <w:t>1</w:t>
            </w:r>
          </w:p>
        </w:tc>
        <w:tc>
          <w:tcPr>
            <w:tcW w:w="1988" w:type="pct"/>
            <w:vAlign w:val="center"/>
          </w:tcPr>
          <w:p>
            <w:pPr>
              <w:adjustRightInd w:val="0"/>
              <w:snapToGrid w:val="0"/>
              <w:jc w:val="center"/>
              <w:rPr>
                <w:color w:val="000000"/>
                <w:sz w:val="21"/>
              </w:rPr>
            </w:pPr>
            <w:r>
              <w:rPr>
                <w:color w:val="000000"/>
                <w:sz w:val="21"/>
              </w:rPr>
              <w:t>砷</w:t>
            </w:r>
          </w:p>
        </w:tc>
        <w:tc>
          <w:tcPr>
            <w:tcW w:w="2201" w:type="pct"/>
            <w:vAlign w:val="center"/>
          </w:tcPr>
          <w:p>
            <w:pPr>
              <w:adjustRightInd w:val="0"/>
              <w:snapToGrid w:val="0"/>
              <w:jc w:val="center"/>
              <w:rPr>
                <w:color w:val="000000"/>
                <w:sz w:val="21"/>
              </w:rPr>
            </w:pPr>
            <w:r>
              <w:rPr>
                <w:rFonts w:hint="eastAsia"/>
                <w:color w:val="000000"/>
                <w:sz w:val="21"/>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11" w:type="pct"/>
            <w:vAlign w:val="center"/>
          </w:tcPr>
          <w:p>
            <w:pPr>
              <w:widowControl/>
              <w:adjustRightInd w:val="0"/>
              <w:snapToGrid w:val="0"/>
              <w:jc w:val="center"/>
              <w:rPr>
                <w:color w:val="000000"/>
                <w:kern w:val="0"/>
                <w:sz w:val="21"/>
              </w:rPr>
            </w:pPr>
            <w:r>
              <w:rPr>
                <w:color w:val="000000"/>
                <w:kern w:val="0"/>
                <w:sz w:val="21"/>
              </w:rPr>
              <w:t>2</w:t>
            </w:r>
          </w:p>
        </w:tc>
        <w:tc>
          <w:tcPr>
            <w:tcW w:w="1988" w:type="pct"/>
            <w:vAlign w:val="center"/>
          </w:tcPr>
          <w:p>
            <w:pPr>
              <w:adjustRightInd w:val="0"/>
              <w:snapToGrid w:val="0"/>
              <w:jc w:val="center"/>
              <w:rPr>
                <w:color w:val="000000"/>
                <w:sz w:val="21"/>
              </w:rPr>
            </w:pPr>
            <w:r>
              <w:rPr>
                <w:color w:val="000000"/>
                <w:sz w:val="21"/>
              </w:rPr>
              <w:t>镉</w:t>
            </w:r>
          </w:p>
        </w:tc>
        <w:tc>
          <w:tcPr>
            <w:tcW w:w="2201" w:type="pct"/>
            <w:vAlign w:val="center"/>
          </w:tcPr>
          <w:p>
            <w:pPr>
              <w:widowControl/>
              <w:adjustRightInd w:val="0"/>
              <w:snapToGrid w:val="0"/>
              <w:jc w:val="center"/>
              <w:rPr>
                <w:color w:val="000000"/>
                <w:kern w:val="0"/>
                <w:sz w:val="21"/>
              </w:rPr>
            </w:pPr>
            <w:r>
              <w:rPr>
                <w:rFonts w:hint="eastAsia"/>
                <w:color w:val="000000"/>
                <w:kern w:val="0"/>
                <w:sz w:val="21"/>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11" w:type="pct"/>
            <w:vAlign w:val="center"/>
          </w:tcPr>
          <w:p>
            <w:pPr>
              <w:widowControl/>
              <w:adjustRightInd w:val="0"/>
              <w:snapToGrid w:val="0"/>
              <w:jc w:val="center"/>
              <w:rPr>
                <w:color w:val="000000"/>
                <w:kern w:val="0"/>
                <w:sz w:val="21"/>
              </w:rPr>
            </w:pPr>
            <w:r>
              <w:rPr>
                <w:color w:val="000000"/>
                <w:kern w:val="0"/>
                <w:sz w:val="21"/>
              </w:rPr>
              <w:t>3</w:t>
            </w:r>
          </w:p>
        </w:tc>
        <w:tc>
          <w:tcPr>
            <w:tcW w:w="1988" w:type="pct"/>
            <w:vAlign w:val="center"/>
          </w:tcPr>
          <w:p>
            <w:pPr>
              <w:adjustRightInd w:val="0"/>
              <w:snapToGrid w:val="0"/>
              <w:jc w:val="center"/>
              <w:rPr>
                <w:color w:val="000000"/>
                <w:sz w:val="21"/>
              </w:rPr>
            </w:pPr>
            <w:r>
              <w:rPr>
                <w:color w:val="000000"/>
                <w:sz w:val="21"/>
              </w:rPr>
              <w:t>铬（六价）</w:t>
            </w:r>
          </w:p>
        </w:tc>
        <w:tc>
          <w:tcPr>
            <w:tcW w:w="2201" w:type="pct"/>
            <w:vAlign w:val="center"/>
          </w:tcPr>
          <w:p>
            <w:pPr>
              <w:widowControl/>
              <w:adjustRightInd w:val="0"/>
              <w:snapToGrid w:val="0"/>
              <w:jc w:val="center"/>
              <w:rPr>
                <w:color w:val="000000"/>
                <w:kern w:val="0"/>
                <w:sz w:val="21"/>
              </w:rPr>
            </w:pPr>
            <w:r>
              <w:rPr>
                <w:rFonts w:hint="eastAsia"/>
                <w:color w:val="000000"/>
                <w:kern w:val="0"/>
                <w:sz w:val="21"/>
              </w:rPr>
              <w:t>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11" w:type="pct"/>
            <w:vAlign w:val="center"/>
          </w:tcPr>
          <w:p>
            <w:pPr>
              <w:widowControl/>
              <w:adjustRightInd w:val="0"/>
              <w:snapToGrid w:val="0"/>
              <w:jc w:val="center"/>
              <w:rPr>
                <w:color w:val="000000"/>
                <w:kern w:val="0"/>
                <w:sz w:val="21"/>
              </w:rPr>
            </w:pPr>
            <w:r>
              <w:rPr>
                <w:color w:val="000000"/>
                <w:kern w:val="0"/>
                <w:sz w:val="21"/>
              </w:rPr>
              <w:t>4</w:t>
            </w:r>
          </w:p>
        </w:tc>
        <w:tc>
          <w:tcPr>
            <w:tcW w:w="1988" w:type="pct"/>
            <w:vAlign w:val="center"/>
          </w:tcPr>
          <w:p>
            <w:pPr>
              <w:adjustRightInd w:val="0"/>
              <w:snapToGrid w:val="0"/>
              <w:jc w:val="center"/>
              <w:rPr>
                <w:color w:val="000000"/>
                <w:sz w:val="21"/>
              </w:rPr>
            </w:pPr>
            <w:r>
              <w:rPr>
                <w:color w:val="000000"/>
                <w:sz w:val="21"/>
              </w:rPr>
              <w:t>铜</w:t>
            </w:r>
          </w:p>
        </w:tc>
        <w:tc>
          <w:tcPr>
            <w:tcW w:w="2201" w:type="pct"/>
            <w:vAlign w:val="center"/>
          </w:tcPr>
          <w:p>
            <w:pPr>
              <w:adjustRightInd w:val="0"/>
              <w:snapToGrid w:val="0"/>
              <w:jc w:val="center"/>
              <w:rPr>
                <w:color w:val="000000"/>
                <w:sz w:val="21"/>
              </w:rPr>
            </w:pPr>
            <w:r>
              <w:rPr>
                <w:rFonts w:hint="eastAsia"/>
                <w:color w:val="000000"/>
                <w:sz w:val="21"/>
              </w:rPr>
              <w:t>2000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11" w:type="pct"/>
            <w:vAlign w:val="center"/>
          </w:tcPr>
          <w:p>
            <w:pPr>
              <w:adjustRightInd w:val="0"/>
              <w:snapToGrid w:val="0"/>
              <w:jc w:val="center"/>
              <w:rPr>
                <w:color w:val="000000"/>
                <w:kern w:val="0"/>
                <w:sz w:val="21"/>
              </w:rPr>
            </w:pPr>
            <w:r>
              <w:rPr>
                <w:color w:val="000000"/>
                <w:kern w:val="0"/>
                <w:sz w:val="21"/>
              </w:rPr>
              <w:t>5</w:t>
            </w:r>
          </w:p>
        </w:tc>
        <w:tc>
          <w:tcPr>
            <w:tcW w:w="1988" w:type="pct"/>
            <w:vAlign w:val="center"/>
          </w:tcPr>
          <w:p>
            <w:pPr>
              <w:adjustRightInd w:val="0"/>
              <w:snapToGrid w:val="0"/>
              <w:jc w:val="center"/>
              <w:rPr>
                <w:color w:val="000000"/>
                <w:sz w:val="21"/>
              </w:rPr>
            </w:pPr>
            <w:r>
              <w:rPr>
                <w:color w:val="000000"/>
                <w:sz w:val="21"/>
              </w:rPr>
              <w:t>铅</w:t>
            </w:r>
          </w:p>
        </w:tc>
        <w:tc>
          <w:tcPr>
            <w:tcW w:w="2201" w:type="pct"/>
            <w:vAlign w:val="center"/>
          </w:tcPr>
          <w:p>
            <w:pPr>
              <w:widowControl/>
              <w:adjustRightInd w:val="0"/>
              <w:snapToGrid w:val="0"/>
              <w:jc w:val="center"/>
              <w:rPr>
                <w:color w:val="000000"/>
                <w:kern w:val="0"/>
                <w:sz w:val="21"/>
              </w:rPr>
            </w:pPr>
            <w:r>
              <w:rPr>
                <w:rFonts w:hint="eastAsia"/>
                <w:color w:val="000000"/>
                <w:kern w:val="0"/>
                <w:sz w:val="21"/>
              </w:rPr>
              <w:t>400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11" w:type="pct"/>
            <w:vAlign w:val="center"/>
          </w:tcPr>
          <w:p>
            <w:pPr>
              <w:widowControl/>
              <w:adjustRightInd w:val="0"/>
              <w:snapToGrid w:val="0"/>
              <w:jc w:val="center"/>
              <w:rPr>
                <w:color w:val="000000"/>
                <w:kern w:val="0"/>
                <w:sz w:val="21"/>
              </w:rPr>
            </w:pPr>
            <w:r>
              <w:rPr>
                <w:color w:val="000000"/>
                <w:kern w:val="0"/>
                <w:sz w:val="21"/>
              </w:rPr>
              <w:t>6</w:t>
            </w:r>
          </w:p>
        </w:tc>
        <w:tc>
          <w:tcPr>
            <w:tcW w:w="1988" w:type="pct"/>
            <w:vAlign w:val="center"/>
          </w:tcPr>
          <w:p>
            <w:pPr>
              <w:adjustRightInd w:val="0"/>
              <w:snapToGrid w:val="0"/>
              <w:jc w:val="center"/>
              <w:rPr>
                <w:color w:val="000000"/>
                <w:sz w:val="21"/>
              </w:rPr>
            </w:pPr>
            <w:r>
              <w:rPr>
                <w:color w:val="000000"/>
                <w:sz w:val="21"/>
              </w:rPr>
              <w:t>汞</w:t>
            </w:r>
          </w:p>
        </w:tc>
        <w:tc>
          <w:tcPr>
            <w:tcW w:w="2201" w:type="pct"/>
            <w:vAlign w:val="center"/>
          </w:tcPr>
          <w:p>
            <w:pPr>
              <w:widowControl/>
              <w:adjustRightInd w:val="0"/>
              <w:snapToGrid w:val="0"/>
              <w:jc w:val="center"/>
              <w:rPr>
                <w:color w:val="000000"/>
                <w:kern w:val="0"/>
                <w:sz w:val="21"/>
              </w:rPr>
            </w:pPr>
            <w:r>
              <w:rPr>
                <w:rFonts w:hint="eastAsia"/>
                <w:color w:val="000000"/>
                <w:kern w:val="0"/>
                <w:sz w:val="21"/>
              </w:rPr>
              <w:t>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11" w:type="pct"/>
            <w:vAlign w:val="center"/>
          </w:tcPr>
          <w:p>
            <w:pPr>
              <w:widowControl/>
              <w:adjustRightInd w:val="0"/>
              <w:snapToGrid w:val="0"/>
              <w:jc w:val="center"/>
              <w:rPr>
                <w:color w:val="000000"/>
                <w:kern w:val="0"/>
                <w:sz w:val="21"/>
              </w:rPr>
            </w:pPr>
            <w:r>
              <w:rPr>
                <w:color w:val="000000"/>
                <w:kern w:val="0"/>
                <w:sz w:val="21"/>
              </w:rPr>
              <w:t>7</w:t>
            </w:r>
          </w:p>
        </w:tc>
        <w:tc>
          <w:tcPr>
            <w:tcW w:w="1988" w:type="pct"/>
            <w:vAlign w:val="center"/>
          </w:tcPr>
          <w:p>
            <w:pPr>
              <w:adjustRightInd w:val="0"/>
              <w:snapToGrid w:val="0"/>
              <w:jc w:val="center"/>
              <w:rPr>
                <w:color w:val="000000"/>
                <w:sz w:val="21"/>
              </w:rPr>
            </w:pPr>
            <w:r>
              <w:rPr>
                <w:color w:val="000000"/>
                <w:sz w:val="21"/>
              </w:rPr>
              <w:t>镍</w:t>
            </w:r>
          </w:p>
        </w:tc>
        <w:tc>
          <w:tcPr>
            <w:tcW w:w="2201" w:type="pct"/>
            <w:vAlign w:val="center"/>
          </w:tcPr>
          <w:p>
            <w:pPr>
              <w:widowControl/>
              <w:adjustRightInd w:val="0"/>
              <w:snapToGrid w:val="0"/>
              <w:jc w:val="center"/>
              <w:rPr>
                <w:color w:val="000000"/>
                <w:kern w:val="0"/>
                <w:sz w:val="21"/>
              </w:rPr>
            </w:pPr>
            <w:r>
              <w:rPr>
                <w:rFonts w:hint="eastAsia"/>
                <w:color w:val="000000"/>
                <w:kern w:val="0"/>
                <w:sz w:val="21"/>
              </w:rPr>
              <w:t>150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11" w:type="pct"/>
            <w:vAlign w:val="center"/>
          </w:tcPr>
          <w:p>
            <w:pPr>
              <w:widowControl/>
              <w:adjustRightInd w:val="0"/>
              <w:snapToGrid w:val="0"/>
              <w:jc w:val="center"/>
              <w:rPr>
                <w:color w:val="000000"/>
                <w:kern w:val="0"/>
                <w:sz w:val="21"/>
              </w:rPr>
            </w:pPr>
            <w:r>
              <w:rPr>
                <w:color w:val="000000"/>
                <w:kern w:val="0"/>
                <w:sz w:val="21"/>
              </w:rPr>
              <w:t>8</w:t>
            </w:r>
          </w:p>
        </w:tc>
        <w:tc>
          <w:tcPr>
            <w:tcW w:w="1988" w:type="pct"/>
            <w:vAlign w:val="center"/>
          </w:tcPr>
          <w:p>
            <w:pPr>
              <w:adjustRightInd w:val="0"/>
              <w:snapToGrid w:val="0"/>
              <w:jc w:val="center"/>
              <w:rPr>
                <w:color w:val="000000"/>
                <w:sz w:val="21"/>
              </w:rPr>
            </w:pPr>
            <w:r>
              <w:rPr>
                <w:color w:val="000000"/>
                <w:sz w:val="21"/>
              </w:rPr>
              <w:t>四氯化碳</w:t>
            </w:r>
          </w:p>
        </w:tc>
        <w:tc>
          <w:tcPr>
            <w:tcW w:w="2201" w:type="pct"/>
            <w:vAlign w:val="center"/>
          </w:tcPr>
          <w:p>
            <w:pPr>
              <w:widowControl/>
              <w:adjustRightInd w:val="0"/>
              <w:snapToGrid w:val="0"/>
              <w:jc w:val="center"/>
              <w:rPr>
                <w:color w:val="000000"/>
                <w:kern w:val="0"/>
                <w:sz w:val="21"/>
              </w:rPr>
            </w:pPr>
            <w:r>
              <w:rPr>
                <w:rFonts w:hint="eastAsia"/>
                <w:color w:val="000000"/>
                <w:kern w:val="0"/>
                <w:sz w:val="21"/>
              </w:rPr>
              <w:t>0.9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11" w:type="pct"/>
            <w:vAlign w:val="center"/>
          </w:tcPr>
          <w:p>
            <w:pPr>
              <w:widowControl/>
              <w:adjustRightInd w:val="0"/>
              <w:snapToGrid w:val="0"/>
              <w:jc w:val="center"/>
              <w:rPr>
                <w:color w:val="000000"/>
                <w:kern w:val="0"/>
                <w:sz w:val="21"/>
              </w:rPr>
            </w:pPr>
            <w:r>
              <w:rPr>
                <w:color w:val="000000"/>
                <w:kern w:val="0"/>
                <w:sz w:val="21"/>
              </w:rPr>
              <w:t>9</w:t>
            </w:r>
          </w:p>
        </w:tc>
        <w:tc>
          <w:tcPr>
            <w:tcW w:w="1988" w:type="pct"/>
            <w:vAlign w:val="center"/>
          </w:tcPr>
          <w:p>
            <w:pPr>
              <w:adjustRightInd w:val="0"/>
              <w:snapToGrid w:val="0"/>
              <w:jc w:val="center"/>
              <w:rPr>
                <w:color w:val="000000"/>
                <w:sz w:val="21"/>
              </w:rPr>
            </w:pPr>
            <w:r>
              <w:rPr>
                <w:color w:val="000000"/>
                <w:sz w:val="21"/>
              </w:rPr>
              <w:t>氯仿</w:t>
            </w:r>
          </w:p>
        </w:tc>
        <w:tc>
          <w:tcPr>
            <w:tcW w:w="2201" w:type="pct"/>
            <w:vAlign w:val="center"/>
          </w:tcPr>
          <w:p>
            <w:pPr>
              <w:widowControl/>
              <w:adjustRightInd w:val="0"/>
              <w:snapToGrid w:val="0"/>
              <w:jc w:val="center"/>
              <w:rPr>
                <w:color w:val="000000"/>
                <w:kern w:val="0"/>
                <w:sz w:val="21"/>
              </w:rPr>
            </w:pPr>
            <w:r>
              <w:rPr>
                <w:rFonts w:hint="eastAsia"/>
                <w:color w:val="000000"/>
                <w:kern w:val="0"/>
                <w:sz w:val="21"/>
              </w:rPr>
              <w:t>0.3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11" w:type="pct"/>
            <w:vAlign w:val="center"/>
          </w:tcPr>
          <w:p>
            <w:pPr>
              <w:widowControl/>
              <w:adjustRightInd w:val="0"/>
              <w:snapToGrid w:val="0"/>
              <w:jc w:val="center"/>
              <w:rPr>
                <w:color w:val="000000"/>
                <w:kern w:val="0"/>
                <w:sz w:val="21"/>
              </w:rPr>
            </w:pPr>
            <w:r>
              <w:rPr>
                <w:color w:val="000000"/>
                <w:kern w:val="0"/>
                <w:sz w:val="21"/>
              </w:rPr>
              <w:t>10</w:t>
            </w:r>
          </w:p>
        </w:tc>
        <w:tc>
          <w:tcPr>
            <w:tcW w:w="1988" w:type="pct"/>
            <w:vAlign w:val="center"/>
          </w:tcPr>
          <w:p>
            <w:pPr>
              <w:adjustRightInd w:val="0"/>
              <w:snapToGrid w:val="0"/>
              <w:jc w:val="center"/>
              <w:rPr>
                <w:color w:val="000000"/>
                <w:sz w:val="21"/>
              </w:rPr>
            </w:pPr>
            <w:r>
              <w:rPr>
                <w:color w:val="000000"/>
                <w:sz w:val="21"/>
              </w:rPr>
              <w:t>氯甲烷</w:t>
            </w:r>
          </w:p>
        </w:tc>
        <w:tc>
          <w:tcPr>
            <w:tcW w:w="2201" w:type="pct"/>
            <w:vAlign w:val="center"/>
          </w:tcPr>
          <w:p>
            <w:pPr>
              <w:widowControl/>
              <w:adjustRightInd w:val="0"/>
              <w:snapToGrid w:val="0"/>
              <w:jc w:val="center"/>
              <w:rPr>
                <w:color w:val="000000"/>
                <w:kern w:val="0"/>
                <w:sz w:val="21"/>
              </w:rPr>
            </w:pPr>
            <w:r>
              <w:rPr>
                <w:rFonts w:hint="eastAsia"/>
                <w:color w:val="000000"/>
                <w:kern w:val="0"/>
                <w:sz w:val="21"/>
              </w:rPr>
              <w:t>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11" w:type="pct"/>
            <w:vAlign w:val="center"/>
          </w:tcPr>
          <w:p>
            <w:pPr>
              <w:widowControl/>
              <w:adjustRightInd w:val="0"/>
              <w:snapToGrid w:val="0"/>
              <w:jc w:val="center"/>
              <w:rPr>
                <w:color w:val="000000"/>
                <w:kern w:val="0"/>
                <w:sz w:val="21"/>
              </w:rPr>
            </w:pPr>
            <w:r>
              <w:rPr>
                <w:color w:val="000000"/>
                <w:kern w:val="0"/>
                <w:sz w:val="21"/>
              </w:rPr>
              <w:t>11</w:t>
            </w:r>
          </w:p>
        </w:tc>
        <w:tc>
          <w:tcPr>
            <w:tcW w:w="1988" w:type="pct"/>
            <w:vAlign w:val="center"/>
          </w:tcPr>
          <w:p>
            <w:pPr>
              <w:adjustRightInd w:val="0"/>
              <w:snapToGrid w:val="0"/>
              <w:jc w:val="center"/>
              <w:rPr>
                <w:color w:val="000000"/>
                <w:sz w:val="21"/>
              </w:rPr>
            </w:pPr>
            <w:r>
              <w:rPr>
                <w:color w:val="000000"/>
                <w:sz w:val="21"/>
              </w:rPr>
              <w:t>1,1-</w:t>
            </w:r>
            <w:r>
              <w:rPr>
                <w:rFonts w:hAnsi="宋体"/>
                <w:color w:val="000000"/>
                <w:sz w:val="21"/>
              </w:rPr>
              <w:t>二氯乙烷</w:t>
            </w:r>
          </w:p>
        </w:tc>
        <w:tc>
          <w:tcPr>
            <w:tcW w:w="2201" w:type="pct"/>
            <w:vAlign w:val="center"/>
          </w:tcPr>
          <w:p>
            <w:pPr>
              <w:widowControl/>
              <w:adjustRightInd w:val="0"/>
              <w:snapToGrid w:val="0"/>
              <w:jc w:val="center"/>
              <w:rPr>
                <w:color w:val="000000"/>
                <w:kern w:val="0"/>
                <w:sz w:val="21"/>
              </w:rPr>
            </w:pPr>
            <w:r>
              <w:rPr>
                <w:rFonts w:hint="eastAsia"/>
                <w:color w:val="000000"/>
                <w:kern w:val="0"/>
                <w:sz w:val="21"/>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11" w:type="pct"/>
            <w:vAlign w:val="center"/>
          </w:tcPr>
          <w:p>
            <w:pPr>
              <w:widowControl/>
              <w:adjustRightInd w:val="0"/>
              <w:snapToGrid w:val="0"/>
              <w:jc w:val="center"/>
              <w:rPr>
                <w:color w:val="000000"/>
                <w:kern w:val="0"/>
                <w:sz w:val="21"/>
              </w:rPr>
            </w:pPr>
            <w:r>
              <w:rPr>
                <w:color w:val="000000"/>
                <w:kern w:val="0"/>
                <w:sz w:val="21"/>
              </w:rPr>
              <w:t>12</w:t>
            </w:r>
          </w:p>
        </w:tc>
        <w:tc>
          <w:tcPr>
            <w:tcW w:w="1988" w:type="pct"/>
            <w:vAlign w:val="center"/>
          </w:tcPr>
          <w:p>
            <w:pPr>
              <w:adjustRightInd w:val="0"/>
              <w:snapToGrid w:val="0"/>
              <w:jc w:val="center"/>
              <w:rPr>
                <w:color w:val="000000"/>
                <w:sz w:val="21"/>
              </w:rPr>
            </w:pPr>
            <w:r>
              <w:rPr>
                <w:color w:val="000000"/>
                <w:sz w:val="21"/>
              </w:rPr>
              <w:t>1,2-</w:t>
            </w:r>
            <w:r>
              <w:rPr>
                <w:rFonts w:hAnsi="宋体"/>
                <w:color w:val="000000"/>
                <w:sz w:val="21"/>
              </w:rPr>
              <w:t>二氯乙烷</w:t>
            </w:r>
          </w:p>
        </w:tc>
        <w:tc>
          <w:tcPr>
            <w:tcW w:w="2201" w:type="pct"/>
            <w:vAlign w:val="center"/>
          </w:tcPr>
          <w:p>
            <w:pPr>
              <w:widowControl/>
              <w:adjustRightInd w:val="0"/>
              <w:snapToGrid w:val="0"/>
              <w:jc w:val="center"/>
              <w:rPr>
                <w:color w:val="000000"/>
                <w:kern w:val="0"/>
                <w:sz w:val="21"/>
              </w:rPr>
            </w:pPr>
            <w:r>
              <w:rPr>
                <w:rFonts w:hint="eastAsia"/>
                <w:color w:val="000000"/>
                <w:kern w:val="0"/>
                <w:sz w:val="21"/>
              </w:rPr>
              <w:t>0.52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11" w:type="pct"/>
            <w:vAlign w:val="center"/>
          </w:tcPr>
          <w:p>
            <w:pPr>
              <w:widowControl/>
              <w:adjustRightInd w:val="0"/>
              <w:snapToGrid w:val="0"/>
              <w:jc w:val="center"/>
              <w:rPr>
                <w:color w:val="000000"/>
                <w:kern w:val="0"/>
                <w:sz w:val="21"/>
              </w:rPr>
            </w:pPr>
            <w:r>
              <w:rPr>
                <w:color w:val="000000"/>
                <w:kern w:val="0"/>
                <w:sz w:val="21"/>
              </w:rPr>
              <w:t>13</w:t>
            </w:r>
          </w:p>
        </w:tc>
        <w:tc>
          <w:tcPr>
            <w:tcW w:w="1988" w:type="pct"/>
            <w:vAlign w:val="center"/>
          </w:tcPr>
          <w:p>
            <w:pPr>
              <w:adjustRightInd w:val="0"/>
              <w:snapToGrid w:val="0"/>
              <w:jc w:val="center"/>
              <w:rPr>
                <w:color w:val="000000"/>
                <w:sz w:val="21"/>
              </w:rPr>
            </w:pPr>
            <w:r>
              <w:rPr>
                <w:color w:val="000000"/>
                <w:sz w:val="21"/>
              </w:rPr>
              <w:t>1,1-</w:t>
            </w:r>
            <w:r>
              <w:rPr>
                <w:rFonts w:hAnsi="宋体"/>
                <w:color w:val="000000"/>
                <w:sz w:val="21"/>
              </w:rPr>
              <w:t>二氯乙烯</w:t>
            </w:r>
          </w:p>
        </w:tc>
        <w:tc>
          <w:tcPr>
            <w:tcW w:w="2201" w:type="pct"/>
            <w:vAlign w:val="center"/>
          </w:tcPr>
          <w:p>
            <w:pPr>
              <w:widowControl/>
              <w:adjustRightInd w:val="0"/>
              <w:snapToGrid w:val="0"/>
              <w:jc w:val="center"/>
              <w:rPr>
                <w:color w:val="000000"/>
                <w:kern w:val="0"/>
                <w:sz w:val="21"/>
              </w:rPr>
            </w:pPr>
            <w:r>
              <w:rPr>
                <w:rFonts w:hint="eastAsia"/>
                <w:color w:val="000000"/>
                <w:kern w:val="0"/>
                <w:sz w:val="21"/>
              </w:rPr>
              <w:t>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11" w:type="pct"/>
            <w:vAlign w:val="center"/>
          </w:tcPr>
          <w:p>
            <w:pPr>
              <w:widowControl/>
              <w:adjustRightInd w:val="0"/>
              <w:snapToGrid w:val="0"/>
              <w:jc w:val="center"/>
              <w:rPr>
                <w:color w:val="000000"/>
                <w:kern w:val="0"/>
                <w:sz w:val="21"/>
              </w:rPr>
            </w:pPr>
            <w:r>
              <w:rPr>
                <w:color w:val="000000"/>
                <w:kern w:val="0"/>
                <w:sz w:val="21"/>
              </w:rPr>
              <w:t>14</w:t>
            </w:r>
          </w:p>
        </w:tc>
        <w:tc>
          <w:tcPr>
            <w:tcW w:w="1988" w:type="pct"/>
            <w:vAlign w:val="center"/>
          </w:tcPr>
          <w:p>
            <w:pPr>
              <w:adjustRightInd w:val="0"/>
              <w:snapToGrid w:val="0"/>
              <w:jc w:val="center"/>
              <w:rPr>
                <w:color w:val="000000"/>
                <w:sz w:val="21"/>
              </w:rPr>
            </w:pPr>
            <w:r>
              <w:rPr>
                <w:color w:val="000000"/>
                <w:sz w:val="21"/>
              </w:rPr>
              <w:t>顺1,2-</w:t>
            </w:r>
            <w:r>
              <w:rPr>
                <w:rFonts w:hAnsi="宋体"/>
                <w:color w:val="000000"/>
                <w:sz w:val="21"/>
              </w:rPr>
              <w:t>二氯乙烯</w:t>
            </w:r>
          </w:p>
        </w:tc>
        <w:tc>
          <w:tcPr>
            <w:tcW w:w="2201" w:type="pct"/>
            <w:vAlign w:val="center"/>
          </w:tcPr>
          <w:p>
            <w:pPr>
              <w:widowControl/>
              <w:adjustRightInd w:val="0"/>
              <w:snapToGrid w:val="0"/>
              <w:jc w:val="center"/>
              <w:rPr>
                <w:color w:val="000000"/>
                <w:kern w:val="0"/>
                <w:sz w:val="21"/>
              </w:rPr>
            </w:pPr>
            <w:r>
              <w:rPr>
                <w:rFonts w:hint="eastAsia"/>
                <w:color w:val="000000"/>
                <w:kern w:val="0"/>
                <w:sz w:val="21"/>
              </w:rPr>
              <w:t>66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11" w:type="pct"/>
            <w:vAlign w:val="center"/>
          </w:tcPr>
          <w:p>
            <w:pPr>
              <w:widowControl/>
              <w:adjustRightInd w:val="0"/>
              <w:snapToGrid w:val="0"/>
              <w:jc w:val="center"/>
              <w:rPr>
                <w:color w:val="000000"/>
                <w:kern w:val="0"/>
                <w:sz w:val="21"/>
              </w:rPr>
            </w:pPr>
            <w:r>
              <w:rPr>
                <w:color w:val="000000"/>
                <w:kern w:val="0"/>
                <w:sz w:val="21"/>
              </w:rPr>
              <w:t>15</w:t>
            </w:r>
          </w:p>
        </w:tc>
        <w:tc>
          <w:tcPr>
            <w:tcW w:w="1988" w:type="pct"/>
            <w:vAlign w:val="center"/>
          </w:tcPr>
          <w:p>
            <w:pPr>
              <w:adjustRightInd w:val="0"/>
              <w:snapToGrid w:val="0"/>
              <w:jc w:val="center"/>
              <w:rPr>
                <w:color w:val="000000"/>
                <w:sz w:val="21"/>
              </w:rPr>
            </w:pPr>
            <w:r>
              <w:rPr>
                <w:color w:val="000000"/>
                <w:sz w:val="21"/>
              </w:rPr>
              <w:t>反1,2-</w:t>
            </w:r>
            <w:r>
              <w:rPr>
                <w:rFonts w:hAnsi="宋体"/>
                <w:color w:val="000000"/>
                <w:sz w:val="21"/>
              </w:rPr>
              <w:t>二氯乙烯</w:t>
            </w:r>
          </w:p>
        </w:tc>
        <w:tc>
          <w:tcPr>
            <w:tcW w:w="2201" w:type="pct"/>
            <w:vAlign w:val="center"/>
          </w:tcPr>
          <w:p>
            <w:pPr>
              <w:widowControl/>
              <w:adjustRightInd w:val="0"/>
              <w:snapToGrid w:val="0"/>
              <w:jc w:val="center"/>
              <w:rPr>
                <w:color w:val="000000"/>
                <w:kern w:val="0"/>
                <w:sz w:val="21"/>
              </w:rPr>
            </w:pPr>
            <w:r>
              <w:rPr>
                <w:rFonts w:hint="eastAsia"/>
                <w:color w:val="000000"/>
                <w:kern w:val="0"/>
                <w:sz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11" w:type="pct"/>
            <w:vAlign w:val="center"/>
          </w:tcPr>
          <w:p>
            <w:pPr>
              <w:widowControl/>
              <w:adjustRightInd w:val="0"/>
              <w:snapToGrid w:val="0"/>
              <w:jc w:val="center"/>
              <w:rPr>
                <w:color w:val="000000"/>
                <w:kern w:val="0"/>
                <w:sz w:val="21"/>
              </w:rPr>
            </w:pPr>
            <w:r>
              <w:rPr>
                <w:color w:val="000000"/>
                <w:kern w:val="0"/>
                <w:sz w:val="21"/>
              </w:rPr>
              <w:t>16</w:t>
            </w:r>
          </w:p>
        </w:tc>
        <w:tc>
          <w:tcPr>
            <w:tcW w:w="1988" w:type="pct"/>
            <w:vAlign w:val="center"/>
          </w:tcPr>
          <w:p>
            <w:pPr>
              <w:adjustRightInd w:val="0"/>
              <w:snapToGrid w:val="0"/>
              <w:jc w:val="center"/>
              <w:rPr>
                <w:color w:val="000000"/>
                <w:sz w:val="21"/>
              </w:rPr>
            </w:pPr>
            <w:r>
              <w:rPr>
                <w:color w:val="000000"/>
                <w:sz w:val="21"/>
              </w:rPr>
              <w:t>二氯</w:t>
            </w:r>
            <w:r>
              <w:rPr>
                <w:rFonts w:hint="eastAsia"/>
                <w:color w:val="000000"/>
                <w:sz w:val="21"/>
              </w:rPr>
              <w:t>甲</w:t>
            </w:r>
            <w:r>
              <w:rPr>
                <w:color w:val="000000"/>
                <w:sz w:val="21"/>
              </w:rPr>
              <w:t>烷</w:t>
            </w:r>
          </w:p>
        </w:tc>
        <w:tc>
          <w:tcPr>
            <w:tcW w:w="2201" w:type="pct"/>
            <w:vAlign w:val="center"/>
          </w:tcPr>
          <w:p>
            <w:pPr>
              <w:widowControl/>
              <w:adjustRightInd w:val="0"/>
              <w:snapToGrid w:val="0"/>
              <w:jc w:val="center"/>
              <w:rPr>
                <w:color w:val="000000"/>
                <w:kern w:val="0"/>
                <w:sz w:val="21"/>
              </w:rPr>
            </w:pPr>
            <w:r>
              <w:rPr>
                <w:rFonts w:hint="eastAsia"/>
                <w:color w:val="000000"/>
                <w:kern w:val="0"/>
                <w:sz w:val="21"/>
              </w:rPr>
              <w:t>94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11" w:type="pct"/>
            <w:vAlign w:val="center"/>
          </w:tcPr>
          <w:p>
            <w:pPr>
              <w:widowControl/>
              <w:adjustRightInd w:val="0"/>
              <w:snapToGrid w:val="0"/>
              <w:jc w:val="center"/>
              <w:rPr>
                <w:color w:val="000000"/>
                <w:kern w:val="0"/>
                <w:sz w:val="21"/>
              </w:rPr>
            </w:pPr>
            <w:r>
              <w:rPr>
                <w:color w:val="000000"/>
                <w:kern w:val="0"/>
                <w:sz w:val="21"/>
              </w:rPr>
              <w:t>17</w:t>
            </w:r>
          </w:p>
        </w:tc>
        <w:tc>
          <w:tcPr>
            <w:tcW w:w="1988" w:type="pct"/>
            <w:vAlign w:val="center"/>
          </w:tcPr>
          <w:p>
            <w:pPr>
              <w:adjustRightInd w:val="0"/>
              <w:snapToGrid w:val="0"/>
              <w:jc w:val="center"/>
              <w:rPr>
                <w:color w:val="000000"/>
                <w:sz w:val="21"/>
              </w:rPr>
            </w:pPr>
            <w:r>
              <w:rPr>
                <w:color w:val="000000"/>
                <w:sz w:val="21"/>
              </w:rPr>
              <w:t>1,2-</w:t>
            </w:r>
            <w:r>
              <w:rPr>
                <w:rFonts w:hAnsi="宋体"/>
                <w:color w:val="000000"/>
                <w:sz w:val="21"/>
              </w:rPr>
              <w:t>二氯丙烷</w:t>
            </w:r>
          </w:p>
        </w:tc>
        <w:tc>
          <w:tcPr>
            <w:tcW w:w="2201" w:type="pct"/>
            <w:vAlign w:val="center"/>
          </w:tcPr>
          <w:p>
            <w:pPr>
              <w:widowControl/>
              <w:adjustRightInd w:val="0"/>
              <w:snapToGrid w:val="0"/>
              <w:jc w:val="center"/>
              <w:rPr>
                <w:color w:val="000000"/>
                <w:kern w:val="0"/>
                <w:sz w:val="21"/>
              </w:rPr>
            </w:pPr>
            <w:r>
              <w:rPr>
                <w:rFonts w:hint="eastAsia"/>
                <w:color w:val="000000"/>
                <w:kern w:val="0"/>
                <w:sz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11" w:type="pct"/>
            <w:vAlign w:val="center"/>
          </w:tcPr>
          <w:p>
            <w:pPr>
              <w:widowControl/>
              <w:adjustRightInd w:val="0"/>
              <w:snapToGrid w:val="0"/>
              <w:jc w:val="center"/>
              <w:rPr>
                <w:color w:val="000000"/>
                <w:kern w:val="0"/>
                <w:sz w:val="21"/>
              </w:rPr>
            </w:pPr>
            <w:r>
              <w:rPr>
                <w:color w:val="000000"/>
                <w:kern w:val="0"/>
                <w:sz w:val="21"/>
              </w:rPr>
              <w:t>18</w:t>
            </w:r>
          </w:p>
        </w:tc>
        <w:tc>
          <w:tcPr>
            <w:tcW w:w="1988" w:type="pct"/>
            <w:vAlign w:val="center"/>
          </w:tcPr>
          <w:p>
            <w:pPr>
              <w:adjustRightInd w:val="0"/>
              <w:snapToGrid w:val="0"/>
              <w:jc w:val="center"/>
              <w:rPr>
                <w:color w:val="000000"/>
                <w:sz w:val="21"/>
              </w:rPr>
            </w:pPr>
            <w:r>
              <w:rPr>
                <w:color w:val="000000"/>
                <w:sz w:val="21"/>
              </w:rPr>
              <w:t>1,1,1,2-</w:t>
            </w:r>
            <w:r>
              <w:rPr>
                <w:rFonts w:hAnsi="宋体"/>
                <w:color w:val="000000"/>
                <w:sz w:val="21"/>
              </w:rPr>
              <w:t>四氯乙烷</w:t>
            </w:r>
          </w:p>
        </w:tc>
        <w:tc>
          <w:tcPr>
            <w:tcW w:w="2201" w:type="pct"/>
            <w:vAlign w:val="center"/>
          </w:tcPr>
          <w:p>
            <w:pPr>
              <w:widowControl/>
              <w:adjustRightInd w:val="0"/>
              <w:snapToGrid w:val="0"/>
              <w:jc w:val="center"/>
              <w:rPr>
                <w:color w:val="000000"/>
                <w:kern w:val="0"/>
                <w:sz w:val="21"/>
              </w:rPr>
            </w:pPr>
            <w:r>
              <w:rPr>
                <w:rFonts w:hint="eastAsia"/>
                <w:color w:val="000000"/>
                <w:kern w:val="0"/>
                <w:sz w:val="21"/>
              </w:rPr>
              <w:t>2.6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11" w:type="pct"/>
            <w:vAlign w:val="center"/>
          </w:tcPr>
          <w:p>
            <w:pPr>
              <w:widowControl/>
              <w:adjustRightInd w:val="0"/>
              <w:snapToGrid w:val="0"/>
              <w:jc w:val="center"/>
              <w:rPr>
                <w:color w:val="000000"/>
                <w:kern w:val="0"/>
                <w:sz w:val="21"/>
              </w:rPr>
            </w:pPr>
            <w:r>
              <w:rPr>
                <w:color w:val="000000"/>
                <w:kern w:val="0"/>
                <w:sz w:val="21"/>
              </w:rPr>
              <w:t>19</w:t>
            </w:r>
          </w:p>
        </w:tc>
        <w:tc>
          <w:tcPr>
            <w:tcW w:w="1988" w:type="pct"/>
            <w:vAlign w:val="center"/>
          </w:tcPr>
          <w:p>
            <w:pPr>
              <w:adjustRightInd w:val="0"/>
              <w:snapToGrid w:val="0"/>
              <w:jc w:val="center"/>
              <w:rPr>
                <w:color w:val="000000"/>
                <w:sz w:val="21"/>
              </w:rPr>
            </w:pPr>
            <w:r>
              <w:rPr>
                <w:color w:val="000000"/>
                <w:sz w:val="21"/>
              </w:rPr>
              <w:t>1,1,2,2-</w:t>
            </w:r>
            <w:r>
              <w:rPr>
                <w:rFonts w:hAnsi="宋体"/>
                <w:color w:val="000000"/>
                <w:sz w:val="21"/>
              </w:rPr>
              <w:t>四氯乙烷</w:t>
            </w:r>
          </w:p>
        </w:tc>
        <w:tc>
          <w:tcPr>
            <w:tcW w:w="2201" w:type="pct"/>
            <w:vAlign w:val="center"/>
          </w:tcPr>
          <w:p>
            <w:pPr>
              <w:widowControl/>
              <w:adjustRightInd w:val="0"/>
              <w:snapToGrid w:val="0"/>
              <w:jc w:val="center"/>
              <w:rPr>
                <w:color w:val="000000"/>
                <w:kern w:val="0"/>
                <w:sz w:val="21"/>
              </w:rPr>
            </w:pPr>
            <w:r>
              <w:rPr>
                <w:rFonts w:hint="eastAsia"/>
                <w:color w:val="000000"/>
                <w:kern w:val="0"/>
                <w:sz w:val="21"/>
              </w:rPr>
              <w:t>1.6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11" w:type="pct"/>
            <w:vAlign w:val="center"/>
          </w:tcPr>
          <w:p>
            <w:pPr>
              <w:widowControl/>
              <w:adjustRightInd w:val="0"/>
              <w:snapToGrid w:val="0"/>
              <w:jc w:val="center"/>
              <w:rPr>
                <w:color w:val="000000"/>
                <w:kern w:val="0"/>
                <w:sz w:val="21"/>
              </w:rPr>
            </w:pPr>
            <w:r>
              <w:rPr>
                <w:color w:val="000000"/>
                <w:kern w:val="0"/>
                <w:sz w:val="21"/>
              </w:rPr>
              <w:t>20</w:t>
            </w:r>
          </w:p>
        </w:tc>
        <w:tc>
          <w:tcPr>
            <w:tcW w:w="1988" w:type="pct"/>
            <w:vAlign w:val="center"/>
          </w:tcPr>
          <w:p>
            <w:pPr>
              <w:adjustRightInd w:val="0"/>
              <w:snapToGrid w:val="0"/>
              <w:jc w:val="center"/>
              <w:rPr>
                <w:color w:val="000000"/>
                <w:sz w:val="21"/>
              </w:rPr>
            </w:pPr>
            <w:r>
              <w:rPr>
                <w:color w:val="000000"/>
                <w:sz w:val="21"/>
              </w:rPr>
              <w:t>四氯乙烯</w:t>
            </w:r>
          </w:p>
        </w:tc>
        <w:tc>
          <w:tcPr>
            <w:tcW w:w="2201" w:type="pct"/>
            <w:vAlign w:val="center"/>
          </w:tcPr>
          <w:p>
            <w:pPr>
              <w:widowControl/>
              <w:adjustRightInd w:val="0"/>
              <w:snapToGrid w:val="0"/>
              <w:jc w:val="center"/>
              <w:rPr>
                <w:color w:val="000000"/>
                <w:kern w:val="0"/>
                <w:sz w:val="21"/>
              </w:rPr>
            </w:pPr>
            <w:r>
              <w:rPr>
                <w:rFonts w:hint="eastAsia"/>
                <w:color w:val="000000"/>
                <w:kern w:val="0"/>
                <w:sz w:val="21"/>
              </w:rPr>
              <w:t>11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11" w:type="pct"/>
            <w:vAlign w:val="center"/>
          </w:tcPr>
          <w:p>
            <w:pPr>
              <w:widowControl/>
              <w:adjustRightInd w:val="0"/>
              <w:snapToGrid w:val="0"/>
              <w:jc w:val="center"/>
              <w:rPr>
                <w:color w:val="000000"/>
                <w:kern w:val="0"/>
                <w:sz w:val="21"/>
              </w:rPr>
            </w:pPr>
            <w:r>
              <w:rPr>
                <w:color w:val="000000"/>
                <w:kern w:val="0"/>
                <w:sz w:val="21"/>
              </w:rPr>
              <w:t>21</w:t>
            </w:r>
          </w:p>
        </w:tc>
        <w:tc>
          <w:tcPr>
            <w:tcW w:w="1988" w:type="pct"/>
            <w:vAlign w:val="center"/>
          </w:tcPr>
          <w:p>
            <w:pPr>
              <w:adjustRightInd w:val="0"/>
              <w:snapToGrid w:val="0"/>
              <w:jc w:val="center"/>
              <w:rPr>
                <w:color w:val="000000"/>
                <w:sz w:val="21"/>
              </w:rPr>
            </w:pPr>
            <w:r>
              <w:rPr>
                <w:color w:val="000000"/>
                <w:sz w:val="21"/>
              </w:rPr>
              <w:t>1,1,1-</w:t>
            </w:r>
            <w:r>
              <w:rPr>
                <w:rFonts w:hAnsi="宋体"/>
                <w:color w:val="000000"/>
                <w:sz w:val="21"/>
              </w:rPr>
              <w:t>三氯乙烷</w:t>
            </w:r>
          </w:p>
        </w:tc>
        <w:tc>
          <w:tcPr>
            <w:tcW w:w="2201" w:type="pct"/>
            <w:vAlign w:val="center"/>
          </w:tcPr>
          <w:p>
            <w:pPr>
              <w:widowControl/>
              <w:adjustRightInd w:val="0"/>
              <w:snapToGrid w:val="0"/>
              <w:jc w:val="center"/>
              <w:rPr>
                <w:color w:val="000000"/>
                <w:kern w:val="0"/>
                <w:sz w:val="21"/>
              </w:rPr>
            </w:pPr>
            <w:r>
              <w:rPr>
                <w:rFonts w:hint="eastAsia"/>
                <w:color w:val="000000"/>
                <w:kern w:val="0"/>
                <w:sz w:val="21"/>
              </w:rPr>
              <w:t>701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11" w:type="pct"/>
            <w:vAlign w:val="center"/>
          </w:tcPr>
          <w:p>
            <w:pPr>
              <w:widowControl/>
              <w:adjustRightInd w:val="0"/>
              <w:snapToGrid w:val="0"/>
              <w:jc w:val="center"/>
              <w:rPr>
                <w:color w:val="000000"/>
                <w:kern w:val="0"/>
                <w:sz w:val="21"/>
              </w:rPr>
            </w:pPr>
            <w:r>
              <w:rPr>
                <w:color w:val="000000"/>
                <w:kern w:val="0"/>
                <w:sz w:val="21"/>
              </w:rPr>
              <w:t>22</w:t>
            </w:r>
          </w:p>
        </w:tc>
        <w:tc>
          <w:tcPr>
            <w:tcW w:w="1988" w:type="pct"/>
            <w:vAlign w:val="center"/>
          </w:tcPr>
          <w:p>
            <w:pPr>
              <w:adjustRightInd w:val="0"/>
              <w:snapToGrid w:val="0"/>
              <w:jc w:val="center"/>
              <w:rPr>
                <w:color w:val="000000"/>
                <w:sz w:val="21"/>
              </w:rPr>
            </w:pPr>
            <w:r>
              <w:rPr>
                <w:color w:val="000000"/>
                <w:sz w:val="21"/>
              </w:rPr>
              <w:t>1,1,2-</w:t>
            </w:r>
            <w:r>
              <w:rPr>
                <w:rFonts w:hAnsi="宋体"/>
                <w:color w:val="000000"/>
                <w:sz w:val="21"/>
              </w:rPr>
              <w:t>三氯乙烷</w:t>
            </w:r>
          </w:p>
        </w:tc>
        <w:tc>
          <w:tcPr>
            <w:tcW w:w="2201" w:type="pct"/>
            <w:vAlign w:val="center"/>
          </w:tcPr>
          <w:p>
            <w:pPr>
              <w:widowControl/>
              <w:adjustRightInd w:val="0"/>
              <w:snapToGrid w:val="0"/>
              <w:jc w:val="center"/>
              <w:rPr>
                <w:color w:val="000000"/>
                <w:kern w:val="0"/>
                <w:sz w:val="21"/>
              </w:rPr>
            </w:pPr>
            <w:r>
              <w:rPr>
                <w:rFonts w:hint="eastAsia"/>
                <w:color w:val="000000"/>
                <w:kern w:val="0"/>
                <w:sz w:val="21"/>
              </w:rPr>
              <w:t>0.6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11" w:type="pct"/>
            <w:vAlign w:val="center"/>
          </w:tcPr>
          <w:p>
            <w:pPr>
              <w:widowControl/>
              <w:adjustRightInd w:val="0"/>
              <w:snapToGrid w:val="0"/>
              <w:jc w:val="center"/>
              <w:rPr>
                <w:color w:val="000000"/>
                <w:kern w:val="0"/>
                <w:sz w:val="21"/>
              </w:rPr>
            </w:pPr>
            <w:r>
              <w:rPr>
                <w:color w:val="000000"/>
                <w:kern w:val="0"/>
                <w:sz w:val="21"/>
              </w:rPr>
              <w:t>23</w:t>
            </w:r>
          </w:p>
        </w:tc>
        <w:tc>
          <w:tcPr>
            <w:tcW w:w="1988" w:type="pct"/>
            <w:vAlign w:val="center"/>
          </w:tcPr>
          <w:p>
            <w:pPr>
              <w:adjustRightInd w:val="0"/>
              <w:snapToGrid w:val="0"/>
              <w:jc w:val="center"/>
              <w:rPr>
                <w:color w:val="000000"/>
                <w:sz w:val="21"/>
              </w:rPr>
            </w:pPr>
            <w:r>
              <w:rPr>
                <w:color w:val="000000"/>
                <w:sz w:val="21"/>
              </w:rPr>
              <w:t>三氯乙烯</w:t>
            </w:r>
          </w:p>
        </w:tc>
        <w:tc>
          <w:tcPr>
            <w:tcW w:w="2201" w:type="pct"/>
            <w:vAlign w:val="center"/>
          </w:tcPr>
          <w:p>
            <w:pPr>
              <w:widowControl/>
              <w:adjustRightInd w:val="0"/>
              <w:snapToGrid w:val="0"/>
              <w:jc w:val="center"/>
              <w:rPr>
                <w:color w:val="000000"/>
                <w:kern w:val="0"/>
                <w:sz w:val="21"/>
              </w:rPr>
            </w:pPr>
            <w:r>
              <w:rPr>
                <w:rFonts w:hint="eastAsia"/>
                <w:color w:val="000000"/>
                <w:kern w:val="0"/>
                <w:sz w:val="21"/>
              </w:rPr>
              <w:t>0.7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11" w:type="pct"/>
            <w:vAlign w:val="center"/>
          </w:tcPr>
          <w:p>
            <w:pPr>
              <w:widowControl/>
              <w:adjustRightInd w:val="0"/>
              <w:snapToGrid w:val="0"/>
              <w:jc w:val="center"/>
              <w:rPr>
                <w:color w:val="000000"/>
                <w:kern w:val="0"/>
                <w:sz w:val="21"/>
              </w:rPr>
            </w:pPr>
            <w:r>
              <w:rPr>
                <w:color w:val="000000"/>
                <w:kern w:val="0"/>
                <w:sz w:val="21"/>
              </w:rPr>
              <w:t>24</w:t>
            </w:r>
          </w:p>
        </w:tc>
        <w:tc>
          <w:tcPr>
            <w:tcW w:w="1988" w:type="pct"/>
            <w:vAlign w:val="center"/>
          </w:tcPr>
          <w:p>
            <w:pPr>
              <w:adjustRightInd w:val="0"/>
              <w:snapToGrid w:val="0"/>
              <w:jc w:val="center"/>
              <w:rPr>
                <w:color w:val="000000"/>
                <w:sz w:val="21"/>
              </w:rPr>
            </w:pPr>
            <w:r>
              <w:rPr>
                <w:color w:val="000000"/>
                <w:sz w:val="21"/>
              </w:rPr>
              <w:t>1,2,3-</w:t>
            </w:r>
            <w:r>
              <w:rPr>
                <w:rFonts w:hAnsi="宋体"/>
                <w:color w:val="000000"/>
                <w:sz w:val="21"/>
              </w:rPr>
              <w:t>三氯丙烷</w:t>
            </w:r>
          </w:p>
        </w:tc>
        <w:tc>
          <w:tcPr>
            <w:tcW w:w="2201" w:type="pct"/>
            <w:vAlign w:val="center"/>
          </w:tcPr>
          <w:p>
            <w:pPr>
              <w:widowControl/>
              <w:adjustRightInd w:val="0"/>
              <w:snapToGrid w:val="0"/>
              <w:jc w:val="center"/>
              <w:rPr>
                <w:color w:val="000000"/>
                <w:kern w:val="0"/>
                <w:sz w:val="21"/>
              </w:rPr>
            </w:pPr>
            <w:r>
              <w:rPr>
                <w:rFonts w:hint="eastAsia"/>
                <w:color w:val="000000"/>
                <w:kern w:val="0"/>
                <w:sz w:val="21"/>
              </w:rPr>
              <w: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11" w:type="pct"/>
            <w:vAlign w:val="center"/>
          </w:tcPr>
          <w:p>
            <w:pPr>
              <w:widowControl/>
              <w:adjustRightInd w:val="0"/>
              <w:snapToGrid w:val="0"/>
              <w:jc w:val="center"/>
              <w:rPr>
                <w:color w:val="000000"/>
                <w:kern w:val="0"/>
                <w:sz w:val="21"/>
              </w:rPr>
            </w:pPr>
            <w:r>
              <w:rPr>
                <w:color w:val="000000"/>
                <w:kern w:val="0"/>
                <w:sz w:val="21"/>
              </w:rPr>
              <w:t>25</w:t>
            </w:r>
          </w:p>
        </w:tc>
        <w:tc>
          <w:tcPr>
            <w:tcW w:w="1988" w:type="pct"/>
            <w:vAlign w:val="center"/>
          </w:tcPr>
          <w:p>
            <w:pPr>
              <w:adjustRightInd w:val="0"/>
              <w:snapToGrid w:val="0"/>
              <w:jc w:val="center"/>
              <w:rPr>
                <w:color w:val="000000"/>
                <w:sz w:val="21"/>
              </w:rPr>
            </w:pPr>
            <w:r>
              <w:rPr>
                <w:color w:val="000000"/>
                <w:sz w:val="21"/>
              </w:rPr>
              <w:t>氯乙烯</w:t>
            </w:r>
          </w:p>
        </w:tc>
        <w:tc>
          <w:tcPr>
            <w:tcW w:w="2201" w:type="pct"/>
            <w:vAlign w:val="center"/>
          </w:tcPr>
          <w:p>
            <w:pPr>
              <w:widowControl/>
              <w:adjustRightInd w:val="0"/>
              <w:snapToGrid w:val="0"/>
              <w:jc w:val="center"/>
              <w:rPr>
                <w:color w:val="000000"/>
                <w:kern w:val="0"/>
                <w:sz w:val="21"/>
              </w:rPr>
            </w:pPr>
            <w:r>
              <w:rPr>
                <w:rFonts w:hint="eastAsia"/>
                <w:color w:val="000000"/>
                <w:kern w:val="0"/>
                <w:sz w:val="21"/>
              </w:rPr>
              <w:t>0.12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11" w:type="pct"/>
            <w:vAlign w:val="center"/>
          </w:tcPr>
          <w:p>
            <w:pPr>
              <w:widowControl/>
              <w:adjustRightInd w:val="0"/>
              <w:snapToGrid w:val="0"/>
              <w:jc w:val="center"/>
              <w:rPr>
                <w:color w:val="000000"/>
                <w:kern w:val="0"/>
                <w:sz w:val="21"/>
              </w:rPr>
            </w:pPr>
            <w:r>
              <w:rPr>
                <w:color w:val="000000"/>
                <w:kern w:val="0"/>
                <w:sz w:val="21"/>
              </w:rPr>
              <w:t>26</w:t>
            </w:r>
          </w:p>
        </w:tc>
        <w:tc>
          <w:tcPr>
            <w:tcW w:w="1988" w:type="pct"/>
            <w:vAlign w:val="center"/>
          </w:tcPr>
          <w:p>
            <w:pPr>
              <w:adjustRightInd w:val="0"/>
              <w:snapToGrid w:val="0"/>
              <w:jc w:val="center"/>
              <w:rPr>
                <w:color w:val="000000"/>
                <w:sz w:val="21"/>
              </w:rPr>
            </w:pPr>
            <w:r>
              <w:rPr>
                <w:color w:val="000000"/>
                <w:sz w:val="21"/>
              </w:rPr>
              <w:t>苯</w:t>
            </w:r>
          </w:p>
        </w:tc>
        <w:tc>
          <w:tcPr>
            <w:tcW w:w="2201" w:type="pct"/>
            <w:vAlign w:val="center"/>
          </w:tcPr>
          <w:p>
            <w:pPr>
              <w:widowControl/>
              <w:adjustRightInd w:val="0"/>
              <w:snapToGrid w:val="0"/>
              <w:jc w:val="center"/>
              <w:rPr>
                <w:color w:val="000000"/>
                <w:kern w:val="0"/>
                <w:sz w:val="21"/>
              </w:rPr>
            </w:pPr>
            <w:r>
              <w:rPr>
                <w:rFonts w:hint="eastAsia"/>
                <w:color w:val="000000"/>
                <w:kern w:val="0"/>
                <w:sz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11" w:type="pct"/>
            <w:vAlign w:val="center"/>
          </w:tcPr>
          <w:p>
            <w:pPr>
              <w:widowControl/>
              <w:adjustRightInd w:val="0"/>
              <w:snapToGrid w:val="0"/>
              <w:jc w:val="center"/>
              <w:rPr>
                <w:color w:val="000000"/>
                <w:kern w:val="0"/>
                <w:sz w:val="21"/>
              </w:rPr>
            </w:pPr>
            <w:r>
              <w:rPr>
                <w:color w:val="000000"/>
                <w:kern w:val="0"/>
                <w:sz w:val="21"/>
              </w:rPr>
              <w:t>27</w:t>
            </w:r>
          </w:p>
        </w:tc>
        <w:tc>
          <w:tcPr>
            <w:tcW w:w="1988" w:type="pct"/>
            <w:vAlign w:val="center"/>
          </w:tcPr>
          <w:p>
            <w:pPr>
              <w:adjustRightInd w:val="0"/>
              <w:snapToGrid w:val="0"/>
              <w:jc w:val="center"/>
              <w:rPr>
                <w:color w:val="000000"/>
                <w:sz w:val="21"/>
              </w:rPr>
            </w:pPr>
            <w:r>
              <w:rPr>
                <w:color w:val="000000"/>
                <w:sz w:val="21"/>
              </w:rPr>
              <w:t>氯苯</w:t>
            </w:r>
          </w:p>
        </w:tc>
        <w:tc>
          <w:tcPr>
            <w:tcW w:w="2201" w:type="pct"/>
            <w:vAlign w:val="center"/>
          </w:tcPr>
          <w:p>
            <w:pPr>
              <w:widowControl/>
              <w:adjustRightInd w:val="0"/>
              <w:snapToGrid w:val="0"/>
              <w:jc w:val="center"/>
              <w:rPr>
                <w:color w:val="000000"/>
                <w:kern w:val="0"/>
                <w:sz w:val="21"/>
              </w:rPr>
            </w:pPr>
            <w:r>
              <w:rPr>
                <w:rFonts w:hint="eastAsia"/>
                <w:color w:val="000000"/>
                <w:kern w:val="0"/>
                <w:sz w:val="21"/>
              </w:rPr>
              <w:t>68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11" w:type="pct"/>
            <w:vAlign w:val="center"/>
          </w:tcPr>
          <w:p>
            <w:pPr>
              <w:widowControl/>
              <w:adjustRightInd w:val="0"/>
              <w:snapToGrid w:val="0"/>
              <w:jc w:val="center"/>
              <w:rPr>
                <w:color w:val="000000"/>
                <w:kern w:val="0"/>
                <w:sz w:val="21"/>
              </w:rPr>
            </w:pPr>
            <w:r>
              <w:rPr>
                <w:color w:val="000000"/>
                <w:kern w:val="0"/>
                <w:sz w:val="21"/>
              </w:rPr>
              <w:t>28</w:t>
            </w:r>
          </w:p>
        </w:tc>
        <w:tc>
          <w:tcPr>
            <w:tcW w:w="1988" w:type="pct"/>
            <w:vAlign w:val="center"/>
          </w:tcPr>
          <w:p>
            <w:pPr>
              <w:adjustRightInd w:val="0"/>
              <w:snapToGrid w:val="0"/>
              <w:jc w:val="center"/>
              <w:rPr>
                <w:color w:val="000000"/>
                <w:sz w:val="21"/>
              </w:rPr>
            </w:pPr>
            <w:r>
              <w:rPr>
                <w:color w:val="000000"/>
                <w:sz w:val="21"/>
              </w:rPr>
              <w:t>1,2-</w:t>
            </w:r>
            <w:r>
              <w:rPr>
                <w:rFonts w:hAnsi="宋体"/>
                <w:color w:val="000000"/>
                <w:sz w:val="21"/>
              </w:rPr>
              <w:t>二氯苯</w:t>
            </w:r>
          </w:p>
        </w:tc>
        <w:tc>
          <w:tcPr>
            <w:tcW w:w="2201" w:type="pct"/>
            <w:vAlign w:val="center"/>
          </w:tcPr>
          <w:p>
            <w:pPr>
              <w:widowControl/>
              <w:adjustRightInd w:val="0"/>
              <w:snapToGrid w:val="0"/>
              <w:jc w:val="center"/>
              <w:rPr>
                <w:color w:val="000000"/>
                <w:kern w:val="0"/>
                <w:sz w:val="21"/>
              </w:rPr>
            </w:pPr>
            <w:r>
              <w:rPr>
                <w:rFonts w:hint="eastAsia"/>
                <w:color w:val="000000"/>
                <w:kern w:val="0"/>
                <w:sz w:val="21"/>
              </w:rPr>
              <w:t>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11" w:type="pct"/>
            <w:vAlign w:val="center"/>
          </w:tcPr>
          <w:p>
            <w:pPr>
              <w:widowControl/>
              <w:adjustRightInd w:val="0"/>
              <w:snapToGrid w:val="0"/>
              <w:jc w:val="center"/>
              <w:rPr>
                <w:color w:val="000000"/>
                <w:kern w:val="0"/>
                <w:sz w:val="21"/>
              </w:rPr>
            </w:pPr>
            <w:r>
              <w:rPr>
                <w:color w:val="000000"/>
                <w:kern w:val="0"/>
                <w:sz w:val="21"/>
              </w:rPr>
              <w:t>29</w:t>
            </w:r>
          </w:p>
        </w:tc>
        <w:tc>
          <w:tcPr>
            <w:tcW w:w="1988" w:type="pct"/>
            <w:vAlign w:val="center"/>
          </w:tcPr>
          <w:p>
            <w:pPr>
              <w:adjustRightInd w:val="0"/>
              <w:snapToGrid w:val="0"/>
              <w:jc w:val="center"/>
              <w:rPr>
                <w:color w:val="000000"/>
                <w:sz w:val="21"/>
              </w:rPr>
            </w:pPr>
            <w:r>
              <w:rPr>
                <w:color w:val="000000"/>
                <w:sz w:val="21"/>
              </w:rPr>
              <w:t>1,4-</w:t>
            </w:r>
            <w:r>
              <w:rPr>
                <w:rFonts w:hAnsi="宋体"/>
                <w:color w:val="000000"/>
                <w:sz w:val="21"/>
              </w:rPr>
              <w:t>二氯苯</w:t>
            </w:r>
          </w:p>
        </w:tc>
        <w:tc>
          <w:tcPr>
            <w:tcW w:w="2201" w:type="pct"/>
            <w:vAlign w:val="center"/>
          </w:tcPr>
          <w:p>
            <w:pPr>
              <w:widowControl/>
              <w:adjustRightInd w:val="0"/>
              <w:snapToGrid w:val="0"/>
              <w:jc w:val="center"/>
              <w:rPr>
                <w:color w:val="000000"/>
                <w:kern w:val="0"/>
                <w:sz w:val="21"/>
              </w:rPr>
            </w:pPr>
            <w:r>
              <w:rPr>
                <w:rFonts w:hint="eastAsia"/>
                <w:color w:val="000000"/>
                <w:kern w:val="0"/>
                <w:sz w:val="21"/>
              </w:rPr>
              <w:t>5.6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11" w:type="pct"/>
            <w:vAlign w:val="center"/>
          </w:tcPr>
          <w:p>
            <w:pPr>
              <w:widowControl/>
              <w:adjustRightInd w:val="0"/>
              <w:snapToGrid w:val="0"/>
              <w:jc w:val="center"/>
              <w:rPr>
                <w:color w:val="000000"/>
                <w:kern w:val="0"/>
                <w:sz w:val="21"/>
              </w:rPr>
            </w:pPr>
            <w:r>
              <w:rPr>
                <w:color w:val="000000"/>
                <w:kern w:val="0"/>
                <w:sz w:val="21"/>
              </w:rPr>
              <w:t>30</w:t>
            </w:r>
          </w:p>
        </w:tc>
        <w:tc>
          <w:tcPr>
            <w:tcW w:w="1988" w:type="pct"/>
            <w:vAlign w:val="center"/>
          </w:tcPr>
          <w:p>
            <w:pPr>
              <w:adjustRightInd w:val="0"/>
              <w:snapToGrid w:val="0"/>
              <w:jc w:val="center"/>
              <w:rPr>
                <w:color w:val="000000"/>
                <w:sz w:val="21"/>
              </w:rPr>
            </w:pPr>
            <w:r>
              <w:rPr>
                <w:color w:val="000000"/>
                <w:sz w:val="21"/>
              </w:rPr>
              <w:t>乙苯</w:t>
            </w:r>
          </w:p>
        </w:tc>
        <w:tc>
          <w:tcPr>
            <w:tcW w:w="2201" w:type="pct"/>
            <w:vAlign w:val="center"/>
          </w:tcPr>
          <w:p>
            <w:pPr>
              <w:widowControl/>
              <w:adjustRightInd w:val="0"/>
              <w:snapToGrid w:val="0"/>
              <w:jc w:val="center"/>
              <w:rPr>
                <w:color w:val="000000"/>
                <w:kern w:val="0"/>
                <w:sz w:val="21"/>
              </w:rPr>
            </w:pPr>
            <w:r>
              <w:rPr>
                <w:rFonts w:hint="eastAsia"/>
                <w:color w:val="000000"/>
                <w:kern w:val="0"/>
                <w:sz w:val="21"/>
              </w:rPr>
              <w:t>7.2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11" w:type="pct"/>
            <w:vAlign w:val="center"/>
          </w:tcPr>
          <w:p>
            <w:pPr>
              <w:widowControl/>
              <w:adjustRightInd w:val="0"/>
              <w:snapToGrid w:val="0"/>
              <w:jc w:val="center"/>
              <w:rPr>
                <w:color w:val="000000"/>
                <w:kern w:val="0"/>
                <w:sz w:val="21"/>
              </w:rPr>
            </w:pPr>
            <w:r>
              <w:rPr>
                <w:color w:val="000000"/>
                <w:kern w:val="0"/>
                <w:sz w:val="21"/>
              </w:rPr>
              <w:t>31</w:t>
            </w:r>
          </w:p>
        </w:tc>
        <w:tc>
          <w:tcPr>
            <w:tcW w:w="1988" w:type="pct"/>
            <w:vAlign w:val="center"/>
          </w:tcPr>
          <w:p>
            <w:pPr>
              <w:adjustRightInd w:val="0"/>
              <w:snapToGrid w:val="0"/>
              <w:jc w:val="center"/>
              <w:rPr>
                <w:color w:val="000000"/>
                <w:sz w:val="21"/>
              </w:rPr>
            </w:pPr>
            <w:r>
              <w:rPr>
                <w:color w:val="000000"/>
                <w:sz w:val="21"/>
              </w:rPr>
              <w:t>苯乙烯</w:t>
            </w:r>
          </w:p>
        </w:tc>
        <w:tc>
          <w:tcPr>
            <w:tcW w:w="2201" w:type="pct"/>
            <w:vAlign w:val="center"/>
          </w:tcPr>
          <w:p>
            <w:pPr>
              <w:widowControl/>
              <w:adjustRightInd w:val="0"/>
              <w:snapToGrid w:val="0"/>
              <w:jc w:val="center"/>
              <w:rPr>
                <w:color w:val="000000"/>
                <w:kern w:val="0"/>
                <w:sz w:val="21"/>
              </w:rPr>
            </w:pPr>
            <w:r>
              <w:rPr>
                <w:rFonts w:hint="eastAsia"/>
                <w:color w:val="000000"/>
                <w:kern w:val="0"/>
                <w:sz w:val="21"/>
              </w:rPr>
              <w:t>1290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11" w:type="pct"/>
            <w:vAlign w:val="center"/>
          </w:tcPr>
          <w:p>
            <w:pPr>
              <w:widowControl/>
              <w:adjustRightInd w:val="0"/>
              <w:snapToGrid w:val="0"/>
              <w:jc w:val="center"/>
              <w:rPr>
                <w:color w:val="000000"/>
                <w:kern w:val="0"/>
                <w:sz w:val="21"/>
              </w:rPr>
            </w:pPr>
            <w:r>
              <w:rPr>
                <w:color w:val="000000"/>
                <w:kern w:val="0"/>
                <w:sz w:val="21"/>
              </w:rPr>
              <w:t>32</w:t>
            </w:r>
          </w:p>
        </w:tc>
        <w:tc>
          <w:tcPr>
            <w:tcW w:w="1988" w:type="pct"/>
            <w:vAlign w:val="center"/>
          </w:tcPr>
          <w:p>
            <w:pPr>
              <w:adjustRightInd w:val="0"/>
              <w:snapToGrid w:val="0"/>
              <w:jc w:val="center"/>
              <w:rPr>
                <w:color w:val="000000"/>
                <w:sz w:val="21"/>
              </w:rPr>
            </w:pPr>
            <w:r>
              <w:rPr>
                <w:color w:val="000000"/>
                <w:sz w:val="21"/>
              </w:rPr>
              <w:t>甲苯</w:t>
            </w:r>
          </w:p>
        </w:tc>
        <w:tc>
          <w:tcPr>
            <w:tcW w:w="2201" w:type="pct"/>
            <w:vAlign w:val="center"/>
          </w:tcPr>
          <w:p>
            <w:pPr>
              <w:widowControl/>
              <w:adjustRightInd w:val="0"/>
              <w:snapToGrid w:val="0"/>
              <w:jc w:val="center"/>
              <w:rPr>
                <w:color w:val="000000"/>
                <w:kern w:val="0"/>
                <w:sz w:val="21"/>
              </w:rPr>
            </w:pPr>
            <w:r>
              <w:rPr>
                <w:rFonts w:hint="eastAsia"/>
                <w:color w:val="000000"/>
                <w:kern w:val="0"/>
                <w:sz w:val="21"/>
              </w:rPr>
              <w:t>1200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11" w:type="pct"/>
            <w:vAlign w:val="center"/>
          </w:tcPr>
          <w:p>
            <w:pPr>
              <w:widowControl/>
              <w:adjustRightInd w:val="0"/>
              <w:snapToGrid w:val="0"/>
              <w:jc w:val="center"/>
              <w:rPr>
                <w:color w:val="000000"/>
                <w:kern w:val="0"/>
                <w:sz w:val="21"/>
              </w:rPr>
            </w:pPr>
            <w:r>
              <w:rPr>
                <w:color w:val="000000"/>
                <w:kern w:val="0"/>
                <w:sz w:val="21"/>
              </w:rPr>
              <w:t>33</w:t>
            </w:r>
          </w:p>
        </w:tc>
        <w:tc>
          <w:tcPr>
            <w:tcW w:w="1988" w:type="pct"/>
            <w:vAlign w:val="center"/>
          </w:tcPr>
          <w:p>
            <w:pPr>
              <w:adjustRightInd w:val="0"/>
              <w:snapToGrid w:val="0"/>
              <w:jc w:val="center"/>
              <w:rPr>
                <w:color w:val="000000"/>
                <w:sz w:val="21"/>
              </w:rPr>
            </w:pPr>
            <w:r>
              <w:rPr>
                <w:color w:val="000000"/>
                <w:sz w:val="21"/>
              </w:rPr>
              <w:t>间二甲苯+对二甲苯</w:t>
            </w:r>
          </w:p>
        </w:tc>
        <w:tc>
          <w:tcPr>
            <w:tcW w:w="2201" w:type="pct"/>
            <w:vAlign w:val="center"/>
          </w:tcPr>
          <w:p>
            <w:pPr>
              <w:widowControl/>
              <w:adjustRightInd w:val="0"/>
              <w:snapToGrid w:val="0"/>
              <w:jc w:val="center"/>
              <w:rPr>
                <w:color w:val="000000"/>
                <w:kern w:val="0"/>
                <w:sz w:val="21"/>
              </w:rPr>
            </w:pPr>
            <w:r>
              <w:rPr>
                <w:rFonts w:hint="eastAsia"/>
                <w:color w:val="000000"/>
                <w:kern w:val="0"/>
                <w:sz w:val="21"/>
              </w:rPr>
              <w:t>163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11" w:type="pct"/>
            <w:vAlign w:val="center"/>
          </w:tcPr>
          <w:p>
            <w:pPr>
              <w:widowControl/>
              <w:adjustRightInd w:val="0"/>
              <w:snapToGrid w:val="0"/>
              <w:jc w:val="center"/>
              <w:rPr>
                <w:color w:val="000000"/>
                <w:kern w:val="0"/>
                <w:sz w:val="21"/>
              </w:rPr>
            </w:pPr>
            <w:r>
              <w:rPr>
                <w:color w:val="000000"/>
                <w:kern w:val="0"/>
                <w:sz w:val="21"/>
              </w:rPr>
              <w:t>34</w:t>
            </w:r>
          </w:p>
        </w:tc>
        <w:tc>
          <w:tcPr>
            <w:tcW w:w="1988" w:type="pct"/>
            <w:vAlign w:val="center"/>
          </w:tcPr>
          <w:p>
            <w:pPr>
              <w:adjustRightInd w:val="0"/>
              <w:snapToGrid w:val="0"/>
              <w:jc w:val="center"/>
              <w:rPr>
                <w:color w:val="000000"/>
                <w:sz w:val="21"/>
              </w:rPr>
            </w:pPr>
            <w:r>
              <w:rPr>
                <w:color w:val="000000"/>
                <w:sz w:val="21"/>
              </w:rPr>
              <w:t>邻二甲苯</w:t>
            </w:r>
          </w:p>
        </w:tc>
        <w:tc>
          <w:tcPr>
            <w:tcW w:w="2201" w:type="pct"/>
            <w:vAlign w:val="center"/>
          </w:tcPr>
          <w:p>
            <w:pPr>
              <w:widowControl/>
              <w:adjustRightInd w:val="0"/>
              <w:snapToGrid w:val="0"/>
              <w:jc w:val="center"/>
              <w:rPr>
                <w:color w:val="000000"/>
                <w:kern w:val="0"/>
                <w:sz w:val="21"/>
              </w:rPr>
            </w:pPr>
            <w:r>
              <w:rPr>
                <w:rFonts w:hint="eastAsia"/>
                <w:color w:val="000000"/>
                <w:kern w:val="0"/>
                <w:sz w:val="21"/>
              </w:rPr>
              <w:t>222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11" w:type="pct"/>
            <w:vAlign w:val="center"/>
          </w:tcPr>
          <w:p>
            <w:pPr>
              <w:widowControl/>
              <w:adjustRightInd w:val="0"/>
              <w:snapToGrid w:val="0"/>
              <w:jc w:val="center"/>
              <w:rPr>
                <w:color w:val="000000"/>
                <w:kern w:val="0"/>
                <w:sz w:val="21"/>
              </w:rPr>
            </w:pPr>
            <w:r>
              <w:rPr>
                <w:color w:val="000000"/>
                <w:kern w:val="0"/>
                <w:sz w:val="21"/>
              </w:rPr>
              <w:t>35</w:t>
            </w:r>
          </w:p>
        </w:tc>
        <w:tc>
          <w:tcPr>
            <w:tcW w:w="1988" w:type="pct"/>
            <w:vAlign w:val="center"/>
          </w:tcPr>
          <w:p>
            <w:pPr>
              <w:adjustRightInd w:val="0"/>
              <w:snapToGrid w:val="0"/>
              <w:jc w:val="center"/>
              <w:rPr>
                <w:color w:val="000000"/>
                <w:sz w:val="21"/>
              </w:rPr>
            </w:pPr>
            <w:r>
              <w:rPr>
                <w:color w:val="000000"/>
                <w:sz w:val="21"/>
              </w:rPr>
              <w:t>硝基苯</w:t>
            </w:r>
          </w:p>
        </w:tc>
        <w:tc>
          <w:tcPr>
            <w:tcW w:w="2201" w:type="pct"/>
            <w:vAlign w:val="center"/>
          </w:tcPr>
          <w:p>
            <w:pPr>
              <w:widowControl/>
              <w:adjustRightInd w:val="0"/>
              <w:snapToGrid w:val="0"/>
              <w:jc w:val="center"/>
              <w:rPr>
                <w:color w:val="000000"/>
                <w:kern w:val="0"/>
                <w:sz w:val="21"/>
              </w:rPr>
            </w:pPr>
            <w:r>
              <w:rPr>
                <w:rFonts w:hint="eastAsia"/>
                <w:color w:val="000000"/>
                <w:kern w:val="0"/>
                <w:sz w:val="21"/>
              </w:rPr>
              <w:t>34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11" w:type="pct"/>
            <w:vAlign w:val="center"/>
          </w:tcPr>
          <w:p>
            <w:pPr>
              <w:widowControl/>
              <w:adjustRightInd w:val="0"/>
              <w:snapToGrid w:val="0"/>
              <w:jc w:val="center"/>
              <w:rPr>
                <w:color w:val="000000"/>
                <w:kern w:val="0"/>
                <w:sz w:val="21"/>
              </w:rPr>
            </w:pPr>
            <w:r>
              <w:rPr>
                <w:color w:val="000000"/>
                <w:kern w:val="0"/>
                <w:sz w:val="21"/>
              </w:rPr>
              <w:t>36</w:t>
            </w:r>
          </w:p>
        </w:tc>
        <w:tc>
          <w:tcPr>
            <w:tcW w:w="1988" w:type="pct"/>
            <w:vAlign w:val="center"/>
          </w:tcPr>
          <w:p>
            <w:pPr>
              <w:adjustRightInd w:val="0"/>
              <w:snapToGrid w:val="0"/>
              <w:jc w:val="center"/>
              <w:rPr>
                <w:color w:val="000000"/>
                <w:sz w:val="21"/>
              </w:rPr>
            </w:pPr>
            <w:r>
              <w:rPr>
                <w:color w:val="000000"/>
                <w:sz w:val="21"/>
              </w:rPr>
              <w:t>苯胺</w:t>
            </w:r>
          </w:p>
        </w:tc>
        <w:tc>
          <w:tcPr>
            <w:tcW w:w="2201" w:type="pct"/>
            <w:vAlign w:val="center"/>
          </w:tcPr>
          <w:p>
            <w:pPr>
              <w:widowControl/>
              <w:adjustRightInd w:val="0"/>
              <w:snapToGrid w:val="0"/>
              <w:jc w:val="center"/>
              <w:rPr>
                <w:color w:val="000000"/>
                <w:kern w:val="0"/>
                <w:sz w:val="21"/>
              </w:rPr>
            </w:pPr>
            <w:r>
              <w:rPr>
                <w:rFonts w:hint="eastAsia"/>
                <w:color w:val="000000"/>
                <w:kern w:val="0"/>
                <w:sz w:val="21"/>
              </w:rPr>
              <w:t>92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11" w:type="pct"/>
            <w:vAlign w:val="center"/>
          </w:tcPr>
          <w:p>
            <w:pPr>
              <w:widowControl/>
              <w:adjustRightInd w:val="0"/>
              <w:snapToGrid w:val="0"/>
              <w:jc w:val="center"/>
              <w:rPr>
                <w:color w:val="000000"/>
                <w:kern w:val="0"/>
                <w:sz w:val="21"/>
              </w:rPr>
            </w:pPr>
            <w:r>
              <w:rPr>
                <w:color w:val="000000"/>
                <w:kern w:val="0"/>
                <w:sz w:val="21"/>
              </w:rPr>
              <w:t>37</w:t>
            </w:r>
          </w:p>
        </w:tc>
        <w:tc>
          <w:tcPr>
            <w:tcW w:w="1988" w:type="pct"/>
            <w:vAlign w:val="center"/>
          </w:tcPr>
          <w:p>
            <w:pPr>
              <w:adjustRightInd w:val="0"/>
              <w:snapToGrid w:val="0"/>
              <w:jc w:val="center"/>
              <w:rPr>
                <w:color w:val="000000"/>
                <w:sz w:val="21"/>
              </w:rPr>
            </w:pPr>
            <w:r>
              <w:rPr>
                <w:color w:val="000000"/>
                <w:sz w:val="21"/>
              </w:rPr>
              <w:t>2-氯酚</w:t>
            </w:r>
          </w:p>
        </w:tc>
        <w:tc>
          <w:tcPr>
            <w:tcW w:w="2201" w:type="pct"/>
            <w:vAlign w:val="center"/>
          </w:tcPr>
          <w:p>
            <w:pPr>
              <w:widowControl/>
              <w:adjustRightInd w:val="0"/>
              <w:snapToGrid w:val="0"/>
              <w:jc w:val="center"/>
              <w:rPr>
                <w:color w:val="000000"/>
                <w:kern w:val="0"/>
                <w:sz w:val="21"/>
              </w:rPr>
            </w:pPr>
            <w:r>
              <w:rPr>
                <w:rFonts w:hint="eastAsia"/>
                <w:color w:val="000000"/>
                <w:kern w:val="0"/>
                <w:sz w:val="21"/>
              </w:rPr>
              <w:t>250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11" w:type="pct"/>
            <w:vAlign w:val="center"/>
          </w:tcPr>
          <w:p>
            <w:pPr>
              <w:widowControl/>
              <w:adjustRightInd w:val="0"/>
              <w:snapToGrid w:val="0"/>
              <w:jc w:val="center"/>
              <w:rPr>
                <w:color w:val="000000"/>
                <w:kern w:val="0"/>
                <w:sz w:val="21"/>
              </w:rPr>
            </w:pPr>
            <w:r>
              <w:rPr>
                <w:color w:val="000000"/>
                <w:kern w:val="0"/>
                <w:sz w:val="21"/>
              </w:rPr>
              <w:t>38</w:t>
            </w:r>
          </w:p>
        </w:tc>
        <w:tc>
          <w:tcPr>
            <w:tcW w:w="1988" w:type="pct"/>
            <w:vAlign w:val="center"/>
          </w:tcPr>
          <w:p>
            <w:pPr>
              <w:adjustRightInd w:val="0"/>
              <w:snapToGrid w:val="0"/>
              <w:jc w:val="center"/>
              <w:rPr>
                <w:color w:val="000000"/>
                <w:sz w:val="21"/>
              </w:rPr>
            </w:pPr>
            <w:r>
              <w:rPr>
                <w:color w:val="000000"/>
                <w:sz w:val="21"/>
              </w:rPr>
              <w:t>苯并[a]蒽</w:t>
            </w:r>
          </w:p>
        </w:tc>
        <w:tc>
          <w:tcPr>
            <w:tcW w:w="2201" w:type="pct"/>
            <w:vAlign w:val="center"/>
          </w:tcPr>
          <w:p>
            <w:pPr>
              <w:widowControl/>
              <w:adjustRightInd w:val="0"/>
              <w:snapToGrid w:val="0"/>
              <w:jc w:val="center"/>
              <w:rPr>
                <w:color w:val="000000"/>
                <w:kern w:val="0"/>
                <w:sz w:val="21"/>
              </w:rPr>
            </w:pPr>
            <w:r>
              <w:rPr>
                <w:rFonts w:hint="eastAsia"/>
                <w:color w:val="000000"/>
                <w:kern w:val="0"/>
                <w:sz w:val="21"/>
              </w:rPr>
              <w:t>5.5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11" w:type="pct"/>
            <w:vAlign w:val="center"/>
          </w:tcPr>
          <w:p>
            <w:pPr>
              <w:widowControl/>
              <w:adjustRightInd w:val="0"/>
              <w:snapToGrid w:val="0"/>
              <w:jc w:val="center"/>
              <w:rPr>
                <w:color w:val="000000"/>
                <w:kern w:val="0"/>
                <w:sz w:val="21"/>
              </w:rPr>
            </w:pPr>
            <w:r>
              <w:rPr>
                <w:color w:val="000000"/>
                <w:kern w:val="0"/>
                <w:sz w:val="21"/>
              </w:rPr>
              <w:t>39</w:t>
            </w:r>
          </w:p>
        </w:tc>
        <w:tc>
          <w:tcPr>
            <w:tcW w:w="1988" w:type="pct"/>
            <w:vAlign w:val="center"/>
          </w:tcPr>
          <w:p>
            <w:pPr>
              <w:adjustRightInd w:val="0"/>
              <w:snapToGrid w:val="0"/>
              <w:jc w:val="center"/>
              <w:rPr>
                <w:color w:val="000000"/>
                <w:sz w:val="21"/>
              </w:rPr>
            </w:pPr>
            <w:r>
              <w:rPr>
                <w:color w:val="000000"/>
                <w:sz w:val="21"/>
              </w:rPr>
              <w:t>苯并[a]芘</w:t>
            </w:r>
          </w:p>
        </w:tc>
        <w:tc>
          <w:tcPr>
            <w:tcW w:w="2201" w:type="pct"/>
            <w:vAlign w:val="center"/>
          </w:tcPr>
          <w:p>
            <w:pPr>
              <w:widowControl/>
              <w:adjustRightInd w:val="0"/>
              <w:snapToGrid w:val="0"/>
              <w:jc w:val="center"/>
              <w:rPr>
                <w:color w:val="000000"/>
                <w:kern w:val="0"/>
                <w:sz w:val="21"/>
              </w:rPr>
            </w:pPr>
            <w:r>
              <w:rPr>
                <w:rFonts w:hint="eastAsia"/>
                <w:color w:val="000000"/>
                <w:kern w:val="0"/>
                <w:sz w:val="21"/>
              </w:rPr>
              <w:t>0.55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11" w:type="pct"/>
            <w:vAlign w:val="center"/>
          </w:tcPr>
          <w:p>
            <w:pPr>
              <w:widowControl/>
              <w:adjustRightInd w:val="0"/>
              <w:snapToGrid w:val="0"/>
              <w:jc w:val="center"/>
              <w:rPr>
                <w:color w:val="000000"/>
                <w:kern w:val="0"/>
                <w:sz w:val="21"/>
              </w:rPr>
            </w:pPr>
            <w:r>
              <w:rPr>
                <w:color w:val="000000"/>
                <w:kern w:val="0"/>
                <w:sz w:val="21"/>
              </w:rPr>
              <w:t>40</w:t>
            </w:r>
          </w:p>
        </w:tc>
        <w:tc>
          <w:tcPr>
            <w:tcW w:w="1988" w:type="pct"/>
            <w:vAlign w:val="center"/>
          </w:tcPr>
          <w:p>
            <w:pPr>
              <w:adjustRightInd w:val="0"/>
              <w:snapToGrid w:val="0"/>
              <w:jc w:val="center"/>
              <w:rPr>
                <w:color w:val="000000"/>
                <w:sz w:val="21"/>
              </w:rPr>
            </w:pPr>
            <w:r>
              <w:rPr>
                <w:color w:val="000000"/>
                <w:sz w:val="21"/>
              </w:rPr>
              <w:t>苯并[b]荧蒽</w:t>
            </w:r>
          </w:p>
        </w:tc>
        <w:tc>
          <w:tcPr>
            <w:tcW w:w="2201" w:type="pct"/>
            <w:vAlign w:val="center"/>
          </w:tcPr>
          <w:p>
            <w:pPr>
              <w:widowControl/>
              <w:adjustRightInd w:val="0"/>
              <w:snapToGrid w:val="0"/>
              <w:jc w:val="center"/>
              <w:rPr>
                <w:color w:val="000000"/>
                <w:kern w:val="0"/>
                <w:sz w:val="21"/>
              </w:rPr>
            </w:pPr>
            <w:r>
              <w:rPr>
                <w:rFonts w:hint="eastAsia"/>
                <w:color w:val="000000"/>
                <w:kern w:val="0"/>
                <w:sz w:val="21"/>
              </w:rPr>
              <w:t>5.5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11" w:type="pct"/>
            <w:vAlign w:val="center"/>
          </w:tcPr>
          <w:p>
            <w:pPr>
              <w:widowControl/>
              <w:adjustRightInd w:val="0"/>
              <w:snapToGrid w:val="0"/>
              <w:jc w:val="center"/>
              <w:rPr>
                <w:color w:val="000000"/>
                <w:kern w:val="0"/>
                <w:sz w:val="21"/>
              </w:rPr>
            </w:pPr>
            <w:r>
              <w:rPr>
                <w:color w:val="000000"/>
                <w:kern w:val="0"/>
                <w:sz w:val="21"/>
              </w:rPr>
              <w:t>41</w:t>
            </w:r>
          </w:p>
        </w:tc>
        <w:tc>
          <w:tcPr>
            <w:tcW w:w="1988" w:type="pct"/>
            <w:vAlign w:val="center"/>
          </w:tcPr>
          <w:p>
            <w:pPr>
              <w:adjustRightInd w:val="0"/>
              <w:snapToGrid w:val="0"/>
              <w:jc w:val="center"/>
              <w:rPr>
                <w:color w:val="000000"/>
                <w:sz w:val="21"/>
              </w:rPr>
            </w:pPr>
            <w:r>
              <w:rPr>
                <w:color w:val="000000"/>
                <w:sz w:val="21"/>
              </w:rPr>
              <w:t>苯并[k]荧蒽</w:t>
            </w:r>
          </w:p>
        </w:tc>
        <w:tc>
          <w:tcPr>
            <w:tcW w:w="2201" w:type="pct"/>
            <w:vAlign w:val="center"/>
          </w:tcPr>
          <w:p>
            <w:pPr>
              <w:widowControl/>
              <w:adjustRightInd w:val="0"/>
              <w:snapToGrid w:val="0"/>
              <w:jc w:val="center"/>
              <w:rPr>
                <w:color w:val="000000"/>
                <w:kern w:val="0"/>
                <w:sz w:val="21"/>
              </w:rPr>
            </w:pPr>
            <w:r>
              <w:rPr>
                <w:rFonts w:hint="eastAsia"/>
                <w:color w:val="000000"/>
                <w:kern w:val="0"/>
                <w:sz w:val="21"/>
              </w:rPr>
              <w:t>55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11" w:type="pct"/>
            <w:vAlign w:val="center"/>
          </w:tcPr>
          <w:p>
            <w:pPr>
              <w:widowControl/>
              <w:adjustRightInd w:val="0"/>
              <w:snapToGrid w:val="0"/>
              <w:jc w:val="center"/>
              <w:rPr>
                <w:color w:val="000000"/>
                <w:kern w:val="0"/>
                <w:sz w:val="21"/>
              </w:rPr>
            </w:pPr>
            <w:r>
              <w:rPr>
                <w:color w:val="000000"/>
                <w:kern w:val="0"/>
                <w:sz w:val="21"/>
              </w:rPr>
              <w:t>42</w:t>
            </w:r>
          </w:p>
        </w:tc>
        <w:tc>
          <w:tcPr>
            <w:tcW w:w="1988" w:type="pct"/>
            <w:vAlign w:val="center"/>
          </w:tcPr>
          <w:p>
            <w:pPr>
              <w:adjustRightInd w:val="0"/>
              <w:snapToGrid w:val="0"/>
              <w:jc w:val="center"/>
              <w:rPr>
                <w:color w:val="000000"/>
                <w:sz w:val="21"/>
              </w:rPr>
            </w:pPr>
            <w:r>
              <w:rPr>
                <w:color w:val="000000"/>
                <w:sz w:val="21"/>
              </w:rPr>
              <w:t>䓛</w:t>
            </w:r>
          </w:p>
        </w:tc>
        <w:tc>
          <w:tcPr>
            <w:tcW w:w="2201" w:type="pct"/>
            <w:vAlign w:val="center"/>
          </w:tcPr>
          <w:p>
            <w:pPr>
              <w:widowControl/>
              <w:adjustRightInd w:val="0"/>
              <w:snapToGrid w:val="0"/>
              <w:jc w:val="center"/>
              <w:rPr>
                <w:color w:val="000000"/>
                <w:kern w:val="0"/>
                <w:sz w:val="21"/>
              </w:rPr>
            </w:pPr>
            <w:r>
              <w:rPr>
                <w:rFonts w:hint="eastAsia"/>
                <w:color w:val="000000"/>
                <w:kern w:val="0"/>
                <w:sz w:val="21"/>
              </w:rPr>
              <w:t>490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11" w:type="pct"/>
            <w:vAlign w:val="center"/>
          </w:tcPr>
          <w:p>
            <w:pPr>
              <w:widowControl/>
              <w:adjustRightInd w:val="0"/>
              <w:snapToGrid w:val="0"/>
              <w:jc w:val="center"/>
              <w:rPr>
                <w:color w:val="000000"/>
                <w:kern w:val="0"/>
                <w:sz w:val="21"/>
              </w:rPr>
            </w:pPr>
            <w:r>
              <w:rPr>
                <w:color w:val="000000"/>
                <w:kern w:val="0"/>
                <w:sz w:val="21"/>
              </w:rPr>
              <w:t>43</w:t>
            </w:r>
          </w:p>
        </w:tc>
        <w:tc>
          <w:tcPr>
            <w:tcW w:w="1988" w:type="pct"/>
            <w:vAlign w:val="center"/>
          </w:tcPr>
          <w:p>
            <w:pPr>
              <w:adjustRightInd w:val="0"/>
              <w:snapToGrid w:val="0"/>
              <w:jc w:val="center"/>
              <w:rPr>
                <w:color w:val="000000"/>
                <w:sz w:val="21"/>
              </w:rPr>
            </w:pPr>
            <w:r>
              <w:rPr>
                <w:color w:val="000000"/>
                <w:sz w:val="21"/>
              </w:rPr>
              <w:t>二苯并[a,h]蒽</w:t>
            </w:r>
          </w:p>
        </w:tc>
        <w:tc>
          <w:tcPr>
            <w:tcW w:w="2201" w:type="pct"/>
            <w:vAlign w:val="center"/>
          </w:tcPr>
          <w:p>
            <w:pPr>
              <w:widowControl/>
              <w:adjustRightInd w:val="0"/>
              <w:snapToGrid w:val="0"/>
              <w:jc w:val="center"/>
              <w:rPr>
                <w:color w:val="000000"/>
                <w:kern w:val="0"/>
                <w:sz w:val="21"/>
              </w:rPr>
            </w:pPr>
            <w:r>
              <w:rPr>
                <w:rFonts w:hint="eastAsia"/>
                <w:color w:val="000000"/>
                <w:kern w:val="0"/>
                <w:sz w:val="21"/>
              </w:rPr>
              <w:t>0.55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11" w:type="pct"/>
            <w:vAlign w:val="center"/>
          </w:tcPr>
          <w:p>
            <w:pPr>
              <w:widowControl/>
              <w:adjustRightInd w:val="0"/>
              <w:snapToGrid w:val="0"/>
              <w:jc w:val="center"/>
              <w:rPr>
                <w:color w:val="000000"/>
                <w:kern w:val="0"/>
                <w:sz w:val="21"/>
              </w:rPr>
            </w:pPr>
            <w:r>
              <w:rPr>
                <w:color w:val="000000"/>
                <w:kern w:val="0"/>
                <w:sz w:val="21"/>
              </w:rPr>
              <w:t>44</w:t>
            </w:r>
          </w:p>
        </w:tc>
        <w:tc>
          <w:tcPr>
            <w:tcW w:w="1988" w:type="pct"/>
            <w:vAlign w:val="center"/>
          </w:tcPr>
          <w:p>
            <w:pPr>
              <w:adjustRightInd w:val="0"/>
              <w:snapToGrid w:val="0"/>
              <w:jc w:val="center"/>
              <w:rPr>
                <w:color w:val="000000"/>
                <w:sz w:val="21"/>
              </w:rPr>
            </w:pPr>
            <w:r>
              <w:rPr>
                <w:color w:val="000000"/>
                <w:sz w:val="21"/>
              </w:rPr>
              <w:t>茚并[1,2,3-cd]芘</w:t>
            </w:r>
          </w:p>
        </w:tc>
        <w:tc>
          <w:tcPr>
            <w:tcW w:w="2201" w:type="pct"/>
            <w:vAlign w:val="center"/>
          </w:tcPr>
          <w:p>
            <w:pPr>
              <w:widowControl/>
              <w:adjustRightInd w:val="0"/>
              <w:snapToGrid w:val="0"/>
              <w:jc w:val="center"/>
              <w:rPr>
                <w:color w:val="000000"/>
                <w:kern w:val="0"/>
                <w:sz w:val="21"/>
              </w:rPr>
            </w:pPr>
            <w:r>
              <w:rPr>
                <w:rFonts w:hint="eastAsia"/>
                <w:color w:val="000000"/>
                <w:kern w:val="0"/>
                <w:sz w:val="21"/>
              </w:rPr>
              <w:t>5.5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11" w:type="pct"/>
            <w:vAlign w:val="center"/>
          </w:tcPr>
          <w:p>
            <w:pPr>
              <w:widowControl/>
              <w:adjustRightInd w:val="0"/>
              <w:snapToGrid w:val="0"/>
              <w:jc w:val="center"/>
              <w:rPr>
                <w:color w:val="000000"/>
                <w:kern w:val="0"/>
                <w:sz w:val="21"/>
              </w:rPr>
            </w:pPr>
            <w:r>
              <w:rPr>
                <w:color w:val="000000"/>
                <w:kern w:val="0"/>
                <w:sz w:val="21"/>
              </w:rPr>
              <w:t>45</w:t>
            </w:r>
          </w:p>
        </w:tc>
        <w:tc>
          <w:tcPr>
            <w:tcW w:w="1988" w:type="pct"/>
            <w:vAlign w:val="center"/>
          </w:tcPr>
          <w:p>
            <w:pPr>
              <w:adjustRightInd w:val="0"/>
              <w:snapToGrid w:val="0"/>
              <w:jc w:val="center"/>
              <w:rPr>
                <w:color w:val="000000"/>
                <w:sz w:val="21"/>
              </w:rPr>
            </w:pPr>
            <w:r>
              <w:rPr>
                <w:color w:val="000000"/>
                <w:sz w:val="21"/>
              </w:rPr>
              <w:t>萘</w:t>
            </w:r>
          </w:p>
        </w:tc>
        <w:tc>
          <w:tcPr>
            <w:tcW w:w="2201" w:type="pct"/>
            <w:vAlign w:val="center"/>
          </w:tcPr>
          <w:p>
            <w:pPr>
              <w:widowControl/>
              <w:adjustRightInd w:val="0"/>
              <w:snapToGrid w:val="0"/>
              <w:jc w:val="center"/>
              <w:rPr>
                <w:color w:val="000000"/>
                <w:kern w:val="0"/>
                <w:sz w:val="21"/>
              </w:rPr>
            </w:pPr>
            <w:r>
              <w:rPr>
                <w:rFonts w:hint="eastAsia"/>
                <w:color w:val="000000"/>
                <w:kern w:val="0"/>
                <w:sz w:val="21"/>
              </w:rPr>
              <w:t>25</w:t>
            </w:r>
          </w:p>
        </w:tc>
      </w:tr>
    </w:tbl>
    <w:p>
      <w:pPr>
        <w:pStyle w:val="5"/>
        <w:rPr>
          <w:color w:val="000000" w:themeColor="text1"/>
        </w:rPr>
      </w:pPr>
      <w:r>
        <w:rPr>
          <w:rFonts w:hint="eastAsia"/>
          <w:color w:val="000000" w:themeColor="text1"/>
        </w:rPr>
        <w:t>污染物排放标准</w:t>
      </w:r>
      <w:bookmarkEnd w:id="83"/>
    </w:p>
    <w:p>
      <w:pPr>
        <w:pStyle w:val="56"/>
        <w:adjustRightInd w:val="0"/>
        <w:snapToGrid w:val="0"/>
        <w:rPr>
          <w:color w:val="000000" w:themeColor="text1"/>
        </w:rPr>
      </w:pPr>
      <w:r>
        <w:rPr>
          <w:rFonts w:hint="eastAsia"/>
          <w:color w:val="000000" w:themeColor="text1"/>
        </w:rPr>
        <w:t>废气</w:t>
      </w:r>
    </w:p>
    <w:p>
      <w:pPr>
        <w:spacing w:line="360" w:lineRule="auto"/>
        <w:ind w:firstLine="480" w:firstLineChars="200"/>
        <w:rPr>
          <w:rFonts w:cs="Times New Roman"/>
        </w:rPr>
      </w:pPr>
      <w:r>
        <w:rPr>
          <w:rFonts w:hint="eastAsia"/>
        </w:rPr>
        <w:t>大气污染因子</w:t>
      </w:r>
      <w:r>
        <w:t>执行《大气污染物综合排放标准》（GB16297-1996）中的二级标准及</w:t>
      </w:r>
      <w:r>
        <w:rPr>
          <w:rFonts w:hint="eastAsia"/>
        </w:rPr>
        <w:t>无组织排放</w:t>
      </w:r>
      <w:r>
        <w:t>标准；</w:t>
      </w:r>
      <w:r>
        <w:rPr>
          <w:rFonts w:hint="eastAsia"/>
        </w:rPr>
        <w:t>食堂</w:t>
      </w:r>
      <w:r>
        <w:t>油烟废气执行《饮食业油烟排放标准》（GB18483-2001）中相关规模标准要求</w:t>
      </w:r>
      <w:r>
        <w:rPr>
          <w:rFonts w:hint="eastAsia"/>
        </w:rPr>
        <w:t>；</w:t>
      </w:r>
      <w:r>
        <w:t>备用柴油发电机尾气排放标准执行《非道路移动机械用柴油机排气污染物排放限值及测量方法(中国第三、四阶段）》(GB 20891—2014)中</w:t>
      </w:r>
      <w:r>
        <w:rPr>
          <w:rFonts w:hint="eastAsia"/>
        </w:rPr>
        <w:t>第三阶段标准要求；</w:t>
      </w:r>
      <w:r>
        <w:rPr>
          <w:rFonts w:hint="eastAsia"/>
          <w:color w:val="000000" w:themeColor="text1"/>
        </w:rPr>
        <w:t>锅炉烟气执行</w:t>
      </w:r>
      <w:r>
        <w:rPr>
          <w:color w:val="000000" w:themeColor="text1"/>
        </w:rPr>
        <w:t>《锅炉大气污染物排放标准》（GB13271-20</w:t>
      </w:r>
      <w:r>
        <w:rPr>
          <w:rFonts w:hint="eastAsia"/>
          <w:color w:val="000000" w:themeColor="text1"/>
        </w:rPr>
        <w:t>14</w:t>
      </w:r>
      <w:r>
        <w:rPr>
          <w:color w:val="000000" w:themeColor="text1"/>
        </w:rPr>
        <w:t>）</w:t>
      </w:r>
      <w:r>
        <w:rPr>
          <w:rFonts w:hint="eastAsia"/>
          <w:color w:val="000000" w:themeColor="text1"/>
        </w:rPr>
        <w:t>表3燃气锅炉大气污染物特别排放浓度限值；</w:t>
      </w:r>
      <w:r>
        <w:rPr>
          <w:rFonts w:hAnsi="宋体"/>
        </w:rPr>
        <w:t>污水处理设施的废气执行《医疗机构水污染物排放标准》（GB18466-2005）表3污水处理站周边大气污染物最高允许浓度</w:t>
      </w:r>
      <w:r>
        <w:rPr>
          <w:rFonts w:hint="eastAsia" w:hAnsi="宋体"/>
        </w:rPr>
        <w:t>，</w:t>
      </w:r>
      <w:r>
        <w:rPr>
          <w:rFonts w:hint="eastAsia" w:cs="Times New Roman"/>
          <w:color w:val="000000" w:themeColor="text1"/>
        </w:rPr>
        <w:t>具体见下表所示。</w:t>
      </w:r>
    </w:p>
    <w:p>
      <w:pPr>
        <w:pStyle w:val="14"/>
        <w:spacing w:line="240" w:lineRule="auto"/>
        <w:rPr>
          <w:rFonts w:cs="Times New Roman"/>
          <w:color w:val="000000" w:themeColor="text1"/>
          <w:u w:val="single"/>
        </w:rPr>
      </w:pPr>
      <w:r>
        <w:rPr>
          <w:rFonts w:hint="eastAsia"/>
        </w:rPr>
        <w:t>表</w:t>
      </w:r>
      <w:r>
        <w:fldChar w:fldCharType="begin"/>
      </w:r>
      <w:r>
        <w:instrText xml:space="preserve"> STYLEREF 2 \s </w:instrText>
      </w:r>
      <w:r>
        <w:fldChar w:fldCharType="separate"/>
      </w:r>
      <w:r>
        <w:t>1.6</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5</w:t>
      </w:r>
      <w:r>
        <w:fldChar w:fldCharType="end"/>
      </w:r>
      <w:r>
        <w:rPr>
          <w:rFonts w:hint="eastAsia"/>
        </w:rPr>
        <w:t xml:space="preserve">  大气污染物排放标准值</w:t>
      </w:r>
    </w:p>
    <w:tbl>
      <w:tblPr>
        <w:tblStyle w:val="39"/>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600"/>
        <w:gridCol w:w="1316"/>
        <w:gridCol w:w="1846"/>
        <w:gridCol w:w="1862"/>
        <w:gridCol w:w="1167"/>
        <w:gridCol w:w="1366"/>
        <w:gridCol w:w="148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311" w:type="pct"/>
            <w:vMerge w:val="restart"/>
            <w:vAlign w:val="center"/>
          </w:tcPr>
          <w:p>
            <w:pPr>
              <w:widowControl/>
              <w:jc w:val="center"/>
              <w:rPr>
                <w:rFonts w:cs="Times New Roman"/>
                <w:kern w:val="0"/>
                <w:sz w:val="21"/>
              </w:rPr>
            </w:pPr>
            <w:r>
              <w:rPr>
                <w:rFonts w:cs="Times New Roman"/>
                <w:kern w:val="0"/>
                <w:sz w:val="21"/>
              </w:rPr>
              <w:t>序号</w:t>
            </w:r>
          </w:p>
        </w:tc>
        <w:tc>
          <w:tcPr>
            <w:tcW w:w="682" w:type="pct"/>
            <w:vMerge w:val="restart"/>
            <w:vAlign w:val="center"/>
          </w:tcPr>
          <w:p>
            <w:pPr>
              <w:widowControl/>
              <w:jc w:val="center"/>
              <w:rPr>
                <w:rFonts w:cs="Times New Roman"/>
                <w:kern w:val="0"/>
                <w:sz w:val="21"/>
              </w:rPr>
            </w:pPr>
            <w:r>
              <w:rPr>
                <w:rFonts w:cs="Times New Roman"/>
                <w:kern w:val="0"/>
                <w:sz w:val="21"/>
              </w:rPr>
              <w:t>污染物</w:t>
            </w:r>
          </w:p>
        </w:tc>
        <w:tc>
          <w:tcPr>
            <w:tcW w:w="957" w:type="pct"/>
            <w:vMerge w:val="restart"/>
            <w:vAlign w:val="center"/>
          </w:tcPr>
          <w:p>
            <w:pPr>
              <w:widowControl/>
              <w:jc w:val="center"/>
              <w:rPr>
                <w:rFonts w:cs="Times New Roman"/>
                <w:kern w:val="0"/>
                <w:sz w:val="21"/>
              </w:rPr>
            </w:pPr>
            <w:r>
              <w:rPr>
                <w:rFonts w:cs="Times New Roman"/>
                <w:kern w:val="0"/>
                <w:sz w:val="21"/>
              </w:rPr>
              <w:t>最高允许排放浓度(mg/m</w:t>
            </w:r>
            <w:r>
              <w:rPr>
                <w:rFonts w:cs="Times New Roman"/>
                <w:kern w:val="0"/>
                <w:sz w:val="21"/>
                <w:vertAlign w:val="superscript"/>
              </w:rPr>
              <w:t>3</w:t>
            </w:r>
            <w:r>
              <w:rPr>
                <w:rFonts w:cs="Times New Roman"/>
                <w:kern w:val="0"/>
                <w:sz w:val="21"/>
              </w:rPr>
              <w:t>)</w:t>
            </w:r>
          </w:p>
        </w:tc>
        <w:tc>
          <w:tcPr>
            <w:tcW w:w="965" w:type="pct"/>
            <w:vMerge w:val="restart"/>
            <w:vAlign w:val="center"/>
          </w:tcPr>
          <w:p>
            <w:pPr>
              <w:widowControl/>
              <w:jc w:val="center"/>
              <w:rPr>
                <w:rFonts w:cs="Times New Roman"/>
                <w:kern w:val="0"/>
                <w:sz w:val="21"/>
              </w:rPr>
            </w:pPr>
            <w:r>
              <w:rPr>
                <w:rFonts w:cs="Times New Roman"/>
                <w:kern w:val="0"/>
                <w:sz w:val="21"/>
              </w:rPr>
              <w:t>最高允许排放速率(kg/h)</w:t>
            </w:r>
          </w:p>
        </w:tc>
        <w:tc>
          <w:tcPr>
            <w:tcW w:w="605" w:type="pct"/>
            <w:vMerge w:val="restart"/>
            <w:vAlign w:val="center"/>
          </w:tcPr>
          <w:p>
            <w:pPr>
              <w:widowControl/>
              <w:jc w:val="center"/>
              <w:rPr>
                <w:rFonts w:cs="Times New Roman"/>
                <w:kern w:val="0"/>
                <w:sz w:val="21"/>
              </w:rPr>
            </w:pPr>
            <w:r>
              <w:rPr>
                <w:rFonts w:cs="Times New Roman"/>
                <w:kern w:val="0"/>
                <w:sz w:val="21"/>
              </w:rPr>
              <w:t>排气筒高度（m）</w:t>
            </w:r>
          </w:p>
        </w:tc>
        <w:tc>
          <w:tcPr>
            <w:tcW w:w="1480" w:type="pct"/>
            <w:gridSpan w:val="2"/>
            <w:vAlign w:val="center"/>
          </w:tcPr>
          <w:p>
            <w:pPr>
              <w:widowControl/>
              <w:jc w:val="center"/>
              <w:rPr>
                <w:rFonts w:cs="Times New Roman"/>
                <w:kern w:val="0"/>
                <w:sz w:val="21"/>
              </w:rPr>
            </w:pPr>
            <w:r>
              <w:rPr>
                <w:rFonts w:cs="Times New Roman"/>
                <w:kern w:val="0"/>
                <w:sz w:val="21"/>
              </w:rPr>
              <w:t>无组织排放监控浓度限值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3" w:hRule="atLeast"/>
          <w:jc w:val="center"/>
        </w:trPr>
        <w:tc>
          <w:tcPr>
            <w:tcW w:w="311" w:type="pct"/>
            <w:vMerge w:val="continue"/>
            <w:vAlign w:val="center"/>
          </w:tcPr>
          <w:p>
            <w:pPr>
              <w:widowControl/>
              <w:jc w:val="left"/>
              <w:rPr>
                <w:rFonts w:cs="Times New Roman"/>
                <w:kern w:val="0"/>
                <w:sz w:val="21"/>
              </w:rPr>
            </w:pPr>
          </w:p>
        </w:tc>
        <w:tc>
          <w:tcPr>
            <w:tcW w:w="682" w:type="pct"/>
            <w:vMerge w:val="continue"/>
            <w:vAlign w:val="center"/>
          </w:tcPr>
          <w:p>
            <w:pPr>
              <w:widowControl/>
              <w:jc w:val="left"/>
              <w:rPr>
                <w:rFonts w:cs="Times New Roman"/>
                <w:kern w:val="0"/>
                <w:sz w:val="21"/>
              </w:rPr>
            </w:pPr>
          </w:p>
        </w:tc>
        <w:tc>
          <w:tcPr>
            <w:tcW w:w="957" w:type="pct"/>
            <w:vMerge w:val="continue"/>
            <w:vAlign w:val="center"/>
          </w:tcPr>
          <w:p>
            <w:pPr>
              <w:widowControl/>
              <w:jc w:val="left"/>
              <w:rPr>
                <w:rFonts w:cs="Times New Roman"/>
                <w:kern w:val="0"/>
                <w:sz w:val="21"/>
              </w:rPr>
            </w:pPr>
          </w:p>
        </w:tc>
        <w:tc>
          <w:tcPr>
            <w:tcW w:w="965" w:type="pct"/>
            <w:vMerge w:val="continue"/>
            <w:vAlign w:val="center"/>
          </w:tcPr>
          <w:p>
            <w:pPr>
              <w:widowControl/>
              <w:jc w:val="left"/>
              <w:rPr>
                <w:rFonts w:cs="Times New Roman"/>
                <w:kern w:val="0"/>
                <w:sz w:val="21"/>
              </w:rPr>
            </w:pPr>
          </w:p>
        </w:tc>
        <w:tc>
          <w:tcPr>
            <w:tcW w:w="605" w:type="pct"/>
            <w:vMerge w:val="continue"/>
            <w:vAlign w:val="center"/>
          </w:tcPr>
          <w:p>
            <w:pPr>
              <w:widowControl/>
              <w:jc w:val="left"/>
              <w:rPr>
                <w:rFonts w:cs="Times New Roman"/>
                <w:kern w:val="0"/>
                <w:sz w:val="21"/>
              </w:rPr>
            </w:pPr>
          </w:p>
        </w:tc>
        <w:tc>
          <w:tcPr>
            <w:tcW w:w="708" w:type="pct"/>
            <w:vAlign w:val="center"/>
          </w:tcPr>
          <w:p>
            <w:pPr>
              <w:widowControl/>
              <w:jc w:val="center"/>
              <w:rPr>
                <w:rFonts w:cs="Times New Roman"/>
                <w:kern w:val="0"/>
                <w:sz w:val="21"/>
              </w:rPr>
            </w:pPr>
            <w:r>
              <w:rPr>
                <w:rFonts w:cs="Times New Roman"/>
                <w:kern w:val="0"/>
                <w:sz w:val="21"/>
              </w:rPr>
              <w:t>监控点</w:t>
            </w:r>
          </w:p>
        </w:tc>
        <w:tc>
          <w:tcPr>
            <w:tcW w:w="772" w:type="pct"/>
            <w:vAlign w:val="center"/>
          </w:tcPr>
          <w:p>
            <w:pPr>
              <w:widowControl/>
              <w:jc w:val="center"/>
              <w:rPr>
                <w:rFonts w:cs="Times New Roman"/>
                <w:kern w:val="0"/>
                <w:sz w:val="21"/>
              </w:rPr>
            </w:pPr>
            <w:r>
              <w:rPr>
                <w:rFonts w:cs="Times New Roman"/>
                <w:kern w:val="0"/>
                <w:sz w:val="21"/>
              </w:rPr>
              <w:t>浓度mg/m</w:t>
            </w:r>
            <w:r>
              <w:rPr>
                <w:rFonts w:cs="Times New Roman"/>
                <w:kern w:val="0"/>
                <w:sz w:val="21"/>
                <w:vertAlign w:val="superscript"/>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5" w:hRule="atLeast"/>
          <w:jc w:val="center"/>
        </w:trPr>
        <w:tc>
          <w:tcPr>
            <w:tcW w:w="311" w:type="pct"/>
            <w:vAlign w:val="center"/>
          </w:tcPr>
          <w:p>
            <w:pPr>
              <w:widowControl/>
              <w:jc w:val="center"/>
              <w:rPr>
                <w:rFonts w:cs="Times New Roman"/>
                <w:kern w:val="0"/>
                <w:sz w:val="21"/>
              </w:rPr>
            </w:pPr>
            <w:r>
              <w:rPr>
                <w:rFonts w:cs="Times New Roman"/>
                <w:kern w:val="0"/>
                <w:sz w:val="21"/>
              </w:rPr>
              <w:t>1</w:t>
            </w:r>
          </w:p>
        </w:tc>
        <w:tc>
          <w:tcPr>
            <w:tcW w:w="682" w:type="pct"/>
            <w:vAlign w:val="center"/>
          </w:tcPr>
          <w:p>
            <w:pPr>
              <w:widowControl/>
              <w:jc w:val="center"/>
              <w:rPr>
                <w:rFonts w:cs="Times New Roman"/>
                <w:kern w:val="0"/>
                <w:sz w:val="21"/>
              </w:rPr>
            </w:pPr>
            <w:r>
              <w:rPr>
                <w:rFonts w:cs="Times New Roman"/>
                <w:kern w:val="0"/>
                <w:sz w:val="21"/>
              </w:rPr>
              <w:t>二氧化硫</w:t>
            </w:r>
          </w:p>
        </w:tc>
        <w:tc>
          <w:tcPr>
            <w:tcW w:w="957" w:type="pct"/>
            <w:vAlign w:val="center"/>
          </w:tcPr>
          <w:p>
            <w:pPr>
              <w:widowControl/>
              <w:jc w:val="center"/>
              <w:rPr>
                <w:rFonts w:cs="Times New Roman"/>
                <w:kern w:val="0"/>
                <w:sz w:val="21"/>
              </w:rPr>
            </w:pPr>
            <w:r>
              <w:rPr>
                <w:rFonts w:cs="Times New Roman"/>
                <w:kern w:val="0"/>
                <w:sz w:val="21"/>
              </w:rPr>
              <w:t>550</w:t>
            </w:r>
          </w:p>
        </w:tc>
        <w:tc>
          <w:tcPr>
            <w:tcW w:w="965" w:type="pct"/>
            <w:vAlign w:val="center"/>
          </w:tcPr>
          <w:p>
            <w:pPr>
              <w:widowControl/>
              <w:jc w:val="center"/>
              <w:rPr>
                <w:rFonts w:cs="Times New Roman"/>
                <w:kern w:val="0"/>
                <w:sz w:val="21"/>
              </w:rPr>
            </w:pPr>
            <w:r>
              <w:rPr>
                <w:rFonts w:cs="Times New Roman"/>
                <w:kern w:val="0"/>
                <w:sz w:val="21"/>
              </w:rPr>
              <w:t>2.6</w:t>
            </w:r>
          </w:p>
        </w:tc>
        <w:tc>
          <w:tcPr>
            <w:tcW w:w="605" w:type="pct"/>
            <w:vAlign w:val="center"/>
          </w:tcPr>
          <w:p>
            <w:pPr>
              <w:widowControl/>
              <w:jc w:val="center"/>
              <w:rPr>
                <w:rFonts w:cs="Times New Roman"/>
                <w:kern w:val="0"/>
                <w:sz w:val="21"/>
              </w:rPr>
            </w:pPr>
            <w:r>
              <w:rPr>
                <w:rFonts w:cs="Times New Roman"/>
                <w:kern w:val="0"/>
                <w:sz w:val="21"/>
              </w:rPr>
              <w:t>15</w:t>
            </w:r>
          </w:p>
        </w:tc>
        <w:tc>
          <w:tcPr>
            <w:tcW w:w="708" w:type="pct"/>
            <w:vMerge w:val="restart"/>
            <w:vAlign w:val="center"/>
          </w:tcPr>
          <w:p>
            <w:pPr>
              <w:widowControl/>
              <w:jc w:val="center"/>
              <w:rPr>
                <w:rFonts w:cs="Times New Roman"/>
                <w:kern w:val="0"/>
                <w:sz w:val="21"/>
              </w:rPr>
            </w:pPr>
            <w:r>
              <w:rPr>
                <w:rFonts w:cs="Times New Roman"/>
                <w:kern w:val="0"/>
                <w:sz w:val="21"/>
              </w:rPr>
              <w:t>周界外浓度最高点</w:t>
            </w:r>
          </w:p>
        </w:tc>
        <w:tc>
          <w:tcPr>
            <w:tcW w:w="772" w:type="pct"/>
            <w:vAlign w:val="center"/>
          </w:tcPr>
          <w:p>
            <w:pPr>
              <w:widowControl/>
              <w:jc w:val="center"/>
              <w:rPr>
                <w:rFonts w:cs="Times New Roman"/>
                <w:kern w:val="0"/>
                <w:sz w:val="21"/>
              </w:rPr>
            </w:pPr>
            <w:r>
              <w:rPr>
                <w:rFonts w:cs="Times New Roman"/>
                <w:kern w:val="0"/>
                <w:sz w:val="21"/>
              </w:rPr>
              <w:t>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5" w:hRule="atLeast"/>
          <w:jc w:val="center"/>
        </w:trPr>
        <w:tc>
          <w:tcPr>
            <w:tcW w:w="311" w:type="pct"/>
            <w:vAlign w:val="center"/>
          </w:tcPr>
          <w:p>
            <w:pPr>
              <w:widowControl/>
              <w:jc w:val="center"/>
              <w:rPr>
                <w:rFonts w:cs="Times New Roman"/>
                <w:kern w:val="0"/>
                <w:sz w:val="21"/>
              </w:rPr>
            </w:pPr>
            <w:r>
              <w:rPr>
                <w:rFonts w:cs="Times New Roman"/>
                <w:kern w:val="0"/>
                <w:sz w:val="21"/>
              </w:rPr>
              <w:t>2</w:t>
            </w:r>
          </w:p>
        </w:tc>
        <w:tc>
          <w:tcPr>
            <w:tcW w:w="682" w:type="pct"/>
            <w:vAlign w:val="center"/>
          </w:tcPr>
          <w:p>
            <w:pPr>
              <w:widowControl/>
              <w:jc w:val="center"/>
              <w:rPr>
                <w:rFonts w:cs="Times New Roman"/>
                <w:kern w:val="0"/>
                <w:sz w:val="21"/>
              </w:rPr>
            </w:pPr>
            <w:r>
              <w:rPr>
                <w:rFonts w:cs="Times New Roman"/>
                <w:kern w:val="0"/>
                <w:sz w:val="21"/>
              </w:rPr>
              <w:t>氮氧化物</w:t>
            </w:r>
          </w:p>
        </w:tc>
        <w:tc>
          <w:tcPr>
            <w:tcW w:w="957" w:type="pct"/>
            <w:vAlign w:val="center"/>
          </w:tcPr>
          <w:p>
            <w:pPr>
              <w:widowControl/>
              <w:jc w:val="center"/>
              <w:rPr>
                <w:rFonts w:cs="Times New Roman"/>
                <w:kern w:val="0"/>
                <w:sz w:val="21"/>
              </w:rPr>
            </w:pPr>
            <w:r>
              <w:rPr>
                <w:rFonts w:cs="Times New Roman"/>
                <w:kern w:val="0"/>
                <w:sz w:val="21"/>
              </w:rPr>
              <w:t>240</w:t>
            </w:r>
          </w:p>
        </w:tc>
        <w:tc>
          <w:tcPr>
            <w:tcW w:w="965" w:type="pct"/>
            <w:vAlign w:val="center"/>
          </w:tcPr>
          <w:p>
            <w:pPr>
              <w:widowControl/>
              <w:jc w:val="center"/>
              <w:rPr>
                <w:rFonts w:cs="Times New Roman"/>
                <w:kern w:val="0"/>
                <w:sz w:val="21"/>
              </w:rPr>
            </w:pPr>
            <w:r>
              <w:rPr>
                <w:rFonts w:cs="Times New Roman"/>
                <w:kern w:val="0"/>
                <w:sz w:val="21"/>
              </w:rPr>
              <w:t>0.77</w:t>
            </w:r>
          </w:p>
        </w:tc>
        <w:tc>
          <w:tcPr>
            <w:tcW w:w="605" w:type="pct"/>
            <w:vAlign w:val="center"/>
          </w:tcPr>
          <w:p>
            <w:pPr>
              <w:widowControl/>
              <w:jc w:val="center"/>
              <w:rPr>
                <w:rFonts w:cs="Times New Roman"/>
                <w:kern w:val="0"/>
                <w:sz w:val="21"/>
              </w:rPr>
            </w:pPr>
            <w:r>
              <w:rPr>
                <w:rFonts w:cs="Times New Roman"/>
                <w:kern w:val="0"/>
                <w:sz w:val="21"/>
              </w:rPr>
              <w:t>15</w:t>
            </w:r>
          </w:p>
        </w:tc>
        <w:tc>
          <w:tcPr>
            <w:tcW w:w="708" w:type="pct"/>
            <w:vMerge w:val="continue"/>
            <w:vAlign w:val="center"/>
          </w:tcPr>
          <w:p>
            <w:pPr>
              <w:widowControl/>
              <w:jc w:val="left"/>
              <w:rPr>
                <w:rFonts w:cs="Times New Roman"/>
                <w:kern w:val="0"/>
                <w:sz w:val="21"/>
              </w:rPr>
            </w:pPr>
          </w:p>
        </w:tc>
        <w:tc>
          <w:tcPr>
            <w:tcW w:w="772" w:type="pct"/>
            <w:vAlign w:val="center"/>
          </w:tcPr>
          <w:p>
            <w:pPr>
              <w:widowControl/>
              <w:jc w:val="center"/>
              <w:rPr>
                <w:rFonts w:cs="Times New Roman"/>
                <w:kern w:val="0"/>
                <w:sz w:val="21"/>
              </w:rPr>
            </w:pPr>
            <w:r>
              <w:rPr>
                <w:rFonts w:cs="Times New Roman"/>
                <w:kern w:val="0"/>
                <w:sz w:val="21"/>
              </w:rPr>
              <w:t>0.12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8" w:hRule="atLeast"/>
          <w:jc w:val="center"/>
        </w:trPr>
        <w:tc>
          <w:tcPr>
            <w:tcW w:w="311" w:type="pct"/>
            <w:vAlign w:val="center"/>
          </w:tcPr>
          <w:p>
            <w:pPr>
              <w:widowControl/>
              <w:jc w:val="center"/>
              <w:rPr>
                <w:rFonts w:cs="Times New Roman"/>
                <w:kern w:val="0"/>
                <w:sz w:val="21"/>
              </w:rPr>
            </w:pPr>
            <w:r>
              <w:rPr>
                <w:rFonts w:cs="Times New Roman"/>
                <w:kern w:val="0"/>
                <w:sz w:val="21"/>
              </w:rPr>
              <w:t>3</w:t>
            </w:r>
          </w:p>
        </w:tc>
        <w:tc>
          <w:tcPr>
            <w:tcW w:w="682" w:type="pct"/>
            <w:vAlign w:val="center"/>
          </w:tcPr>
          <w:p>
            <w:pPr>
              <w:widowControl/>
              <w:jc w:val="center"/>
              <w:rPr>
                <w:rFonts w:cs="Times New Roman"/>
                <w:kern w:val="0"/>
                <w:sz w:val="21"/>
              </w:rPr>
            </w:pPr>
            <w:r>
              <w:rPr>
                <w:rFonts w:cs="Times New Roman"/>
                <w:kern w:val="0"/>
                <w:sz w:val="21"/>
              </w:rPr>
              <w:t>颗粒物</w:t>
            </w:r>
          </w:p>
        </w:tc>
        <w:tc>
          <w:tcPr>
            <w:tcW w:w="957" w:type="pct"/>
            <w:vAlign w:val="center"/>
          </w:tcPr>
          <w:p>
            <w:pPr>
              <w:widowControl/>
              <w:jc w:val="center"/>
              <w:rPr>
                <w:rFonts w:cs="Times New Roman"/>
                <w:kern w:val="0"/>
                <w:sz w:val="21"/>
              </w:rPr>
            </w:pPr>
            <w:r>
              <w:rPr>
                <w:rFonts w:cs="Times New Roman"/>
                <w:kern w:val="0"/>
                <w:sz w:val="21"/>
              </w:rPr>
              <w:t>120</w:t>
            </w:r>
          </w:p>
        </w:tc>
        <w:tc>
          <w:tcPr>
            <w:tcW w:w="965" w:type="pct"/>
            <w:vAlign w:val="center"/>
          </w:tcPr>
          <w:p>
            <w:pPr>
              <w:widowControl/>
              <w:jc w:val="center"/>
              <w:rPr>
                <w:rFonts w:cs="Times New Roman"/>
                <w:kern w:val="0"/>
                <w:sz w:val="21"/>
              </w:rPr>
            </w:pPr>
            <w:r>
              <w:rPr>
                <w:rFonts w:cs="Times New Roman"/>
                <w:kern w:val="0"/>
                <w:sz w:val="21"/>
              </w:rPr>
              <w:t>3.5</w:t>
            </w:r>
          </w:p>
        </w:tc>
        <w:tc>
          <w:tcPr>
            <w:tcW w:w="605" w:type="pct"/>
            <w:vAlign w:val="center"/>
          </w:tcPr>
          <w:p>
            <w:pPr>
              <w:widowControl/>
              <w:jc w:val="center"/>
              <w:rPr>
                <w:rFonts w:cs="Times New Roman"/>
                <w:kern w:val="0"/>
                <w:sz w:val="21"/>
              </w:rPr>
            </w:pPr>
            <w:r>
              <w:rPr>
                <w:rFonts w:cs="Times New Roman"/>
                <w:kern w:val="0"/>
                <w:sz w:val="21"/>
              </w:rPr>
              <w:t>15</w:t>
            </w:r>
          </w:p>
        </w:tc>
        <w:tc>
          <w:tcPr>
            <w:tcW w:w="708" w:type="pct"/>
            <w:vMerge w:val="continue"/>
            <w:vAlign w:val="center"/>
          </w:tcPr>
          <w:p>
            <w:pPr>
              <w:widowControl/>
              <w:jc w:val="left"/>
              <w:rPr>
                <w:rFonts w:cs="Times New Roman"/>
                <w:kern w:val="0"/>
                <w:sz w:val="21"/>
              </w:rPr>
            </w:pPr>
          </w:p>
        </w:tc>
        <w:tc>
          <w:tcPr>
            <w:tcW w:w="772" w:type="pct"/>
            <w:vAlign w:val="center"/>
          </w:tcPr>
          <w:p>
            <w:pPr>
              <w:widowControl/>
              <w:jc w:val="center"/>
              <w:rPr>
                <w:rFonts w:cs="Times New Roman"/>
                <w:kern w:val="0"/>
                <w:sz w:val="21"/>
              </w:rPr>
            </w:pPr>
            <w:r>
              <w:rPr>
                <w:rFonts w:cs="Times New Roman"/>
                <w:kern w:val="0"/>
                <w:sz w:val="21"/>
              </w:rPr>
              <w:t>1.0</w:t>
            </w:r>
          </w:p>
        </w:tc>
      </w:tr>
    </w:tbl>
    <w:p>
      <w:pPr>
        <w:pStyle w:val="14"/>
        <w:spacing w:line="240" w:lineRule="auto"/>
        <w:rPr>
          <w:rFonts w:cs="Times New Roman"/>
          <w:color w:val="000000" w:themeColor="text1"/>
          <w:u w:val="single"/>
        </w:rPr>
      </w:pPr>
      <w:r>
        <w:rPr>
          <w:rFonts w:cs="Times New Roman"/>
        </w:rPr>
        <w:t>表</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1.6</w:t>
      </w:r>
      <w:r>
        <w:rPr>
          <w:rFonts w:cs="Times New Roman"/>
        </w:rPr>
        <w:fldChar w:fldCharType="end"/>
      </w:r>
      <w:r>
        <w:rPr>
          <w:rFonts w:cs="Times New Roman"/>
        </w:rPr>
        <w:noBreakHyphen/>
      </w:r>
      <w:r>
        <w:rPr>
          <w:rFonts w:cs="Times New Roman"/>
        </w:rPr>
        <w:fldChar w:fldCharType="begin"/>
      </w:r>
      <w:r>
        <w:rPr>
          <w:rFonts w:cs="Times New Roman"/>
        </w:rPr>
        <w:instrText xml:space="preserve"> SEQ 表 \* ARABIC \s 2 </w:instrText>
      </w:r>
      <w:r>
        <w:rPr>
          <w:rFonts w:cs="Times New Roman"/>
        </w:rPr>
        <w:fldChar w:fldCharType="separate"/>
      </w:r>
      <w:r>
        <w:rPr>
          <w:rFonts w:cs="Times New Roman"/>
        </w:rPr>
        <w:t>6</w:t>
      </w:r>
      <w:r>
        <w:rPr>
          <w:rFonts w:cs="Times New Roman"/>
        </w:rPr>
        <w:fldChar w:fldCharType="end"/>
      </w:r>
      <w:r>
        <w:rPr>
          <w:rFonts w:hint="eastAsia" w:cs="Times New Roman"/>
        </w:rPr>
        <w:t xml:space="preserve"> </w:t>
      </w:r>
      <w:r>
        <w:rPr>
          <w:rFonts w:cs="Times New Roman"/>
          <w:szCs w:val="24"/>
        </w:rPr>
        <w:t>饮食业油烟排放标准  单位：mg/m</w:t>
      </w:r>
      <w:r>
        <w:rPr>
          <w:rFonts w:cs="Times New Roman"/>
          <w:szCs w:val="24"/>
          <w:vertAlign w:val="superscript"/>
        </w:rPr>
        <w:t>3</w:t>
      </w:r>
    </w:p>
    <w:tbl>
      <w:tblPr>
        <w:tblStyle w:val="39"/>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4009"/>
        <w:gridCol w:w="1877"/>
        <w:gridCol w:w="1881"/>
        <w:gridCol w:w="187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2078" w:type="pct"/>
            <w:vAlign w:val="center"/>
          </w:tcPr>
          <w:p>
            <w:pPr>
              <w:widowControl/>
              <w:jc w:val="center"/>
              <w:rPr>
                <w:rFonts w:cs="Times New Roman"/>
                <w:spacing w:val="4"/>
                <w:kern w:val="0"/>
                <w:sz w:val="21"/>
              </w:rPr>
            </w:pPr>
            <w:r>
              <w:rPr>
                <w:rFonts w:cs="Times New Roman"/>
                <w:spacing w:val="4"/>
                <w:kern w:val="0"/>
                <w:sz w:val="21"/>
              </w:rPr>
              <w:t>规模</w:t>
            </w:r>
          </w:p>
        </w:tc>
        <w:tc>
          <w:tcPr>
            <w:tcW w:w="973" w:type="pct"/>
            <w:vAlign w:val="center"/>
          </w:tcPr>
          <w:p>
            <w:pPr>
              <w:widowControl/>
              <w:jc w:val="center"/>
              <w:rPr>
                <w:rFonts w:cs="Times New Roman"/>
                <w:spacing w:val="4"/>
                <w:kern w:val="0"/>
                <w:sz w:val="21"/>
              </w:rPr>
            </w:pPr>
            <w:r>
              <w:rPr>
                <w:rFonts w:cs="Times New Roman"/>
                <w:spacing w:val="4"/>
                <w:kern w:val="0"/>
                <w:sz w:val="21"/>
              </w:rPr>
              <w:t>大型</w:t>
            </w:r>
          </w:p>
        </w:tc>
        <w:tc>
          <w:tcPr>
            <w:tcW w:w="975" w:type="pct"/>
            <w:vAlign w:val="center"/>
          </w:tcPr>
          <w:p>
            <w:pPr>
              <w:widowControl/>
              <w:jc w:val="center"/>
              <w:rPr>
                <w:rFonts w:cs="Times New Roman"/>
                <w:spacing w:val="4"/>
                <w:kern w:val="0"/>
                <w:sz w:val="21"/>
              </w:rPr>
            </w:pPr>
            <w:r>
              <w:rPr>
                <w:rFonts w:cs="Times New Roman"/>
                <w:spacing w:val="4"/>
                <w:kern w:val="0"/>
                <w:sz w:val="21"/>
              </w:rPr>
              <w:t>中型</w:t>
            </w:r>
          </w:p>
        </w:tc>
        <w:tc>
          <w:tcPr>
            <w:tcW w:w="975" w:type="pct"/>
            <w:vAlign w:val="center"/>
          </w:tcPr>
          <w:p>
            <w:pPr>
              <w:widowControl/>
              <w:jc w:val="center"/>
              <w:rPr>
                <w:rFonts w:cs="Times New Roman"/>
                <w:spacing w:val="4"/>
                <w:kern w:val="0"/>
                <w:sz w:val="21"/>
              </w:rPr>
            </w:pPr>
            <w:r>
              <w:rPr>
                <w:rFonts w:cs="Times New Roman"/>
                <w:spacing w:val="4"/>
                <w:kern w:val="0"/>
                <w:sz w:val="21"/>
              </w:rPr>
              <w:t>小型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54" w:hRule="atLeast"/>
          <w:jc w:val="center"/>
        </w:trPr>
        <w:tc>
          <w:tcPr>
            <w:tcW w:w="2078" w:type="pct"/>
            <w:vAlign w:val="center"/>
          </w:tcPr>
          <w:p>
            <w:pPr>
              <w:widowControl/>
              <w:jc w:val="center"/>
              <w:rPr>
                <w:rFonts w:cs="Times New Roman"/>
                <w:spacing w:val="4"/>
                <w:kern w:val="0"/>
                <w:sz w:val="21"/>
              </w:rPr>
            </w:pPr>
            <w:r>
              <w:rPr>
                <w:rFonts w:cs="Times New Roman"/>
                <w:spacing w:val="4"/>
                <w:kern w:val="0"/>
                <w:sz w:val="21"/>
              </w:rPr>
              <w:t>最高允许排放浓度(mg/m</w:t>
            </w:r>
            <w:r>
              <w:rPr>
                <w:rFonts w:cs="Times New Roman"/>
                <w:spacing w:val="4"/>
                <w:kern w:val="0"/>
                <w:sz w:val="21"/>
                <w:vertAlign w:val="superscript"/>
              </w:rPr>
              <w:t>3</w:t>
            </w:r>
            <w:r>
              <w:rPr>
                <w:rFonts w:cs="Times New Roman"/>
                <w:spacing w:val="4"/>
                <w:kern w:val="0"/>
                <w:sz w:val="21"/>
              </w:rPr>
              <w:t>)</w:t>
            </w:r>
          </w:p>
        </w:tc>
        <w:tc>
          <w:tcPr>
            <w:tcW w:w="2922" w:type="pct"/>
            <w:gridSpan w:val="3"/>
            <w:vAlign w:val="center"/>
          </w:tcPr>
          <w:p>
            <w:pPr>
              <w:widowControl/>
              <w:jc w:val="center"/>
              <w:rPr>
                <w:rFonts w:cs="Times New Roman"/>
                <w:spacing w:val="4"/>
                <w:kern w:val="0"/>
                <w:sz w:val="21"/>
              </w:rPr>
            </w:pPr>
            <w:r>
              <w:rPr>
                <w:rFonts w:cs="Times New Roman"/>
                <w:spacing w:val="4"/>
                <w:kern w:val="0"/>
                <w:sz w:val="21"/>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58" w:hRule="atLeast"/>
          <w:jc w:val="center"/>
        </w:trPr>
        <w:tc>
          <w:tcPr>
            <w:tcW w:w="2078" w:type="pct"/>
            <w:vAlign w:val="center"/>
          </w:tcPr>
          <w:p>
            <w:pPr>
              <w:widowControl/>
              <w:jc w:val="center"/>
              <w:rPr>
                <w:rFonts w:cs="Times New Roman"/>
                <w:spacing w:val="4"/>
                <w:kern w:val="0"/>
                <w:sz w:val="21"/>
              </w:rPr>
            </w:pPr>
            <w:r>
              <w:rPr>
                <w:rFonts w:cs="Times New Roman"/>
                <w:spacing w:val="4"/>
                <w:kern w:val="0"/>
                <w:sz w:val="21"/>
              </w:rPr>
              <w:t>净化设施最低去除效率(%)</w:t>
            </w:r>
          </w:p>
        </w:tc>
        <w:tc>
          <w:tcPr>
            <w:tcW w:w="973" w:type="pct"/>
            <w:vAlign w:val="center"/>
          </w:tcPr>
          <w:p>
            <w:pPr>
              <w:widowControl/>
              <w:jc w:val="center"/>
              <w:rPr>
                <w:rFonts w:cs="Times New Roman"/>
                <w:spacing w:val="4"/>
                <w:kern w:val="0"/>
                <w:sz w:val="21"/>
              </w:rPr>
            </w:pPr>
            <w:r>
              <w:rPr>
                <w:rFonts w:cs="Times New Roman"/>
                <w:spacing w:val="4"/>
                <w:kern w:val="0"/>
                <w:sz w:val="21"/>
              </w:rPr>
              <w:t>85</w:t>
            </w:r>
          </w:p>
        </w:tc>
        <w:tc>
          <w:tcPr>
            <w:tcW w:w="975" w:type="pct"/>
            <w:vAlign w:val="center"/>
          </w:tcPr>
          <w:p>
            <w:pPr>
              <w:widowControl/>
              <w:jc w:val="center"/>
              <w:rPr>
                <w:rFonts w:cs="Times New Roman"/>
                <w:spacing w:val="4"/>
                <w:kern w:val="0"/>
                <w:sz w:val="21"/>
              </w:rPr>
            </w:pPr>
            <w:r>
              <w:rPr>
                <w:rFonts w:cs="Times New Roman"/>
                <w:spacing w:val="4"/>
                <w:kern w:val="0"/>
                <w:sz w:val="21"/>
              </w:rPr>
              <w:t>75</w:t>
            </w:r>
          </w:p>
        </w:tc>
        <w:tc>
          <w:tcPr>
            <w:tcW w:w="975" w:type="pct"/>
            <w:vAlign w:val="center"/>
          </w:tcPr>
          <w:p>
            <w:pPr>
              <w:widowControl/>
              <w:jc w:val="center"/>
              <w:rPr>
                <w:rFonts w:cs="Times New Roman"/>
                <w:spacing w:val="4"/>
                <w:kern w:val="0"/>
                <w:sz w:val="21"/>
              </w:rPr>
            </w:pPr>
            <w:r>
              <w:rPr>
                <w:rFonts w:cs="Times New Roman"/>
                <w:spacing w:val="4"/>
                <w:kern w:val="0"/>
                <w:sz w:val="21"/>
              </w:rPr>
              <w:t>60</w:t>
            </w:r>
          </w:p>
        </w:tc>
      </w:tr>
    </w:tbl>
    <w:p>
      <w:pPr>
        <w:pStyle w:val="56"/>
        <w:numPr>
          <w:ilvl w:val="0"/>
          <w:numId w:val="0"/>
        </w:numPr>
        <w:spacing w:line="240" w:lineRule="auto"/>
        <w:ind w:firstLine="482" w:firstLineChars="200"/>
        <w:jc w:val="center"/>
        <w:outlineLvl w:val="9"/>
        <w:rPr>
          <w:rFonts w:cs="Times New Roman"/>
          <w:color w:val="000000" w:themeColor="text1"/>
          <w:szCs w:val="24"/>
        </w:rPr>
      </w:pPr>
      <w:bookmarkStart w:id="84" w:name="_Ref494179845"/>
      <w:bookmarkStart w:id="85" w:name="_Ref493601444"/>
      <w:r>
        <w:rPr>
          <w:rFonts w:cs="Times New Roman"/>
          <w:color w:val="000000" w:themeColor="text1"/>
          <w:szCs w:val="24"/>
        </w:rPr>
        <w:t>表</w:t>
      </w:r>
      <w:r>
        <w:rPr>
          <w:rFonts w:cs="Times New Roman"/>
          <w:color w:val="000000" w:themeColor="text1"/>
          <w:szCs w:val="24"/>
        </w:rPr>
        <w:fldChar w:fldCharType="begin"/>
      </w:r>
      <w:r>
        <w:rPr>
          <w:rFonts w:cs="Times New Roman"/>
          <w:color w:val="000000" w:themeColor="text1"/>
          <w:szCs w:val="24"/>
        </w:rPr>
        <w:instrText xml:space="preserve"> STYLEREF 2 \s </w:instrText>
      </w:r>
      <w:r>
        <w:rPr>
          <w:rFonts w:cs="Times New Roman"/>
          <w:color w:val="000000" w:themeColor="text1"/>
          <w:szCs w:val="24"/>
        </w:rPr>
        <w:fldChar w:fldCharType="separate"/>
      </w:r>
      <w:r>
        <w:rPr>
          <w:rFonts w:cs="Times New Roman"/>
          <w:color w:val="000000" w:themeColor="text1"/>
          <w:szCs w:val="24"/>
        </w:rPr>
        <w:t>1.6</w:t>
      </w:r>
      <w:r>
        <w:rPr>
          <w:rFonts w:cs="Times New Roman"/>
          <w:color w:val="000000" w:themeColor="text1"/>
          <w:szCs w:val="24"/>
        </w:rPr>
        <w:fldChar w:fldCharType="end"/>
      </w:r>
      <w:r>
        <w:rPr>
          <w:rFonts w:cs="Times New Roman"/>
          <w:color w:val="000000" w:themeColor="text1"/>
          <w:szCs w:val="24"/>
        </w:rPr>
        <w:noBreakHyphen/>
      </w:r>
      <w:r>
        <w:rPr>
          <w:rFonts w:cs="Times New Roman"/>
          <w:color w:val="000000" w:themeColor="text1"/>
          <w:szCs w:val="24"/>
        </w:rPr>
        <w:fldChar w:fldCharType="begin"/>
      </w:r>
      <w:r>
        <w:rPr>
          <w:rFonts w:cs="Times New Roman"/>
          <w:color w:val="000000" w:themeColor="text1"/>
          <w:szCs w:val="24"/>
        </w:rPr>
        <w:instrText xml:space="preserve"> SEQ 表 \* ARABIC \s 2 </w:instrText>
      </w:r>
      <w:r>
        <w:rPr>
          <w:rFonts w:cs="Times New Roman"/>
          <w:color w:val="000000" w:themeColor="text1"/>
          <w:szCs w:val="24"/>
        </w:rPr>
        <w:fldChar w:fldCharType="separate"/>
      </w:r>
      <w:r>
        <w:rPr>
          <w:rFonts w:cs="Times New Roman"/>
          <w:color w:val="000000" w:themeColor="text1"/>
          <w:szCs w:val="24"/>
        </w:rPr>
        <w:t>7</w:t>
      </w:r>
      <w:r>
        <w:rPr>
          <w:rFonts w:cs="Times New Roman"/>
          <w:color w:val="000000" w:themeColor="text1"/>
          <w:szCs w:val="24"/>
        </w:rPr>
        <w:fldChar w:fldCharType="end"/>
      </w:r>
      <w:bookmarkEnd w:id="84"/>
      <w:bookmarkEnd w:id="85"/>
      <w:r>
        <w:rPr>
          <w:rFonts w:hint="eastAsia" w:cs="Times New Roman"/>
          <w:color w:val="000000" w:themeColor="text1"/>
          <w:szCs w:val="24"/>
        </w:rPr>
        <w:t xml:space="preserve"> </w:t>
      </w:r>
      <w:r>
        <w:rPr>
          <w:rFonts w:eastAsia="宋体" w:cs="Times New Roman"/>
          <w:szCs w:val="24"/>
        </w:rPr>
        <w:t>非道路移动机械用柴油机排气污染物排放限值</w:t>
      </w:r>
    </w:p>
    <w:tbl>
      <w:tblPr>
        <w:tblStyle w:val="39"/>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071"/>
        <w:gridCol w:w="926"/>
        <w:gridCol w:w="1713"/>
        <w:gridCol w:w="93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3147" w:type="pct"/>
            <w:vAlign w:val="center"/>
          </w:tcPr>
          <w:p>
            <w:pPr>
              <w:jc w:val="center"/>
              <w:rPr>
                <w:sz w:val="21"/>
              </w:rPr>
            </w:pPr>
            <w:r>
              <w:rPr>
                <w:sz w:val="21"/>
              </w:rPr>
              <w:t>污染物</w:t>
            </w:r>
          </w:p>
        </w:tc>
        <w:tc>
          <w:tcPr>
            <w:tcW w:w="480" w:type="pct"/>
            <w:vAlign w:val="center"/>
          </w:tcPr>
          <w:p>
            <w:pPr>
              <w:jc w:val="center"/>
              <w:rPr>
                <w:sz w:val="21"/>
              </w:rPr>
            </w:pPr>
            <w:r>
              <w:rPr>
                <w:rFonts w:hint="eastAsia"/>
                <w:sz w:val="21"/>
              </w:rPr>
              <w:t>CO</w:t>
            </w:r>
          </w:p>
        </w:tc>
        <w:tc>
          <w:tcPr>
            <w:tcW w:w="888" w:type="pct"/>
            <w:vAlign w:val="center"/>
          </w:tcPr>
          <w:p>
            <w:pPr>
              <w:jc w:val="center"/>
              <w:rPr>
                <w:sz w:val="21"/>
              </w:rPr>
            </w:pPr>
            <w:r>
              <w:rPr>
                <w:sz w:val="21"/>
              </w:rPr>
              <w:t>HC</w:t>
            </w:r>
            <w:r>
              <w:rPr>
                <w:rFonts w:hint="eastAsia"/>
                <w:sz w:val="21"/>
              </w:rPr>
              <w:t>+</w:t>
            </w:r>
            <w:r>
              <w:rPr>
                <w:sz w:val="21"/>
              </w:rPr>
              <w:t>NO</w:t>
            </w:r>
            <w:r>
              <w:rPr>
                <w:rFonts w:hint="eastAsia"/>
                <w:sz w:val="21"/>
                <w:vertAlign w:val="subscript"/>
              </w:rPr>
              <w:t>X</w:t>
            </w:r>
          </w:p>
        </w:tc>
        <w:tc>
          <w:tcPr>
            <w:tcW w:w="485" w:type="pct"/>
            <w:vAlign w:val="center"/>
          </w:tcPr>
          <w:p>
            <w:pPr>
              <w:jc w:val="center"/>
              <w:rPr>
                <w:sz w:val="21"/>
              </w:rPr>
            </w:pPr>
            <w:r>
              <w:rPr>
                <w:rFonts w:hint="eastAsia"/>
                <w:sz w:val="21"/>
              </w:rPr>
              <w:t>PM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4" w:hRule="atLeast"/>
          <w:jc w:val="center"/>
        </w:trPr>
        <w:tc>
          <w:tcPr>
            <w:tcW w:w="3147" w:type="pct"/>
            <w:vAlign w:val="center"/>
          </w:tcPr>
          <w:p>
            <w:pPr>
              <w:jc w:val="center"/>
              <w:rPr>
                <w:sz w:val="21"/>
              </w:rPr>
            </w:pPr>
            <w:r>
              <w:rPr>
                <w:rFonts w:hint="eastAsia"/>
                <w:sz w:val="21"/>
              </w:rPr>
              <w:t>P</w:t>
            </w:r>
            <w:r>
              <w:rPr>
                <w:rFonts w:hint="eastAsia"/>
                <w:sz w:val="21"/>
                <w:vertAlign w:val="subscript"/>
              </w:rPr>
              <w:t>mix</w:t>
            </w:r>
            <w:r>
              <w:rPr>
                <w:rFonts w:ascii="Dutch801 Rm BT" w:hAnsi="Dutch801 Rm BT"/>
                <w:sz w:val="21"/>
              </w:rPr>
              <w:t>≥</w:t>
            </w:r>
            <w:r>
              <w:rPr>
                <w:rFonts w:hint="eastAsia"/>
                <w:sz w:val="21"/>
              </w:rPr>
              <w:t>560kW柴油机排气污染物</w:t>
            </w:r>
            <w:r>
              <w:rPr>
                <w:sz w:val="21"/>
              </w:rPr>
              <w:t>限值</w:t>
            </w:r>
            <w:r>
              <w:rPr>
                <w:rFonts w:hint="eastAsia"/>
                <w:sz w:val="21"/>
              </w:rPr>
              <w:t>（</w:t>
            </w:r>
            <w:r>
              <w:rPr>
                <w:rFonts w:hint="eastAsia"/>
                <w:bCs/>
                <w:sz w:val="21"/>
              </w:rPr>
              <w:t>g/kWh</w:t>
            </w:r>
            <w:r>
              <w:rPr>
                <w:rFonts w:hint="eastAsia"/>
                <w:sz w:val="21"/>
              </w:rPr>
              <w:t>）</w:t>
            </w:r>
          </w:p>
        </w:tc>
        <w:tc>
          <w:tcPr>
            <w:tcW w:w="480" w:type="pct"/>
            <w:vAlign w:val="center"/>
          </w:tcPr>
          <w:p>
            <w:pPr>
              <w:jc w:val="center"/>
              <w:rPr>
                <w:sz w:val="21"/>
              </w:rPr>
            </w:pPr>
            <w:r>
              <w:rPr>
                <w:rFonts w:hint="eastAsia"/>
                <w:sz w:val="21"/>
              </w:rPr>
              <w:t>3.5</w:t>
            </w:r>
          </w:p>
        </w:tc>
        <w:tc>
          <w:tcPr>
            <w:tcW w:w="888" w:type="pct"/>
            <w:vAlign w:val="center"/>
          </w:tcPr>
          <w:p>
            <w:pPr>
              <w:jc w:val="center"/>
              <w:rPr>
                <w:sz w:val="21"/>
              </w:rPr>
            </w:pPr>
            <w:r>
              <w:rPr>
                <w:rFonts w:hint="eastAsia"/>
                <w:sz w:val="21"/>
              </w:rPr>
              <w:t>6.4</w:t>
            </w:r>
          </w:p>
        </w:tc>
        <w:tc>
          <w:tcPr>
            <w:tcW w:w="485" w:type="pct"/>
            <w:vAlign w:val="center"/>
          </w:tcPr>
          <w:p>
            <w:pPr>
              <w:jc w:val="center"/>
              <w:rPr>
                <w:sz w:val="21"/>
              </w:rPr>
            </w:pPr>
            <w:r>
              <w:rPr>
                <w:rFonts w:hint="eastAsia"/>
                <w:sz w:val="21"/>
              </w:rPr>
              <w:t>0.2</w:t>
            </w:r>
          </w:p>
        </w:tc>
      </w:tr>
    </w:tbl>
    <w:p>
      <w:pPr>
        <w:pStyle w:val="14"/>
        <w:spacing w:line="240" w:lineRule="auto"/>
        <w:rPr>
          <w:rFonts w:cs="Times New Roman"/>
          <w:color w:val="000000" w:themeColor="text1"/>
          <w:szCs w:val="24"/>
        </w:rPr>
      </w:pPr>
      <w:r>
        <w:rPr>
          <w:rFonts w:hint="eastAsia"/>
          <w:color w:val="000000" w:themeColor="text1"/>
        </w:rPr>
        <w:t xml:space="preserve">表 </w:t>
      </w:r>
      <w:r>
        <w:rPr>
          <w:color w:val="000000" w:themeColor="text1"/>
        </w:rPr>
        <w:fldChar w:fldCharType="begin"/>
      </w:r>
      <w:r>
        <w:rPr>
          <w:color w:val="000000" w:themeColor="text1"/>
        </w:rPr>
        <w:instrText xml:space="preserve"> </w:instrText>
      </w:r>
      <w:r>
        <w:rPr>
          <w:rFonts w:hint="eastAsia"/>
          <w:color w:val="000000" w:themeColor="text1"/>
        </w:rPr>
        <w:instrText xml:space="preserve">STYLEREF 2 \s</w:instrText>
      </w:r>
      <w:r>
        <w:rPr>
          <w:color w:val="000000" w:themeColor="text1"/>
        </w:rPr>
        <w:instrText xml:space="preserve"> </w:instrText>
      </w:r>
      <w:r>
        <w:rPr>
          <w:color w:val="000000" w:themeColor="text1"/>
        </w:rPr>
        <w:fldChar w:fldCharType="separate"/>
      </w:r>
      <w:r>
        <w:rPr>
          <w:color w:val="000000" w:themeColor="text1"/>
        </w:rPr>
        <w:t>1.6</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表 \* ARABIC \s 2</w:instrText>
      </w:r>
      <w:r>
        <w:rPr>
          <w:color w:val="000000" w:themeColor="text1"/>
        </w:rPr>
        <w:instrText xml:space="preserve"> </w:instrText>
      </w:r>
      <w:r>
        <w:rPr>
          <w:color w:val="000000" w:themeColor="text1"/>
        </w:rPr>
        <w:fldChar w:fldCharType="separate"/>
      </w:r>
      <w:r>
        <w:rPr>
          <w:color w:val="000000" w:themeColor="text1"/>
        </w:rPr>
        <w:t>8</w:t>
      </w:r>
      <w:r>
        <w:rPr>
          <w:color w:val="000000" w:themeColor="text1"/>
        </w:rPr>
        <w:fldChar w:fldCharType="end"/>
      </w:r>
      <w:r>
        <w:rPr>
          <w:rFonts w:hint="eastAsia"/>
          <w:color w:val="000000" w:themeColor="text1"/>
        </w:rPr>
        <w:t xml:space="preserve">  锅炉大气污染物排放标准</w:t>
      </w:r>
    </w:p>
    <w:tbl>
      <w:tblPr>
        <w:tblStyle w:val="39"/>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772"/>
        <w:gridCol w:w="1723"/>
        <w:gridCol w:w="1719"/>
        <w:gridCol w:w="1719"/>
        <w:gridCol w:w="171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5" w:hRule="atLeast"/>
          <w:jc w:val="center"/>
        </w:trPr>
        <w:tc>
          <w:tcPr>
            <w:tcW w:w="1437" w:type="pct"/>
            <w:vAlign w:val="center"/>
          </w:tcPr>
          <w:p>
            <w:pPr>
              <w:jc w:val="center"/>
              <w:rPr>
                <w:color w:val="000000" w:themeColor="text1"/>
                <w:sz w:val="21"/>
              </w:rPr>
            </w:pPr>
            <w:r>
              <w:rPr>
                <w:color w:val="000000" w:themeColor="text1"/>
                <w:sz w:val="21"/>
              </w:rPr>
              <w:t>污染物</w:t>
            </w:r>
          </w:p>
        </w:tc>
        <w:tc>
          <w:tcPr>
            <w:tcW w:w="893" w:type="pct"/>
            <w:vAlign w:val="center"/>
          </w:tcPr>
          <w:p>
            <w:pPr>
              <w:jc w:val="center"/>
              <w:rPr>
                <w:color w:val="000000" w:themeColor="text1"/>
                <w:sz w:val="21"/>
              </w:rPr>
            </w:pPr>
            <w:r>
              <w:rPr>
                <w:color w:val="000000" w:themeColor="text1"/>
                <w:sz w:val="21"/>
              </w:rPr>
              <w:t>烟尘</w:t>
            </w:r>
          </w:p>
        </w:tc>
        <w:tc>
          <w:tcPr>
            <w:tcW w:w="891" w:type="pct"/>
            <w:vAlign w:val="center"/>
          </w:tcPr>
          <w:p>
            <w:pPr>
              <w:jc w:val="center"/>
              <w:rPr>
                <w:color w:val="000000" w:themeColor="text1"/>
                <w:sz w:val="21"/>
              </w:rPr>
            </w:pPr>
            <w:r>
              <w:rPr>
                <w:color w:val="000000" w:themeColor="text1"/>
                <w:sz w:val="21"/>
              </w:rPr>
              <w:t>SO</w:t>
            </w:r>
            <w:r>
              <w:rPr>
                <w:color w:val="000000" w:themeColor="text1"/>
                <w:sz w:val="21"/>
                <w:vertAlign w:val="subscript"/>
              </w:rPr>
              <w:t>2</w:t>
            </w:r>
          </w:p>
        </w:tc>
        <w:tc>
          <w:tcPr>
            <w:tcW w:w="891" w:type="pct"/>
            <w:vAlign w:val="center"/>
          </w:tcPr>
          <w:p>
            <w:pPr>
              <w:jc w:val="center"/>
              <w:rPr>
                <w:color w:val="000000" w:themeColor="text1"/>
                <w:sz w:val="21"/>
              </w:rPr>
            </w:pPr>
            <w:r>
              <w:rPr>
                <w:color w:val="000000" w:themeColor="text1"/>
                <w:sz w:val="21"/>
              </w:rPr>
              <w:t>NO</w:t>
            </w:r>
            <w:r>
              <w:rPr>
                <w:color w:val="000000" w:themeColor="text1"/>
                <w:sz w:val="21"/>
                <w:vertAlign w:val="subscript"/>
              </w:rPr>
              <w:t>x</w:t>
            </w:r>
          </w:p>
        </w:tc>
        <w:tc>
          <w:tcPr>
            <w:tcW w:w="888" w:type="pct"/>
            <w:vAlign w:val="center"/>
          </w:tcPr>
          <w:p>
            <w:pPr>
              <w:jc w:val="center"/>
              <w:rPr>
                <w:color w:val="000000" w:themeColor="text1"/>
                <w:sz w:val="21"/>
              </w:rPr>
            </w:pPr>
            <w:r>
              <w:rPr>
                <w:color w:val="000000" w:themeColor="text1"/>
                <w:sz w:val="21"/>
              </w:rPr>
              <w:t>烟气黑度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6" w:hRule="atLeast"/>
          <w:jc w:val="center"/>
        </w:trPr>
        <w:tc>
          <w:tcPr>
            <w:tcW w:w="1437" w:type="pct"/>
            <w:vAlign w:val="center"/>
          </w:tcPr>
          <w:p>
            <w:pPr>
              <w:jc w:val="center"/>
              <w:rPr>
                <w:color w:val="000000" w:themeColor="text1"/>
                <w:sz w:val="21"/>
              </w:rPr>
            </w:pPr>
            <w:r>
              <w:rPr>
                <w:color w:val="000000" w:themeColor="text1"/>
                <w:sz w:val="21"/>
              </w:rPr>
              <w:t>排放浓度（mg/m</w:t>
            </w:r>
            <w:r>
              <w:rPr>
                <w:color w:val="000000" w:themeColor="text1"/>
                <w:sz w:val="21"/>
                <w:vertAlign w:val="superscript"/>
              </w:rPr>
              <w:t>3</w:t>
            </w:r>
            <w:r>
              <w:rPr>
                <w:color w:val="000000" w:themeColor="text1"/>
                <w:sz w:val="21"/>
              </w:rPr>
              <w:t>）</w:t>
            </w:r>
          </w:p>
        </w:tc>
        <w:tc>
          <w:tcPr>
            <w:tcW w:w="893" w:type="pct"/>
            <w:vAlign w:val="center"/>
          </w:tcPr>
          <w:p>
            <w:pPr>
              <w:jc w:val="center"/>
              <w:rPr>
                <w:color w:val="000000" w:themeColor="text1"/>
                <w:sz w:val="21"/>
              </w:rPr>
            </w:pPr>
            <w:r>
              <w:rPr>
                <w:rFonts w:hint="eastAsia"/>
                <w:color w:val="000000" w:themeColor="text1"/>
                <w:sz w:val="21"/>
              </w:rPr>
              <w:t>20</w:t>
            </w:r>
          </w:p>
        </w:tc>
        <w:tc>
          <w:tcPr>
            <w:tcW w:w="891" w:type="pct"/>
            <w:vAlign w:val="center"/>
          </w:tcPr>
          <w:p>
            <w:pPr>
              <w:jc w:val="center"/>
              <w:rPr>
                <w:color w:val="000000" w:themeColor="text1"/>
                <w:sz w:val="21"/>
              </w:rPr>
            </w:pPr>
            <w:r>
              <w:rPr>
                <w:rFonts w:hint="eastAsia"/>
                <w:color w:val="000000" w:themeColor="text1"/>
                <w:sz w:val="21"/>
              </w:rPr>
              <w:t>50</w:t>
            </w:r>
          </w:p>
        </w:tc>
        <w:tc>
          <w:tcPr>
            <w:tcW w:w="891" w:type="pct"/>
            <w:vAlign w:val="center"/>
          </w:tcPr>
          <w:p>
            <w:pPr>
              <w:jc w:val="center"/>
              <w:rPr>
                <w:color w:val="000000" w:themeColor="text1"/>
                <w:sz w:val="21"/>
              </w:rPr>
            </w:pPr>
            <w:r>
              <w:rPr>
                <w:rFonts w:hint="eastAsia"/>
                <w:color w:val="000000" w:themeColor="text1"/>
                <w:sz w:val="21"/>
              </w:rPr>
              <w:t>150</w:t>
            </w:r>
          </w:p>
        </w:tc>
        <w:tc>
          <w:tcPr>
            <w:tcW w:w="888" w:type="pct"/>
            <w:vAlign w:val="center"/>
          </w:tcPr>
          <w:p>
            <w:pPr>
              <w:jc w:val="center"/>
              <w:rPr>
                <w:color w:val="000000" w:themeColor="text1"/>
                <w:sz w:val="21"/>
              </w:rPr>
            </w:pPr>
            <w:r>
              <w:rPr>
                <w:color w:val="000000" w:themeColor="text1"/>
                <w:sz w:val="21"/>
              </w:rPr>
              <w:t>林格曼1级</w:t>
            </w:r>
          </w:p>
        </w:tc>
      </w:tr>
    </w:tbl>
    <w:p>
      <w:pPr>
        <w:pStyle w:val="14"/>
        <w:spacing w:line="240" w:lineRule="auto"/>
        <w:rPr>
          <w:rFonts w:cs="Times New Roman"/>
          <w:color w:val="000000" w:themeColor="text1"/>
          <w:szCs w:val="24"/>
        </w:rPr>
      </w:pPr>
      <w:r>
        <w:rPr>
          <w:rFonts w:hint="eastAsia"/>
        </w:rPr>
        <w:t>表</w:t>
      </w:r>
      <w:r>
        <w:fldChar w:fldCharType="begin"/>
      </w:r>
      <w:r>
        <w:instrText xml:space="preserve"> STYLEREF 2 \s </w:instrText>
      </w:r>
      <w:r>
        <w:fldChar w:fldCharType="separate"/>
      </w:r>
      <w:r>
        <w:t>1.6</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9</w:t>
      </w:r>
      <w:r>
        <w:fldChar w:fldCharType="end"/>
      </w:r>
      <w:r>
        <w:rPr>
          <w:rFonts w:hint="eastAsia"/>
        </w:rPr>
        <w:t xml:space="preserve"> </w:t>
      </w:r>
      <w:r>
        <w:rPr>
          <w:rFonts w:hint="eastAsia"/>
          <w:szCs w:val="24"/>
        </w:rPr>
        <w:t>污水处理站周边大气污染物最高允许浓度</w:t>
      </w:r>
    </w:p>
    <w:tbl>
      <w:tblPr>
        <w:tblStyle w:val="39"/>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055"/>
        <w:gridCol w:w="5863"/>
        <w:gridCol w:w="272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3" w:hRule="atLeast"/>
        </w:trPr>
        <w:tc>
          <w:tcPr>
            <w:tcW w:w="547" w:type="pct"/>
            <w:vAlign w:val="center"/>
          </w:tcPr>
          <w:p>
            <w:pPr>
              <w:spacing w:line="300" w:lineRule="exact"/>
              <w:jc w:val="center"/>
              <w:rPr>
                <w:rFonts w:cs="Times New Roman"/>
                <w:sz w:val="21"/>
              </w:rPr>
            </w:pPr>
            <w:r>
              <w:rPr>
                <w:rFonts w:cs="Times New Roman"/>
                <w:sz w:val="21"/>
              </w:rPr>
              <w:t>序号</w:t>
            </w:r>
          </w:p>
        </w:tc>
        <w:tc>
          <w:tcPr>
            <w:tcW w:w="3039" w:type="pct"/>
            <w:vAlign w:val="center"/>
          </w:tcPr>
          <w:p>
            <w:pPr>
              <w:spacing w:line="300" w:lineRule="exact"/>
              <w:jc w:val="center"/>
              <w:rPr>
                <w:rFonts w:cs="Times New Roman"/>
                <w:sz w:val="21"/>
              </w:rPr>
            </w:pPr>
            <w:r>
              <w:rPr>
                <w:rFonts w:cs="Times New Roman"/>
                <w:sz w:val="21"/>
              </w:rPr>
              <w:t>控制项目</w:t>
            </w:r>
          </w:p>
        </w:tc>
        <w:tc>
          <w:tcPr>
            <w:tcW w:w="1414" w:type="pct"/>
            <w:vAlign w:val="center"/>
          </w:tcPr>
          <w:p>
            <w:pPr>
              <w:spacing w:line="300" w:lineRule="exact"/>
              <w:jc w:val="center"/>
              <w:rPr>
                <w:rFonts w:cs="Times New Roman"/>
                <w:sz w:val="21"/>
              </w:rPr>
            </w:pPr>
            <w:r>
              <w:rPr>
                <w:rFonts w:cs="Times New Roman"/>
                <w:sz w:val="21"/>
              </w:rPr>
              <w:t>标准值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7" w:hRule="atLeast"/>
        </w:trPr>
        <w:tc>
          <w:tcPr>
            <w:tcW w:w="547" w:type="pct"/>
            <w:vAlign w:val="center"/>
          </w:tcPr>
          <w:p>
            <w:pPr>
              <w:spacing w:line="300" w:lineRule="exact"/>
              <w:jc w:val="center"/>
              <w:rPr>
                <w:rFonts w:cs="Times New Roman"/>
                <w:sz w:val="21"/>
              </w:rPr>
            </w:pPr>
            <w:r>
              <w:rPr>
                <w:rFonts w:cs="Times New Roman"/>
                <w:sz w:val="21"/>
              </w:rPr>
              <w:t>1</w:t>
            </w:r>
          </w:p>
        </w:tc>
        <w:tc>
          <w:tcPr>
            <w:tcW w:w="3039" w:type="pct"/>
            <w:vAlign w:val="center"/>
          </w:tcPr>
          <w:p>
            <w:pPr>
              <w:spacing w:line="300" w:lineRule="exact"/>
              <w:jc w:val="center"/>
              <w:rPr>
                <w:rFonts w:cs="Times New Roman"/>
                <w:sz w:val="21"/>
              </w:rPr>
            </w:pPr>
            <w:r>
              <w:rPr>
                <w:rFonts w:cs="Times New Roman"/>
                <w:sz w:val="21"/>
              </w:rPr>
              <w:t>氨（mg/m</w:t>
            </w:r>
            <w:r>
              <w:rPr>
                <w:rFonts w:cs="Times New Roman"/>
                <w:sz w:val="21"/>
                <w:vertAlign w:val="superscript"/>
              </w:rPr>
              <w:t>3</w:t>
            </w:r>
            <w:r>
              <w:rPr>
                <w:rFonts w:cs="Times New Roman"/>
                <w:sz w:val="21"/>
              </w:rPr>
              <w:t>）</w:t>
            </w:r>
          </w:p>
        </w:tc>
        <w:tc>
          <w:tcPr>
            <w:tcW w:w="1414" w:type="pct"/>
            <w:vAlign w:val="center"/>
          </w:tcPr>
          <w:p>
            <w:pPr>
              <w:spacing w:line="300" w:lineRule="exact"/>
              <w:jc w:val="center"/>
              <w:rPr>
                <w:rFonts w:cs="Times New Roman"/>
                <w:sz w:val="21"/>
              </w:rPr>
            </w:pPr>
            <w:r>
              <w:rPr>
                <w:rFonts w:cs="Times New Roman"/>
                <w:sz w:val="21"/>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3" w:hRule="atLeast"/>
        </w:trPr>
        <w:tc>
          <w:tcPr>
            <w:tcW w:w="547" w:type="pct"/>
            <w:vAlign w:val="center"/>
          </w:tcPr>
          <w:p>
            <w:pPr>
              <w:spacing w:line="300" w:lineRule="exact"/>
              <w:jc w:val="center"/>
              <w:rPr>
                <w:rFonts w:cs="Times New Roman"/>
                <w:sz w:val="21"/>
              </w:rPr>
            </w:pPr>
            <w:r>
              <w:rPr>
                <w:rFonts w:cs="Times New Roman"/>
                <w:sz w:val="21"/>
              </w:rPr>
              <w:t>2</w:t>
            </w:r>
          </w:p>
        </w:tc>
        <w:tc>
          <w:tcPr>
            <w:tcW w:w="3039" w:type="pct"/>
            <w:vAlign w:val="center"/>
          </w:tcPr>
          <w:p>
            <w:pPr>
              <w:spacing w:line="300" w:lineRule="exact"/>
              <w:jc w:val="center"/>
              <w:rPr>
                <w:rFonts w:cs="Times New Roman"/>
                <w:sz w:val="21"/>
              </w:rPr>
            </w:pPr>
            <w:r>
              <w:rPr>
                <w:rFonts w:cs="Times New Roman"/>
                <w:sz w:val="21"/>
              </w:rPr>
              <w:t>硫化氢（mg/m</w:t>
            </w:r>
            <w:r>
              <w:rPr>
                <w:rFonts w:cs="Times New Roman"/>
                <w:sz w:val="21"/>
                <w:vertAlign w:val="superscript"/>
              </w:rPr>
              <w:t>3</w:t>
            </w:r>
            <w:r>
              <w:rPr>
                <w:rFonts w:cs="Times New Roman"/>
                <w:sz w:val="21"/>
              </w:rPr>
              <w:t>）</w:t>
            </w:r>
          </w:p>
        </w:tc>
        <w:tc>
          <w:tcPr>
            <w:tcW w:w="1414" w:type="pct"/>
            <w:vAlign w:val="center"/>
          </w:tcPr>
          <w:p>
            <w:pPr>
              <w:spacing w:line="300" w:lineRule="exact"/>
              <w:jc w:val="center"/>
              <w:rPr>
                <w:rFonts w:cs="Times New Roman"/>
                <w:sz w:val="21"/>
              </w:rPr>
            </w:pPr>
            <w:r>
              <w:rPr>
                <w:rFonts w:cs="Times New Roman"/>
                <w:sz w:val="21"/>
              </w:rPr>
              <w:t>0.03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3" w:hRule="atLeast"/>
        </w:trPr>
        <w:tc>
          <w:tcPr>
            <w:tcW w:w="547" w:type="pct"/>
            <w:vAlign w:val="center"/>
          </w:tcPr>
          <w:p>
            <w:pPr>
              <w:spacing w:line="300" w:lineRule="exact"/>
              <w:jc w:val="center"/>
              <w:rPr>
                <w:rFonts w:cs="Times New Roman"/>
                <w:sz w:val="21"/>
              </w:rPr>
            </w:pPr>
            <w:r>
              <w:rPr>
                <w:rFonts w:cs="Times New Roman"/>
                <w:sz w:val="21"/>
              </w:rPr>
              <w:t>3</w:t>
            </w:r>
          </w:p>
        </w:tc>
        <w:tc>
          <w:tcPr>
            <w:tcW w:w="3039" w:type="pct"/>
            <w:vAlign w:val="center"/>
          </w:tcPr>
          <w:p>
            <w:pPr>
              <w:spacing w:line="300" w:lineRule="exact"/>
              <w:jc w:val="center"/>
              <w:rPr>
                <w:rFonts w:cs="Times New Roman"/>
                <w:sz w:val="21"/>
              </w:rPr>
            </w:pPr>
            <w:r>
              <w:rPr>
                <w:rFonts w:cs="Times New Roman"/>
                <w:sz w:val="21"/>
              </w:rPr>
              <w:t>臭气浓度（无量纲）</w:t>
            </w:r>
          </w:p>
        </w:tc>
        <w:tc>
          <w:tcPr>
            <w:tcW w:w="1414" w:type="pct"/>
            <w:vAlign w:val="center"/>
          </w:tcPr>
          <w:p>
            <w:pPr>
              <w:spacing w:line="300" w:lineRule="exact"/>
              <w:jc w:val="center"/>
              <w:rPr>
                <w:rFonts w:cs="Times New Roman"/>
                <w:sz w:val="21"/>
              </w:rPr>
            </w:pPr>
            <w:r>
              <w:rPr>
                <w:rFonts w:cs="Times New Roman"/>
                <w:sz w:val="21"/>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7" w:hRule="atLeast"/>
        </w:trPr>
        <w:tc>
          <w:tcPr>
            <w:tcW w:w="547" w:type="pct"/>
            <w:vAlign w:val="center"/>
          </w:tcPr>
          <w:p>
            <w:pPr>
              <w:spacing w:line="300" w:lineRule="exact"/>
              <w:jc w:val="center"/>
              <w:rPr>
                <w:rFonts w:cs="Times New Roman"/>
                <w:sz w:val="21"/>
              </w:rPr>
            </w:pPr>
            <w:r>
              <w:rPr>
                <w:rFonts w:cs="Times New Roman"/>
                <w:sz w:val="21"/>
              </w:rPr>
              <w:t>4</w:t>
            </w:r>
          </w:p>
        </w:tc>
        <w:tc>
          <w:tcPr>
            <w:tcW w:w="3039" w:type="pct"/>
            <w:vAlign w:val="center"/>
          </w:tcPr>
          <w:p>
            <w:pPr>
              <w:spacing w:line="300" w:lineRule="exact"/>
              <w:jc w:val="center"/>
              <w:rPr>
                <w:rFonts w:cs="Times New Roman"/>
                <w:sz w:val="21"/>
              </w:rPr>
            </w:pPr>
            <w:r>
              <w:rPr>
                <w:rFonts w:cs="Times New Roman"/>
                <w:sz w:val="21"/>
              </w:rPr>
              <w:t>氯气（mg/m</w:t>
            </w:r>
            <w:r>
              <w:rPr>
                <w:rFonts w:cs="Times New Roman"/>
                <w:sz w:val="21"/>
                <w:vertAlign w:val="superscript"/>
              </w:rPr>
              <w:t>3</w:t>
            </w:r>
            <w:r>
              <w:rPr>
                <w:rFonts w:cs="Times New Roman"/>
                <w:sz w:val="21"/>
              </w:rPr>
              <w:t>）</w:t>
            </w:r>
          </w:p>
        </w:tc>
        <w:tc>
          <w:tcPr>
            <w:tcW w:w="1414" w:type="pct"/>
            <w:vAlign w:val="center"/>
          </w:tcPr>
          <w:p>
            <w:pPr>
              <w:spacing w:line="300" w:lineRule="exact"/>
              <w:jc w:val="center"/>
              <w:rPr>
                <w:rFonts w:cs="Times New Roman"/>
                <w:sz w:val="21"/>
              </w:rPr>
            </w:pPr>
            <w:r>
              <w:rPr>
                <w:rFonts w:cs="Times New Roman"/>
                <w:sz w:val="21"/>
              </w:rPr>
              <w:t>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3" w:hRule="atLeast"/>
        </w:trPr>
        <w:tc>
          <w:tcPr>
            <w:tcW w:w="547" w:type="pct"/>
            <w:vAlign w:val="center"/>
          </w:tcPr>
          <w:p>
            <w:pPr>
              <w:spacing w:line="300" w:lineRule="exact"/>
              <w:jc w:val="center"/>
              <w:rPr>
                <w:rFonts w:cs="Times New Roman"/>
                <w:sz w:val="21"/>
              </w:rPr>
            </w:pPr>
            <w:r>
              <w:rPr>
                <w:rFonts w:cs="Times New Roman"/>
                <w:sz w:val="21"/>
              </w:rPr>
              <w:t>5</w:t>
            </w:r>
          </w:p>
        </w:tc>
        <w:tc>
          <w:tcPr>
            <w:tcW w:w="3039" w:type="pct"/>
            <w:vAlign w:val="center"/>
          </w:tcPr>
          <w:p>
            <w:pPr>
              <w:spacing w:line="300" w:lineRule="exact"/>
              <w:jc w:val="center"/>
              <w:rPr>
                <w:rFonts w:cs="Times New Roman"/>
                <w:sz w:val="21"/>
              </w:rPr>
            </w:pPr>
            <w:r>
              <w:rPr>
                <w:rFonts w:cs="Times New Roman"/>
                <w:sz w:val="21"/>
              </w:rPr>
              <w:t>甲烷（指处理站内最高体积百分数%）</w:t>
            </w:r>
          </w:p>
        </w:tc>
        <w:tc>
          <w:tcPr>
            <w:tcW w:w="1414" w:type="pct"/>
            <w:vAlign w:val="center"/>
          </w:tcPr>
          <w:p>
            <w:pPr>
              <w:spacing w:line="300" w:lineRule="exact"/>
              <w:jc w:val="center"/>
              <w:rPr>
                <w:rFonts w:cs="Times New Roman"/>
                <w:sz w:val="21"/>
              </w:rPr>
            </w:pPr>
            <w:r>
              <w:rPr>
                <w:rFonts w:cs="Times New Roman"/>
                <w:sz w:val="21"/>
              </w:rPr>
              <w:t>1%</w:t>
            </w:r>
          </w:p>
        </w:tc>
      </w:tr>
    </w:tbl>
    <w:p>
      <w:pPr>
        <w:pStyle w:val="56"/>
        <w:keepNext w:val="0"/>
        <w:keepLines w:val="0"/>
        <w:rPr>
          <w:color w:val="000000" w:themeColor="text1"/>
        </w:rPr>
      </w:pPr>
      <w:r>
        <w:rPr>
          <w:rFonts w:hint="eastAsia"/>
          <w:color w:val="000000" w:themeColor="text1"/>
        </w:rPr>
        <w:t>废水</w:t>
      </w:r>
    </w:p>
    <w:p>
      <w:pPr>
        <w:pStyle w:val="56"/>
        <w:keepNext w:val="0"/>
        <w:keepLines w:val="0"/>
        <w:numPr>
          <w:ilvl w:val="0"/>
          <w:numId w:val="0"/>
        </w:numPr>
        <w:ind w:firstLine="480" w:firstLineChars="200"/>
        <w:outlineLvl w:val="9"/>
        <w:rPr>
          <w:rFonts w:hAnsi="宋体" w:cs="Times New Roman"/>
          <w:b w:val="0"/>
          <w:color w:val="000000" w:themeColor="text1"/>
        </w:rPr>
      </w:pPr>
      <w:r>
        <w:rPr>
          <w:rFonts w:hint="eastAsia" w:cs="Times New Roman"/>
          <w:b w:val="0"/>
          <w:color w:val="000000" w:themeColor="text1"/>
        </w:rPr>
        <w:t>项目区域污水经市政污水管网最终进入马豪污水处理厂处理达标后排入东风湖，本项目的废水通过自建污水处理站处理后，排水水质执行《医疗机构水污染物排放标准》</w:t>
      </w:r>
      <w:r>
        <w:rPr>
          <w:rFonts w:hAnsi="宋体"/>
          <w:b w:val="0"/>
        </w:rPr>
        <w:t>（GB18466-2005）中“综合医疗机构和其他医疗机构水污染物排放限值（日均值）”的预处理标准并满足马壕污水处理厂接管标准要求</w:t>
      </w:r>
      <w:r>
        <w:rPr>
          <w:rFonts w:cs="Times New Roman" w:hAnsiTheme="minorEastAsia"/>
          <w:b w:val="0"/>
          <w:color w:val="000000" w:themeColor="text1"/>
        </w:rPr>
        <w:t>，院内生活污水排放执行</w:t>
      </w:r>
      <w:r>
        <w:rPr>
          <w:rFonts w:hint="eastAsia" w:cs="Times New Roman" w:hAnsiTheme="minorEastAsia"/>
          <w:b w:val="0"/>
          <w:color w:val="000000" w:themeColor="text1"/>
        </w:rPr>
        <w:t>《污水综合排放标准》中三级排放标准并满足马壕污水处理厂接管标准要求，马壕污水处理厂执行《城镇污水处理厂污染物排放标准》（GB18918-2002）一级A标准，其污染标准值</w:t>
      </w:r>
      <w:r>
        <w:rPr>
          <w:rFonts w:cs="Times New Roman" w:hAnsiTheme="minorEastAsia"/>
          <w:b w:val="0"/>
          <w:color w:val="000000" w:themeColor="text1"/>
        </w:rPr>
        <w:t>具体见下表所示</w:t>
      </w:r>
      <w:r>
        <w:rPr>
          <w:rFonts w:hint="eastAsia" w:hAnsi="宋体" w:cs="Times New Roman"/>
          <w:b w:val="0"/>
          <w:color w:val="000000" w:themeColor="text1"/>
        </w:rPr>
        <w:t>。</w:t>
      </w:r>
    </w:p>
    <w:p>
      <w:pPr>
        <w:pStyle w:val="14"/>
        <w:spacing w:line="240" w:lineRule="auto"/>
        <w:rPr>
          <w:rFonts w:hAnsi="宋体"/>
        </w:rPr>
      </w:pPr>
      <w:r>
        <w:rPr>
          <w:rFonts w:hint="eastAsia"/>
          <w:color w:val="000000" w:themeColor="text1"/>
        </w:rPr>
        <w:t>表</w:t>
      </w:r>
      <w:r>
        <w:rPr>
          <w:color w:val="000000" w:themeColor="text1"/>
        </w:rPr>
        <w:fldChar w:fldCharType="begin"/>
      </w:r>
      <w:r>
        <w:rPr>
          <w:color w:val="000000" w:themeColor="text1"/>
        </w:rPr>
        <w:instrText xml:space="preserve"> </w:instrText>
      </w:r>
      <w:r>
        <w:rPr>
          <w:rFonts w:hint="eastAsia"/>
          <w:color w:val="000000" w:themeColor="text1"/>
        </w:rPr>
        <w:instrText xml:space="preserve">STYLEREF 2 \s</w:instrText>
      </w:r>
      <w:r>
        <w:rPr>
          <w:color w:val="000000" w:themeColor="text1"/>
        </w:rPr>
        <w:instrText xml:space="preserve"> </w:instrText>
      </w:r>
      <w:r>
        <w:rPr>
          <w:color w:val="000000" w:themeColor="text1"/>
        </w:rPr>
        <w:fldChar w:fldCharType="separate"/>
      </w:r>
      <w:r>
        <w:rPr>
          <w:color w:val="000000" w:themeColor="text1"/>
        </w:rPr>
        <w:t>1.6</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表 \* ARABIC \s 2</w:instrText>
      </w:r>
      <w:r>
        <w:rPr>
          <w:color w:val="000000" w:themeColor="text1"/>
        </w:rPr>
        <w:instrText xml:space="preserve"> </w:instrText>
      </w:r>
      <w:r>
        <w:rPr>
          <w:color w:val="000000" w:themeColor="text1"/>
        </w:rPr>
        <w:fldChar w:fldCharType="separate"/>
      </w:r>
      <w:r>
        <w:rPr>
          <w:color w:val="000000" w:themeColor="text1"/>
        </w:rPr>
        <w:t>10</w:t>
      </w:r>
      <w:r>
        <w:rPr>
          <w:color w:val="000000" w:themeColor="text1"/>
        </w:rPr>
        <w:fldChar w:fldCharType="end"/>
      </w:r>
      <w:r>
        <w:rPr>
          <w:rFonts w:hint="eastAsia"/>
          <w:color w:val="000000" w:themeColor="text1"/>
        </w:rPr>
        <w:t xml:space="preserve"> </w:t>
      </w:r>
      <w:r>
        <w:rPr>
          <w:rFonts w:hint="eastAsia" w:cs="Times New Roman"/>
          <w:color w:val="000000" w:themeColor="text1"/>
        </w:rPr>
        <w:t>《医疗机构水污染物排放标准》</w:t>
      </w:r>
      <w:r>
        <w:rPr>
          <w:rFonts w:hAnsi="宋体"/>
        </w:rPr>
        <w:t>（GB18466-2005）</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9"/>
        <w:gridCol w:w="3314"/>
        <w:gridCol w:w="5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2" w:type="pct"/>
            <w:vAlign w:val="center"/>
          </w:tcPr>
          <w:p>
            <w:pPr>
              <w:pStyle w:val="73"/>
              <w:snapToGrid w:val="0"/>
              <w:jc w:val="center"/>
              <w:rPr>
                <w:rFonts w:eastAsia="宋体"/>
                <w:color w:val="auto"/>
                <w:sz w:val="21"/>
                <w:szCs w:val="21"/>
              </w:rPr>
            </w:pPr>
            <w:r>
              <w:rPr>
                <w:rFonts w:hAnsi="宋体" w:eastAsia="宋体"/>
                <w:color w:val="auto"/>
                <w:sz w:val="21"/>
                <w:szCs w:val="21"/>
              </w:rPr>
              <w:t>序号</w:t>
            </w:r>
          </w:p>
        </w:tc>
        <w:tc>
          <w:tcPr>
            <w:tcW w:w="1718" w:type="pct"/>
            <w:vAlign w:val="center"/>
          </w:tcPr>
          <w:p>
            <w:pPr>
              <w:pStyle w:val="73"/>
              <w:snapToGrid w:val="0"/>
              <w:jc w:val="center"/>
              <w:rPr>
                <w:rFonts w:eastAsia="宋体"/>
                <w:color w:val="auto"/>
                <w:sz w:val="21"/>
                <w:szCs w:val="21"/>
              </w:rPr>
            </w:pPr>
            <w:r>
              <w:rPr>
                <w:rFonts w:hAnsi="宋体" w:eastAsia="宋体"/>
                <w:color w:val="auto"/>
                <w:sz w:val="21"/>
                <w:szCs w:val="21"/>
              </w:rPr>
              <w:t>污染物类型</w:t>
            </w:r>
          </w:p>
        </w:tc>
        <w:tc>
          <w:tcPr>
            <w:tcW w:w="2640" w:type="pct"/>
            <w:vAlign w:val="center"/>
          </w:tcPr>
          <w:p>
            <w:pPr>
              <w:pStyle w:val="73"/>
              <w:snapToGrid w:val="0"/>
              <w:jc w:val="center"/>
              <w:rPr>
                <w:rFonts w:eastAsia="宋体"/>
                <w:color w:val="auto"/>
                <w:sz w:val="21"/>
                <w:szCs w:val="21"/>
              </w:rPr>
            </w:pPr>
            <w:r>
              <w:rPr>
                <w:rFonts w:eastAsia="宋体"/>
                <w:color w:val="auto"/>
                <w:sz w:val="21"/>
                <w:szCs w:val="21"/>
              </w:rPr>
              <w:t>GB18466-2005</w:t>
            </w:r>
            <w:r>
              <w:rPr>
                <w:rFonts w:hAnsi="宋体" w:eastAsia="宋体"/>
                <w:color w:val="auto"/>
                <w:sz w:val="21"/>
                <w:szCs w:val="21"/>
              </w:rPr>
              <w:t>预处理标准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2" w:type="pct"/>
            <w:vAlign w:val="center"/>
          </w:tcPr>
          <w:p>
            <w:pPr>
              <w:pStyle w:val="73"/>
              <w:snapToGrid w:val="0"/>
              <w:jc w:val="center"/>
              <w:rPr>
                <w:rFonts w:eastAsia="宋体"/>
                <w:color w:val="auto"/>
                <w:sz w:val="21"/>
                <w:szCs w:val="21"/>
              </w:rPr>
            </w:pPr>
            <w:r>
              <w:rPr>
                <w:rFonts w:eastAsia="宋体"/>
                <w:color w:val="auto"/>
                <w:sz w:val="21"/>
                <w:szCs w:val="21"/>
              </w:rPr>
              <w:t>1</w:t>
            </w:r>
          </w:p>
        </w:tc>
        <w:tc>
          <w:tcPr>
            <w:tcW w:w="1718" w:type="pct"/>
            <w:vAlign w:val="center"/>
          </w:tcPr>
          <w:p>
            <w:pPr>
              <w:pStyle w:val="73"/>
              <w:snapToGrid w:val="0"/>
              <w:jc w:val="center"/>
              <w:rPr>
                <w:rFonts w:eastAsia="宋体"/>
                <w:color w:val="auto"/>
                <w:sz w:val="21"/>
                <w:szCs w:val="21"/>
              </w:rPr>
            </w:pPr>
            <w:r>
              <w:rPr>
                <w:rFonts w:eastAsia="宋体"/>
                <w:color w:val="auto"/>
                <w:sz w:val="21"/>
                <w:szCs w:val="21"/>
              </w:rPr>
              <w:t>pH</w:t>
            </w:r>
          </w:p>
        </w:tc>
        <w:tc>
          <w:tcPr>
            <w:tcW w:w="2640" w:type="pct"/>
            <w:vAlign w:val="center"/>
          </w:tcPr>
          <w:p>
            <w:pPr>
              <w:pStyle w:val="73"/>
              <w:snapToGrid w:val="0"/>
              <w:jc w:val="center"/>
              <w:rPr>
                <w:rFonts w:eastAsia="宋体"/>
                <w:color w:val="auto"/>
                <w:sz w:val="21"/>
                <w:szCs w:val="21"/>
              </w:rPr>
            </w:pPr>
            <w:r>
              <w:rPr>
                <w:rFonts w:eastAsia="宋体"/>
                <w:color w:val="auto"/>
                <w:sz w:val="21"/>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2" w:type="pct"/>
            <w:vAlign w:val="center"/>
          </w:tcPr>
          <w:p>
            <w:pPr>
              <w:pStyle w:val="73"/>
              <w:snapToGrid w:val="0"/>
              <w:jc w:val="center"/>
              <w:rPr>
                <w:rFonts w:eastAsia="宋体"/>
                <w:color w:val="auto"/>
                <w:sz w:val="21"/>
                <w:szCs w:val="21"/>
              </w:rPr>
            </w:pPr>
            <w:r>
              <w:rPr>
                <w:rFonts w:eastAsia="宋体"/>
                <w:color w:val="auto"/>
                <w:sz w:val="21"/>
                <w:szCs w:val="21"/>
              </w:rPr>
              <w:t>2</w:t>
            </w:r>
          </w:p>
        </w:tc>
        <w:tc>
          <w:tcPr>
            <w:tcW w:w="1718" w:type="pct"/>
            <w:vAlign w:val="center"/>
          </w:tcPr>
          <w:p>
            <w:pPr>
              <w:pStyle w:val="73"/>
              <w:snapToGrid w:val="0"/>
              <w:jc w:val="center"/>
              <w:rPr>
                <w:rFonts w:eastAsia="宋体"/>
                <w:color w:val="auto"/>
                <w:sz w:val="21"/>
                <w:szCs w:val="21"/>
              </w:rPr>
            </w:pPr>
            <w:r>
              <w:rPr>
                <w:rFonts w:eastAsia="宋体"/>
                <w:color w:val="auto"/>
                <w:sz w:val="21"/>
                <w:szCs w:val="21"/>
              </w:rPr>
              <w:t>COD</w:t>
            </w:r>
            <w:r>
              <w:rPr>
                <w:rFonts w:eastAsia="宋体"/>
                <w:color w:val="auto"/>
                <w:sz w:val="21"/>
                <w:szCs w:val="21"/>
                <w:vertAlign w:val="subscript"/>
              </w:rPr>
              <w:t>Cr</w:t>
            </w:r>
            <w:r>
              <w:rPr>
                <w:rFonts w:hAnsi="宋体" w:eastAsia="宋体"/>
                <w:color w:val="auto"/>
                <w:sz w:val="21"/>
                <w:szCs w:val="21"/>
              </w:rPr>
              <w:t>（</w:t>
            </w:r>
            <w:r>
              <w:rPr>
                <w:rFonts w:eastAsia="宋体"/>
                <w:color w:val="auto"/>
                <w:sz w:val="21"/>
                <w:szCs w:val="21"/>
              </w:rPr>
              <w:t>mg/L</w:t>
            </w:r>
            <w:r>
              <w:rPr>
                <w:rFonts w:hAnsi="宋体" w:eastAsia="宋体"/>
                <w:color w:val="auto"/>
                <w:sz w:val="21"/>
                <w:szCs w:val="21"/>
              </w:rPr>
              <w:t>）</w:t>
            </w:r>
          </w:p>
        </w:tc>
        <w:tc>
          <w:tcPr>
            <w:tcW w:w="2640" w:type="pct"/>
            <w:vAlign w:val="center"/>
          </w:tcPr>
          <w:p>
            <w:pPr>
              <w:pStyle w:val="73"/>
              <w:snapToGrid w:val="0"/>
              <w:jc w:val="center"/>
              <w:rPr>
                <w:rFonts w:eastAsia="宋体"/>
                <w:color w:val="auto"/>
                <w:sz w:val="21"/>
                <w:szCs w:val="21"/>
              </w:rPr>
            </w:pPr>
            <w:r>
              <w:rPr>
                <w:rFonts w:eastAsia="宋体"/>
                <w:color w:val="auto"/>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2" w:type="pct"/>
            <w:vAlign w:val="center"/>
          </w:tcPr>
          <w:p>
            <w:pPr>
              <w:pStyle w:val="73"/>
              <w:snapToGrid w:val="0"/>
              <w:jc w:val="center"/>
              <w:rPr>
                <w:rFonts w:eastAsia="宋体"/>
                <w:color w:val="auto"/>
                <w:sz w:val="21"/>
                <w:szCs w:val="21"/>
              </w:rPr>
            </w:pPr>
            <w:r>
              <w:rPr>
                <w:rFonts w:eastAsia="宋体"/>
                <w:color w:val="auto"/>
                <w:sz w:val="21"/>
                <w:szCs w:val="21"/>
              </w:rPr>
              <w:t>3</w:t>
            </w:r>
          </w:p>
        </w:tc>
        <w:tc>
          <w:tcPr>
            <w:tcW w:w="1718" w:type="pct"/>
            <w:vAlign w:val="center"/>
          </w:tcPr>
          <w:p>
            <w:pPr>
              <w:pStyle w:val="73"/>
              <w:snapToGrid w:val="0"/>
              <w:jc w:val="center"/>
              <w:rPr>
                <w:rFonts w:eastAsia="宋体"/>
                <w:color w:val="auto"/>
                <w:sz w:val="21"/>
                <w:szCs w:val="21"/>
              </w:rPr>
            </w:pPr>
            <w:r>
              <w:rPr>
                <w:rFonts w:eastAsia="宋体"/>
                <w:color w:val="auto"/>
                <w:sz w:val="21"/>
                <w:szCs w:val="21"/>
              </w:rPr>
              <w:t>BOD</w:t>
            </w:r>
            <w:r>
              <w:rPr>
                <w:rFonts w:eastAsia="宋体"/>
                <w:color w:val="auto"/>
                <w:sz w:val="21"/>
                <w:szCs w:val="21"/>
                <w:vertAlign w:val="subscript"/>
              </w:rPr>
              <w:t>5</w:t>
            </w:r>
            <w:r>
              <w:rPr>
                <w:rFonts w:hAnsi="宋体" w:eastAsia="宋体"/>
                <w:color w:val="auto"/>
                <w:sz w:val="21"/>
                <w:szCs w:val="21"/>
              </w:rPr>
              <w:t>（</w:t>
            </w:r>
            <w:r>
              <w:rPr>
                <w:rFonts w:eastAsia="宋体"/>
                <w:color w:val="auto"/>
                <w:sz w:val="21"/>
                <w:szCs w:val="21"/>
              </w:rPr>
              <w:t>mg/L</w:t>
            </w:r>
            <w:r>
              <w:rPr>
                <w:rFonts w:hAnsi="宋体" w:eastAsia="宋体"/>
                <w:color w:val="auto"/>
                <w:sz w:val="21"/>
                <w:szCs w:val="21"/>
              </w:rPr>
              <w:t>）</w:t>
            </w:r>
          </w:p>
        </w:tc>
        <w:tc>
          <w:tcPr>
            <w:tcW w:w="2640" w:type="pct"/>
            <w:vAlign w:val="center"/>
          </w:tcPr>
          <w:p>
            <w:pPr>
              <w:pStyle w:val="73"/>
              <w:snapToGrid w:val="0"/>
              <w:jc w:val="center"/>
              <w:rPr>
                <w:rFonts w:eastAsia="宋体"/>
                <w:color w:val="auto"/>
                <w:sz w:val="21"/>
                <w:szCs w:val="21"/>
              </w:rPr>
            </w:pPr>
            <w:r>
              <w:rPr>
                <w:rFonts w:eastAsia="宋体"/>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2" w:type="pct"/>
            <w:vAlign w:val="center"/>
          </w:tcPr>
          <w:p>
            <w:pPr>
              <w:pStyle w:val="73"/>
              <w:snapToGrid w:val="0"/>
              <w:jc w:val="center"/>
              <w:rPr>
                <w:rFonts w:eastAsia="宋体"/>
                <w:color w:val="auto"/>
                <w:sz w:val="21"/>
                <w:szCs w:val="21"/>
              </w:rPr>
            </w:pPr>
            <w:r>
              <w:rPr>
                <w:rFonts w:eastAsia="宋体"/>
                <w:color w:val="auto"/>
                <w:sz w:val="21"/>
                <w:szCs w:val="21"/>
              </w:rPr>
              <w:t>4</w:t>
            </w:r>
          </w:p>
        </w:tc>
        <w:tc>
          <w:tcPr>
            <w:tcW w:w="1718" w:type="pct"/>
            <w:vAlign w:val="center"/>
          </w:tcPr>
          <w:p>
            <w:pPr>
              <w:pStyle w:val="73"/>
              <w:snapToGrid w:val="0"/>
              <w:jc w:val="center"/>
              <w:rPr>
                <w:rFonts w:eastAsia="宋体"/>
                <w:color w:val="auto"/>
                <w:sz w:val="21"/>
                <w:szCs w:val="21"/>
              </w:rPr>
            </w:pPr>
            <w:r>
              <w:rPr>
                <w:rFonts w:eastAsia="宋体"/>
                <w:color w:val="auto"/>
                <w:sz w:val="21"/>
                <w:szCs w:val="21"/>
              </w:rPr>
              <w:t>SS</w:t>
            </w:r>
            <w:r>
              <w:rPr>
                <w:rFonts w:hAnsi="宋体" w:eastAsia="宋体"/>
                <w:color w:val="auto"/>
                <w:sz w:val="21"/>
                <w:szCs w:val="21"/>
              </w:rPr>
              <w:t>（</w:t>
            </w:r>
            <w:r>
              <w:rPr>
                <w:rFonts w:eastAsia="宋体"/>
                <w:color w:val="auto"/>
                <w:sz w:val="21"/>
                <w:szCs w:val="21"/>
              </w:rPr>
              <w:t>mg/L</w:t>
            </w:r>
            <w:r>
              <w:rPr>
                <w:rFonts w:hAnsi="宋体" w:eastAsia="宋体"/>
                <w:color w:val="auto"/>
                <w:sz w:val="21"/>
                <w:szCs w:val="21"/>
              </w:rPr>
              <w:t>）</w:t>
            </w:r>
          </w:p>
        </w:tc>
        <w:tc>
          <w:tcPr>
            <w:tcW w:w="2640" w:type="pct"/>
            <w:vAlign w:val="center"/>
          </w:tcPr>
          <w:p>
            <w:pPr>
              <w:pStyle w:val="73"/>
              <w:snapToGrid w:val="0"/>
              <w:jc w:val="center"/>
              <w:rPr>
                <w:rFonts w:eastAsia="宋体"/>
                <w:color w:val="auto"/>
                <w:sz w:val="21"/>
                <w:szCs w:val="21"/>
              </w:rPr>
            </w:pPr>
            <w:r>
              <w:rPr>
                <w:rFonts w:eastAsia="宋体"/>
                <w:color w:val="auto"/>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2" w:type="pct"/>
            <w:vAlign w:val="center"/>
          </w:tcPr>
          <w:p>
            <w:pPr>
              <w:pStyle w:val="73"/>
              <w:snapToGrid w:val="0"/>
              <w:jc w:val="center"/>
              <w:rPr>
                <w:rFonts w:eastAsia="宋体"/>
                <w:color w:val="auto"/>
                <w:sz w:val="21"/>
                <w:szCs w:val="21"/>
              </w:rPr>
            </w:pPr>
            <w:r>
              <w:rPr>
                <w:rFonts w:eastAsia="宋体"/>
                <w:color w:val="auto"/>
                <w:sz w:val="21"/>
                <w:szCs w:val="21"/>
              </w:rPr>
              <w:t>5</w:t>
            </w:r>
          </w:p>
        </w:tc>
        <w:tc>
          <w:tcPr>
            <w:tcW w:w="1718" w:type="pct"/>
            <w:vAlign w:val="center"/>
          </w:tcPr>
          <w:p>
            <w:pPr>
              <w:pStyle w:val="73"/>
              <w:snapToGrid w:val="0"/>
              <w:jc w:val="center"/>
              <w:rPr>
                <w:rFonts w:eastAsia="宋体"/>
                <w:color w:val="auto"/>
                <w:sz w:val="21"/>
                <w:szCs w:val="21"/>
              </w:rPr>
            </w:pPr>
            <w:r>
              <w:rPr>
                <w:rFonts w:hAnsi="宋体" w:eastAsia="宋体"/>
                <w:color w:val="auto"/>
                <w:sz w:val="21"/>
                <w:szCs w:val="21"/>
              </w:rPr>
              <w:t>总余氯（</w:t>
            </w:r>
            <w:r>
              <w:rPr>
                <w:rFonts w:eastAsia="宋体"/>
                <w:color w:val="auto"/>
                <w:sz w:val="21"/>
                <w:szCs w:val="21"/>
              </w:rPr>
              <w:t>mg/L</w:t>
            </w:r>
            <w:r>
              <w:rPr>
                <w:rFonts w:hAnsi="宋体" w:eastAsia="宋体"/>
                <w:color w:val="auto"/>
                <w:sz w:val="21"/>
                <w:szCs w:val="21"/>
              </w:rPr>
              <w:t>）</w:t>
            </w:r>
          </w:p>
        </w:tc>
        <w:tc>
          <w:tcPr>
            <w:tcW w:w="2640" w:type="pct"/>
            <w:vAlign w:val="center"/>
          </w:tcPr>
          <w:p>
            <w:pPr>
              <w:pStyle w:val="73"/>
              <w:snapToGrid w:val="0"/>
              <w:jc w:val="center"/>
              <w:rPr>
                <w:rFonts w:eastAsia="宋体"/>
                <w:color w:val="auto"/>
                <w:sz w:val="21"/>
                <w:szCs w:val="21"/>
              </w:rPr>
            </w:pPr>
            <w:r>
              <w:rPr>
                <w:rFonts w:eastAsia="宋体"/>
                <w:color w:val="auto"/>
                <w:sz w:val="21"/>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2" w:type="pct"/>
            <w:vAlign w:val="center"/>
          </w:tcPr>
          <w:p>
            <w:pPr>
              <w:pStyle w:val="73"/>
              <w:snapToGrid w:val="0"/>
              <w:jc w:val="center"/>
              <w:rPr>
                <w:rFonts w:eastAsia="宋体"/>
                <w:color w:val="auto"/>
                <w:sz w:val="21"/>
                <w:szCs w:val="21"/>
              </w:rPr>
            </w:pPr>
            <w:r>
              <w:rPr>
                <w:rFonts w:eastAsia="宋体"/>
                <w:color w:val="auto"/>
                <w:sz w:val="21"/>
                <w:szCs w:val="21"/>
              </w:rPr>
              <w:t>6</w:t>
            </w:r>
          </w:p>
        </w:tc>
        <w:tc>
          <w:tcPr>
            <w:tcW w:w="1718" w:type="pct"/>
            <w:vAlign w:val="center"/>
          </w:tcPr>
          <w:p>
            <w:pPr>
              <w:pStyle w:val="73"/>
              <w:snapToGrid w:val="0"/>
              <w:jc w:val="center"/>
              <w:rPr>
                <w:rFonts w:eastAsia="宋体"/>
                <w:color w:val="auto"/>
                <w:sz w:val="21"/>
                <w:szCs w:val="21"/>
              </w:rPr>
            </w:pPr>
            <w:r>
              <w:rPr>
                <w:rFonts w:hAnsi="宋体" w:eastAsia="宋体"/>
                <w:color w:val="auto"/>
                <w:sz w:val="21"/>
                <w:szCs w:val="21"/>
              </w:rPr>
              <w:t>粪大肠菌群数（</w:t>
            </w:r>
            <w:r>
              <w:rPr>
                <w:rFonts w:eastAsia="宋体"/>
                <w:color w:val="auto"/>
                <w:sz w:val="21"/>
                <w:szCs w:val="21"/>
              </w:rPr>
              <w:t>MPN/L</w:t>
            </w:r>
            <w:r>
              <w:rPr>
                <w:rFonts w:hAnsi="宋体" w:eastAsia="宋体"/>
                <w:color w:val="auto"/>
                <w:sz w:val="21"/>
                <w:szCs w:val="21"/>
              </w:rPr>
              <w:t>）</w:t>
            </w:r>
          </w:p>
        </w:tc>
        <w:tc>
          <w:tcPr>
            <w:tcW w:w="2640" w:type="pct"/>
            <w:vAlign w:val="center"/>
          </w:tcPr>
          <w:p>
            <w:pPr>
              <w:pStyle w:val="73"/>
              <w:snapToGrid w:val="0"/>
              <w:jc w:val="center"/>
              <w:rPr>
                <w:rFonts w:eastAsia="宋体"/>
                <w:color w:val="auto"/>
                <w:sz w:val="21"/>
                <w:szCs w:val="21"/>
              </w:rPr>
            </w:pPr>
            <w:r>
              <w:rPr>
                <w:rFonts w:eastAsia="宋体"/>
                <w:color w:val="auto"/>
                <w:sz w:val="21"/>
                <w:szCs w:val="21"/>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2" w:type="pct"/>
            <w:vAlign w:val="center"/>
          </w:tcPr>
          <w:p>
            <w:pPr>
              <w:pStyle w:val="73"/>
              <w:snapToGrid w:val="0"/>
              <w:jc w:val="center"/>
              <w:rPr>
                <w:rFonts w:eastAsia="宋体"/>
                <w:color w:val="auto"/>
                <w:sz w:val="21"/>
                <w:szCs w:val="21"/>
              </w:rPr>
            </w:pPr>
            <w:r>
              <w:rPr>
                <w:rFonts w:eastAsia="宋体"/>
                <w:color w:val="auto"/>
                <w:sz w:val="21"/>
                <w:szCs w:val="21"/>
              </w:rPr>
              <w:t>7</w:t>
            </w:r>
          </w:p>
        </w:tc>
        <w:tc>
          <w:tcPr>
            <w:tcW w:w="1718" w:type="pct"/>
            <w:vAlign w:val="center"/>
          </w:tcPr>
          <w:p>
            <w:pPr>
              <w:pStyle w:val="73"/>
              <w:snapToGrid w:val="0"/>
              <w:jc w:val="center"/>
              <w:rPr>
                <w:rFonts w:eastAsia="宋体"/>
                <w:color w:val="auto"/>
                <w:sz w:val="21"/>
                <w:szCs w:val="21"/>
              </w:rPr>
            </w:pPr>
            <w:r>
              <w:rPr>
                <w:rFonts w:hAnsi="宋体" w:eastAsia="宋体"/>
                <w:color w:val="auto"/>
                <w:sz w:val="21"/>
                <w:szCs w:val="21"/>
              </w:rPr>
              <w:t>氨氮（</w:t>
            </w:r>
            <w:r>
              <w:rPr>
                <w:rFonts w:eastAsia="宋体"/>
                <w:color w:val="auto"/>
                <w:sz w:val="21"/>
                <w:szCs w:val="21"/>
              </w:rPr>
              <w:t>mg/L</w:t>
            </w:r>
            <w:r>
              <w:rPr>
                <w:rFonts w:hAnsi="宋体" w:eastAsia="宋体"/>
                <w:color w:val="auto"/>
                <w:sz w:val="21"/>
                <w:szCs w:val="21"/>
              </w:rPr>
              <w:t>）</w:t>
            </w:r>
          </w:p>
        </w:tc>
        <w:tc>
          <w:tcPr>
            <w:tcW w:w="2640" w:type="pct"/>
            <w:vAlign w:val="center"/>
          </w:tcPr>
          <w:p>
            <w:pPr>
              <w:pStyle w:val="73"/>
              <w:snapToGrid w:val="0"/>
              <w:jc w:val="center"/>
              <w:rPr>
                <w:rFonts w:eastAsia="宋体"/>
                <w:color w:val="auto"/>
                <w:sz w:val="21"/>
                <w:szCs w:val="21"/>
              </w:rPr>
            </w:pPr>
            <w:r>
              <w:rPr>
                <w:rFonts w:eastAsia="宋体"/>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2" w:type="pct"/>
            <w:vAlign w:val="center"/>
          </w:tcPr>
          <w:p>
            <w:pPr>
              <w:pStyle w:val="73"/>
              <w:snapToGrid w:val="0"/>
              <w:jc w:val="center"/>
              <w:rPr>
                <w:rFonts w:eastAsia="宋体"/>
                <w:color w:val="auto"/>
                <w:sz w:val="21"/>
                <w:szCs w:val="21"/>
              </w:rPr>
            </w:pPr>
            <w:r>
              <w:rPr>
                <w:rFonts w:hint="eastAsia" w:eastAsia="宋体"/>
                <w:color w:val="auto"/>
                <w:sz w:val="21"/>
                <w:szCs w:val="21"/>
              </w:rPr>
              <w:t>8</w:t>
            </w:r>
          </w:p>
        </w:tc>
        <w:tc>
          <w:tcPr>
            <w:tcW w:w="1718" w:type="pct"/>
            <w:vAlign w:val="center"/>
          </w:tcPr>
          <w:p>
            <w:pPr>
              <w:pStyle w:val="73"/>
              <w:snapToGrid w:val="0"/>
              <w:jc w:val="center"/>
              <w:rPr>
                <w:rFonts w:hAnsi="宋体" w:eastAsia="宋体"/>
                <w:color w:val="auto"/>
                <w:sz w:val="21"/>
                <w:szCs w:val="21"/>
              </w:rPr>
            </w:pPr>
            <w:r>
              <w:rPr>
                <w:rFonts w:hint="eastAsia" w:hAnsi="宋体" w:eastAsia="宋体"/>
                <w:color w:val="auto"/>
                <w:sz w:val="21"/>
                <w:szCs w:val="21"/>
              </w:rPr>
              <w:t>总氰化物</w:t>
            </w:r>
          </w:p>
        </w:tc>
        <w:tc>
          <w:tcPr>
            <w:tcW w:w="2640" w:type="pct"/>
            <w:vAlign w:val="center"/>
          </w:tcPr>
          <w:p>
            <w:pPr>
              <w:pStyle w:val="73"/>
              <w:snapToGrid w:val="0"/>
              <w:jc w:val="center"/>
              <w:rPr>
                <w:rFonts w:eastAsia="宋体"/>
                <w:color w:val="auto"/>
                <w:sz w:val="21"/>
                <w:szCs w:val="21"/>
              </w:rPr>
            </w:pPr>
            <w:r>
              <w:rPr>
                <w:rFonts w:hint="eastAsia" w:eastAsia="宋体"/>
                <w:color w:val="auto"/>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2" w:type="pct"/>
            <w:vAlign w:val="center"/>
          </w:tcPr>
          <w:p>
            <w:pPr>
              <w:pStyle w:val="73"/>
              <w:snapToGrid w:val="0"/>
              <w:jc w:val="center"/>
              <w:rPr>
                <w:rFonts w:eastAsia="宋体"/>
                <w:color w:val="auto"/>
                <w:sz w:val="21"/>
                <w:szCs w:val="21"/>
              </w:rPr>
            </w:pPr>
            <w:r>
              <w:rPr>
                <w:rFonts w:hint="eastAsia" w:eastAsia="宋体"/>
                <w:color w:val="auto"/>
                <w:sz w:val="21"/>
                <w:szCs w:val="21"/>
              </w:rPr>
              <w:t>9</w:t>
            </w:r>
          </w:p>
        </w:tc>
        <w:tc>
          <w:tcPr>
            <w:tcW w:w="1718" w:type="pct"/>
            <w:vAlign w:val="center"/>
          </w:tcPr>
          <w:p>
            <w:pPr>
              <w:pStyle w:val="73"/>
              <w:snapToGrid w:val="0"/>
              <w:jc w:val="center"/>
              <w:rPr>
                <w:rFonts w:hAnsi="宋体" w:eastAsia="宋体"/>
                <w:color w:val="auto"/>
                <w:sz w:val="21"/>
                <w:szCs w:val="21"/>
              </w:rPr>
            </w:pPr>
            <w:r>
              <w:rPr>
                <w:rFonts w:hint="eastAsia" w:hAnsi="宋体" w:eastAsia="宋体"/>
                <w:color w:val="auto"/>
                <w:sz w:val="21"/>
                <w:szCs w:val="21"/>
              </w:rPr>
              <w:t>总汞</w:t>
            </w:r>
          </w:p>
        </w:tc>
        <w:tc>
          <w:tcPr>
            <w:tcW w:w="2640" w:type="pct"/>
            <w:vAlign w:val="center"/>
          </w:tcPr>
          <w:p>
            <w:pPr>
              <w:pStyle w:val="73"/>
              <w:snapToGrid w:val="0"/>
              <w:jc w:val="center"/>
              <w:rPr>
                <w:rFonts w:eastAsia="宋体"/>
                <w:color w:val="auto"/>
                <w:sz w:val="21"/>
                <w:szCs w:val="21"/>
              </w:rPr>
            </w:pPr>
            <w:r>
              <w:rPr>
                <w:rFonts w:hint="eastAsia" w:eastAsia="宋体"/>
                <w:color w:val="auto"/>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2" w:type="pct"/>
            <w:vAlign w:val="center"/>
          </w:tcPr>
          <w:p>
            <w:pPr>
              <w:pStyle w:val="73"/>
              <w:snapToGrid w:val="0"/>
              <w:jc w:val="center"/>
              <w:rPr>
                <w:rFonts w:eastAsia="宋体"/>
                <w:color w:val="auto"/>
                <w:sz w:val="21"/>
                <w:szCs w:val="21"/>
              </w:rPr>
            </w:pPr>
            <w:r>
              <w:rPr>
                <w:rFonts w:hint="eastAsia" w:eastAsia="宋体"/>
                <w:color w:val="auto"/>
                <w:sz w:val="21"/>
                <w:szCs w:val="21"/>
              </w:rPr>
              <w:t>10</w:t>
            </w:r>
          </w:p>
        </w:tc>
        <w:tc>
          <w:tcPr>
            <w:tcW w:w="1718" w:type="pct"/>
            <w:vAlign w:val="center"/>
          </w:tcPr>
          <w:p>
            <w:pPr>
              <w:pStyle w:val="73"/>
              <w:snapToGrid w:val="0"/>
              <w:jc w:val="center"/>
              <w:rPr>
                <w:rFonts w:hAnsi="宋体" w:eastAsia="宋体"/>
                <w:color w:val="auto"/>
                <w:sz w:val="21"/>
                <w:szCs w:val="21"/>
              </w:rPr>
            </w:pPr>
            <w:r>
              <w:rPr>
                <w:rFonts w:hint="eastAsia" w:hAnsi="宋体" w:eastAsia="宋体"/>
                <w:color w:val="auto"/>
                <w:sz w:val="21"/>
                <w:szCs w:val="21"/>
              </w:rPr>
              <w:t>总镉</w:t>
            </w:r>
          </w:p>
        </w:tc>
        <w:tc>
          <w:tcPr>
            <w:tcW w:w="2640" w:type="pct"/>
            <w:vAlign w:val="center"/>
          </w:tcPr>
          <w:p>
            <w:pPr>
              <w:pStyle w:val="73"/>
              <w:snapToGrid w:val="0"/>
              <w:jc w:val="center"/>
              <w:rPr>
                <w:rFonts w:eastAsia="宋体"/>
                <w:color w:val="auto"/>
                <w:sz w:val="21"/>
                <w:szCs w:val="21"/>
              </w:rPr>
            </w:pPr>
            <w:r>
              <w:rPr>
                <w:rFonts w:hint="eastAsia" w:eastAsia="宋体"/>
                <w:color w:val="auto"/>
                <w:sz w:val="21"/>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2" w:type="pct"/>
            <w:vAlign w:val="center"/>
          </w:tcPr>
          <w:p>
            <w:pPr>
              <w:pStyle w:val="73"/>
              <w:snapToGrid w:val="0"/>
              <w:jc w:val="center"/>
              <w:rPr>
                <w:rFonts w:eastAsia="宋体"/>
                <w:color w:val="auto"/>
                <w:sz w:val="21"/>
                <w:szCs w:val="21"/>
              </w:rPr>
            </w:pPr>
            <w:r>
              <w:rPr>
                <w:rFonts w:hint="eastAsia" w:eastAsia="宋体"/>
                <w:color w:val="auto"/>
                <w:sz w:val="21"/>
                <w:szCs w:val="21"/>
              </w:rPr>
              <w:t>11</w:t>
            </w:r>
          </w:p>
        </w:tc>
        <w:tc>
          <w:tcPr>
            <w:tcW w:w="1718" w:type="pct"/>
            <w:vAlign w:val="center"/>
          </w:tcPr>
          <w:p>
            <w:pPr>
              <w:pStyle w:val="73"/>
              <w:snapToGrid w:val="0"/>
              <w:jc w:val="center"/>
              <w:rPr>
                <w:rFonts w:hAnsi="宋体" w:eastAsia="宋体"/>
                <w:color w:val="auto"/>
                <w:sz w:val="21"/>
                <w:szCs w:val="21"/>
              </w:rPr>
            </w:pPr>
            <w:r>
              <w:rPr>
                <w:rFonts w:hint="eastAsia" w:hAnsi="宋体" w:eastAsia="宋体"/>
                <w:color w:val="auto"/>
                <w:sz w:val="21"/>
                <w:szCs w:val="21"/>
              </w:rPr>
              <w:t>总铬</w:t>
            </w:r>
          </w:p>
        </w:tc>
        <w:tc>
          <w:tcPr>
            <w:tcW w:w="2640" w:type="pct"/>
            <w:vAlign w:val="center"/>
          </w:tcPr>
          <w:p>
            <w:pPr>
              <w:pStyle w:val="73"/>
              <w:snapToGrid w:val="0"/>
              <w:jc w:val="center"/>
              <w:rPr>
                <w:rFonts w:eastAsia="宋体"/>
                <w:color w:val="auto"/>
                <w:sz w:val="21"/>
                <w:szCs w:val="21"/>
              </w:rPr>
            </w:pPr>
            <w:r>
              <w:rPr>
                <w:rFonts w:hint="eastAsia" w:eastAsia="宋体"/>
                <w:color w:val="auto"/>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2" w:type="pct"/>
            <w:vAlign w:val="center"/>
          </w:tcPr>
          <w:p>
            <w:pPr>
              <w:pStyle w:val="73"/>
              <w:snapToGrid w:val="0"/>
              <w:jc w:val="center"/>
              <w:rPr>
                <w:rFonts w:eastAsia="宋体"/>
                <w:color w:val="auto"/>
                <w:sz w:val="21"/>
                <w:szCs w:val="21"/>
              </w:rPr>
            </w:pPr>
            <w:r>
              <w:rPr>
                <w:rFonts w:hint="eastAsia" w:eastAsia="宋体"/>
                <w:color w:val="auto"/>
                <w:sz w:val="21"/>
                <w:szCs w:val="21"/>
              </w:rPr>
              <w:t>12</w:t>
            </w:r>
          </w:p>
        </w:tc>
        <w:tc>
          <w:tcPr>
            <w:tcW w:w="1718" w:type="pct"/>
            <w:vAlign w:val="center"/>
          </w:tcPr>
          <w:p>
            <w:pPr>
              <w:pStyle w:val="73"/>
              <w:snapToGrid w:val="0"/>
              <w:jc w:val="center"/>
              <w:rPr>
                <w:rFonts w:hAnsi="宋体" w:eastAsia="宋体"/>
                <w:color w:val="auto"/>
                <w:sz w:val="21"/>
                <w:szCs w:val="21"/>
              </w:rPr>
            </w:pPr>
            <w:r>
              <w:rPr>
                <w:rFonts w:hint="eastAsia" w:hAnsi="宋体" w:eastAsia="宋体"/>
                <w:color w:val="auto"/>
                <w:sz w:val="21"/>
                <w:szCs w:val="21"/>
              </w:rPr>
              <w:t>总铅</w:t>
            </w:r>
          </w:p>
        </w:tc>
        <w:tc>
          <w:tcPr>
            <w:tcW w:w="2640" w:type="pct"/>
            <w:vAlign w:val="center"/>
          </w:tcPr>
          <w:p>
            <w:pPr>
              <w:pStyle w:val="73"/>
              <w:snapToGrid w:val="0"/>
              <w:jc w:val="center"/>
              <w:rPr>
                <w:rFonts w:eastAsia="宋体"/>
                <w:color w:val="auto"/>
                <w:sz w:val="21"/>
                <w:szCs w:val="21"/>
              </w:rPr>
            </w:pPr>
            <w:r>
              <w:rPr>
                <w:rFonts w:hint="eastAsia" w:eastAsia="宋体"/>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2" w:type="pct"/>
            <w:vAlign w:val="center"/>
          </w:tcPr>
          <w:p>
            <w:pPr>
              <w:pStyle w:val="73"/>
              <w:snapToGrid w:val="0"/>
              <w:jc w:val="center"/>
              <w:rPr>
                <w:rFonts w:eastAsia="宋体"/>
                <w:color w:val="auto"/>
                <w:sz w:val="21"/>
                <w:szCs w:val="21"/>
              </w:rPr>
            </w:pPr>
            <w:r>
              <w:rPr>
                <w:rFonts w:hint="eastAsia" w:eastAsia="宋体"/>
                <w:color w:val="auto"/>
                <w:sz w:val="21"/>
                <w:szCs w:val="21"/>
              </w:rPr>
              <w:t>13</w:t>
            </w:r>
          </w:p>
        </w:tc>
        <w:tc>
          <w:tcPr>
            <w:tcW w:w="1718" w:type="pct"/>
            <w:vAlign w:val="center"/>
          </w:tcPr>
          <w:p>
            <w:pPr>
              <w:pStyle w:val="73"/>
              <w:snapToGrid w:val="0"/>
              <w:jc w:val="center"/>
              <w:rPr>
                <w:rFonts w:hAnsi="宋体" w:eastAsia="宋体"/>
                <w:color w:val="auto"/>
                <w:sz w:val="21"/>
                <w:szCs w:val="21"/>
              </w:rPr>
            </w:pPr>
            <w:r>
              <w:rPr>
                <w:rFonts w:hint="eastAsia" w:hAnsi="宋体" w:eastAsia="宋体"/>
                <w:color w:val="auto"/>
                <w:sz w:val="21"/>
                <w:szCs w:val="21"/>
              </w:rPr>
              <w:t>总砷</w:t>
            </w:r>
          </w:p>
        </w:tc>
        <w:tc>
          <w:tcPr>
            <w:tcW w:w="2640" w:type="pct"/>
            <w:vAlign w:val="center"/>
          </w:tcPr>
          <w:p>
            <w:pPr>
              <w:pStyle w:val="73"/>
              <w:snapToGrid w:val="0"/>
              <w:jc w:val="center"/>
              <w:rPr>
                <w:rFonts w:eastAsia="宋体"/>
                <w:color w:val="auto"/>
                <w:sz w:val="21"/>
                <w:szCs w:val="21"/>
              </w:rPr>
            </w:pPr>
            <w:r>
              <w:rPr>
                <w:rFonts w:hint="eastAsia" w:eastAsia="宋体"/>
                <w:color w:val="auto"/>
                <w:sz w:val="21"/>
                <w:szCs w:val="21"/>
              </w:rPr>
              <w:t>0.5</w:t>
            </w:r>
          </w:p>
        </w:tc>
      </w:tr>
    </w:tbl>
    <w:p>
      <w:pPr>
        <w:pStyle w:val="14"/>
        <w:spacing w:line="240" w:lineRule="auto"/>
        <w:rPr>
          <w:rFonts w:hAnsi="宋体" w:cs="Times New Roman"/>
          <w:color w:val="000000" w:themeColor="text1"/>
        </w:rPr>
      </w:pPr>
      <w:r>
        <w:rPr>
          <w:rFonts w:hint="eastAsia"/>
        </w:rPr>
        <w:t>表</w:t>
      </w:r>
      <w:r>
        <w:fldChar w:fldCharType="begin"/>
      </w:r>
      <w:r>
        <w:instrText xml:space="preserve"> STYLEREF 2 \s </w:instrText>
      </w:r>
      <w:r>
        <w:fldChar w:fldCharType="separate"/>
      </w:r>
      <w:r>
        <w:t>1.6</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11</w:t>
      </w:r>
      <w:r>
        <w:fldChar w:fldCharType="end"/>
      </w:r>
      <w:r>
        <w:rPr>
          <w:rFonts w:hint="eastAsia"/>
        </w:rPr>
        <w:t xml:space="preserve"> 《污水综合排放标准》  单位</w:t>
      </w:r>
      <w:r>
        <w:rPr>
          <w:szCs w:val="24"/>
        </w:rPr>
        <w:t>：mg/L</w:t>
      </w:r>
    </w:p>
    <w:tbl>
      <w:tblPr>
        <w:tblStyle w:val="39"/>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211"/>
        <w:gridCol w:w="1331"/>
        <w:gridCol w:w="1592"/>
        <w:gridCol w:w="1331"/>
        <w:gridCol w:w="1588"/>
        <w:gridCol w:w="158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6" w:hRule="exact"/>
          <w:jc w:val="center"/>
        </w:trPr>
        <w:tc>
          <w:tcPr>
            <w:tcW w:w="1146" w:type="pct"/>
            <w:vAlign w:val="center"/>
          </w:tcPr>
          <w:p>
            <w:pPr>
              <w:adjustRightInd w:val="0"/>
              <w:snapToGrid w:val="0"/>
              <w:jc w:val="center"/>
              <w:rPr>
                <w:sz w:val="21"/>
              </w:rPr>
            </w:pPr>
            <w:r>
              <w:rPr>
                <w:sz w:val="21"/>
              </w:rPr>
              <w:t>污染物</w:t>
            </w:r>
          </w:p>
        </w:tc>
        <w:tc>
          <w:tcPr>
            <w:tcW w:w="690" w:type="pct"/>
            <w:vAlign w:val="center"/>
          </w:tcPr>
          <w:p>
            <w:pPr>
              <w:adjustRightInd w:val="0"/>
              <w:snapToGrid w:val="0"/>
              <w:jc w:val="center"/>
              <w:rPr>
                <w:sz w:val="21"/>
              </w:rPr>
            </w:pPr>
            <w:r>
              <w:rPr>
                <w:sz w:val="21"/>
              </w:rPr>
              <w:t>COD</w:t>
            </w:r>
          </w:p>
        </w:tc>
        <w:tc>
          <w:tcPr>
            <w:tcW w:w="825" w:type="pct"/>
            <w:vAlign w:val="center"/>
          </w:tcPr>
          <w:p>
            <w:pPr>
              <w:adjustRightInd w:val="0"/>
              <w:snapToGrid w:val="0"/>
              <w:jc w:val="center"/>
              <w:rPr>
                <w:sz w:val="21"/>
              </w:rPr>
            </w:pPr>
            <w:r>
              <w:rPr>
                <w:sz w:val="21"/>
              </w:rPr>
              <w:t>BOD</w:t>
            </w:r>
            <w:r>
              <w:rPr>
                <w:sz w:val="21"/>
                <w:vertAlign w:val="subscript"/>
              </w:rPr>
              <w:t>5</w:t>
            </w:r>
          </w:p>
        </w:tc>
        <w:tc>
          <w:tcPr>
            <w:tcW w:w="690" w:type="pct"/>
            <w:vAlign w:val="center"/>
          </w:tcPr>
          <w:p>
            <w:pPr>
              <w:adjustRightInd w:val="0"/>
              <w:snapToGrid w:val="0"/>
              <w:jc w:val="center"/>
              <w:rPr>
                <w:sz w:val="21"/>
              </w:rPr>
            </w:pPr>
            <w:r>
              <w:rPr>
                <w:sz w:val="21"/>
              </w:rPr>
              <w:t>SS</w:t>
            </w:r>
          </w:p>
        </w:tc>
        <w:tc>
          <w:tcPr>
            <w:tcW w:w="823" w:type="pct"/>
            <w:vAlign w:val="center"/>
          </w:tcPr>
          <w:p>
            <w:pPr>
              <w:adjustRightInd w:val="0"/>
              <w:snapToGrid w:val="0"/>
              <w:jc w:val="center"/>
              <w:rPr>
                <w:sz w:val="21"/>
              </w:rPr>
            </w:pPr>
            <w:r>
              <w:rPr>
                <w:sz w:val="21"/>
              </w:rPr>
              <w:t>氨氮</w:t>
            </w:r>
          </w:p>
        </w:tc>
        <w:tc>
          <w:tcPr>
            <w:tcW w:w="823" w:type="pct"/>
            <w:vAlign w:val="center"/>
          </w:tcPr>
          <w:p>
            <w:pPr>
              <w:adjustRightInd w:val="0"/>
              <w:snapToGrid w:val="0"/>
              <w:jc w:val="center"/>
              <w:rPr>
                <w:sz w:val="21"/>
              </w:rPr>
            </w:pPr>
            <w:r>
              <w:rPr>
                <w:rFonts w:hint="eastAsia"/>
                <w:sz w:val="21"/>
              </w:rPr>
              <w:t>动植物油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6" w:hRule="exact"/>
          <w:jc w:val="center"/>
        </w:trPr>
        <w:tc>
          <w:tcPr>
            <w:tcW w:w="1146" w:type="pct"/>
            <w:vAlign w:val="center"/>
          </w:tcPr>
          <w:p>
            <w:pPr>
              <w:adjustRightInd w:val="0"/>
              <w:snapToGrid w:val="0"/>
              <w:jc w:val="center"/>
              <w:rPr>
                <w:sz w:val="21"/>
              </w:rPr>
            </w:pPr>
            <w:r>
              <w:rPr>
                <w:rFonts w:hint="eastAsia"/>
                <w:sz w:val="21"/>
              </w:rPr>
              <w:t>三级标准</w:t>
            </w:r>
          </w:p>
        </w:tc>
        <w:tc>
          <w:tcPr>
            <w:tcW w:w="690" w:type="pct"/>
            <w:vAlign w:val="center"/>
          </w:tcPr>
          <w:p>
            <w:pPr>
              <w:adjustRightInd w:val="0"/>
              <w:snapToGrid w:val="0"/>
              <w:jc w:val="center"/>
              <w:rPr>
                <w:sz w:val="21"/>
              </w:rPr>
            </w:pPr>
            <w:r>
              <w:rPr>
                <w:rFonts w:hint="eastAsia"/>
                <w:sz w:val="21"/>
              </w:rPr>
              <w:t>5</w:t>
            </w:r>
            <w:r>
              <w:rPr>
                <w:sz w:val="21"/>
              </w:rPr>
              <w:t>00</w:t>
            </w:r>
          </w:p>
        </w:tc>
        <w:tc>
          <w:tcPr>
            <w:tcW w:w="825" w:type="pct"/>
            <w:vAlign w:val="center"/>
          </w:tcPr>
          <w:p>
            <w:pPr>
              <w:adjustRightInd w:val="0"/>
              <w:snapToGrid w:val="0"/>
              <w:jc w:val="center"/>
              <w:rPr>
                <w:sz w:val="21"/>
              </w:rPr>
            </w:pPr>
            <w:r>
              <w:rPr>
                <w:rFonts w:hint="eastAsia"/>
                <w:sz w:val="21"/>
              </w:rPr>
              <w:t>30</w:t>
            </w:r>
            <w:r>
              <w:rPr>
                <w:sz w:val="21"/>
              </w:rPr>
              <w:t>0</w:t>
            </w:r>
          </w:p>
        </w:tc>
        <w:tc>
          <w:tcPr>
            <w:tcW w:w="690" w:type="pct"/>
            <w:vAlign w:val="center"/>
          </w:tcPr>
          <w:p>
            <w:pPr>
              <w:adjustRightInd w:val="0"/>
              <w:snapToGrid w:val="0"/>
              <w:jc w:val="center"/>
              <w:rPr>
                <w:sz w:val="21"/>
              </w:rPr>
            </w:pPr>
            <w:r>
              <w:rPr>
                <w:rFonts w:hint="eastAsia"/>
                <w:sz w:val="21"/>
              </w:rPr>
              <w:t>4</w:t>
            </w:r>
            <w:r>
              <w:rPr>
                <w:sz w:val="21"/>
              </w:rPr>
              <w:t>00</w:t>
            </w:r>
          </w:p>
        </w:tc>
        <w:tc>
          <w:tcPr>
            <w:tcW w:w="823" w:type="pct"/>
            <w:vAlign w:val="center"/>
          </w:tcPr>
          <w:p>
            <w:pPr>
              <w:adjustRightInd w:val="0"/>
              <w:snapToGrid w:val="0"/>
              <w:jc w:val="center"/>
              <w:rPr>
                <w:sz w:val="21"/>
              </w:rPr>
            </w:pPr>
            <w:r>
              <w:rPr>
                <w:rFonts w:hint="eastAsia"/>
                <w:sz w:val="21"/>
              </w:rPr>
              <w:t>—</w:t>
            </w:r>
          </w:p>
        </w:tc>
        <w:tc>
          <w:tcPr>
            <w:tcW w:w="823" w:type="pct"/>
            <w:vAlign w:val="center"/>
          </w:tcPr>
          <w:p>
            <w:pPr>
              <w:adjustRightInd w:val="0"/>
              <w:snapToGrid w:val="0"/>
              <w:jc w:val="center"/>
              <w:rPr>
                <w:sz w:val="21"/>
              </w:rPr>
            </w:pPr>
            <w:r>
              <w:rPr>
                <w:rFonts w:hint="eastAsia"/>
                <w:sz w:val="21"/>
              </w:rPr>
              <w:t>10</w:t>
            </w:r>
          </w:p>
        </w:tc>
      </w:tr>
    </w:tbl>
    <w:p>
      <w:pPr>
        <w:pStyle w:val="14"/>
        <w:spacing w:line="240" w:lineRule="auto"/>
        <w:rPr>
          <w:rFonts w:hAnsi="宋体" w:cs="Times New Roman"/>
          <w:b w:val="0"/>
          <w:color w:val="000000" w:themeColor="text1"/>
        </w:rPr>
      </w:pPr>
      <w:r>
        <w:rPr>
          <w:rFonts w:hint="eastAsia"/>
        </w:rPr>
        <w:t>表</w:t>
      </w:r>
      <w:r>
        <w:fldChar w:fldCharType="begin"/>
      </w:r>
      <w:r>
        <w:instrText xml:space="preserve"> STYLEREF 2 \s </w:instrText>
      </w:r>
      <w:r>
        <w:fldChar w:fldCharType="separate"/>
      </w:r>
      <w:r>
        <w:t>1.6</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12</w:t>
      </w:r>
      <w:r>
        <w:fldChar w:fldCharType="end"/>
      </w:r>
      <w:r>
        <w:rPr>
          <w:rFonts w:hint="eastAsia"/>
        </w:rPr>
        <w:t xml:space="preserve"> 马壕污水处理厂接管标准  </w:t>
      </w:r>
      <w:r>
        <w:rPr>
          <w:szCs w:val="24"/>
        </w:rPr>
        <w:t>（</w:t>
      </w:r>
      <w:r>
        <w:rPr>
          <w:rFonts w:hint="eastAsia"/>
          <w:szCs w:val="24"/>
        </w:rPr>
        <w:t>单位：</w:t>
      </w:r>
      <w:r>
        <w:rPr>
          <w:szCs w:val="24"/>
        </w:rPr>
        <w:t>mg/L</w:t>
      </w:r>
      <w:r>
        <w:rPr>
          <w:rFonts w:hint="eastAsia"/>
          <w:szCs w:val="24"/>
        </w:rPr>
        <w:t>，pH除外</w:t>
      </w:r>
      <w:r>
        <w:rPr>
          <w:szCs w:val="24"/>
        </w:rPr>
        <w:t>）</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1"/>
        <w:gridCol w:w="1223"/>
        <w:gridCol w:w="1223"/>
        <w:gridCol w:w="1223"/>
        <w:gridCol w:w="1327"/>
        <w:gridCol w:w="1447"/>
        <w:gridCol w:w="1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1027" w:type="pct"/>
            <w:vAlign w:val="center"/>
          </w:tcPr>
          <w:p>
            <w:pPr>
              <w:pStyle w:val="78"/>
              <w:spacing w:line="240" w:lineRule="auto"/>
            </w:pPr>
            <w:r>
              <w:rPr>
                <w:rFonts w:hint="eastAsia"/>
              </w:rPr>
              <w:t>指标</w:t>
            </w:r>
          </w:p>
        </w:tc>
        <w:tc>
          <w:tcPr>
            <w:tcW w:w="634" w:type="pct"/>
            <w:vAlign w:val="center"/>
          </w:tcPr>
          <w:p>
            <w:pPr>
              <w:pStyle w:val="78"/>
              <w:spacing w:line="240" w:lineRule="auto"/>
            </w:pPr>
            <w:r>
              <w:rPr>
                <w:rFonts w:hint="eastAsia"/>
              </w:rPr>
              <w:t>CODcr</w:t>
            </w:r>
          </w:p>
          <w:p>
            <w:pPr>
              <w:pStyle w:val="78"/>
              <w:spacing w:line="240" w:lineRule="auto"/>
            </w:pPr>
            <w:r>
              <w:rPr>
                <w:rFonts w:hint="eastAsia"/>
              </w:rPr>
              <w:t>（mg/L）</w:t>
            </w:r>
          </w:p>
        </w:tc>
        <w:tc>
          <w:tcPr>
            <w:tcW w:w="634" w:type="pct"/>
            <w:vAlign w:val="center"/>
          </w:tcPr>
          <w:p>
            <w:pPr>
              <w:pStyle w:val="78"/>
              <w:spacing w:line="240" w:lineRule="auto"/>
            </w:pPr>
            <w:r>
              <w:rPr>
                <w:rFonts w:hint="eastAsia"/>
              </w:rPr>
              <w:t>BOD</w:t>
            </w:r>
            <w:r>
              <w:rPr>
                <w:rFonts w:hint="eastAsia"/>
                <w:vertAlign w:val="subscript"/>
              </w:rPr>
              <w:t>5</w:t>
            </w:r>
          </w:p>
          <w:p>
            <w:pPr>
              <w:pStyle w:val="78"/>
              <w:spacing w:line="240" w:lineRule="auto"/>
            </w:pPr>
            <w:r>
              <w:rPr>
                <w:rFonts w:hint="eastAsia"/>
              </w:rPr>
              <w:t>（mg/L）</w:t>
            </w:r>
          </w:p>
        </w:tc>
        <w:tc>
          <w:tcPr>
            <w:tcW w:w="634" w:type="pct"/>
            <w:vAlign w:val="center"/>
          </w:tcPr>
          <w:p>
            <w:pPr>
              <w:pStyle w:val="78"/>
              <w:spacing w:line="240" w:lineRule="auto"/>
            </w:pPr>
            <w:r>
              <w:rPr>
                <w:rFonts w:hint="eastAsia"/>
              </w:rPr>
              <w:t>SS</w:t>
            </w:r>
          </w:p>
          <w:p>
            <w:pPr>
              <w:pStyle w:val="78"/>
              <w:spacing w:line="240" w:lineRule="auto"/>
            </w:pPr>
            <w:r>
              <w:rPr>
                <w:rFonts w:hint="eastAsia"/>
              </w:rPr>
              <w:t>（mg/L）</w:t>
            </w:r>
          </w:p>
        </w:tc>
        <w:tc>
          <w:tcPr>
            <w:tcW w:w="688" w:type="pct"/>
            <w:vAlign w:val="center"/>
          </w:tcPr>
          <w:p>
            <w:pPr>
              <w:pStyle w:val="78"/>
              <w:spacing w:line="240" w:lineRule="auto"/>
            </w:pPr>
            <w:r>
              <w:rPr>
                <w:rFonts w:hint="eastAsia"/>
              </w:rPr>
              <w:t>NH</w:t>
            </w:r>
            <w:r>
              <w:rPr>
                <w:rFonts w:hint="eastAsia"/>
                <w:vertAlign w:val="subscript"/>
              </w:rPr>
              <w:t>3</w:t>
            </w:r>
            <w:r>
              <w:rPr>
                <w:rFonts w:hint="eastAsia"/>
              </w:rPr>
              <w:t>-N</w:t>
            </w:r>
          </w:p>
          <w:p>
            <w:pPr>
              <w:pStyle w:val="78"/>
              <w:spacing w:line="240" w:lineRule="auto"/>
            </w:pPr>
            <w:r>
              <w:rPr>
                <w:rFonts w:hint="eastAsia"/>
              </w:rPr>
              <w:t>（mg/L）</w:t>
            </w:r>
          </w:p>
        </w:tc>
        <w:tc>
          <w:tcPr>
            <w:tcW w:w="750" w:type="pct"/>
            <w:vAlign w:val="center"/>
          </w:tcPr>
          <w:p>
            <w:pPr>
              <w:pStyle w:val="78"/>
              <w:spacing w:line="240" w:lineRule="auto"/>
            </w:pPr>
            <w:r>
              <w:rPr>
                <w:rFonts w:hint="eastAsia"/>
              </w:rPr>
              <w:t>TN</w:t>
            </w:r>
          </w:p>
          <w:p>
            <w:pPr>
              <w:pStyle w:val="78"/>
              <w:spacing w:line="240" w:lineRule="auto"/>
            </w:pPr>
            <w:r>
              <w:rPr>
                <w:rFonts w:hint="eastAsia"/>
              </w:rPr>
              <w:t>（mg/L）</w:t>
            </w:r>
          </w:p>
        </w:tc>
        <w:tc>
          <w:tcPr>
            <w:tcW w:w="633" w:type="pct"/>
            <w:vAlign w:val="center"/>
          </w:tcPr>
          <w:p>
            <w:pPr>
              <w:pStyle w:val="78"/>
              <w:spacing w:line="240" w:lineRule="auto"/>
            </w:pPr>
            <w:r>
              <w:rPr>
                <w:rFonts w:hint="eastAsia"/>
              </w:rPr>
              <w:t>TP</w:t>
            </w:r>
          </w:p>
          <w:p>
            <w:pPr>
              <w:pStyle w:val="78"/>
              <w:spacing w:line="240" w:lineRule="auto"/>
            </w:pPr>
            <w:r>
              <w:rPr>
                <w:rFonts w:hint="eastAsia"/>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27" w:type="pct"/>
            <w:vAlign w:val="center"/>
          </w:tcPr>
          <w:p>
            <w:pPr>
              <w:pStyle w:val="78"/>
              <w:spacing w:line="240" w:lineRule="auto"/>
            </w:pPr>
            <w:r>
              <w:rPr>
                <w:rFonts w:hint="eastAsia"/>
              </w:rPr>
              <w:t>设计进水水质</w:t>
            </w:r>
          </w:p>
        </w:tc>
        <w:tc>
          <w:tcPr>
            <w:tcW w:w="634" w:type="pct"/>
            <w:vAlign w:val="center"/>
          </w:tcPr>
          <w:p>
            <w:pPr>
              <w:pStyle w:val="78"/>
              <w:spacing w:line="240" w:lineRule="auto"/>
            </w:pPr>
            <w:r>
              <w:rPr>
                <w:rFonts w:hint="eastAsia"/>
              </w:rPr>
              <w:t>500</w:t>
            </w:r>
          </w:p>
        </w:tc>
        <w:tc>
          <w:tcPr>
            <w:tcW w:w="634" w:type="pct"/>
            <w:vAlign w:val="center"/>
          </w:tcPr>
          <w:p>
            <w:pPr>
              <w:pStyle w:val="78"/>
              <w:spacing w:line="240" w:lineRule="auto"/>
            </w:pPr>
            <w:r>
              <w:rPr>
                <w:rFonts w:hint="eastAsia"/>
              </w:rPr>
              <w:t>130</w:t>
            </w:r>
          </w:p>
        </w:tc>
        <w:tc>
          <w:tcPr>
            <w:tcW w:w="634" w:type="pct"/>
            <w:vAlign w:val="center"/>
          </w:tcPr>
          <w:p>
            <w:pPr>
              <w:pStyle w:val="78"/>
              <w:spacing w:line="240" w:lineRule="auto"/>
            </w:pPr>
            <w:r>
              <w:rPr>
                <w:rFonts w:hint="eastAsia"/>
              </w:rPr>
              <w:t>200</w:t>
            </w:r>
          </w:p>
        </w:tc>
        <w:tc>
          <w:tcPr>
            <w:tcW w:w="688" w:type="pct"/>
            <w:vAlign w:val="center"/>
          </w:tcPr>
          <w:p>
            <w:pPr>
              <w:pStyle w:val="78"/>
              <w:spacing w:line="240" w:lineRule="auto"/>
            </w:pPr>
            <w:r>
              <w:rPr>
                <w:rFonts w:hint="eastAsia"/>
              </w:rPr>
              <w:t>25</w:t>
            </w:r>
          </w:p>
        </w:tc>
        <w:tc>
          <w:tcPr>
            <w:tcW w:w="750" w:type="pct"/>
            <w:vAlign w:val="center"/>
          </w:tcPr>
          <w:p>
            <w:pPr>
              <w:pStyle w:val="78"/>
              <w:spacing w:line="240" w:lineRule="auto"/>
            </w:pPr>
            <w:r>
              <w:rPr>
                <w:rFonts w:hint="eastAsia"/>
              </w:rPr>
              <w:t>35</w:t>
            </w:r>
          </w:p>
        </w:tc>
        <w:tc>
          <w:tcPr>
            <w:tcW w:w="633" w:type="pct"/>
            <w:vAlign w:val="center"/>
          </w:tcPr>
          <w:p>
            <w:pPr>
              <w:pStyle w:val="78"/>
              <w:spacing w:line="240" w:lineRule="auto"/>
            </w:pPr>
            <w:r>
              <w:rPr>
                <w:rFonts w:hint="eastAsia"/>
              </w:rPr>
              <w:t>3</w:t>
            </w:r>
          </w:p>
        </w:tc>
      </w:tr>
    </w:tbl>
    <w:p>
      <w:pPr>
        <w:pStyle w:val="14"/>
        <w:spacing w:line="240" w:lineRule="auto"/>
        <w:rPr>
          <w:rFonts w:hAnsi="宋体" w:cs="Times New Roman"/>
          <w:color w:val="000000" w:themeColor="text1"/>
        </w:rPr>
      </w:pPr>
      <w:r>
        <w:rPr>
          <w:rFonts w:hint="eastAsia"/>
        </w:rPr>
        <w:t>表</w:t>
      </w:r>
      <w:r>
        <w:fldChar w:fldCharType="begin"/>
      </w:r>
      <w:r>
        <w:instrText xml:space="preserve"> STYLEREF 2 \s </w:instrText>
      </w:r>
      <w:r>
        <w:fldChar w:fldCharType="separate"/>
      </w:r>
      <w:r>
        <w:t>1.6</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13</w:t>
      </w:r>
      <w:r>
        <w:fldChar w:fldCharType="end"/>
      </w:r>
      <w:r>
        <w:rPr>
          <w:rFonts w:hint="eastAsia"/>
        </w:rPr>
        <w:t xml:space="preserve"> 《</w:t>
      </w:r>
      <w:r>
        <w:rPr>
          <w:rFonts w:hint="eastAsia" w:cs="Times New Roman" w:hAnsiTheme="minorEastAsia"/>
          <w:color w:val="000000" w:themeColor="text1"/>
        </w:rPr>
        <w:t>城镇污水处理厂污染物排放标准</w:t>
      </w:r>
      <w:r>
        <w:rPr>
          <w:rFonts w:hint="eastAsia"/>
        </w:rPr>
        <w:t>》</w:t>
      </w:r>
      <w:r>
        <w:rPr>
          <w:rFonts w:hint="eastAsia" w:cs="Times New Roman" w:hAnsiTheme="minorEastAsia"/>
          <w:color w:val="000000" w:themeColor="text1"/>
        </w:rPr>
        <w:t>（GB18918-2002）</w:t>
      </w:r>
    </w:p>
    <w:tbl>
      <w:tblPr>
        <w:tblStyle w:val="39"/>
        <w:tblW w:w="0" w:type="auto"/>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autofit"/>
        <w:tblCellMar>
          <w:top w:w="0" w:type="dxa"/>
          <w:left w:w="108" w:type="dxa"/>
          <w:bottom w:w="0" w:type="dxa"/>
          <w:right w:w="108" w:type="dxa"/>
        </w:tblCellMar>
      </w:tblPr>
      <w:tblGrid>
        <w:gridCol w:w="1313"/>
        <w:gridCol w:w="540"/>
        <w:gridCol w:w="660"/>
        <w:gridCol w:w="728"/>
        <w:gridCol w:w="450"/>
        <w:gridCol w:w="846"/>
        <w:gridCol w:w="636"/>
        <w:gridCol w:w="1056"/>
        <w:gridCol w:w="846"/>
        <w:gridCol w:w="2293"/>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1" w:hRule="atLeast"/>
          <w:jc w:val="center"/>
        </w:trPr>
        <w:tc>
          <w:tcPr>
            <w:tcW w:w="0" w:type="auto"/>
            <w:vAlign w:val="center"/>
          </w:tcPr>
          <w:p>
            <w:pPr>
              <w:widowControl/>
              <w:jc w:val="center"/>
              <w:rPr>
                <w:kern w:val="0"/>
                <w:sz w:val="21"/>
              </w:rPr>
            </w:pPr>
            <w:r>
              <w:rPr>
                <w:kern w:val="0"/>
                <w:sz w:val="21"/>
              </w:rPr>
              <w:t>污染物</w:t>
            </w:r>
          </w:p>
        </w:tc>
        <w:tc>
          <w:tcPr>
            <w:tcW w:w="0" w:type="auto"/>
            <w:vAlign w:val="center"/>
          </w:tcPr>
          <w:p>
            <w:pPr>
              <w:widowControl/>
              <w:jc w:val="center"/>
              <w:rPr>
                <w:kern w:val="0"/>
                <w:sz w:val="21"/>
              </w:rPr>
            </w:pPr>
            <w:r>
              <w:rPr>
                <w:kern w:val="0"/>
                <w:sz w:val="21"/>
              </w:rPr>
              <w:t>PH</w:t>
            </w:r>
          </w:p>
        </w:tc>
        <w:tc>
          <w:tcPr>
            <w:tcW w:w="0" w:type="auto"/>
            <w:vAlign w:val="center"/>
          </w:tcPr>
          <w:p>
            <w:pPr>
              <w:widowControl/>
              <w:jc w:val="center"/>
              <w:rPr>
                <w:kern w:val="0"/>
                <w:sz w:val="21"/>
              </w:rPr>
            </w:pPr>
            <w:r>
              <w:rPr>
                <w:kern w:val="0"/>
                <w:sz w:val="21"/>
              </w:rPr>
              <w:t>COD</w:t>
            </w:r>
          </w:p>
        </w:tc>
        <w:tc>
          <w:tcPr>
            <w:tcW w:w="0" w:type="auto"/>
            <w:vAlign w:val="center"/>
          </w:tcPr>
          <w:p>
            <w:pPr>
              <w:widowControl/>
              <w:jc w:val="center"/>
              <w:rPr>
                <w:kern w:val="0"/>
                <w:sz w:val="21"/>
              </w:rPr>
            </w:pPr>
            <w:r>
              <w:rPr>
                <w:kern w:val="0"/>
                <w:sz w:val="21"/>
              </w:rPr>
              <w:t>BOD</w:t>
            </w:r>
            <w:r>
              <w:rPr>
                <w:kern w:val="0"/>
                <w:sz w:val="21"/>
                <w:vertAlign w:val="subscript"/>
              </w:rPr>
              <w:t>5</w:t>
            </w:r>
          </w:p>
        </w:tc>
        <w:tc>
          <w:tcPr>
            <w:tcW w:w="0" w:type="auto"/>
            <w:vAlign w:val="center"/>
          </w:tcPr>
          <w:p>
            <w:pPr>
              <w:widowControl/>
              <w:jc w:val="center"/>
              <w:rPr>
                <w:kern w:val="0"/>
                <w:sz w:val="21"/>
              </w:rPr>
            </w:pPr>
            <w:r>
              <w:rPr>
                <w:kern w:val="0"/>
                <w:sz w:val="21"/>
              </w:rPr>
              <w:t>SS</w:t>
            </w:r>
          </w:p>
        </w:tc>
        <w:tc>
          <w:tcPr>
            <w:tcW w:w="0" w:type="auto"/>
            <w:vAlign w:val="center"/>
          </w:tcPr>
          <w:p>
            <w:pPr>
              <w:widowControl/>
              <w:jc w:val="center"/>
              <w:rPr>
                <w:kern w:val="0"/>
                <w:sz w:val="21"/>
              </w:rPr>
            </w:pPr>
            <w:r>
              <w:rPr>
                <w:kern w:val="0"/>
                <w:sz w:val="21"/>
              </w:rPr>
              <w:t>氨氮</w:t>
            </w:r>
          </w:p>
        </w:tc>
        <w:tc>
          <w:tcPr>
            <w:tcW w:w="0" w:type="auto"/>
            <w:vAlign w:val="center"/>
          </w:tcPr>
          <w:p>
            <w:pPr>
              <w:widowControl/>
              <w:jc w:val="center"/>
              <w:rPr>
                <w:kern w:val="0"/>
                <w:sz w:val="21"/>
              </w:rPr>
            </w:pPr>
            <w:r>
              <w:rPr>
                <w:kern w:val="0"/>
                <w:sz w:val="21"/>
              </w:rPr>
              <w:t>总磷</w:t>
            </w:r>
          </w:p>
        </w:tc>
        <w:tc>
          <w:tcPr>
            <w:tcW w:w="0" w:type="auto"/>
            <w:vAlign w:val="center"/>
          </w:tcPr>
          <w:p>
            <w:pPr>
              <w:widowControl/>
              <w:jc w:val="center"/>
              <w:rPr>
                <w:kern w:val="0"/>
                <w:sz w:val="21"/>
              </w:rPr>
            </w:pPr>
            <w:r>
              <w:rPr>
                <w:kern w:val="0"/>
                <w:sz w:val="21"/>
              </w:rPr>
              <w:t>动植物油</w:t>
            </w:r>
          </w:p>
        </w:tc>
        <w:tc>
          <w:tcPr>
            <w:tcW w:w="0" w:type="auto"/>
            <w:vAlign w:val="center"/>
          </w:tcPr>
          <w:p>
            <w:pPr>
              <w:widowControl/>
              <w:jc w:val="center"/>
              <w:rPr>
                <w:kern w:val="0"/>
                <w:sz w:val="21"/>
              </w:rPr>
            </w:pPr>
            <w:r>
              <w:rPr>
                <w:kern w:val="0"/>
                <w:sz w:val="21"/>
              </w:rPr>
              <w:t>石油类</w:t>
            </w:r>
          </w:p>
        </w:tc>
        <w:tc>
          <w:tcPr>
            <w:tcW w:w="0" w:type="auto"/>
          </w:tcPr>
          <w:p>
            <w:pPr>
              <w:widowControl/>
              <w:jc w:val="center"/>
              <w:rPr>
                <w:kern w:val="0"/>
                <w:sz w:val="21"/>
              </w:rPr>
            </w:pPr>
            <w:r>
              <w:rPr>
                <w:kern w:val="0"/>
                <w:sz w:val="21"/>
              </w:rPr>
              <w:t>粪大肠菌群数</w:t>
            </w:r>
            <w:r>
              <w:rPr>
                <w:rFonts w:hint="eastAsia"/>
                <w:kern w:val="0"/>
                <w:sz w:val="21"/>
              </w:rPr>
              <w:t>（个/L）</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08" w:hRule="atLeast"/>
          <w:jc w:val="center"/>
        </w:trPr>
        <w:tc>
          <w:tcPr>
            <w:tcW w:w="0" w:type="auto"/>
            <w:vAlign w:val="center"/>
          </w:tcPr>
          <w:p>
            <w:pPr>
              <w:widowControl/>
              <w:jc w:val="center"/>
              <w:rPr>
                <w:kern w:val="0"/>
                <w:sz w:val="21"/>
              </w:rPr>
            </w:pPr>
            <w:r>
              <w:rPr>
                <w:kern w:val="0"/>
                <w:sz w:val="21"/>
              </w:rPr>
              <w:t>一级</w:t>
            </w:r>
            <w:r>
              <w:rPr>
                <w:rFonts w:hint="eastAsia"/>
                <w:kern w:val="0"/>
                <w:sz w:val="21"/>
              </w:rPr>
              <w:t>A</w:t>
            </w:r>
            <w:r>
              <w:rPr>
                <w:kern w:val="0"/>
                <w:sz w:val="21"/>
              </w:rPr>
              <w:t>标准</w:t>
            </w:r>
          </w:p>
        </w:tc>
        <w:tc>
          <w:tcPr>
            <w:tcW w:w="0" w:type="auto"/>
            <w:vAlign w:val="center"/>
          </w:tcPr>
          <w:p>
            <w:pPr>
              <w:widowControl/>
              <w:jc w:val="center"/>
              <w:rPr>
                <w:kern w:val="0"/>
                <w:sz w:val="21"/>
              </w:rPr>
            </w:pPr>
            <w:r>
              <w:rPr>
                <w:kern w:val="0"/>
                <w:sz w:val="21"/>
              </w:rPr>
              <w:t>6</w:t>
            </w:r>
            <w:r>
              <w:rPr>
                <w:rFonts w:hint="eastAsia"/>
                <w:kern w:val="0"/>
                <w:sz w:val="21"/>
              </w:rPr>
              <w:t>~</w:t>
            </w:r>
            <w:r>
              <w:rPr>
                <w:kern w:val="0"/>
                <w:sz w:val="21"/>
              </w:rPr>
              <w:t>9</w:t>
            </w:r>
          </w:p>
        </w:tc>
        <w:tc>
          <w:tcPr>
            <w:tcW w:w="0" w:type="auto"/>
            <w:vAlign w:val="center"/>
          </w:tcPr>
          <w:p>
            <w:pPr>
              <w:widowControl/>
              <w:jc w:val="center"/>
              <w:rPr>
                <w:kern w:val="0"/>
                <w:sz w:val="21"/>
              </w:rPr>
            </w:pPr>
            <w:r>
              <w:rPr>
                <w:rFonts w:hint="eastAsia"/>
                <w:kern w:val="0"/>
                <w:sz w:val="21"/>
              </w:rPr>
              <w:t>50</w:t>
            </w:r>
          </w:p>
        </w:tc>
        <w:tc>
          <w:tcPr>
            <w:tcW w:w="0" w:type="auto"/>
            <w:vAlign w:val="center"/>
          </w:tcPr>
          <w:p>
            <w:pPr>
              <w:widowControl/>
              <w:jc w:val="center"/>
              <w:rPr>
                <w:kern w:val="0"/>
                <w:sz w:val="21"/>
              </w:rPr>
            </w:pPr>
            <w:r>
              <w:rPr>
                <w:rFonts w:hint="eastAsia"/>
                <w:kern w:val="0"/>
                <w:sz w:val="21"/>
              </w:rPr>
              <w:t>10</w:t>
            </w:r>
          </w:p>
        </w:tc>
        <w:tc>
          <w:tcPr>
            <w:tcW w:w="0" w:type="auto"/>
            <w:vAlign w:val="center"/>
          </w:tcPr>
          <w:p>
            <w:pPr>
              <w:widowControl/>
              <w:jc w:val="center"/>
              <w:rPr>
                <w:kern w:val="0"/>
                <w:sz w:val="21"/>
              </w:rPr>
            </w:pPr>
            <w:r>
              <w:rPr>
                <w:rFonts w:hint="eastAsia"/>
                <w:kern w:val="0"/>
                <w:sz w:val="21"/>
              </w:rPr>
              <w:t>10</w:t>
            </w:r>
          </w:p>
        </w:tc>
        <w:tc>
          <w:tcPr>
            <w:tcW w:w="0" w:type="auto"/>
            <w:vAlign w:val="center"/>
          </w:tcPr>
          <w:p>
            <w:pPr>
              <w:widowControl/>
              <w:jc w:val="center"/>
              <w:rPr>
                <w:kern w:val="0"/>
                <w:sz w:val="21"/>
              </w:rPr>
            </w:pPr>
            <w:r>
              <w:rPr>
                <w:rFonts w:hint="eastAsia"/>
                <w:kern w:val="0"/>
                <w:sz w:val="21"/>
              </w:rPr>
              <w:t>5</w:t>
            </w:r>
            <w:r>
              <w:rPr>
                <w:kern w:val="0"/>
                <w:sz w:val="21"/>
              </w:rPr>
              <w:t>（</w:t>
            </w:r>
            <w:r>
              <w:rPr>
                <w:rFonts w:hint="eastAsia"/>
                <w:kern w:val="0"/>
                <w:sz w:val="21"/>
              </w:rPr>
              <w:t>8</w:t>
            </w:r>
            <w:r>
              <w:rPr>
                <w:kern w:val="0"/>
                <w:sz w:val="21"/>
              </w:rPr>
              <w:t>）</w:t>
            </w:r>
          </w:p>
        </w:tc>
        <w:tc>
          <w:tcPr>
            <w:tcW w:w="0" w:type="auto"/>
            <w:vAlign w:val="center"/>
          </w:tcPr>
          <w:p>
            <w:pPr>
              <w:widowControl/>
              <w:jc w:val="center"/>
              <w:rPr>
                <w:kern w:val="0"/>
                <w:sz w:val="21"/>
              </w:rPr>
            </w:pPr>
            <w:r>
              <w:rPr>
                <w:rFonts w:hint="eastAsia"/>
                <w:kern w:val="0"/>
                <w:sz w:val="21"/>
              </w:rPr>
              <w:t>0.5</w:t>
            </w:r>
          </w:p>
        </w:tc>
        <w:tc>
          <w:tcPr>
            <w:tcW w:w="0" w:type="auto"/>
            <w:vAlign w:val="center"/>
          </w:tcPr>
          <w:p>
            <w:pPr>
              <w:widowControl/>
              <w:jc w:val="center"/>
              <w:rPr>
                <w:kern w:val="0"/>
                <w:sz w:val="21"/>
              </w:rPr>
            </w:pPr>
            <w:r>
              <w:rPr>
                <w:rFonts w:hint="eastAsia"/>
                <w:kern w:val="0"/>
                <w:sz w:val="21"/>
              </w:rPr>
              <w:t>1</w:t>
            </w:r>
          </w:p>
        </w:tc>
        <w:tc>
          <w:tcPr>
            <w:tcW w:w="0" w:type="auto"/>
            <w:vAlign w:val="center"/>
          </w:tcPr>
          <w:p>
            <w:pPr>
              <w:widowControl/>
              <w:jc w:val="center"/>
              <w:rPr>
                <w:kern w:val="0"/>
                <w:sz w:val="21"/>
              </w:rPr>
            </w:pPr>
            <w:r>
              <w:rPr>
                <w:rFonts w:hint="eastAsia"/>
                <w:kern w:val="0"/>
                <w:sz w:val="21"/>
              </w:rPr>
              <w:t>1</w:t>
            </w:r>
          </w:p>
        </w:tc>
        <w:tc>
          <w:tcPr>
            <w:tcW w:w="0" w:type="auto"/>
          </w:tcPr>
          <w:p>
            <w:pPr>
              <w:widowControl/>
              <w:jc w:val="center"/>
              <w:rPr>
                <w:kern w:val="0"/>
                <w:sz w:val="21"/>
              </w:rPr>
            </w:pPr>
            <w:r>
              <w:rPr>
                <w:rFonts w:hint="eastAsia"/>
                <w:kern w:val="0"/>
                <w:sz w:val="21"/>
              </w:rPr>
              <w:t>1000</w:t>
            </w:r>
          </w:p>
        </w:tc>
      </w:tr>
    </w:tbl>
    <w:p>
      <w:pPr>
        <w:pStyle w:val="56"/>
        <w:rPr>
          <w:color w:val="000000" w:themeColor="text1"/>
        </w:rPr>
      </w:pPr>
      <w:r>
        <w:rPr>
          <w:rFonts w:hint="eastAsia"/>
          <w:color w:val="000000" w:themeColor="text1"/>
        </w:rPr>
        <w:t>噪声</w:t>
      </w:r>
    </w:p>
    <w:p>
      <w:pPr>
        <w:spacing w:line="360" w:lineRule="auto"/>
        <w:ind w:firstLine="480" w:firstLineChars="200"/>
        <w:rPr>
          <w:rFonts w:cs="Times New Roman"/>
          <w:color w:val="000000" w:themeColor="text1"/>
        </w:rPr>
      </w:pPr>
      <w:r>
        <w:rPr>
          <w:rFonts w:cs="Times New Roman"/>
          <w:color w:val="000000" w:themeColor="text1"/>
        </w:rPr>
        <w:t>营运期厂界执行《工业企业厂界环境噪声排放标准》（GB12348-2008）</w:t>
      </w:r>
      <w:r>
        <w:rPr>
          <w:rFonts w:hint="eastAsia" w:cs="Times New Roman"/>
          <w:color w:val="000000" w:themeColor="text1"/>
        </w:rPr>
        <w:t>2</w:t>
      </w:r>
      <w:r>
        <w:rPr>
          <w:rFonts w:cs="Times New Roman"/>
          <w:color w:val="000000" w:themeColor="text1"/>
        </w:rPr>
        <w:t>类</w:t>
      </w:r>
      <w:r>
        <w:rPr>
          <w:rFonts w:hint="eastAsia" w:cs="Times New Roman"/>
          <w:color w:val="000000" w:themeColor="text1"/>
        </w:rPr>
        <w:t>区</w:t>
      </w:r>
      <w:r>
        <w:rPr>
          <w:rFonts w:cs="Times New Roman"/>
          <w:color w:val="000000" w:themeColor="text1"/>
        </w:rPr>
        <w:t>标准，具体见</w:t>
      </w:r>
      <w:r>
        <w:fldChar w:fldCharType="begin"/>
      </w:r>
      <w:r>
        <w:instrText xml:space="preserve"> REF _Ref493601962 \h  \* MERGEFORMAT </w:instrText>
      </w:r>
      <w:r>
        <w:fldChar w:fldCharType="separate"/>
      </w:r>
      <w:r>
        <w:rPr>
          <w:rFonts w:hint="eastAsia" w:cs="Times New Roman"/>
          <w:color w:val="000000" w:themeColor="text1"/>
        </w:rPr>
        <w:t>表</w:t>
      </w:r>
      <w:r>
        <w:rPr>
          <w:rFonts w:cs="Times New Roman"/>
          <w:color w:val="000000" w:themeColor="text1"/>
        </w:rPr>
        <w:t>1.6</w:t>
      </w:r>
      <w:r>
        <w:rPr>
          <w:rFonts w:cs="Times New Roman"/>
          <w:color w:val="000000" w:themeColor="text1"/>
        </w:rPr>
        <w:noBreakHyphen/>
      </w:r>
      <w:r>
        <w:rPr>
          <w:rFonts w:cs="Times New Roman"/>
          <w:color w:val="000000" w:themeColor="text1"/>
        </w:rPr>
        <w:t>14</w:t>
      </w:r>
      <w:r>
        <w:rPr>
          <w:rFonts w:cs="Times New Roman"/>
          <w:color w:val="000000" w:themeColor="text1"/>
        </w:rPr>
        <w:fldChar w:fldCharType="end"/>
      </w:r>
      <w:r>
        <w:rPr>
          <w:rFonts w:hint="eastAsia" w:cs="Times New Roman"/>
          <w:color w:val="000000" w:themeColor="text1"/>
        </w:rPr>
        <w:t>。</w:t>
      </w:r>
    </w:p>
    <w:p>
      <w:pPr>
        <w:pStyle w:val="56"/>
        <w:numPr>
          <w:ilvl w:val="0"/>
          <w:numId w:val="0"/>
        </w:numPr>
        <w:spacing w:line="240" w:lineRule="auto"/>
        <w:jc w:val="center"/>
        <w:outlineLvl w:val="9"/>
        <w:rPr>
          <w:color w:val="000000" w:themeColor="text1"/>
        </w:rPr>
      </w:pPr>
      <w:bookmarkStart w:id="86" w:name="_Ref493601962"/>
      <w:r>
        <w:rPr>
          <w:rFonts w:hint="eastAsia"/>
          <w:color w:val="000000" w:themeColor="text1"/>
        </w:rPr>
        <w:t>表</w:t>
      </w:r>
      <w:r>
        <w:rPr>
          <w:color w:val="000000" w:themeColor="text1"/>
        </w:rPr>
        <w:fldChar w:fldCharType="begin"/>
      </w:r>
      <w:r>
        <w:rPr>
          <w:color w:val="000000" w:themeColor="text1"/>
        </w:rPr>
        <w:instrText xml:space="preserve"> </w:instrText>
      </w:r>
      <w:r>
        <w:rPr>
          <w:rFonts w:hint="eastAsia"/>
          <w:color w:val="000000" w:themeColor="text1"/>
        </w:rPr>
        <w:instrText xml:space="preserve">STYLEREF 2 \s</w:instrText>
      </w:r>
      <w:r>
        <w:rPr>
          <w:color w:val="000000" w:themeColor="text1"/>
        </w:rPr>
        <w:instrText xml:space="preserve"> </w:instrText>
      </w:r>
      <w:r>
        <w:rPr>
          <w:color w:val="000000" w:themeColor="text1"/>
        </w:rPr>
        <w:fldChar w:fldCharType="separate"/>
      </w:r>
      <w:r>
        <w:rPr>
          <w:color w:val="000000" w:themeColor="text1"/>
        </w:rPr>
        <w:t>1.6</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表 \* ARABIC \s 2</w:instrText>
      </w:r>
      <w:r>
        <w:rPr>
          <w:color w:val="000000" w:themeColor="text1"/>
        </w:rPr>
        <w:instrText xml:space="preserve"> </w:instrText>
      </w:r>
      <w:r>
        <w:rPr>
          <w:color w:val="000000" w:themeColor="text1"/>
        </w:rPr>
        <w:fldChar w:fldCharType="separate"/>
      </w:r>
      <w:r>
        <w:rPr>
          <w:color w:val="000000" w:themeColor="text1"/>
        </w:rPr>
        <w:t>14</w:t>
      </w:r>
      <w:r>
        <w:rPr>
          <w:color w:val="000000" w:themeColor="text1"/>
        </w:rPr>
        <w:fldChar w:fldCharType="end"/>
      </w:r>
      <w:bookmarkEnd w:id="86"/>
      <w:r>
        <w:rPr>
          <w:rFonts w:hint="eastAsia"/>
          <w:color w:val="000000" w:themeColor="text1"/>
        </w:rPr>
        <w:t xml:space="preserve"> </w:t>
      </w:r>
      <w:r>
        <w:rPr>
          <w:rFonts w:hint="eastAsia" w:asciiTheme="minorEastAsia" w:hAnsiTheme="minorEastAsia"/>
          <w:color w:val="000000" w:themeColor="text1"/>
          <w:szCs w:val="21"/>
        </w:rPr>
        <w:t>《</w:t>
      </w:r>
      <w:r>
        <w:rPr>
          <w:color w:val="000000" w:themeColor="text1"/>
        </w:rPr>
        <w:t>工业企业厂界环境噪声排放标准</w:t>
      </w:r>
      <w:r>
        <w:rPr>
          <w:rFonts w:hint="eastAsia" w:asciiTheme="minorEastAsia" w:hAnsiTheme="minorEastAsia"/>
          <w:color w:val="000000" w:themeColor="text1"/>
          <w:szCs w:val="21"/>
        </w:rPr>
        <w:t>》</w:t>
      </w:r>
      <w:r>
        <w:rPr>
          <w:color w:val="000000" w:themeColor="text1"/>
          <w:szCs w:val="24"/>
        </w:rPr>
        <w:t>单位：dB（A）</w:t>
      </w:r>
    </w:p>
    <w:tbl>
      <w:tblPr>
        <w:tblStyle w:val="39"/>
        <w:tblW w:w="9242" w:type="dxa"/>
        <w:jc w:val="center"/>
        <w:tblBorders>
          <w:top w:val="single" w:color="auto" w:sz="6"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226"/>
        <w:gridCol w:w="2949"/>
        <w:gridCol w:w="3067"/>
      </w:tblGrid>
      <w:tr>
        <w:tblPrEx>
          <w:tblBorders>
            <w:top w:val="single" w:color="auto" w:sz="6"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226" w:type="dxa"/>
            <w:vAlign w:val="center"/>
          </w:tcPr>
          <w:p>
            <w:pPr>
              <w:spacing w:line="240" w:lineRule="exact"/>
              <w:jc w:val="center"/>
              <w:rPr>
                <w:color w:val="000000" w:themeColor="text1"/>
                <w:sz w:val="21"/>
              </w:rPr>
            </w:pPr>
            <w:r>
              <w:rPr>
                <w:color w:val="000000" w:themeColor="text1"/>
                <w:sz w:val="21"/>
              </w:rPr>
              <w:t>类别</w:t>
            </w:r>
          </w:p>
        </w:tc>
        <w:tc>
          <w:tcPr>
            <w:tcW w:w="2949" w:type="dxa"/>
            <w:vAlign w:val="center"/>
          </w:tcPr>
          <w:p>
            <w:pPr>
              <w:spacing w:line="240" w:lineRule="exact"/>
              <w:jc w:val="center"/>
              <w:rPr>
                <w:color w:val="000000" w:themeColor="text1"/>
                <w:sz w:val="21"/>
              </w:rPr>
            </w:pPr>
            <w:r>
              <w:rPr>
                <w:color w:val="000000" w:themeColor="text1"/>
                <w:sz w:val="21"/>
              </w:rPr>
              <w:t>昼间</w:t>
            </w:r>
          </w:p>
        </w:tc>
        <w:tc>
          <w:tcPr>
            <w:tcW w:w="3067" w:type="dxa"/>
            <w:vAlign w:val="center"/>
          </w:tcPr>
          <w:p>
            <w:pPr>
              <w:spacing w:line="240" w:lineRule="exact"/>
              <w:jc w:val="center"/>
              <w:rPr>
                <w:color w:val="000000" w:themeColor="text1"/>
                <w:sz w:val="21"/>
              </w:rPr>
            </w:pPr>
            <w:r>
              <w:rPr>
                <w:color w:val="000000" w:themeColor="text1"/>
                <w:sz w:val="21"/>
              </w:rPr>
              <w:t>夜间</w:t>
            </w:r>
          </w:p>
        </w:tc>
      </w:tr>
      <w:tr>
        <w:tblPrEx>
          <w:tblBorders>
            <w:top w:val="single" w:color="auto" w:sz="6"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226" w:type="dxa"/>
            <w:vAlign w:val="center"/>
          </w:tcPr>
          <w:p>
            <w:pPr>
              <w:spacing w:line="240" w:lineRule="exact"/>
              <w:jc w:val="center"/>
              <w:rPr>
                <w:color w:val="000000" w:themeColor="text1"/>
                <w:sz w:val="21"/>
              </w:rPr>
            </w:pPr>
            <w:r>
              <w:rPr>
                <w:rFonts w:hint="eastAsia"/>
                <w:color w:val="000000" w:themeColor="text1"/>
                <w:sz w:val="21"/>
              </w:rPr>
              <w:t>2</w:t>
            </w:r>
            <w:r>
              <w:rPr>
                <w:color w:val="000000" w:themeColor="text1"/>
                <w:sz w:val="21"/>
              </w:rPr>
              <w:t>类</w:t>
            </w:r>
          </w:p>
        </w:tc>
        <w:tc>
          <w:tcPr>
            <w:tcW w:w="2949" w:type="dxa"/>
            <w:vAlign w:val="center"/>
          </w:tcPr>
          <w:p>
            <w:pPr>
              <w:spacing w:line="240" w:lineRule="exact"/>
              <w:jc w:val="center"/>
              <w:rPr>
                <w:color w:val="000000" w:themeColor="text1"/>
                <w:sz w:val="21"/>
              </w:rPr>
            </w:pPr>
            <w:r>
              <w:rPr>
                <w:rFonts w:hint="eastAsia"/>
                <w:color w:val="000000" w:themeColor="text1"/>
                <w:sz w:val="21"/>
              </w:rPr>
              <w:t>60</w:t>
            </w:r>
          </w:p>
        </w:tc>
        <w:tc>
          <w:tcPr>
            <w:tcW w:w="3067" w:type="dxa"/>
            <w:vAlign w:val="center"/>
          </w:tcPr>
          <w:p>
            <w:pPr>
              <w:spacing w:line="240" w:lineRule="exact"/>
              <w:jc w:val="center"/>
              <w:rPr>
                <w:color w:val="000000" w:themeColor="text1"/>
                <w:sz w:val="21"/>
              </w:rPr>
            </w:pPr>
            <w:r>
              <w:rPr>
                <w:rFonts w:hint="eastAsia"/>
                <w:color w:val="000000" w:themeColor="text1"/>
                <w:sz w:val="21"/>
              </w:rPr>
              <w:t>50</w:t>
            </w:r>
          </w:p>
        </w:tc>
      </w:tr>
    </w:tbl>
    <w:p>
      <w:pPr>
        <w:pStyle w:val="56"/>
        <w:adjustRightInd w:val="0"/>
        <w:snapToGrid w:val="0"/>
        <w:rPr>
          <w:color w:val="000000" w:themeColor="text1"/>
        </w:rPr>
      </w:pPr>
      <w:r>
        <w:rPr>
          <w:rFonts w:hint="eastAsia"/>
          <w:color w:val="000000" w:themeColor="text1"/>
        </w:rPr>
        <w:t>固体废物</w:t>
      </w:r>
    </w:p>
    <w:p>
      <w:pPr>
        <w:autoSpaceDE w:val="0"/>
        <w:autoSpaceDN w:val="0"/>
        <w:adjustRightInd w:val="0"/>
        <w:snapToGrid w:val="0"/>
        <w:spacing w:line="360" w:lineRule="auto"/>
        <w:ind w:firstLine="480" w:firstLineChars="200"/>
      </w:pPr>
      <w:r>
        <w:rPr>
          <w:rFonts w:cs="Times New Roman"/>
        </w:rPr>
        <w:t>医疗废物执行</w:t>
      </w:r>
      <w:r>
        <w:rPr>
          <w:rFonts w:hint="eastAsia" w:cs="Times New Roman"/>
        </w:rPr>
        <w:t>《危险废物</w:t>
      </w:r>
      <w:r>
        <w:t>贮存污染控制标准</w:t>
      </w:r>
      <w:r>
        <w:rPr>
          <w:rFonts w:hint="eastAsia" w:cs="Times New Roman"/>
        </w:rPr>
        <w:t>》</w:t>
      </w:r>
      <w:r>
        <w:t>（GB18597-2001）</w:t>
      </w:r>
      <w:r>
        <w:rPr>
          <w:rFonts w:hint="eastAsia"/>
        </w:rPr>
        <w:t>、</w:t>
      </w:r>
      <w:r>
        <w:t>《医疗废物转运车技术要求》（GB19217-2003）</w:t>
      </w:r>
      <w:r>
        <w:rPr>
          <w:rFonts w:hint="eastAsia"/>
        </w:rPr>
        <w:t>和《</w:t>
      </w:r>
      <w:r>
        <w:t>医疗废物集中处置技术规范（试行）</w:t>
      </w:r>
      <w:r>
        <w:rPr>
          <w:rFonts w:hint="eastAsia"/>
        </w:rPr>
        <w:t>》</w:t>
      </w:r>
      <w:r>
        <w:t>( 环发[2003]206号)</w:t>
      </w:r>
      <w:r>
        <w:rPr>
          <w:rFonts w:hint="eastAsia"/>
        </w:rPr>
        <w:t>中有关规定</w:t>
      </w:r>
      <w:r>
        <w:t>；污水处理站污泥执行《医疗机构水污染排放标准》（GB18466-2005）医疗机构污泥控制标准，一般生活垃圾执行《生活垃圾填埋场污染控制标准》（GB16889-2008）</w:t>
      </w:r>
      <w:r>
        <w:rPr>
          <w:rFonts w:hint="eastAsia"/>
        </w:rPr>
        <w:t>。</w:t>
      </w:r>
    </w:p>
    <w:p>
      <w:pPr>
        <w:pStyle w:val="14"/>
        <w:spacing w:line="240" w:lineRule="auto"/>
        <w:rPr>
          <w:color w:val="000000" w:themeColor="text1"/>
          <w:kern w:val="0"/>
        </w:rPr>
      </w:pPr>
      <w:r>
        <w:rPr>
          <w:rFonts w:hint="eastAsia"/>
          <w:color w:val="000000" w:themeColor="text1"/>
        </w:rPr>
        <w:t>表</w:t>
      </w:r>
      <w:r>
        <w:rPr>
          <w:color w:val="000000" w:themeColor="text1"/>
        </w:rPr>
        <w:fldChar w:fldCharType="begin"/>
      </w:r>
      <w:r>
        <w:rPr>
          <w:color w:val="000000" w:themeColor="text1"/>
        </w:rPr>
        <w:instrText xml:space="preserve"> </w:instrText>
      </w:r>
      <w:r>
        <w:rPr>
          <w:rFonts w:hint="eastAsia"/>
          <w:color w:val="000000" w:themeColor="text1"/>
        </w:rPr>
        <w:instrText xml:space="preserve">STYLEREF 2 \s</w:instrText>
      </w:r>
      <w:r>
        <w:rPr>
          <w:color w:val="000000" w:themeColor="text1"/>
        </w:rPr>
        <w:instrText xml:space="preserve"> </w:instrText>
      </w:r>
      <w:r>
        <w:rPr>
          <w:color w:val="000000" w:themeColor="text1"/>
        </w:rPr>
        <w:fldChar w:fldCharType="separate"/>
      </w:r>
      <w:r>
        <w:rPr>
          <w:color w:val="000000" w:themeColor="text1"/>
        </w:rPr>
        <w:t>1.6</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表 \* ARABIC \s 2</w:instrText>
      </w:r>
      <w:r>
        <w:rPr>
          <w:color w:val="000000" w:themeColor="text1"/>
        </w:rPr>
        <w:instrText xml:space="preserve"> </w:instrText>
      </w:r>
      <w:r>
        <w:rPr>
          <w:color w:val="000000" w:themeColor="text1"/>
        </w:rPr>
        <w:fldChar w:fldCharType="separate"/>
      </w:r>
      <w:r>
        <w:rPr>
          <w:color w:val="000000" w:themeColor="text1"/>
        </w:rPr>
        <w:t>15</w:t>
      </w:r>
      <w:r>
        <w:rPr>
          <w:color w:val="000000" w:themeColor="text1"/>
        </w:rPr>
        <w:fldChar w:fldCharType="end"/>
      </w:r>
      <w:r>
        <w:rPr>
          <w:rFonts w:hint="eastAsia"/>
          <w:color w:val="000000" w:themeColor="text1"/>
          <w:kern w:val="0"/>
        </w:rPr>
        <w:t xml:space="preserve">  医疗机构污泥控制标准</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7"/>
        <w:gridCol w:w="2158"/>
        <w:gridCol w:w="1187"/>
        <w:gridCol w:w="1011"/>
        <w:gridCol w:w="1011"/>
        <w:gridCol w:w="1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980" w:type="dxa"/>
            <w:vAlign w:val="center"/>
          </w:tcPr>
          <w:p>
            <w:pPr>
              <w:autoSpaceDE w:val="0"/>
              <w:autoSpaceDN w:val="0"/>
              <w:adjustRightInd w:val="0"/>
              <w:spacing w:line="240" w:lineRule="exact"/>
              <w:jc w:val="center"/>
              <w:rPr>
                <w:rFonts w:cs="Times New Roman"/>
                <w:kern w:val="0"/>
                <w:sz w:val="21"/>
              </w:rPr>
            </w:pPr>
            <w:r>
              <w:rPr>
                <w:rFonts w:cs="Times New Roman"/>
                <w:kern w:val="0"/>
                <w:sz w:val="21"/>
              </w:rPr>
              <w:t>医疗机构类别</w:t>
            </w:r>
          </w:p>
        </w:tc>
        <w:tc>
          <w:tcPr>
            <w:tcW w:w="1852" w:type="dxa"/>
            <w:vAlign w:val="center"/>
          </w:tcPr>
          <w:p>
            <w:pPr>
              <w:autoSpaceDE w:val="0"/>
              <w:autoSpaceDN w:val="0"/>
              <w:adjustRightInd w:val="0"/>
              <w:spacing w:line="240" w:lineRule="exact"/>
              <w:jc w:val="center"/>
              <w:rPr>
                <w:rFonts w:cs="Times New Roman"/>
                <w:kern w:val="0"/>
                <w:sz w:val="21"/>
              </w:rPr>
            </w:pPr>
            <w:r>
              <w:rPr>
                <w:rFonts w:cs="Times New Roman"/>
                <w:kern w:val="0"/>
                <w:sz w:val="21"/>
              </w:rPr>
              <w:t>粪大肠菌群数(MPN/g)</w:t>
            </w:r>
          </w:p>
        </w:tc>
        <w:tc>
          <w:tcPr>
            <w:tcW w:w="1018" w:type="dxa"/>
            <w:vAlign w:val="center"/>
          </w:tcPr>
          <w:p>
            <w:pPr>
              <w:autoSpaceDE w:val="0"/>
              <w:autoSpaceDN w:val="0"/>
              <w:adjustRightInd w:val="0"/>
              <w:spacing w:line="240" w:lineRule="exact"/>
              <w:jc w:val="center"/>
              <w:rPr>
                <w:rFonts w:cs="Times New Roman"/>
                <w:kern w:val="0"/>
                <w:sz w:val="21"/>
              </w:rPr>
            </w:pPr>
            <w:r>
              <w:rPr>
                <w:rFonts w:cs="Times New Roman"/>
                <w:kern w:val="0"/>
                <w:sz w:val="21"/>
              </w:rPr>
              <w:t>肠道致病菌</w:t>
            </w:r>
          </w:p>
        </w:tc>
        <w:tc>
          <w:tcPr>
            <w:tcW w:w="867" w:type="dxa"/>
            <w:vAlign w:val="center"/>
          </w:tcPr>
          <w:p>
            <w:pPr>
              <w:autoSpaceDE w:val="0"/>
              <w:autoSpaceDN w:val="0"/>
              <w:adjustRightInd w:val="0"/>
              <w:spacing w:line="240" w:lineRule="exact"/>
              <w:jc w:val="center"/>
              <w:rPr>
                <w:rFonts w:cs="Times New Roman"/>
                <w:kern w:val="0"/>
                <w:sz w:val="21"/>
              </w:rPr>
            </w:pPr>
            <w:r>
              <w:rPr>
                <w:rFonts w:cs="Times New Roman"/>
                <w:kern w:val="0"/>
                <w:sz w:val="21"/>
              </w:rPr>
              <w:t>肠道病毒</w:t>
            </w:r>
          </w:p>
        </w:tc>
        <w:tc>
          <w:tcPr>
            <w:tcW w:w="867" w:type="dxa"/>
            <w:vAlign w:val="center"/>
          </w:tcPr>
          <w:p>
            <w:pPr>
              <w:autoSpaceDE w:val="0"/>
              <w:autoSpaceDN w:val="0"/>
              <w:adjustRightInd w:val="0"/>
              <w:spacing w:line="240" w:lineRule="exact"/>
              <w:jc w:val="center"/>
              <w:rPr>
                <w:rFonts w:cs="Times New Roman"/>
                <w:kern w:val="0"/>
                <w:sz w:val="21"/>
              </w:rPr>
            </w:pPr>
            <w:r>
              <w:rPr>
                <w:rFonts w:cs="Times New Roman"/>
                <w:kern w:val="0"/>
                <w:sz w:val="21"/>
              </w:rPr>
              <w:t>结核杆菌</w:t>
            </w:r>
          </w:p>
        </w:tc>
        <w:tc>
          <w:tcPr>
            <w:tcW w:w="1692" w:type="dxa"/>
            <w:vAlign w:val="center"/>
          </w:tcPr>
          <w:p>
            <w:pPr>
              <w:autoSpaceDE w:val="0"/>
              <w:autoSpaceDN w:val="0"/>
              <w:adjustRightInd w:val="0"/>
              <w:spacing w:line="240" w:lineRule="exact"/>
              <w:jc w:val="center"/>
              <w:rPr>
                <w:rFonts w:cs="Times New Roman"/>
                <w:kern w:val="0"/>
                <w:sz w:val="21"/>
              </w:rPr>
            </w:pPr>
            <w:r>
              <w:rPr>
                <w:rFonts w:cs="Times New Roman"/>
                <w:kern w:val="0"/>
                <w:sz w:val="21"/>
              </w:rPr>
              <w:t>蛔虫卵死亡率（%）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980" w:type="dxa"/>
            <w:vAlign w:val="center"/>
          </w:tcPr>
          <w:p>
            <w:pPr>
              <w:autoSpaceDE w:val="0"/>
              <w:autoSpaceDN w:val="0"/>
              <w:adjustRightInd w:val="0"/>
              <w:spacing w:line="240" w:lineRule="exact"/>
              <w:jc w:val="center"/>
              <w:rPr>
                <w:rFonts w:cs="Times New Roman"/>
                <w:kern w:val="0"/>
                <w:sz w:val="21"/>
              </w:rPr>
            </w:pPr>
            <w:r>
              <w:rPr>
                <w:rFonts w:cs="Times New Roman"/>
                <w:kern w:val="0"/>
                <w:sz w:val="21"/>
              </w:rPr>
              <w:t>综合医疗机构和其它医疗机构</w:t>
            </w:r>
          </w:p>
        </w:tc>
        <w:tc>
          <w:tcPr>
            <w:tcW w:w="1852" w:type="dxa"/>
            <w:vAlign w:val="center"/>
          </w:tcPr>
          <w:p>
            <w:pPr>
              <w:autoSpaceDE w:val="0"/>
              <w:autoSpaceDN w:val="0"/>
              <w:adjustRightInd w:val="0"/>
              <w:spacing w:line="240" w:lineRule="exact"/>
              <w:jc w:val="center"/>
              <w:rPr>
                <w:rFonts w:cs="Times New Roman"/>
                <w:kern w:val="0"/>
                <w:sz w:val="21"/>
              </w:rPr>
            </w:pPr>
            <w:r>
              <w:rPr>
                <w:rFonts w:cs="Times New Roman"/>
                <w:kern w:val="0"/>
                <w:sz w:val="21"/>
              </w:rPr>
              <w:t>≤100</w:t>
            </w:r>
          </w:p>
        </w:tc>
        <w:tc>
          <w:tcPr>
            <w:tcW w:w="1018" w:type="dxa"/>
            <w:vAlign w:val="center"/>
          </w:tcPr>
          <w:p>
            <w:pPr>
              <w:autoSpaceDE w:val="0"/>
              <w:autoSpaceDN w:val="0"/>
              <w:adjustRightInd w:val="0"/>
              <w:spacing w:line="240" w:lineRule="exact"/>
              <w:jc w:val="center"/>
              <w:rPr>
                <w:rFonts w:cs="Times New Roman"/>
                <w:kern w:val="0"/>
                <w:sz w:val="21"/>
              </w:rPr>
            </w:pPr>
            <w:r>
              <w:rPr>
                <w:rFonts w:cs="Times New Roman"/>
                <w:kern w:val="0"/>
                <w:sz w:val="21"/>
              </w:rPr>
              <w:t>—</w:t>
            </w:r>
          </w:p>
        </w:tc>
        <w:tc>
          <w:tcPr>
            <w:tcW w:w="867" w:type="dxa"/>
            <w:vAlign w:val="center"/>
          </w:tcPr>
          <w:p>
            <w:pPr>
              <w:autoSpaceDE w:val="0"/>
              <w:autoSpaceDN w:val="0"/>
              <w:adjustRightInd w:val="0"/>
              <w:spacing w:line="240" w:lineRule="exact"/>
              <w:jc w:val="center"/>
              <w:rPr>
                <w:rFonts w:cs="Times New Roman"/>
                <w:kern w:val="0"/>
                <w:sz w:val="21"/>
              </w:rPr>
            </w:pPr>
            <w:r>
              <w:rPr>
                <w:rFonts w:cs="Times New Roman"/>
                <w:kern w:val="0"/>
                <w:sz w:val="21"/>
              </w:rPr>
              <w:t>—</w:t>
            </w:r>
          </w:p>
        </w:tc>
        <w:tc>
          <w:tcPr>
            <w:tcW w:w="867" w:type="dxa"/>
            <w:vAlign w:val="center"/>
          </w:tcPr>
          <w:p>
            <w:pPr>
              <w:autoSpaceDE w:val="0"/>
              <w:autoSpaceDN w:val="0"/>
              <w:adjustRightInd w:val="0"/>
              <w:spacing w:line="240" w:lineRule="exact"/>
              <w:jc w:val="center"/>
              <w:rPr>
                <w:rFonts w:cs="Times New Roman"/>
                <w:kern w:val="0"/>
                <w:sz w:val="21"/>
              </w:rPr>
            </w:pPr>
            <w:r>
              <w:rPr>
                <w:rFonts w:cs="Times New Roman"/>
                <w:kern w:val="0"/>
                <w:sz w:val="21"/>
              </w:rPr>
              <w:t>—</w:t>
            </w:r>
          </w:p>
        </w:tc>
        <w:tc>
          <w:tcPr>
            <w:tcW w:w="1692" w:type="dxa"/>
            <w:vAlign w:val="center"/>
          </w:tcPr>
          <w:p>
            <w:pPr>
              <w:autoSpaceDE w:val="0"/>
              <w:autoSpaceDN w:val="0"/>
              <w:adjustRightInd w:val="0"/>
              <w:spacing w:line="240" w:lineRule="exact"/>
              <w:jc w:val="center"/>
              <w:rPr>
                <w:rFonts w:cs="Times New Roman"/>
                <w:kern w:val="0"/>
                <w:sz w:val="21"/>
              </w:rPr>
            </w:pPr>
            <w:r>
              <w:rPr>
                <w:rFonts w:cs="Times New Roman"/>
                <w:kern w:val="0"/>
                <w:sz w:val="21"/>
              </w:rPr>
              <w:t>&gt;95</w:t>
            </w:r>
          </w:p>
        </w:tc>
      </w:tr>
    </w:tbl>
    <w:p>
      <w:pPr>
        <w:pStyle w:val="4"/>
        <w:adjustRightInd w:val="0"/>
        <w:snapToGrid w:val="0"/>
        <w:rPr>
          <w:color w:val="000000" w:themeColor="text1"/>
        </w:rPr>
      </w:pPr>
      <w:bookmarkStart w:id="87" w:name="_Toc532498729"/>
      <w:bookmarkStart w:id="88" w:name="_Toc532376136"/>
      <w:bookmarkStart w:id="89" w:name="_Toc532763193"/>
      <w:bookmarkStart w:id="90" w:name="_Toc25826479"/>
      <w:bookmarkStart w:id="91" w:name="_Toc532497611"/>
      <w:r>
        <w:rPr>
          <w:rFonts w:hint="eastAsia"/>
          <w:color w:val="000000" w:themeColor="text1"/>
        </w:rPr>
        <w:t>评价</w:t>
      </w:r>
      <w:r>
        <w:rPr>
          <w:color w:val="000000" w:themeColor="text1"/>
        </w:rPr>
        <w:t>等级</w:t>
      </w:r>
      <w:bookmarkEnd w:id="87"/>
      <w:bookmarkEnd w:id="88"/>
      <w:bookmarkEnd w:id="89"/>
      <w:bookmarkEnd w:id="90"/>
      <w:bookmarkEnd w:id="91"/>
    </w:p>
    <w:p>
      <w:pPr>
        <w:pStyle w:val="5"/>
        <w:rPr>
          <w:color w:val="000000" w:themeColor="text1"/>
        </w:rPr>
      </w:pPr>
      <w:bookmarkStart w:id="92" w:name="_Toc532497612"/>
      <w:r>
        <w:rPr>
          <w:rFonts w:hint="eastAsia"/>
          <w:color w:val="000000" w:themeColor="text1"/>
        </w:rPr>
        <w:t>评价等级</w:t>
      </w:r>
      <w:bookmarkEnd w:id="92"/>
    </w:p>
    <w:p>
      <w:pPr>
        <w:pStyle w:val="56"/>
        <w:adjustRightInd w:val="0"/>
        <w:snapToGrid w:val="0"/>
        <w:rPr>
          <w:color w:val="000000" w:themeColor="text1"/>
        </w:rPr>
      </w:pPr>
      <w:r>
        <w:rPr>
          <w:rFonts w:hint="eastAsia"/>
          <w:color w:val="000000" w:themeColor="text1"/>
        </w:rPr>
        <w:t>大气环境</w:t>
      </w:r>
    </w:p>
    <w:p>
      <w:pPr>
        <w:autoSpaceDE w:val="0"/>
        <w:autoSpaceDN w:val="0"/>
        <w:adjustRightInd w:val="0"/>
        <w:snapToGrid w:val="0"/>
        <w:spacing w:line="360" w:lineRule="auto"/>
        <w:ind w:firstLine="480"/>
        <w:rPr>
          <w:rFonts w:cs="Times New Roman"/>
          <w:color w:val="000000" w:themeColor="text1"/>
        </w:rPr>
      </w:pPr>
      <w:r>
        <w:rPr>
          <w:rFonts w:cs="Times New Roman"/>
          <w:color w:val="000000" w:themeColor="text1"/>
          <w:kern w:val="0"/>
        </w:rPr>
        <w:t>按照《环境影响评价技术导则—大气环境》（HJ2.2-2018）中相关规定，评价等级采用AERSCREEN估算模式进行计算，分别计算项目排放主要污染物的最大地面空气浓度占标率。根据工程分析结果，计算污染物的最大地面浓度占标率P</w:t>
      </w:r>
      <w:r>
        <w:rPr>
          <w:rFonts w:cs="Times New Roman"/>
          <w:color w:val="000000" w:themeColor="text1"/>
          <w:kern w:val="0"/>
          <w:vertAlign w:val="subscript"/>
        </w:rPr>
        <w:t>i</w:t>
      </w:r>
      <w:r>
        <w:rPr>
          <w:rFonts w:cs="Times New Roman"/>
          <w:color w:val="000000" w:themeColor="text1"/>
          <w:kern w:val="0"/>
        </w:rPr>
        <w:t>（第i个污染物），及第i个污染物的地面浓度达到标准限值10%时所对应的最远距离D</w:t>
      </w:r>
      <w:r>
        <w:rPr>
          <w:rFonts w:cs="Times New Roman"/>
          <w:color w:val="000000" w:themeColor="text1"/>
          <w:kern w:val="0"/>
          <w:vertAlign w:val="subscript"/>
        </w:rPr>
        <w:t>10</w:t>
      </w:r>
      <w:r>
        <w:rPr>
          <w:rFonts w:cs="Times New Roman"/>
          <w:color w:val="000000" w:themeColor="text1"/>
          <w:kern w:val="0"/>
        </w:rPr>
        <w:t>%。其中P</w:t>
      </w:r>
      <w:r>
        <w:rPr>
          <w:rFonts w:cs="Times New Roman"/>
          <w:color w:val="000000" w:themeColor="text1"/>
          <w:kern w:val="0"/>
          <w:vertAlign w:val="subscript"/>
        </w:rPr>
        <w:t>i</w:t>
      </w:r>
      <w:r>
        <w:rPr>
          <w:rFonts w:cs="Times New Roman"/>
          <w:color w:val="000000" w:themeColor="text1"/>
          <w:kern w:val="0"/>
        </w:rPr>
        <w:t>定义为：</w:t>
      </w:r>
    </w:p>
    <w:p>
      <w:pPr>
        <w:pStyle w:val="82"/>
        <w:spacing w:before="0" w:line="360" w:lineRule="auto"/>
        <w:ind w:firstLine="480"/>
        <w:jc w:val="center"/>
        <w:rPr>
          <w:rFonts w:ascii="Times New Roman" w:hAnsi="Times New Roman" w:cs="Times New Roman"/>
          <w:color w:val="FF0000"/>
        </w:rPr>
      </w:pPr>
      <w:r>
        <w:rPr>
          <w:rFonts w:ascii="Times New Roman" w:hAnsi="Times New Roman" w:cs="Times New Roman"/>
          <w:color w:val="FF0000"/>
          <w:position w:val="-30"/>
        </w:rPr>
        <w:object>
          <v:shape id="_x0000_i1025" o:spt="75" type="#_x0000_t75" style="height:33.85pt;width:79.4pt;" o:ole="t" filled="f" o:preferrelative="t" stroked="f" coordsize="21600,21600">
            <v:path/>
            <v:fill on="f" focussize="0,0"/>
            <v:stroke on="f" joinstyle="miter"/>
            <v:imagedata r:id="rId11" o:title=""/>
            <o:lock v:ext="edit" aspectratio="t"/>
            <w10:wrap type="none"/>
            <w10:anchorlock/>
          </v:shape>
          <o:OLEObject Type="Embed" ProgID="Equation.3" ShapeID="_x0000_i1025" DrawAspect="Content" ObjectID="_1468075725" r:id="rId10">
            <o:LockedField>false</o:LockedField>
          </o:OLEObject>
        </w:object>
      </w:r>
    </w:p>
    <w:p>
      <w:pPr>
        <w:pStyle w:val="82"/>
        <w:spacing w:before="0" w:line="360" w:lineRule="auto"/>
        <w:ind w:firstLine="480"/>
        <w:rPr>
          <w:rFonts w:ascii="Times New Roman" w:hAnsi="Times New Roman" w:cs="Times New Roman"/>
          <w:color w:val="000000" w:themeColor="text1"/>
        </w:rPr>
      </w:pPr>
      <w:r>
        <w:rPr>
          <w:rFonts w:ascii="Times New Roman" w:hAnsi="Times New Roman" w:cs="Times New Roman"/>
          <w:color w:val="000000" w:themeColor="text1"/>
        </w:rPr>
        <w:t>式中：P</w:t>
      </w:r>
      <w:r>
        <w:rPr>
          <w:rFonts w:ascii="Times New Roman" w:hAnsi="Times New Roman" w:cs="Times New Roman"/>
          <w:color w:val="000000" w:themeColor="text1"/>
          <w:vertAlign w:val="subscript"/>
        </w:rPr>
        <w:t>i</w:t>
      </w:r>
      <w:r>
        <w:rPr>
          <w:rFonts w:ascii="Times New Roman" w:hAnsi="Times New Roman" w:cs="Times New Roman"/>
          <w:color w:val="000000" w:themeColor="text1"/>
        </w:rPr>
        <w:t>——第i个污染物的最大地面浓度占标率，%；</w:t>
      </w:r>
    </w:p>
    <w:p>
      <w:pPr>
        <w:pStyle w:val="82"/>
        <w:spacing w:before="0" w:line="360" w:lineRule="auto"/>
        <w:ind w:left="2" w:firstLine="480"/>
        <w:rPr>
          <w:rFonts w:ascii="Times New Roman" w:hAnsi="Times New Roman" w:cs="Times New Roman"/>
          <w:color w:val="000000" w:themeColor="text1"/>
        </w:rPr>
      </w:pPr>
      <w:r>
        <w:rPr>
          <w:rFonts w:ascii="Times New Roman" w:hAnsi="Times New Roman" w:cs="Times New Roman"/>
          <w:color w:val="000000" w:themeColor="text1"/>
        </w:rPr>
        <w:t xml:space="preserve">      C</w:t>
      </w:r>
      <w:r>
        <w:rPr>
          <w:rFonts w:ascii="Times New Roman" w:hAnsi="Times New Roman" w:cs="Times New Roman"/>
          <w:color w:val="000000" w:themeColor="text1"/>
          <w:vertAlign w:val="subscript"/>
        </w:rPr>
        <w:t>i</w:t>
      </w:r>
      <w:r>
        <w:rPr>
          <w:rFonts w:ascii="Times New Roman" w:hAnsi="Times New Roman" w:cs="Times New Roman"/>
          <w:color w:val="000000" w:themeColor="text1"/>
        </w:rPr>
        <w:t>——采用估算模式计算出的第i个污染物的最大地面浓度，mg/m</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w:t>
      </w:r>
    </w:p>
    <w:p>
      <w:pPr>
        <w:adjustRightInd w:val="0"/>
        <w:snapToGrid w:val="0"/>
        <w:spacing w:line="360" w:lineRule="auto"/>
        <w:ind w:firstLine="480"/>
        <w:rPr>
          <w:rFonts w:cs="Times New Roman"/>
          <w:color w:val="000000" w:themeColor="text1"/>
        </w:rPr>
      </w:pPr>
      <w:r>
        <w:rPr>
          <w:rFonts w:cs="Times New Roman"/>
          <w:color w:val="000000" w:themeColor="text1"/>
        </w:rPr>
        <w:t xml:space="preserve">      C</w:t>
      </w:r>
      <w:r>
        <w:rPr>
          <w:rFonts w:cs="Times New Roman"/>
          <w:color w:val="000000" w:themeColor="text1"/>
          <w:vertAlign w:val="subscript"/>
        </w:rPr>
        <w:t>0i</w:t>
      </w:r>
      <w:r>
        <w:rPr>
          <w:rFonts w:cs="Times New Roman"/>
          <w:color w:val="000000" w:themeColor="text1"/>
        </w:rPr>
        <w:t>——</w:t>
      </w:r>
      <w:r>
        <w:rPr>
          <w:rFonts w:cs="Times New Roman"/>
          <w:color w:val="000000" w:themeColor="text1"/>
          <w:kern w:val="0"/>
          <w:szCs w:val="20"/>
        </w:rPr>
        <w:t>第i个污染物的环境空气质量标准</w:t>
      </w:r>
      <w:r>
        <w:rPr>
          <w:rFonts w:cs="Times New Roman"/>
          <w:color w:val="000000" w:themeColor="text1"/>
        </w:rPr>
        <w:t>，mg/m</w:t>
      </w:r>
      <w:r>
        <w:rPr>
          <w:rFonts w:cs="Times New Roman"/>
          <w:color w:val="000000" w:themeColor="text1"/>
          <w:vertAlign w:val="superscript"/>
        </w:rPr>
        <w:t>3</w:t>
      </w:r>
      <w:r>
        <w:rPr>
          <w:rFonts w:cs="Times New Roman"/>
          <w:color w:val="000000" w:themeColor="text1"/>
        </w:rPr>
        <w:t xml:space="preserve">，对于无小时浓度限值的污染物，可取日平均浓度限制的三倍值，对该标准未包含的污染物。 </w:t>
      </w:r>
    </w:p>
    <w:p>
      <w:pPr>
        <w:autoSpaceDE w:val="0"/>
        <w:autoSpaceDN w:val="0"/>
        <w:adjustRightInd w:val="0"/>
        <w:snapToGrid w:val="0"/>
        <w:spacing w:line="360" w:lineRule="auto"/>
        <w:ind w:firstLine="480"/>
        <w:rPr>
          <w:rFonts w:eastAsia="宋体" w:cs="Times New Roman"/>
          <w:color w:val="000000" w:themeColor="text1"/>
          <w:kern w:val="0"/>
          <w:szCs w:val="24"/>
        </w:rPr>
      </w:pPr>
      <w:r>
        <w:rPr>
          <w:rFonts w:eastAsia="宋体" w:cs="Times New Roman"/>
          <w:color w:val="000000" w:themeColor="text1"/>
          <w:kern w:val="0"/>
          <w:szCs w:val="24"/>
        </w:rPr>
        <w:t>项目营运期间产生的废气主要为</w:t>
      </w:r>
      <w:r>
        <w:rPr>
          <w:rFonts w:hint="eastAsia"/>
          <w:color w:val="000000" w:themeColor="text1"/>
        </w:rPr>
        <w:t>食堂油烟、汽车尾气、锅炉燃烧废气、发电机燃烧废气、污水处理站恶臭及垃圾站恶臭气体</w:t>
      </w:r>
      <w:r>
        <w:rPr>
          <w:rFonts w:eastAsia="宋体" w:cs="Times New Roman"/>
          <w:color w:val="000000" w:themeColor="text1"/>
          <w:kern w:val="0"/>
          <w:szCs w:val="24"/>
        </w:rPr>
        <w:t>，主要大气污染物的最大落地浓度</w:t>
      </w:r>
      <w:r>
        <w:rPr>
          <w:rFonts w:hint="eastAsia" w:eastAsia="宋体" w:cs="Times New Roman"/>
          <w:color w:val="000000" w:themeColor="text1"/>
          <w:kern w:val="0"/>
          <w:szCs w:val="24"/>
        </w:rPr>
        <w:t>和</w:t>
      </w:r>
      <w:r>
        <w:rPr>
          <w:rFonts w:eastAsia="宋体" w:cs="Times New Roman"/>
          <w:color w:val="000000" w:themeColor="text1"/>
          <w:kern w:val="0"/>
          <w:szCs w:val="24"/>
        </w:rPr>
        <w:t>占标率见</w:t>
      </w:r>
      <w:r>
        <w:rPr>
          <w:rFonts w:hint="eastAsia" w:eastAsia="宋体" w:cs="Times New Roman"/>
          <w:color w:val="000000" w:themeColor="text1"/>
          <w:kern w:val="0"/>
          <w:szCs w:val="24"/>
        </w:rPr>
        <w:t>1.7-3</w:t>
      </w:r>
      <w:r>
        <w:rPr>
          <w:rFonts w:eastAsia="宋体" w:cs="Times New Roman"/>
          <w:color w:val="000000" w:themeColor="text1"/>
          <w:kern w:val="0"/>
          <w:szCs w:val="24"/>
        </w:rPr>
        <w:t>，再根据表1.7-1，确定大气环境影响评价等级为二级。</w:t>
      </w:r>
      <w:r>
        <w:rPr>
          <w:rFonts w:cs="Times New Roman"/>
          <w:color w:val="000000" w:themeColor="text1"/>
          <w:kern w:val="0"/>
        </w:rPr>
        <w:t>估算模式计算参数表见表1.7-2。</w:t>
      </w:r>
    </w:p>
    <w:p>
      <w:pPr>
        <w:pStyle w:val="14"/>
        <w:spacing w:line="240" w:lineRule="auto"/>
        <w:rPr>
          <w:rFonts w:cs="Times New Roman"/>
          <w:color w:val="000000" w:themeColor="text1"/>
        </w:rPr>
      </w:pPr>
      <w:bookmarkStart w:id="93" w:name="_Ref532107916"/>
      <w:r>
        <w:rPr>
          <w:rFonts w:cs="Times New Roman"/>
          <w:color w:val="000000" w:themeColor="text1"/>
          <w:kern w:val="0"/>
          <w:szCs w:val="24"/>
        </w:rPr>
        <w:t>表</w:t>
      </w:r>
      <w:r>
        <w:rPr>
          <w:rFonts w:cs="Times New Roman"/>
          <w:color w:val="000000" w:themeColor="text1"/>
          <w:kern w:val="0"/>
          <w:szCs w:val="24"/>
        </w:rPr>
        <w:fldChar w:fldCharType="begin"/>
      </w:r>
      <w:r>
        <w:rPr>
          <w:rFonts w:cs="Times New Roman"/>
          <w:color w:val="000000" w:themeColor="text1"/>
          <w:kern w:val="0"/>
          <w:szCs w:val="24"/>
        </w:rPr>
        <w:instrText xml:space="preserve"> STYLEREF 2 \s </w:instrText>
      </w:r>
      <w:r>
        <w:rPr>
          <w:rFonts w:cs="Times New Roman"/>
          <w:color w:val="000000" w:themeColor="text1"/>
          <w:kern w:val="0"/>
          <w:szCs w:val="24"/>
        </w:rPr>
        <w:fldChar w:fldCharType="separate"/>
      </w:r>
      <w:r>
        <w:rPr>
          <w:rFonts w:cs="Times New Roman"/>
          <w:color w:val="000000" w:themeColor="text1"/>
          <w:kern w:val="0"/>
          <w:szCs w:val="24"/>
        </w:rPr>
        <w:t>1.7</w:t>
      </w:r>
      <w:r>
        <w:rPr>
          <w:rFonts w:cs="Times New Roman"/>
          <w:color w:val="000000" w:themeColor="text1"/>
          <w:kern w:val="0"/>
          <w:szCs w:val="24"/>
        </w:rPr>
        <w:fldChar w:fldCharType="end"/>
      </w:r>
      <w:r>
        <w:rPr>
          <w:rFonts w:cs="Times New Roman"/>
          <w:color w:val="000000" w:themeColor="text1"/>
          <w:kern w:val="0"/>
          <w:szCs w:val="24"/>
        </w:rPr>
        <w:noBreakHyphen/>
      </w:r>
      <w:r>
        <w:rPr>
          <w:rFonts w:cs="Times New Roman"/>
          <w:color w:val="000000" w:themeColor="text1"/>
          <w:kern w:val="0"/>
          <w:szCs w:val="24"/>
        </w:rPr>
        <w:fldChar w:fldCharType="begin"/>
      </w:r>
      <w:r>
        <w:rPr>
          <w:rFonts w:cs="Times New Roman"/>
          <w:color w:val="000000" w:themeColor="text1"/>
          <w:kern w:val="0"/>
          <w:szCs w:val="24"/>
        </w:rPr>
        <w:instrText xml:space="preserve"> SEQ 表 \* ARABIC \s 2 </w:instrText>
      </w:r>
      <w:r>
        <w:rPr>
          <w:rFonts w:cs="Times New Roman"/>
          <w:color w:val="000000" w:themeColor="text1"/>
          <w:kern w:val="0"/>
          <w:szCs w:val="24"/>
        </w:rPr>
        <w:fldChar w:fldCharType="separate"/>
      </w:r>
      <w:r>
        <w:rPr>
          <w:rFonts w:cs="Times New Roman"/>
          <w:color w:val="000000" w:themeColor="text1"/>
          <w:kern w:val="0"/>
          <w:szCs w:val="24"/>
        </w:rPr>
        <w:t>1</w:t>
      </w:r>
      <w:r>
        <w:rPr>
          <w:rFonts w:cs="Times New Roman"/>
          <w:color w:val="000000" w:themeColor="text1"/>
          <w:kern w:val="0"/>
          <w:szCs w:val="24"/>
        </w:rPr>
        <w:fldChar w:fldCharType="end"/>
      </w:r>
      <w:bookmarkEnd w:id="93"/>
      <w:r>
        <w:rPr>
          <w:rFonts w:hint="eastAsia" w:cs="Times New Roman"/>
          <w:color w:val="000000" w:themeColor="text1"/>
          <w:kern w:val="0"/>
          <w:szCs w:val="24"/>
        </w:rPr>
        <w:t xml:space="preserve"> </w:t>
      </w:r>
      <w:r>
        <w:rPr>
          <w:rFonts w:cs="Times New Roman"/>
          <w:bCs/>
          <w:color w:val="000000" w:themeColor="text1"/>
        </w:rPr>
        <w:t>大气环境影响评价工作等级</w:t>
      </w:r>
    </w:p>
    <w:tbl>
      <w:tblPr>
        <w:tblStyle w:val="40"/>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1"/>
        <w:gridCol w:w="4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评价工作等级</w:t>
            </w:r>
          </w:p>
        </w:tc>
        <w:tc>
          <w:tcPr>
            <w:tcW w:w="4621"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评价工作等级评价工作分级判据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vAlign w:val="center"/>
          </w:tcPr>
          <w:p>
            <w:pPr>
              <w:pStyle w:val="14"/>
              <w:spacing w:line="240" w:lineRule="auto"/>
              <w:rPr>
                <w:rFonts w:cs="Times New Roman"/>
                <w:b w:val="0"/>
                <w:color w:val="000000" w:themeColor="text1"/>
                <w:kern w:val="0"/>
                <w:sz w:val="21"/>
                <w:szCs w:val="21"/>
              </w:rPr>
            </w:pPr>
            <w:r>
              <w:rPr>
                <w:rFonts w:cs="Times New Roman"/>
                <w:b w:val="0"/>
                <w:color w:val="000000" w:themeColor="text1"/>
                <w:kern w:val="0"/>
                <w:sz w:val="21"/>
                <w:szCs w:val="21"/>
              </w:rPr>
              <w:t>一级</w:t>
            </w:r>
          </w:p>
        </w:tc>
        <w:tc>
          <w:tcPr>
            <w:tcW w:w="4621" w:type="dxa"/>
            <w:vAlign w:val="center"/>
          </w:tcPr>
          <w:p>
            <w:pPr>
              <w:pStyle w:val="14"/>
              <w:spacing w:line="240" w:lineRule="auto"/>
              <w:rPr>
                <w:rFonts w:cs="Times New Roman"/>
                <w:b w:val="0"/>
                <w:color w:val="000000" w:themeColor="text1"/>
                <w:kern w:val="0"/>
                <w:sz w:val="21"/>
                <w:szCs w:val="21"/>
              </w:rPr>
            </w:pPr>
            <w:r>
              <w:rPr>
                <w:rFonts w:cs="Times New Roman"/>
                <w:b w:val="0"/>
                <w:color w:val="000000" w:themeColor="text1"/>
                <w:kern w:val="0"/>
                <w:sz w:val="21"/>
                <w:szCs w:val="21"/>
              </w:rPr>
              <w:t>Pmax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vAlign w:val="center"/>
          </w:tcPr>
          <w:p>
            <w:pPr>
              <w:pStyle w:val="14"/>
              <w:spacing w:line="240" w:lineRule="auto"/>
              <w:rPr>
                <w:rFonts w:cs="Times New Roman"/>
                <w:b w:val="0"/>
                <w:color w:val="000000" w:themeColor="text1"/>
                <w:kern w:val="0"/>
                <w:sz w:val="21"/>
                <w:szCs w:val="21"/>
              </w:rPr>
            </w:pPr>
            <w:r>
              <w:rPr>
                <w:rFonts w:cs="Times New Roman"/>
                <w:b w:val="0"/>
                <w:color w:val="000000" w:themeColor="text1"/>
                <w:kern w:val="0"/>
                <w:sz w:val="21"/>
                <w:szCs w:val="21"/>
              </w:rPr>
              <w:t>二级</w:t>
            </w:r>
          </w:p>
        </w:tc>
        <w:tc>
          <w:tcPr>
            <w:tcW w:w="4621" w:type="dxa"/>
            <w:vAlign w:val="center"/>
          </w:tcPr>
          <w:p>
            <w:pPr>
              <w:pStyle w:val="14"/>
              <w:spacing w:line="240" w:lineRule="auto"/>
              <w:rPr>
                <w:rFonts w:cs="Times New Roman"/>
                <w:b w:val="0"/>
                <w:color w:val="000000" w:themeColor="text1"/>
                <w:kern w:val="0"/>
                <w:sz w:val="21"/>
                <w:szCs w:val="21"/>
              </w:rPr>
            </w:pPr>
            <w:r>
              <w:rPr>
                <w:rFonts w:cs="Times New Roman"/>
                <w:b w:val="0"/>
                <w:color w:val="000000" w:themeColor="text1"/>
                <w:kern w:val="0"/>
                <w:sz w:val="21"/>
                <w:szCs w:val="21"/>
              </w:rPr>
              <w:t>1% ≤P max</w:t>
            </w:r>
            <w:r>
              <w:rPr>
                <w:rFonts w:hint="eastAsia" w:ascii="宋体" w:hAnsi="宋体" w:cs="Times New Roman"/>
                <w:b w:val="0"/>
                <w:color w:val="000000" w:themeColor="text1"/>
                <w:kern w:val="0"/>
                <w:sz w:val="21"/>
                <w:szCs w:val="21"/>
              </w:rPr>
              <w:t>＜</w:t>
            </w:r>
            <w:r>
              <w:rPr>
                <w:rFonts w:cs="Times New Roman"/>
                <w:b w:val="0"/>
                <w:color w:val="000000" w:themeColor="text1"/>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vAlign w:val="center"/>
          </w:tcPr>
          <w:p>
            <w:pPr>
              <w:pStyle w:val="14"/>
              <w:spacing w:line="240" w:lineRule="auto"/>
              <w:rPr>
                <w:rFonts w:cs="Times New Roman"/>
                <w:b w:val="0"/>
                <w:color w:val="000000" w:themeColor="text1"/>
                <w:kern w:val="0"/>
                <w:sz w:val="21"/>
                <w:szCs w:val="21"/>
              </w:rPr>
            </w:pPr>
            <w:r>
              <w:rPr>
                <w:rFonts w:cs="Times New Roman"/>
                <w:b w:val="0"/>
                <w:color w:val="000000" w:themeColor="text1"/>
                <w:kern w:val="0"/>
                <w:sz w:val="21"/>
                <w:szCs w:val="21"/>
              </w:rPr>
              <w:t>三级</w:t>
            </w:r>
          </w:p>
        </w:tc>
        <w:tc>
          <w:tcPr>
            <w:tcW w:w="4621" w:type="dxa"/>
            <w:vAlign w:val="center"/>
          </w:tcPr>
          <w:p>
            <w:pPr>
              <w:pStyle w:val="14"/>
              <w:spacing w:line="240" w:lineRule="auto"/>
              <w:rPr>
                <w:rFonts w:cs="Times New Roman"/>
                <w:b w:val="0"/>
                <w:color w:val="000000" w:themeColor="text1"/>
                <w:kern w:val="0"/>
                <w:sz w:val="21"/>
                <w:szCs w:val="21"/>
              </w:rPr>
            </w:pPr>
            <w:r>
              <w:rPr>
                <w:rFonts w:cs="Times New Roman"/>
                <w:b w:val="0"/>
                <w:color w:val="000000" w:themeColor="text1"/>
                <w:kern w:val="0"/>
                <w:sz w:val="21"/>
                <w:szCs w:val="21"/>
              </w:rPr>
              <w:t>Pmax＜1%</w:t>
            </w:r>
          </w:p>
        </w:tc>
      </w:tr>
    </w:tbl>
    <w:p>
      <w:pPr>
        <w:pStyle w:val="17"/>
        <w:adjustRightInd w:val="0"/>
        <w:snapToGrid w:val="0"/>
        <w:spacing w:after="0" w:line="360" w:lineRule="auto"/>
        <w:ind w:firstLine="480" w:firstLineChars="200"/>
      </w:pPr>
      <w:bookmarkStart w:id="94" w:name="_Toc532497613"/>
      <w:r>
        <w:rPr>
          <w:rFonts w:hint="eastAsia"/>
        </w:rPr>
        <w:t>同一项目有多个污染源（两个及以上）时，则按各污染源分别确定评价等级，并取评价等级最高者作为项目的评价等级。</w:t>
      </w:r>
    </w:p>
    <w:p>
      <w:pPr>
        <w:pStyle w:val="17"/>
        <w:adjustRightInd w:val="0"/>
        <w:snapToGrid w:val="0"/>
        <w:spacing w:after="0" w:line="360" w:lineRule="auto"/>
        <w:ind w:firstLine="480" w:firstLineChars="200"/>
      </w:pPr>
      <w:r>
        <w:rPr>
          <w:rFonts w:hint="eastAsia"/>
        </w:rPr>
        <w:t>（1）污染物评价标准</w:t>
      </w:r>
    </w:p>
    <w:p>
      <w:pPr>
        <w:pStyle w:val="17"/>
        <w:adjustRightInd w:val="0"/>
        <w:snapToGrid w:val="0"/>
        <w:spacing w:after="0" w:line="360" w:lineRule="auto"/>
        <w:ind w:firstLine="480" w:firstLineChars="200"/>
      </w:pPr>
      <w:r>
        <w:rPr>
          <w:rFonts w:hint="eastAsia"/>
        </w:rPr>
        <w:t>本项目评价因子和评价标准见下表。</w:t>
      </w:r>
    </w:p>
    <w:p>
      <w:pPr>
        <w:pStyle w:val="14"/>
        <w:spacing w:line="240" w:lineRule="auto"/>
        <w:rPr>
          <w:rFonts w:cs="Times New Roman"/>
          <w:szCs w:val="24"/>
        </w:rPr>
      </w:pPr>
      <w:r>
        <w:rPr>
          <w:rFonts w:cs="Times New Roman"/>
          <w:szCs w:val="24"/>
        </w:rPr>
        <w:t>表</w:t>
      </w:r>
      <w:r>
        <w:rPr>
          <w:rFonts w:cs="Times New Roman"/>
          <w:szCs w:val="24"/>
        </w:rPr>
        <w:fldChar w:fldCharType="begin"/>
      </w:r>
      <w:r>
        <w:rPr>
          <w:rFonts w:cs="Times New Roman"/>
          <w:szCs w:val="24"/>
        </w:rPr>
        <w:instrText xml:space="preserve"> STYLEREF 2 \s </w:instrText>
      </w:r>
      <w:r>
        <w:rPr>
          <w:rFonts w:cs="Times New Roman"/>
          <w:szCs w:val="24"/>
        </w:rPr>
        <w:fldChar w:fldCharType="separate"/>
      </w:r>
      <w:r>
        <w:rPr>
          <w:rFonts w:cs="Times New Roman"/>
          <w:szCs w:val="24"/>
        </w:rPr>
        <w:t>1.7</w:t>
      </w:r>
      <w:r>
        <w:rPr>
          <w:rFonts w:cs="Times New Roman"/>
          <w:szCs w:val="24"/>
        </w:rPr>
        <w:fldChar w:fldCharType="end"/>
      </w:r>
      <w:r>
        <w:rPr>
          <w:rFonts w:cs="Times New Roman"/>
          <w:szCs w:val="24"/>
        </w:rPr>
        <w:noBreakHyphen/>
      </w:r>
      <w:r>
        <w:rPr>
          <w:rFonts w:cs="Times New Roman"/>
          <w:szCs w:val="24"/>
        </w:rPr>
        <w:fldChar w:fldCharType="begin"/>
      </w:r>
      <w:r>
        <w:rPr>
          <w:rFonts w:cs="Times New Roman"/>
          <w:szCs w:val="24"/>
        </w:rPr>
        <w:instrText xml:space="preserve"> SEQ 表 \* ARABIC \s 2 </w:instrText>
      </w:r>
      <w:r>
        <w:rPr>
          <w:rFonts w:cs="Times New Roman"/>
          <w:szCs w:val="24"/>
        </w:rPr>
        <w:fldChar w:fldCharType="separate"/>
      </w:r>
      <w:r>
        <w:rPr>
          <w:rFonts w:cs="Times New Roman"/>
          <w:szCs w:val="24"/>
        </w:rPr>
        <w:t>2</w:t>
      </w:r>
      <w:r>
        <w:rPr>
          <w:rFonts w:cs="Times New Roman"/>
          <w:szCs w:val="24"/>
        </w:rPr>
        <w:fldChar w:fldCharType="end"/>
      </w:r>
      <w:r>
        <w:rPr>
          <w:rFonts w:cs="Times New Roman"/>
          <w:szCs w:val="24"/>
        </w:rPr>
        <w:t xml:space="preserve">  评价因子和评价标准</w:t>
      </w:r>
    </w:p>
    <w:tbl>
      <w:tblPr>
        <w:tblStyle w:val="39"/>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702"/>
        <w:gridCol w:w="1845"/>
        <w:gridCol w:w="2128"/>
        <w:gridCol w:w="37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902" w:type="pct"/>
            <w:vAlign w:val="center"/>
          </w:tcPr>
          <w:p>
            <w:pPr>
              <w:pStyle w:val="140"/>
              <w:spacing w:before="29"/>
              <w:ind w:left="152" w:right="143"/>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评价因子</w:t>
            </w:r>
          </w:p>
        </w:tc>
        <w:tc>
          <w:tcPr>
            <w:tcW w:w="977" w:type="pct"/>
            <w:vAlign w:val="center"/>
          </w:tcPr>
          <w:p>
            <w:pPr>
              <w:pStyle w:val="140"/>
              <w:spacing w:before="29"/>
              <w:ind w:left="136" w:right="132"/>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平均时段</w:t>
            </w:r>
          </w:p>
        </w:tc>
        <w:tc>
          <w:tcPr>
            <w:tcW w:w="1127" w:type="pct"/>
            <w:vAlign w:val="center"/>
          </w:tcPr>
          <w:p>
            <w:pPr>
              <w:pStyle w:val="140"/>
              <w:spacing w:before="29"/>
              <w:ind w:left="303" w:right="298"/>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标准值/（μg/m</w:t>
            </w:r>
            <w:r>
              <w:rPr>
                <w:rFonts w:ascii="Times New Roman" w:hAnsi="Times New Roman" w:cs="Times New Roman"/>
                <w:color w:val="000000" w:themeColor="text1"/>
                <w:position w:val="7"/>
                <w:sz w:val="14"/>
                <w:szCs w:val="14"/>
              </w:rPr>
              <w:t>3</w:t>
            </w:r>
            <w:r>
              <w:rPr>
                <w:rFonts w:ascii="Times New Roman" w:hAnsi="Times New Roman" w:cs="Times New Roman"/>
                <w:color w:val="000000" w:themeColor="text1"/>
                <w:sz w:val="21"/>
                <w:szCs w:val="21"/>
              </w:rPr>
              <w:t>）</w:t>
            </w:r>
          </w:p>
        </w:tc>
        <w:tc>
          <w:tcPr>
            <w:tcW w:w="1994" w:type="pct"/>
            <w:vAlign w:val="center"/>
          </w:tcPr>
          <w:p>
            <w:pPr>
              <w:pStyle w:val="140"/>
              <w:spacing w:before="29"/>
              <w:ind w:left="64" w:right="60"/>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标准来源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902" w:type="pct"/>
            <w:vAlign w:val="center"/>
          </w:tcPr>
          <w:p>
            <w:pPr>
              <w:pStyle w:val="140"/>
              <w:spacing w:before="40"/>
              <w:ind w:left="149" w:right="143"/>
              <w:rPr>
                <w:rFonts w:ascii="Times New Roman" w:hAnsi="Times New Roman" w:cs="Times New Roman"/>
                <w:color w:val="000000" w:themeColor="text1"/>
                <w:position w:val="2"/>
                <w:sz w:val="21"/>
                <w:szCs w:val="21"/>
              </w:rPr>
            </w:pPr>
            <w:r>
              <w:rPr>
                <w:rFonts w:ascii="Times New Roman" w:hAnsi="Times New Roman" w:cs="Times New Roman"/>
                <w:color w:val="000000" w:themeColor="text1"/>
                <w:position w:val="2"/>
                <w:sz w:val="21"/>
                <w:szCs w:val="21"/>
              </w:rPr>
              <w:t>SO</w:t>
            </w:r>
            <w:r>
              <w:rPr>
                <w:rFonts w:ascii="Times New Roman" w:hAnsi="Times New Roman" w:cs="Times New Roman"/>
                <w:color w:val="000000" w:themeColor="text1"/>
                <w:position w:val="2"/>
                <w:sz w:val="21"/>
                <w:szCs w:val="21"/>
                <w:vertAlign w:val="subscript"/>
              </w:rPr>
              <w:t>2</w:t>
            </w:r>
          </w:p>
        </w:tc>
        <w:tc>
          <w:tcPr>
            <w:tcW w:w="977" w:type="pct"/>
            <w:vAlign w:val="center"/>
          </w:tcPr>
          <w:p>
            <w:pPr>
              <w:pStyle w:val="140"/>
              <w:spacing w:before="1" w:line="250" w:lineRule="exact"/>
              <w:ind w:left="136" w:right="129"/>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1小时平均</w:t>
            </w:r>
          </w:p>
        </w:tc>
        <w:tc>
          <w:tcPr>
            <w:tcW w:w="1127" w:type="pct"/>
            <w:vAlign w:val="center"/>
          </w:tcPr>
          <w:p>
            <w:pPr>
              <w:pStyle w:val="140"/>
              <w:spacing w:before="7"/>
              <w:ind w:right="293"/>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500</w:t>
            </w:r>
          </w:p>
        </w:tc>
        <w:tc>
          <w:tcPr>
            <w:tcW w:w="1994" w:type="pct"/>
            <w:vMerge w:val="restart"/>
            <w:vAlign w:val="center"/>
          </w:tcPr>
          <w:p>
            <w:pPr>
              <w:pStyle w:val="140"/>
              <w:spacing w:before="2"/>
              <w:rPr>
                <w:rFonts w:ascii="Times New Roman" w:hAnsi="Times New Roman" w:eastAsia="Times New Roman" w:cs="Times New Roman"/>
                <w:b/>
                <w:bCs/>
                <w:color w:val="000000" w:themeColor="text1"/>
                <w:sz w:val="11"/>
                <w:szCs w:val="11"/>
              </w:rPr>
            </w:pPr>
          </w:p>
          <w:p>
            <w:pPr>
              <w:pStyle w:val="140"/>
              <w:spacing w:line="242" w:lineRule="auto"/>
              <w:ind w:left="68" w:right="60"/>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《环境空气质量标准》（GB 3095-2012）及其 2018 修改单二级标准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02" w:type="pct"/>
            <w:vAlign w:val="center"/>
          </w:tcPr>
          <w:p>
            <w:pPr>
              <w:pStyle w:val="140"/>
              <w:spacing w:before="40"/>
              <w:ind w:left="149" w:right="143"/>
              <w:rPr>
                <w:rFonts w:ascii="Times New Roman" w:hAnsi="Times New Roman" w:cs="Times New Roman"/>
                <w:color w:val="000000" w:themeColor="text1"/>
                <w:position w:val="2"/>
                <w:sz w:val="21"/>
                <w:szCs w:val="21"/>
              </w:rPr>
            </w:pPr>
            <w:r>
              <w:rPr>
                <w:rFonts w:ascii="Times New Roman" w:hAnsi="Times New Roman" w:cs="Times New Roman"/>
                <w:color w:val="000000" w:themeColor="text1"/>
                <w:position w:val="2"/>
                <w:sz w:val="21"/>
                <w:szCs w:val="21"/>
              </w:rPr>
              <w:t>NO</w:t>
            </w:r>
            <w:r>
              <w:rPr>
                <w:rFonts w:ascii="Times New Roman" w:hAnsi="Times New Roman" w:cs="Times New Roman"/>
                <w:color w:val="000000" w:themeColor="text1"/>
                <w:position w:val="2"/>
                <w:sz w:val="21"/>
                <w:szCs w:val="21"/>
                <w:vertAlign w:val="subscript"/>
              </w:rPr>
              <w:t>2</w:t>
            </w:r>
          </w:p>
        </w:tc>
        <w:tc>
          <w:tcPr>
            <w:tcW w:w="977" w:type="pct"/>
            <w:vAlign w:val="center"/>
          </w:tcPr>
          <w:p>
            <w:pPr>
              <w:pStyle w:val="140"/>
              <w:spacing w:before="1" w:line="252" w:lineRule="exact"/>
              <w:ind w:left="136" w:right="129"/>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1小时平均</w:t>
            </w:r>
          </w:p>
        </w:tc>
        <w:tc>
          <w:tcPr>
            <w:tcW w:w="1127" w:type="pct"/>
            <w:vAlign w:val="center"/>
          </w:tcPr>
          <w:p>
            <w:pPr>
              <w:pStyle w:val="140"/>
              <w:spacing w:before="10"/>
              <w:ind w:right="293"/>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200</w:t>
            </w:r>
          </w:p>
        </w:tc>
        <w:tc>
          <w:tcPr>
            <w:tcW w:w="1994" w:type="pct"/>
            <w:vMerge w:val="continue"/>
            <w:vAlign w:val="center"/>
          </w:tcPr>
          <w:p>
            <w:pPr>
              <w:widowControl/>
              <w:jc w:val="center"/>
              <w:rPr>
                <w:rFonts w:eastAsia="宋体" w:cs="Times New Roman"/>
                <w:color w:val="000000" w:themeColor="text1"/>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902" w:type="pct"/>
            <w:vAlign w:val="center"/>
          </w:tcPr>
          <w:p>
            <w:pPr>
              <w:pStyle w:val="140"/>
              <w:spacing w:before="40"/>
              <w:ind w:left="149" w:right="143"/>
              <w:rPr>
                <w:rFonts w:ascii="Times New Roman" w:hAnsi="Times New Roman" w:cs="Times New Roman"/>
                <w:color w:val="000000" w:themeColor="text1"/>
                <w:position w:val="2"/>
                <w:sz w:val="21"/>
                <w:szCs w:val="21"/>
              </w:rPr>
            </w:pPr>
            <w:r>
              <w:rPr>
                <w:rFonts w:ascii="Times New Roman" w:hAnsi="Times New Roman" w:cs="Times New Roman"/>
                <w:color w:val="000000" w:themeColor="text1"/>
                <w:position w:val="2"/>
                <w:sz w:val="21"/>
                <w:szCs w:val="21"/>
              </w:rPr>
              <w:t>PM</w:t>
            </w:r>
            <w:r>
              <w:rPr>
                <w:rFonts w:ascii="Times New Roman" w:hAnsi="Times New Roman" w:cs="Times New Roman"/>
                <w:color w:val="000000" w:themeColor="text1"/>
                <w:position w:val="2"/>
                <w:sz w:val="21"/>
                <w:szCs w:val="21"/>
                <w:vertAlign w:val="subscript"/>
              </w:rPr>
              <w:t>10</w:t>
            </w:r>
          </w:p>
        </w:tc>
        <w:tc>
          <w:tcPr>
            <w:tcW w:w="977" w:type="pct"/>
            <w:vAlign w:val="center"/>
          </w:tcPr>
          <w:p>
            <w:pPr>
              <w:pStyle w:val="140"/>
              <w:spacing w:before="27"/>
              <w:ind w:left="136" w:right="132"/>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24小时平均</w:t>
            </w:r>
          </w:p>
        </w:tc>
        <w:tc>
          <w:tcPr>
            <w:tcW w:w="1127" w:type="pct"/>
            <w:vAlign w:val="center"/>
          </w:tcPr>
          <w:p>
            <w:pPr>
              <w:pStyle w:val="140"/>
              <w:spacing w:before="36"/>
              <w:ind w:right="293"/>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150</w:t>
            </w:r>
          </w:p>
        </w:tc>
        <w:tc>
          <w:tcPr>
            <w:tcW w:w="1994" w:type="pct"/>
            <w:vMerge w:val="continue"/>
            <w:vAlign w:val="center"/>
          </w:tcPr>
          <w:p>
            <w:pPr>
              <w:widowControl/>
              <w:jc w:val="center"/>
              <w:rPr>
                <w:rFonts w:eastAsia="宋体" w:cs="Times New Roman"/>
                <w:color w:val="000000" w:themeColor="text1"/>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902" w:type="pct"/>
            <w:vAlign w:val="center"/>
          </w:tcPr>
          <w:p>
            <w:pPr>
              <w:pStyle w:val="140"/>
              <w:spacing w:before="40"/>
              <w:ind w:left="149" w:right="143"/>
              <w:rPr>
                <w:rFonts w:ascii="Times New Roman" w:hAnsi="Times New Roman" w:cs="Times New Roman"/>
                <w:color w:val="000000" w:themeColor="text1"/>
                <w:position w:val="2"/>
                <w:sz w:val="21"/>
                <w:szCs w:val="21"/>
              </w:rPr>
            </w:pPr>
            <w:r>
              <w:rPr>
                <w:rFonts w:ascii="Times New Roman" w:hAnsi="Times New Roman" w:cs="Times New Roman"/>
                <w:color w:val="000000" w:themeColor="text1"/>
                <w:position w:val="2"/>
                <w:sz w:val="21"/>
                <w:szCs w:val="21"/>
              </w:rPr>
              <w:t>NH</w:t>
            </w:r>
            <w:r>
              <w:rPr>
                <w:rFonts w:ascii="Times New Roman" w:hAnsi="Times New Roman" w:cs="Times New Roman"/>
                <w:color w:val="000000" w:themeColor="text1"/>
                <w:position w:val="2"/>
                <w:sz w:val="21"/>
                <w:szCs w:val="21"/>
                <w:vertAlign w:val="subscript"/>
              </w:rPr>
              <w:t>3</w:t>
            </w:r>
          </w:p>
        </w:tc>
        <w:tc>
          <w:tcPr>
            <w:tcW w:w="977" w:type="pct"/>
            <w:vAlign w:val="center"/>
          </w:tcPr>
          <w:p>
            <w:pPr>
              <w:pStyle w:val="140"/>
              <w:spacing w:before="40"/>
              <w:ind w:left="149" w:right="132"/>
              <w:rPr>
                <w:rFonts w:ascii="Times New Roman" w:hAnsi="Times New Roman" w:cs="Times New Roman"/>
                <w:color w:val="000000" w:themeColor="text1"/>
                <w:position w:val="2"/>
                <w:sz w:val="21"/>
                <w:szCs w:val="21"/>
              </w:rPr>
            </w:pPr>
            <w:r>
              <w:rPr>
                <w:rFonts w:ascii="Times New Roman" w:hAnsi="Times New Roman" w:cs="Times New Roman"/>
                <w:color w:val="000000" w:themeColor="text1"/>
                <w:position w:val="2"/>
                <w:sz w:val="21"/>
                <w:szCs w:val="21"/>
              </w:rPr>
              <w:t>1h平均</w:t>
            </w:r>
          </w:p>
        </w:tc>
        <w:tc>
          <w:tcPr>
            <w:tcW w:w="1127" w:type="pct"/>
            <w:vAlign w:val="center"/>
          </w:tcPr>
          <w:p>
            <w:pPr>
              <w:pStyle w:val="140"/>
              <w:spacing w:before="40"/>
              <w:ind w:right="293"/>
              <w:rPr>
                <w:rFonts w:ascii="Times New Roman" w:hAnsi="Times New Roman" w:cs="Times New Roman"/>
                <w:color w:val="000000" w:themeColor="text1"/>
                <w:position w:val="2"/>
                <w:sz w:val="21"/>
                <w:szCs w:val="21"/>
              </w:rPr>
            </w:pPr>
            <w:r>
              <w:rPr>
                <w:rFonts w:ascii="Times New Roman" w:hAnsi="Times New Roman" w:cs="Times New Roman"/>
                <w:color w:val="000000" w:themeColor="text1"/>
                <w:position w:val="2"/>
                <w:sz w:val="21"/>
                <w:szCs w:val="21"/>
              </w:rPr>
              <w:t>200</w:t>
            </w:r>
          </w:p>
        </w:tc>
        <w:tc>
          <w:tcPr>
            <w:tcW w:w="1994" w:type="pct"/>
            <w:vMerge w:val="restart"/>
            <w:vAlign w:val="center"/>
          </w:tcPr>
          <w:p>
            <w:pPr>
              <w:pStyle w:val="140"/>
              <w:spacing w:before="30" w:line="288" w:lineRule="auto"/>
              <w:ind w:left="34" w:right="-15" w:hanging="32"/>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《环境影响评价技术导则（大气环境）》（HJ2.2-2018）附录D其他污染物空气质量浓度参考限值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 w:hRule="atLeast"/>
        </w:trPr>
        <w:tc>
          <w:tcPr>
            <w:tcW w:w="902" w:type="pct"/>
            <w:vAlign w:val="center"/>
          </w:tcPr>
          <w:p>
            <w:pPr>
              <w:pStyle w:val="140"/>
              <w:spacing w:before="40"/>
              <w:ind w:left="149" w:right="143"/>
              <w:rPr>
                <w:rFonts w:ascii="Times New Roman" w:hAnsi="Times New Roman" w:cs="Times New Roman"/>
                <w:color w:val="000000" w:themeColor="text1"/>
                <w:position w:val="2"/>
                <w:sz w:val="21"/>
                <w:szCs w:val="21"/>
              </w:rPr>
            </w:pPr>
            <w:r>
              <w:rPr>
                <w:rFonts w:ascii="Times New Roman" w:hAnsi="Times New Roman" w:cs="Times New Roman"/>
                <w:color w:val="000000" w:themeColor="text1"/>
                <w:position w:val="2"/>
                <w:sz w:val="21"/>
                <w:szCs w:val="21"/>
              </w:rPr>
              <w:t>H</w:t>
            </w:r>
            <w:r>
              <w:rPr>
                <w:rFonts w:ascii="Times New Roman" w:hAnsi="Times New Roman" w:cs="Times New Roman"/>
                <w:color w:val="000000" w:themeColor="text1"/>
                <w:position w:val="2"/>
                <w:sz w:val="21"/>
                <w:szCs w:val="21"/>
                <w:vertAlign w:val="subscript"/>
              </w:rPr>
              <w:t>2</w:t>
            </w:r>
            <w:r>
              <w:rPr>
                <w:rFonts w:ascii="Times New Roman" w:hAnsi="Times New Roman" w:cs="Times New Roman"/>
                <w:color w:val="000000" w:themeColor="text1"/>
                <w:position w:val="2"/>
                <w:sz w:val="21"/>
                <w:szCs w:val="21"/>
              </w:rPr>
              <w:t>S</w:t>
            </w:r>
          </w:p>
        </w:tc>
        <w:tc>
          <w:tcPr>
            <w:tcW w:w="977" w:type="pct"/>
            <w:vAlign w:val="center"/>
          </w:tcPr>
          <w:p>
            <w:pPr>
              <w:pStyle w:val="140"/>
              <w:spacing w:before="40"/>
              <w:ind w:left="149" w:right="132"/>
              <w:rPr>
                <w:rFonts w:ascii="Times New Roman" w:hAnsi="Times New Roman" w:cs="Times New Roman"/>
                <w:color w:val="000000" w:themeColor="text1"/>
                <w:position w:val="2"/>
                <w:sz w:val="21"/>
                <w:szCs w:val="21"/>
              </w:rPr>
            </w:pPr>
            <w:r>
              <w:rPr>
                <w:rFonts w:ascii="Times New Roman" w:hAnsi="Times New Roman" w:cs="Times New Roman"/>
                <w:color w:val="000000" w:themeColor="text1"/>
                <w:position w:val="2"/>
                <w:sz w:val="21"/>
                <w:szCs w:val="21"/>
              </w:rPr>
              <w:t>1h平均</w:t>
            </w:r>
          </w:p>
        </w:tc>
        <w:tc>
          <w:tcPr>
            <w:tcW w:w="1127" w:type="pct"/>
            <w:vAlign w:val="center"/>
          </w:tcPr>
          <w:p>
            <w:pPr>
              <w:pStyle w:val="140"/>
              <w:spacing w:before="40"/>
              <w:ind w:right="298"/>
              <w:rPr>
                <w:rFonts w:ascii="Times New Roman" w:hAnsi="Times New Roman" w:cs="Times New Roman"/>
                <w:color w:val="000000" w:themeColor="text1"/>
                <w:position w:val="2"/>
                <w:sz w:val="21"/>
                <w:szCs w:val="21"/>
              </w:rPr>
            </w:pPr>
            <w:r>
              <w:rPr>
                <w:rFonts w:ascii="Times New Roman" w:hAnsi="Times New Roman" w:cs="Times New Roman"/>
                <w:color w:val="000000" w:themeColor="text1"/>
                <w:position w:val="2"/>
                <w:sz w:val="21"/>
                <w:szCs w:val="21"/>
              </w:rPr>
              <w:t>10</w:t>
            </w:r>
          </w:p>
        </w:tc>
        <w:tc>
          <w:tcPr>
            <w:tcW w:w="1994" w:type="pct"/>
            <w:vMerge w:val="continue"/>
            <w:vAlign w:val="center"/>
          </w:tcPr>
          <w:p>
            <w:pPr>
              <w:widowControl/>
              <w:jc w:val="center"/>
              <w:rPr>
                <w:rFonts w:eastAsia="宋体" w:cs="Times New Roman"/>
                <w:color w:val="000000" w:themeColor="text1"/>
                <w:sz w:val="21"/>
              </w:rPr>
            </w:pPr>
          </w:p>
        </w:tc>
      </w:tr>
    </w:tbl>
    <w:p>
      <w:pPr>
        <w:pStyle w:val="17"/>
        <w:adjustRightInd w:val="0"/>
        <w:snapToGrid w:val="0"/>
        <w:spacing w:after="0" w:line="360" w:lineRule="auto"/>
        <w:ind w:firstLine="480" w:firstLineChars="200"/>
      </w:pPr>
      <w:r>
        <w:rPr>
          <w:rFonts w:hint="eastAsia"/>
        </w:rPr>
        <w:t>（2）估算模型参数</w:t>
      </w:r>
    </w:p>
    <w:p>
      <w:pPr>
        <w:pStyle w:val="17"/>
        <w:adjustRightInd w:val="0"/>
        <w:snapToGrid w:val="0"/>
        <w:spacing w:after="0" w:line="360" w:lineRule="auto"/>
        <w:ind w:firstLine="480" w:firstLineChars="200"/>
      </w:pPr>
      <w:r>
        <w:rPr>
          <w:rFonts w:hint="eastAsia"/>
        </w:rPr>
        <w:t>本项目估算模型参数见下表所示。</w:t>
      </w:r>
    </w:p>
    <w:p>
      <w:pPr>
        <w:pStyle w:val="14"/>
        <w:spacing w:line="240" w:lineRule="auto"/>
        <w:rPr>
          <w:rFonts w:hAnsi="宋体"/>
          <w:szCs w:val="24"/>
        </w:rPr>
      </w:pPr>
    </w:p>
    <w:p>
      <w:pPr>
        <w:pStyle w:val="14"/>
        <w:spacing w:line="240" w:lineRule="auto"/>
        <w:rPr>
          <w:rFonts w:hAnsi="宋体"/>
          <w:szCs w:val="24"/>
        </w:rPr>
      </w:pPr>
    </w:p>
    <w:p>
      <w:pPr>
        <w:pStyle w:val="14"/>
        <w:spacing w:line="240" w:lineRule="auto"/>
        <w:rPr>
          <w:rFonts w:hAnsi="宋体"/>
          <w:szCs w:val="24"/>
        </w:rPr>
      </w:pPr>
    </w:p>
    <w:p>
      <w:pPr>
        <w:pStyle w:val="14"/>
        <w:spacing w:line="240" w:lineRule="auto"/>
        <w:rPr>
          <w:rFonts w:hAnsi="宋体"/>
          <w:szCs w:val="24"/>
        </w:rPr>
      </w:pPr>
    </w:p>
    <w:p>
      <w:pPr>
        <w:pStyle w:val="14"/>
        <w:spacing w:line="240" w:lineRule="auto"/>
        <w:rPr>
          <w:rFonts w:hAnsi="宋体"/>
          <w:szCs w:val="24"/>
        </w:rPr>
      </w:pPr>
    </w:p>
    <w:p>
      <w:pPr>
        <w:pStyle w:val="14"/>
        <w:spacing w:line="240" w:lineRule="auto"/>
        <w:rPr>
          <w:rFonts w:hAnsi="宋体"/>
          <w:szCs w:val="24"/>
        </w:rPr>
      </w:pPr>
    </w:p>
    <w:p>
      <w:pPr>
        <w:pStyle w:val="14"/>
        <w:spacing w:line="240" w:lineRule="auto"/>
        <w:rPr>
          <w:rFonts w:hAnsi="宋体"/>
          <w:szCs w:val="24"/>
        </w:rPr>
      </w:pPr>
    </w:p>
    <w:p>
      <w:pPr>
        <w:pStyle w:val="14"/>
        <w:spacing w:line="240" w:lineRule="auto"/>
        <w:rPr>
          <w:rFonts w:hAnsi="宋体"/>
          <w:szCs w:val="24"/>
        </w:rPr>
      </w:pPr>
    </w:p>
    <w:p>
      <w:pPr>
        <w:pStyle w:val="14"/>
        <w:spacing w:line="240" w:lineRule="auto"/>
        <w:rPr>
          <w:rFonts w:hAnsi="宋体"/>
          <w:szCs w:val="24"/>
        </w:rPr>
      </w:pPr>
    </w:p>
    <w:p>
      <w:pPr>
        <w:pStyle w:val="14"/>
        <w:spacing w:line="240" w:lineRule="auto"/>
        <w:rPr>
          <w:rFonts w:hAnsi="宋体"/>
          <w:szCs w:val="24"/>
        </w:rPr>
      </w:pPr>
      <w:r>
        <w:rPr>
          <w:rFonts w:hAnsi="宋体"/>
          <w:szCs w:val="24"/>
        </w:rPr>
        <w:t>表</w:t>
      </w:r>
      <w:r>
        <w:rPr>
          <w:rFonts w:hAnsi="宋体"/>
          <w:szCs w:val="24"/>
        </w:rPr>
        <w:fldChar w:fldCharType="begin"/>
      </w:r>
      <w:r>
        <w:rPr>
          <w:rFonts w:hAnsi="宋体"/>
          <w:szCs w:val="24"/>
        </w:rPr>
        <w:instrText xml:space="preserve"> STYLEREF 2 \s </w:instrText>
      </w:r>
      <w:r>
        <w:rPr>
          <w:rFonts w:hAnsi="宋体"/>
          <w:szCs w:val="24"/>
        </w:rPr>
        <w:fldChar w:fldCharType="separate"/>
      </w:r>
      <w:r>
        <w:rPr>
          <w:rFonts w:hAnsi="宋体"/>
          <w:szCs w:val="24"/>
        </w:rPr>
        <w:t>1.7</w:t>
      </w:r>
      <w:r>
        <w:rPr>
          <w:rFonts w:hAnsi="宋体"/>
          <w:szCs w:val="24"/>
        </w:rPr>
        <w:fldChar w:fldCharType="end"/>
      </w:r>
      <w:r>
        <w:rPr>
          <w:rFonts w:hAnsi="宋体"/>
          <w:szCs w:val="24"/>
        </w:rPr>
        <w:noBreakHyphen/>
      </w:r>
      <w:r>
        <w:rPr>
          <w:rFonts w:hAnsi="宋体"/>
          <w:szCs w:val="24"/>
        </w:rPr>
        <w:fldChar w:fldCharType="begin"/>
      </w:r>
      <w:r>
        <w:rPr>
          <w:rFonts w:hAnsi="宋体"/>
          <w:szCs w:val="24"/>
        </w:rPr>
        <w:instrText xml:space="preserve"> SEQ 表 \* ARABIC \s 2 </w:instrText>
      </w:r>
      <w:r>
        <w:rPr>
          <w:rFonts w:hAnsi="宋体"/>
          <w:szCs w:val="24"/>
        </w:rPr>
        <w:fldChar w:fldCharType="separate"/>
      </w:r>
      <w:r>
        <w:rPr>
          <w:rFonts w:hAnsi="宋体"/>
          <w:szCs w:val="24"/>
        </w:rPr>
        <w:t>3</w:t>
      </w:r>
      <w:r>
        <w:rPr>
          <w:rFonts w:hAnsi="宋体"/>
          <w:szCs w:val="24"/>
        </w:rPr>
        <w:fldChar w:fldCharType="end"/>
      </w:r>
      <w:r>
        <w:rPr>
          <w:rFonts w:hint="eastAsia" w:hAnsi="宋体"/>
          <w:szCs w:val="24"/>
        </w:rPr>
        <w:t xml:space="preserve">  估算模式参数表</w:t>
      </w:r>
    </w:p>
    <w:tbl>
      <w:tblPr>
        <w:tblStyle w:val="39"/>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613"/>
        <w:gridCol w:w="3497"/>
        <w:gridCol w:w="33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3236" w:type="pct"/>
            <w:gridSpan w:val="2"/>
            <w:vAlign w:val="center"/>
          </w:tcPr>
          <w:p>
            <w:pPr>
              <w:pStyle w:val="140"/>
              <w:spacing w:line="320" w:lineRule="exact"/>
              <w:ind w:left="2321" w:right="1891"/>
              <w:rPr>
                <w:rFonts w:ascii="Times New Roman" w:hAnsi="Times New Roman" w:cs="Times New Roman"/>
                <w:bCs/>
                <w:sz w:val="21"/>
                <w:szCs w:val="21"/>
              </w:rPr>
            </w:pPr>
            <w:r>
              <w:rPr>
                <w:rFonts w:ascii="Times New Roman" w:cs="Times New Roman"/>
                <w:bCs/>
                <w:sz w:val="21"/>
                <w:szCs w:val="21"/>
              </w:rPr>
              <w:t>参数</w:t>
            </w:r>
          </w:p>
        </w:tc>
        <w:tc>
          <w:tcPr>
            <w:tcW w:w="1764" w:type="pct"/>
            <w:vAlign w:val="center"/>
          </w:tcPr>
          <w:p>
            <w:pPr>
              <w:pStyle w:val="140"/>
              <w:spacing w:before="37"/>
              <w:rPr>
                <w:rFonts w:ascii="Times New Roman" w:cs="Times New Roman"/>
                <w:sz w:val="21"/>
                <w:szCs w:val="21"/>
              </w:rPr>
            </w:pPr>
            <w:r>
              <w:rPr>
                <w:rFonts w:ascii="Times New Roman" w:cs="Times New Roman"/>
                <w:sz w:val="21"/>
                <w:szCs w:val="21"/>
              </w:rPr>
              <w:t>取值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1384" w:type="pct"/>
            <w:vMerge w:val="restart"/>
            <w:vAlign w:val="center"/>
          </w:tcPr>
          <w:p>
            <w:pPr>
              <w:pStyle w:val="140"/>
              <w:ind w:firstLine="525" w:firstLineChars="250"/>
              <w:rPr>
                <w:rFonts w:ascii="Times New Roman" w:hAnsi="Times New Roman" w:cs="Times New Roman"/>
                <w:sz w:val="21"/>
                <w:szCs w:val="21"/>
              </w:rPr>
            </w:pPr>
            <w:r>
              <w:rPr>
                <w:rFonts w:ascii="Times New Roman" w:cs="Times New Roman"/>
                <w:sz w:val="21"/>
                <w:szCs w:val="21"/>
              </w:rPr>
              <w:t>城市</w:t>
            </w:r>
            <w:r>
              <w:rPr>
                <w:rFonts w:ascii="Times New Roman" w:hAnsi="Times New Roman" w:cs="Times New Roman"/>
                <w:sz w:val="21"/>
                <w:szCs w:val="21"/>
              </w:rPr>
              <w:t>/</w:t>
            </w:r>
            <w:r>
              <w:rPr>
                <w:rFonts w:ascii="Times New Roman" w:cs="Times New Roman"/>
                <w:sz w:val="21"/>
                <w:szCs w:val="21"/>
              </w:rPr>
              <w:t>农村选项</w:t>
            </w:r>
          </w:p>
        </w:tc>
        <w:tc>
          <w:tcPr>
            <w:tcW w:w="1852" w:type="pct"/>
            <w:vAlign w:val="center"/>
          </w:tcPr>
          <w:p>
            <w:pPr>
              <w:pStyle w:val="140"/>
              <w:spacing w:before="37"/>
              <w:ind w:left="794" w:right="369"/>
              <w:rPr>
                <w:rFonts w:ascii="Times New Roman" w:hAnsi="Times New Roman" w:cs="Times New Roman"/>
                <w:sz w:val="21"/>
                <w:szCs w:val="21"/>
              </w:rPr>
            </w:pPr>
            <w:r>
              <w:rPr>
                <w:rFonts w:ascii="Times New Roman" w:cs="Times New Roman"/>
                <w:sz w:val="21"/>
                <w:szCs w:val="21"/>
              </w:rPr>
              <w:t>城市</w:t>
            </w:r>
            <w:r>
              <w:rPr>
                <w:rFonts w:ascii="Times New Roman" w:hAnsi="Times New Roman" w:cs="Times New Roman"/>
                <w:sz w:val="21"/>
                <w:szCs w:val="21"/>
              </w:rPr>
              <w:t>/</w:t>
            </w:r>
            <w:r>
              <w:rPr>
                <w:rFonts w:ascii="Times New Roman" w:cs="Times New Roman"/>
                <w:sz w:val="21"/>
                <w:szCs w:val="21"/>
              </w:rPr>
              <w:t>农村</w:t>
            </w:r>
          </w:p>
        </w:tc>
        <w:tc>
          <w:tcPr>
            <w:tcW w:w="1764" w:type="pct"/>
            <w:vAlign w:val="center"/>
          </w:tcPr>
          <w:p>
            <w:pPr>
              <w:pStyle w:val="140"/>
              <w:spacing w:before="37"/>
              <w:rPr>
                <w:rFonts w:ascii="Times New Roman" w:cs="Times New Roman"/>
                <w:sz w:val="21"/>
                <w:szCs w:val="21"/>
              </w:rPr>
            </w:pPr>
            <w:r>
              <w:rPr>
                <w:rFonts w:ascii="Times New Roman" w:cs="Times New Roman"/>
                <w:sz w:val="21"/>
                <w:szCs w:val="21"/>
              </w:rPr>
              <w:t>城市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84" w:type="pct"/>
            <w:vMerge w:val="continue"/>
            <w:vAlign w:val="center"/>
          </w:tcPr>
          <w:p>
            <w:pPr>
              <w:widowControl/>
              <w:jc w:val="center"/>
              <w:rPr>
                <w:rFonts w:eastAsia="宋体" w:cs="Times New Roman"/>
                <w:sz w:val="21"/>
              </w:rPr>
            </w:pPr>
          </w:p>
        </w:tc>
        <w:tc>
          <w:tcPr>
            <w:tcW w:w="1852" w:type="pct"/>
            <w:vAlign w:val="center"/>
          </w:tcPr>
          <w:p>
            <w:pPr>
              <w:pStyle w:val="140"/>
              <w:spacing w:before="39"/>
              <w:ind w:left="795" w:right="369"/>
              <w:rPr>
                <w:rFonts w:ascii="Times New Roman" w:hAnsi="Times New Roman" w:cs="Times New Roman"/>
                <w:sz w:val="21"/>
                <w:szCs w:val="21"/>
              </w:rPr>
            </w:pPr>
            <w:r>
              <w:rPr>
                <w:rFonts w:ascii="Times New Roman" w:cs="Times New Roman"/>
                <w:sz w:val="21"/>
                <w:szCs w:val="21"/>
              </w:rPr>
              <w:t>人口数（城市选项时）</w:t>
            </w:r>
          </w:p>
        </w:tc>
        <w:tc>
          <w:tcPr>
            <w:tcW w:w="1764" w:type="pct"/>
            <w:vAlign w:val="center"/>
          </w:tcPr>
          <w:p>
            <w:pPr>
              <w:pStyle w:val="140"/>
              <w:spacing w:before="37"/>
              <w:rPr>
                <w:rFonts w:ascii="Times New Roman" w:cs="Times New Roman"/>
                <w:sz w:val="21"/>
                <w:szCs w:val="21"/>
              </w:rPr>
            </w:pPr>
            <w:r>
              <w:rPr>
                <w:rFonts w:hint="eastAsia" w:ascii="Times New Roman" w:cs="Times New Roman"/>
                <w:sz w:val="21"/>
                <w:szCs w:val="21"/>
              </w:rPr>
              <w:t>73336人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236" w:type="pct"/>
            <w:gridSpan w:val="2"/>
            <w:vAlign w:val="center"/>
          </w:tcPr>
          <w:p>
            <w:pPr>
              <w:pStyle w:val="140"/>
              <w:spacing w:before="37"/>
              <w:ind w:left="2321" w:right="1891"/>
              <w:rPr>
                <w:rFonts w:ascii="Times New Roman" w:hAnsi="Times New Roman" w:cs="Times New Roman"/>
                <w:sz w:val="21"/>
                <w:szCs w:val="21"/>
              </w:rPr>
            </w:pPr>
            <w:r>
              <w:rPr>
                <w:rFonts w:ascii="Times New Roman" w:cs="Times New Roman"/>
                <w:sz w:val="21"/>
                <w:szCs w:val="21"/>
              </w:rPr>
              <w:t>最高环境温度</w:t>
            </w:r>
            <w:r>
              <w:rPr>
                <w:rFonts w:ascii="Times New Roman" w:hAnsi="Times New Roman" w:cs="Times New Roman"/>
                <w:sz w:val="21"/>
                <w:szCs w:val="21"/>
              </w:rPr>
              <w:t>/℃</w:t>
            </w:r>
          </w:p>
        </w:tc>
        <w:tc>
          <w:tcPr>
            <w:tcW w:w="1764" w:type="pct"/>
            <w:vAlign w:val="center"/>
          </w:tcPr>
          <w:p>
            <w:pPr>
              <w:pStyle w:val="140"/>
              <w:spacing w:before="37"/>
              <w:rPr>
                <w:rFonts w:ascii="Times New Roman" w:cs="Times New Roman"/>
                <w:sz w:val="21"/>
                <w:szCs w:val="21"/>
              </w:rPr>
            </w:pPr>
            <w:r>
              <w:rPr>
                <w:rFonts w:ascii="Times New Roman" w:cs="Times New Roman"/>
                <w:sz w:val="21"/>
                <w:szCs w:val="21"/>
              </w:rPr>
              <w:t>38.5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236" w:type="pct"/>
            <w:gridSpan w:val="2"/>
            <w:vAlign w:val="center"/>
          </w:tcPr>
          <w:p>
            <w:pPr>
              <w:pStyle w:val="140"/>
              <w:spacing w:before="37"/>
              <w:ind w:left="2321" w:right="1891"/>
              <w:rPr>
                <w:rFonts w:ascii="Times New Roman" w:hAnsi="Times New Roman" w:cs="Times New Roman"/>
                <w:sz w:val="21"/>
                <w:szCs w:val="21"/>
              </w:rPr>
            </w:pPr>
            <w:r>
              <w:rPr>
                <w:rFonts w:ascii="Times New Roman" w:cs="Times New Roman"/>
                <w:sz w:val="21"/>
                <w:szCs w:val="21"/>
              </w:rPr>
              <w:t>最低环境温度</w:t>
            </w:r>
            <w:r>
              <w:rPr>
                <w:rFonts w:ascii="Times New Roman" w:hAnsi="Times New Roman" w:cs="Times New Roman"/>
                <w:sz w:val="21"/>
                <w:szCs w:val="21"/>
              </w:rPr>
              <w:t>/℃</w:t>
            </w:r>
          </w:p>
        </w:tc>
        <w:tc>
          <w:tcPr>
            <w:tcW w:w="1764" w:type="pct"/>
            <w:vAlign w:val="center"/>
          </w:tcPr>
          <w:p>
            <w:pPr>
              <w:pStyle w:val="140"/>
              <w:spacing w:before="37"/>
              <w:rPr>
                <w:rFonts w:ascii="Times New Roman" w:cs="Times New Roman"/>
                <w:sz w:val="21"/>
                <w:szCs w:val="21"/>
              </w:rPr>
            </w:pPr>
            <w:r>
              <w:rPr>
                <w:rFonts w:hint="eastAsia" w:ascii="Times New Roman" w:cs="Times New Roman"/>
                <w:sz w:val="21"/>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236" w:type="pct"/>
            <w:gridSpan w:val="2"/>
            <w:vAlign w:val="center"/>
          </w:tcPr>
          <w:p>
            <w:pPr>
              <w:pStyle w:val="140"/>
              <w:spacing w:before="37"/>
              <w:ind w:left="2321" w:right="1891"/>
              <w:rPr>
                <w:rFonts w:ascii="Times New Roman" w:hAnsi="Times New Roman" w:cs="Times New Roman"/>
                <w:sz w:val="21"/>
                <w:szCs w:val="21"/>
              </w:rPr>
            </w:pPr>
            <w:r>
              <w:rPr>
                <w:rFonts w:ascii="Times New Roman" w:cs="Times New Roman"/>
                <w:sz w:val="21"/>
                <w:szCs w:val="21"/>
              </w:rPr>
              <w:t>土地利用类型</w:t>
            </w:r>
          </w:p>
        </w:tc>
        <w:tc>
          <w:tcPr>
            <w:tcW w:w="1764" w:type="pct"/>
            <w:vAlign w:val="center"/>
          </w:tcPr>
          <w:p>
            <w:pPr>
              <w:pStyle w:val="140"/>
              <w:spacing w:before="37"/>
              <w:rPr>
                <w:rFonts w:ascii="Times New Roman" w:cs="Times New Roman"/>
                <w:sz w:val="21"/>
                <w:szCs w:val="21"/>
              </w:rPr>
            </w:pPr>
            <w:r>
              <w:rPr>
                <w:rFonts w:hint="eastAsia" w:ascii="Times New Roman" w:cs="Times New Roman"/>
                <w:sz w:val="21"/>
                <w:szCs w:val="21"/>
              </w:rPr>
              <w:t>公共</w:t>
            </w:r>
            <w:r>
              <w:rPr>
                <w:rFonts w:ascii="Times New Roman" w:cs="Times New Roman"/>
                <w:sz w:val="21"/>
                <w:szCs w:val="21"/>
              </w:rPr>
              <w:t>管理与公共服务用地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236" w:type="pct"/>
            <w:gridSpan w:val="2"/>
            <w:vAlign w:val="center"/>
          </w:tcPr>
          <w:p>
            <w:pPr>
              <w:pStyle w:val="140"/>
              <w:spacing w:before="37"/>
              <w:ind w:left="2321" w:right="1891"/>
              <w:rPr>
                <w:rFonts w:ascii="Times New Roman" w:hAnsi="Times New Roman" w:cs="Times New Roman"/>
                <w:sz w:val="21"/>
                <w:szCs w:val="21"/>
              </w:rPr>
            </w:pPr>
            <w:r>
              <w:rPr>
                <w:rFonts w:ascii="Times New Roman" w:cs="Times New Roman"/>
                <w:sz w:val="21"/>
                <w:szCs w:val="21"/>
              </w:rPr>
              <w:t>区域湿度条件</w:t>
            </w:r>
          </w:p>
        </w:tc>
        <w:tc>
          <w:tcPr>
            <w:tcW w:w="1764" w:type="pct"/>
            <w:vAlign w:val="center"/>
          </w:tcPr>
          <w:p>
            <w:pPr>
              <w:pStyle w:val="140"/>
              <w:spacing w:before="37"/>
              <w:rPr>
                <w:rFonts w:ascii="Times New Roman" w:cs="Times New Roman"/>
                <w:sz w:val="21"/>
                <w:szCs w:val="21"/>
              </w:rPr>
            </w:pPr>
            <w:r>
              <w:rPr>
                <w:rFonts w:ascii="Times New Roman" w:cs="Times New Roman"/>
                <w:sz w:val="21"/>
                <w:szCs w:val="21"/>
              </w:rPr>
              <w:t>潮湿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1384" w:type="pct"/>
            <w:vMerge w:val="restart"/>
            <w:vAlign w:val="center"/>
          </w:tcPr>
          <w:p>
            <w:pPr>
              <w:pStyle w:val="140"/>
              <w:rPr>
                <w:rFonts w:ascii="Times New Roman" w:hAnsi="Times New Roman" w:cs="Times New Roman"/>
                <w:sz w:val="21"/>
                <w:szCs w:val="21"/>
              </w:rPr>
            </w:pPr>
            <w:r>
              <w:rPr>
                <w:rFonts w:ascii="Times New Roman" w:cs="Times New Roman"/>
                <w:sz w:val="21"/>
                <w:szCs w:val="21"/>
              </w:rPr>
              <w:t>是否考虑地形</w:t>
            </w:r>
          </w:p>
        </w:tc>
        <w:tc>
          <w:tcPr>
            <w:tcW w:w="1852" w:type="pct"/>
            <w:vAlign w:val="center"/>
          </w:tcPr>
          <w:p>
            <w:pPr>
              <w:pStyle w:val="140"/>
              <w:spacing w:before="37"/>
              <w:ind w:right="367"/>
              <w:rPr>
                <w:rFonts w:ascii="Times New Roman" w:hAnsi="Times New Roman" w:cs="Times New Roman"/>
                <w:sz w:val="21"/>
                <w:szCs w:val="21"/>
              </w:rPr>
            </w:pPr>
            <w:r>
              <w:rPr>
                <w:rFonts w:ascii="Times New Roman" w:cs="Times New Roman"/>
                <w:sz w:val="21"/>
                <w:szCs w:val="21"/>
              </w:rPr>
              <w:t>考虑地形</w:t>
            </w:r>
          </w:p>
        </w:tc>
        <w:tc>
          <w:tcPr>
            <w:tcW w:w="1764" w:type="pct"/>
            <w:vAlign w:val="center"/>
          </w:tcPr>
          <w:p>
            <w:pPr>
              <w:pStyle w:val="140"/>
              <w:spacing w:before="37"/>
              <w:rPr>
                <w:rFonts w:ascii="Times New Roman" w:hAnsi="Times New Roman" w:cs="Times New Roman"/>
                <w:sz w:val="21"/>
                <w:szCs w:val="21"/>
              </w:rPr>
            </w:pPr>
            <w:r>
              <w:rPr>
                <w:rFonts w:ascii="Times New Roman" w:cs="Times New Roman"/>
                <w:sz w:val="21"/>
                <w:szCs w:val="21"/>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84" w:type="pct"/>
            <w:vMerge w:val="continue"/>
            <w:vAlign w:val="center"/>
          </w:tcPr>
          <w:p>
            <w:pPr>
              <w:widowControl/>
              <w:jc w:val="center"/>
              <w:rPr>
                <w:rFonts w:eastAsia="宋体" w:cs="Times New Roman"/>
                <w:sz w:val="21"/>
              </w:rPr>
            </w:pPr>
          </w:p>
        </w:tc>
        <w:tc>
          <w:tcPr>
            <w:tcW w:w="1852" w:type="pct"/>
            <w:vAlign w:val="center"/>
          </w:tcPr>
          <w:p>
            <w:pPr>
              <w:pStyle w:val="140"/>
              <w:spacing w:before="39"/>
              <w:ind w:right="369"/>
              <w:rPr>
                <w:rFonts w:ascii="Times New Roman" w:hAnsi="Times New Roman" w:cs="Times New Roman"/>
                <w:sz w:val="21"/>
                <w:szCs w:val="21"/>
              </w:rPr>
            </w:pPr>
            <w:r>
              <w:rPr>
                <w:rFonts w:ascii="Times New Roman" w:cs="Times New Roman"/>
                <w:sz w:val="21"/>
                <w:szCs w:val="21"/>
              </w:rPr>
              <w:t>地形数据分辨率</w:t>
            </w:r>
          </w:p>
        </w:tc>
        <w:tc>
          <w:tcPr>
            <w:tcW w:w="1764" w:type="pct"/>
            <w:vAlign w:val="center"/>
          </w:tcPr>
          <w:p>
            <w:pPr>
              <w:pStyle w:val="140"/>
              <w:spacing w:before="37"/>
              <w:rPr>
                <w:rFonts w:ascii="Times New Roman" w:cs="Times New Roman"/>
                <w:sz w:val="21"/>
                <w:szCs w:val="21"/>
              </w:rPr>
            </w:pPr>
            <w:r>
              <w:rPr>
                <w:rFonts w:ascii="Times New Roman" w:cs="Times New Roman"/>
                <w:sz w:val="21"/>
                <w:szCs w:val="21"/>
              </w:rPr>
              <w:t>90m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84" w:type="pct"/>
            <w:vMerge w:val="restart"/>
            <w:vAlign w:val="center"/>
          </w:tcPr>
          <w:p>
            <w:pPr>
              <w:pStyle w:val="140"/>
              <w:ind w:right="159"/>
              <w:rPr>
                <w:rFonts w:ascii="Times New Roman" w:hAnsi="Times New Roman" w:cs="Times New Roman"/>
                <w:sz w:val="21"/>
                <w:szCs w:val="21"/>
              </w:rPr>
            </w:pPr>
            <w:r>
              <w:rPr>
                <w:rFonts w:ascii="Times New Roman" w:cs="Times New Roman"/>
                <w:sz w:val="21"/>
                <w:szCs w:val="21"/>
              </w:rPr>
              <w:t>是否考虑海岸线熏烟</w:t>
            </w:r>
          </w:p>
        </w:tc>
        <w:tc>
          <w:tcPr>
            <w:tcW w:w="1852" w:type="pct"/>
            <w:vAlign w:val="center"/>
          </w:tcPr>
          <w:p>
            <w:pPr>
              <w:pStyle w:val="140"/>
              <w:spacing w:before="37"/>
              <w:ind w:right="369"/>
              <w:rPr>
                <w:rFonts w:ascii="Times New Roman" w:hAnsi="Times New Roman" w:cs="Times New Roman"/>
                <w:sz w:val="21"/>
                <w:szCs w:val="21"/>
              </w:rPr>
            </w:pPr>
            <w:r>
              <w:rPr>
                <w:rFonts w:ascii="Times New Roman" w:cs="Times New Roman"/>
                <w:sz w:val="21"/>
                <w:szCs w:val="21"/>
              </w:rPr>
              <w:t>考虑岸线熏烟</w:t>
            </w:r>
          </w:p>
        </w:tc>
        <w:tc>
          <w:tcPr>
            <w:tcW w:w="1764" w:type="pct"/>
            <w:vAlign w:val="center"/>
          </w:tcPr>
          <w:p>
            <w:pPr>
              <w:pStyle w:val="140"/>
              <w:spacing w:before="37"/>
              <w:rPr>
                <w:rFonts w:ascii="Times New Roman" w:cs="Times New Roman"/>
                <w:sz w:val="21"/>
                <w:szCs w:val="21"/>
              </w:rPr>
            </w:pPr>
            <w:r>
              <w:rPr>
                <w:rFonts w:ascii="Times New Roman" w:cs="Times New Roman"/>
                <w:sz w:val="21"/>
                <w:szCs w:val="21"/>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84" w:type="pct"/>
            <w:vMerge w:val="continue"/>
            <w:vAlign w:val="center"/>
          </w:tcPr>
          <w:p>
            <w:pPr>
              <w:widowControl/>
              <w:jc w:val="center"/>
              <w:rPr>
                <w:rFonts w:eastAsia="宋体" w:cs="Times New Roman"/>
                <w:sz w:val="21"/>
              </w:rPr>
            </w:pPr>
          </w:p>
        </w:tc>
        <w:tc>
          <w:tcPr>
            <w:tcW w:w="1852" w:type="pct"/>
            <w:vAlign w:val="center"/>
          </w:tcPr>
          <w:p>
            <w:pPr>
              <w:pStyle w:val="140"/>
              <w:spacing w:before="37"/>
              <w:ind w:right="367"/>
              <w:rPr>
                <w:rFonts w:ascii="Times New Roman" w:hAnsi="Times New Roman" w:cs="Times New Roman"/>
                <w:sz w:val="21"/>
                <w:szCs w:val="21"/>
              </w:rPr>
            </w:pPr>
            <w:r>
              <w:rPr>
                <w:rFonts w:ascii="Times New Roman" w:cs="Times New Roman"/>
                <w:sz w:val="21"/>
                <w:szCs w:val="21"/>
              </w:rPr>
              <w:t>海岸线距离</w:t>
            </w:r>
            <w:r>
              <w:rPr>
                <w:rFonts w:ascii="Times New Roman" w:hAnsi="Times New Roman" w:cs="Times New Roman"/>
                <w:sz w:val="21"/>
                <w:szCs w:val="21"/>
              </w:rPr>
              <w:t>/m</w:t>
            </w:r>
          </w:p>
        </w:tc>
        <w:tc>
          <w:tcPr>
            <w:tcW w:w="1764" w:type="pct"/>
            <w:vAlign w:val="center"/>
          </w:tcPr>
          <w:p>
            <w:pPr>
              <w:pStyle w:val="140"/>
              <w:spacing w:before="37"/>
              <w:rPr>
                <w:rFonts w:ascii="Times New Roman" w:cs="Times New Roman"/>
                <w:sz w:val="21"/>
                <w:szCs w:val="21"/>
              </w:rPr>
            </w:pPr>
            <w:r>
              <w:rPr>
                <w:rFonts w:ascii="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84" w:type="pct"/>
            <w:vMerge w:val="continue"/>
            <w:vAlign w:val="center"/>
          </w:tcPr>
          <w:p>
            <w:pPr>
              <w:widowControl/>
              <w:jc w:val="center"/>
              <w:rPr>
                <w:rFonts w:eastAsia="宋体" w:cs="Times New Roman"/>
                <w:sz w:val="21"/>
              </w:rPr>
            </w:pPr>
          </w:p>
        </w:tc>
        <w:tc>
          <w:tcPr>
            <w:tcW w:w="1852" w:type="pct"/>
            <w:vAlign w:val="center"/>
          </w:tcPr>
          <w:p>
            <w:pPr>
              <w:pStyle w:val="140"/>
              <w:spacing w:before="37"/>
              <w:ind w:right="365"/>
              <w:rPr>
                <w:rFonts w:ascii="Times New Roman" w:hAnsi="Times New Roman" w:cs="Times New Roman"/>
                <w:sz w:val="21"/>
                <w:szCs w:val="21"/>
              </w:rPr>
            </w:pPr>
            <w:r>
              <w:rPr>
                <w:rFonts w:ascii="Times New Roman" w:cs="Times New Roman"/>
                <w:sz w:val="21"/>
                <w:szCs w:val="21"/>
              </w:rPr>
              <w:t>海岸线方向</w:t>
            </w:r>
            <w:r>
              <w:rPr>
                <w:rFonts w:ascii="Times New Roman" w:hAnsi="Times New Roman" w:cs="Times New Roman"/>
                <w:sz w:val="21"/>
                <w:szCs w:val="21"/>
              </w:rPr>
              <w:t>/°</w:t>
            </w:r>
          </w:p>
        </w:tc>
        <w:tc>
          <w:tcPr>
            <w:tcW w:w="1764" w:type="pct"/>
            <w:vAlign w:val="center"/>
          </w:tcPr>
          <w:p>
            <w:pPr>
              <w:pStyle w:val="140"/>
              <w:spacing w:before="37"/>
              <w:rPr>
                <w:rFonts w:ascii="Times New Roman" w:cs="Times New Roman"/>
                <w:sz w:val="21"/>
                <w:szCs w:val="21"/>
              </w:rPr>
            </w:pPr>
            <w:r>
              <w:rPr>
                <w:rFonts w:ascii="Times New Roman" w:cs="Times New Roman"/>
                <w:sz w:val="21"/>
                <w:szCs w:val="21"/>
              </w:rPr>
              <w:t>/</w:t>
            </w:r>
          </w:p>
        </w:tc>
      </w:tr>
    </w:tbl>
    <w:p>
      <w:pPr>
        <w:spacing w:line="360" w:lineRule="auto"/>
        <w:ind w:firstLine="480" w:firstLineChars="200"/>
        <w:jc w:val="left"/>
        <w:rPr>
          <w:rFonts w:cs="Times New Roman"/>
        </w:rPr>
      </w:pPr>
      <w:r>
        <w:rPr>
          <w:rFonts w:cs="Times New Roman"/>
        </w:rPr>
        <w:t>（3）污染源强确定及评价因子选取</w:t>
      </w:r>
    </w:p>
    <w:p>
      <w:pPr>
        <w:spacing w:line="360" w:lineRule="auto"/>
        <w:ind w:firstLine="480" w:firstLineChars="200"/>
        <w:jc w:val="left"/>
        <w:rPr>
          <w:rFonts w:cs="Times New Roman"/>
        </w:rPr>
      </w:pPr>
      <w:r>
        <w:rPr>
          <w:rFonts w:cs="Times New Roman"/>
        </w:rPr>
        <w:t>本项目大气污染物主要来源于锅炉房的锅炉废气及污水处理站的臭气。根据项目环境空气污染物排放特点及项目拟建选址附近区域环境空气污染特征，本评价选取颗粒物、氮氧化物、二氧化硫、NH</w:t>
      </w:r>
      <w:r>
        <w:rPr>
          <w:rFonts w:cs="Times New Roman"/>
          <w:vertAlign w:val="subscript"/>
        </w:rPr>
        <w:t>3</w:t>
      </w:r>
      <w:r>
        <w:rPr>
          <w:rFonts w:cs="Times New Roman"/>
        </w:rPr>
        <w:t>及H</w:t>
      </w:r>
      <w:r>
        <w:rPr>
          <w:rFonts w:cs="Times New Roman"/>
          <w:vertAlign w:val="subscript"/>
        </w:rPr>
        <w:t>2</w:t>
      </w:r>
      <w:r>
        <w:rPr>
          <w:rFonts w:cs="Times New Roman"/>
        </w:rPr>
        <w:t>S作为大气预测因子。</w:t>
      </w:r>
    </w:p>
    <w:p>
      <w:pPr>
        <w:pStyle w:val="14"/>
        <w:spacing w:line="240" w:lineRule="auto"/>
      </w:pPr>
      <w:r>
        <w:rPr>
          <w:rFonts w:hint="eastAsia"/>
        </w:rPr>
        <w:t>表</w:t>
      </w:r>
      <w:r>
        <w:fldChar w:fldCharType="begin"/>
      </w:r>
      <w:r>
        <w:instrText xml:space="preserve"> STYLEREF 2 \s </w:instrText>
      </w:r>
      <w:r>
        <w:fldChar w:fldCharType="separate"/>
      </w:r>
      <w:r>
        <w:t>1.7</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4</w:t>
      </w:r>
      <w:r>
        <w:fldChar w:fldCharType="end"/>
      </w:r>
      <w:r>
        <w:rPr>
          <w:rFonts w:hint="eastAsia"/>
        </w:rPr>
        <w:t xml:space="preserve">  主要点源参数一览表</w:t>
      </w:r>
    </w:p>
    <w:tbl>
      <w:tblPr>
        <w:tblStyle w:val="39"/>
        <w:tblW w:w="5000" w:type="pct"/>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autofit"/>
        <w:tblCellMar>
          <w:top w:w="0" w:type="dxa"/>
          <w:left w:w="108" w:type="dxa"/>
          <w:bottom w:w="0" w:type="dxa"/>
          <w:right w:w="108" w:type="dxa"/>
        </w:tblCellMar>
      </w:tblPr>
      <w:tblGrid>
        <w:gridCol w:w="473"/>
        <w:gridCol w:w="428"/>
        <w:gridCol w:w="1109"/>
        <w:gridCol w:w="1004"/>
        <w:gridCol w:w="810"/>
        <w:gridCol w:w="511"/>
        <w:gridCol w:w="673"/>
        <w:gridCol w:w="1031"/>
        <w:gridCol w:w="485"/>
        <w:gridCol w:w="636"/>
        <w:gridCol w:w="426"/>
        <w:gridCol w:w="681"/>
        <w:gridCol w:w="689"/>
        <w:gridCol w:w="690"/>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540" w:hRule="atLeast"/>
          <w:jc w:val="center"/>
        </w:trPr>
        <w:tc>
          <w:tcPr>
            <w:tcW w:w="245" w:type="pct"/>
            <w:vMerge w:val="restart"/>
            <w:tcBorders>
              <w:top w:val="single" w:color="000000" w:sz="4" w:space="0"/>
              <w:left w:val="single" w:color="000000" w:sz="4" w:space="0"/>
              <w:bottom w:val="single" w:color="000000" w:sz="2" w:space="0"/>
              <w:right w:val="single" w:color="000000" w:sz="2" w:space="0"/>
            </w:tcBorders>
            <w:shd w:val="clear" w:color="auto" w:fill="FFFFFF"/>
            <w:vAlign w:val="center"/>
          </w:tcPr>
          <w:p>
            <w:pPr>
              <w:pStyle w:val="93"/>
              <w:spacing w:before="24" w:after="24" w:line="240" w:lineRule="auto"/>
              <w:rPr>
                <w:rFonts w:ascii="Times New Roman" w:hAnsi="Times New Roman" w:cs="Times New Roman"/>
                <w:color w:val="000000" w:themeColor="text1"/>
                <w:kern w:val="0"/>
              </w:rPr>
            </w:pPr>
            <w:r>
              <w:rPr>
                <w:rFonts w:ascii="Times New Roman" w:hAnsi="Times New Roman" w:cs="Times New Roman"/>
                <w:color w:val="000000" w:themeColor="text1"/>
              </w:rPr>
              <w:t>编号</w:t>
            </w:r>
          </w:p>
        </w:tc>
        <w:tc>
          <w:tcPr>
            <w:tcW w:w="266" w:type="pct"/>
            <w:vMerge w:val="restart"/>
            <w:tcBorders>
              <w:top w:val="single" w:color="000000" w:sz="4" w:space="0"/>
              <w:left w:val="single" w:color="000000" w:sz="2" w:space="0"/>
              <w:bottom w:val="single" w:color="000000" w:sz="2" w:space="0"/>
              <w:right w:val="single" w:color="000000" w:sz="2" w:space="0"/>
            </w:tcBorders>
            <w:shd w:val="clear" w:color="auto" w:fill="FFFFFF"/>
            <w:vAlign w:val="center"/>
          </w:tcPr>
          <w:p>
            <w:pPr>
              <w:pStyle w:val="93"/>
              <w:spacing w:before="24" w:after="24" w:line="240" w:lineRule="auto"/>
              <w:rPr>
                <w:rFonts w:ascii="Times New Roman" w:hAnsi="Times New Roman" w:cs="Times New Roman"/>
                <w:color w:val="000000" w:themeColor="text1"/>
                <w:kern w:val="0"/>
              </w:rPr>
            </w:pPr>
            <w:r>
              <w:rPr>
                <w:rFonts w:ascii="Times New Roman" w:hAnsi="Times New Roman" w:cs="Times New Roman"/>
                <w:color w:val="000000" w:themeColor="text1"/>
              </w:rPr>
              <w:t>名称</w:t>
            </w:r>
          </w:p>
        </w:tc>
        <w:tc>
          <w:tcPr>
            <w:tcW w:w="840" w:type="pct"/>
            <w:gridSpan w:val="2"/>
            <w:tcBorders>
              <w:top w:val="single" w:color="000000" w:sz="4" w:space="0"/>
              <w:left w:val="single" w:color="000000" w:sz="2" w:space="0"/>
              <w:bottom w:val="single" w:color="000000" w:sz="2" w:space="0"/>
              <w:right w:val="single" w:color="000000" w:sz="2" w:space="0"/>
            </w:tcBorders>
            <w:shd w:val="clear" w:color="auto" w:fill="FFFFFF"/>
            <w:vAlign w:val="center"/>
          </w:tcPr>
          <w:p>
            <w:pPr>
              <w:pStyle w:val="93"/>
              <w:spacing w:before="24" w:after="24" w:line="240" w:lineRule="auto"/>
              <w:rPr>
                <w:rFonts w:ascii="Times New Roman" w:hAnsi="Times New Roman" w:cs="Times New Roman"/>
                <w:color w:val="000000" w:themeColor="text1"/>
                <w:kern w:val="0"/>
              </w:rPr>
            </w:pPr>
            <w:r>
              <w:rPr>
                <w:rFonts w:ascii="Times New Roman" w:hAnsi="Times New Roman" w:cs="Times New Roman"/>
                <w:color w:val="000000" w:themeColor="text1"/>
              </w:rPr>
              <w:t>排气筒底部中心经纬度</w:t>
            </w:r>
          </w:p>
        </w:tc>
        <w:tc>
          <w:tcPr>
            <w:tcW w:w="464" w:type="pct"/>
            <w:vMerge w:val="restart"/>
            <w:tcBorders>
              <w:top w:val="single" w:color="000000" w:sz="4" w:space="0"/>
              <w:left w:val="single" w:color="000000" w:sz="2" w:space="0"/>
              <w:bottom w:val="single" w:color="000000" w:sz="2" w:space="0"/>
              <w:right w:val="single" w:color="000000" w:sz="2" w:space="0"/>
            </w:tcBorders>
            <w:shd w:val="clear" w:color="auto" w:fill="FFFFFF"/>
            <w:vAlign w:val="center"/>
          </w:tcPr>
          <w:p>
            <w:pPr>
              <w:pStyle w:val="93"/>
              <w:spacing w:before="24" w:after="24" w:line="240" w:lineRule="auto"/>
              <w:rPr>
                <w:rFonts w:ascii="Times New Roman" w:hAnsi="Times New Roman" w:cs="Times New Roman"/>
                <w:color w:val="000000" w:themeColor="text1"/>
                <w:kern w:val="0"/>
              </w:rPr>
            </w:pPr>
            <w:r>
              <w:rPr>
                <w:rFonts w:ascii="Times New Roman" w:hAnsi="Times New Roman" w:cs="Times New Roman"/>
                <w:color w:val="000000" w:themeColor="text1"/>
              </w:rPr>
              <w:t>排气筒底部海拔高度/m</w:t>
            </w:r>
          </w:p>
        </w:tc>
        <w:tc>
          <w:tcPr>
            <w:tcW w:w="309" w:type="pct"/>
            <w:vMerge w:val="restart"/>
            <w:tcBorders>
              <w:top w:val="single" w:color="000000" w:sz="4" w:space="0"/>
              <w:left w:val="single" w:color="000000" w:sz="2" w:space="0"/>
              <w:bottom w:val="single" w:color="000000" w:sz="2" w:space="0"/>
              <w:right w:val="single" w:color="000000" w:sz="2" w:space="0"/>
            </w:tcBorders>
            <w:shd w:val="clear" w:color="auto" w:fill="FFFFFF"/>
            <w:vAlign w:val="center"/>
          </w:tcPr>
          <w:p>
            <w:pPr>
              <w:pStyle w:val="93"/>
              <w:spacing w:before="24" w:after="24" w:line="240" w:lineRule="auto"/>
              <w:rPr>
                <w:rFonts w:ascii="Times New Roman" w:hAnsi="Times New Roman" w:cs="Times New Roman"/>
                <w:color w:val="000000" w:themeColor="text1"/>
                <w:kern w:val="0"/>
              </w:rPr>
            </w:pPr>
            <w:r>
              <w:rPr>
                <w:rFonts w:ascii="Times New Roman" w:hAnsi="Times New Roman" w:cs="Times New Roman"/>
                <w:color w:val="000000" w:themeColor="text1"/>
              </w:rPr>
              <w:t>排气筒高度/m</w:t>
            </w:r>
          </w:p>
        </w:tc>
        <w:tc>
          <w:tcPr>
            <w:tcW w:w="393" w:type="pct"/>
            <w:vMerge w:val="restart"/>
            <w:tcBorders>
              <w:top w:val="single" w:color="000000" w:sz="4" w:space="0"/>
              <w:left w:val="single" w:color="000000" w:sz="2" w:space="0"/>
              <w:bottom w:val="single" w:color="000000" w:sz="2" w:space="0"/>
              <w:right w:val="single" w:color="000000" w:sz="2" w:space="0"/>
            </w:tcBorders>
            <w:shd w:val="clear" w:color="auto" w:fill="FFFFFF"/>
            <w:vAlign w:val="center"/>
          </w:tcPr>
          <w:p>
            <w:pPr>
              <w:pStyle w:val="93"/>
              <w:spacing w:before="24" w:after="24" w:line="240" w:lineRule="auto"/>
              <w:rPr>
                <w:rFonts w:ascii="Times New Roman" w:hAnsi="Times New Roman" w:cs="Times New Roman"/>
                <w:color w:val="000000" w:themeColor="text1"/>
                <w:kern w:val="0"/>
              </w:rPr>
            </w:pPr>
            <w:r>
              <w:rPr>
                <w:rFonts w:ascii="Times New Roman" w:hAnsi="Times New Roman" w:cs="Times New Roman"/>
                <w:color w:val="000000" w:themeColor="text1"/>
              </w:rPr>
              <w:t>排气筒出口内径/m</w:t>
            </w:r>
          </w:p>
        </w:tc>
        <w:tc>
          <w:tcPr>
            <w:tcW w:w="524" w:type="pct"/>
            <w:vMerge w:val="restart"/>
            <w:tcBorders>
              <w:top w:val="single" w:color="000000" w:sz="4" w:space="0"/>
              <w:left w:val="single" w:color="000000" w:sz="2" w:space="0"/>
              <w:bottom w:val="single" w:color="000000" w:sz="2" w:space="0"/>
              <w:right w:val="single" w:color="000000" w:sz="2" w:space="0"/>
            </w:tcBorders>
            <w:shd w:val="clear" w:color="auto" w:fill="FFFFFF"/>
            <w:vAlign w:val="center"/>
          </w:tcPr>
          <w:p>
            <w:pPr>
              <w:pStyle w:val="93"/>
              <w:spacing w:before="24" w:after="24" w:line="240" w:lineRule="auto"/>
              <w:rPr>
                <w:rFonts w:ascii="Times New Roman" w:hAnsi="Times New Roman" w:cs="Times New Roman"/>
                <w:color w:val="000000" w:themeColor="text1"/>
                <w:kern w:val="0"/>
              </w:rPr>
            </w:pPr>
            <w:r>
              <w:rPr>
                <w:rFonts w:ascii="Times New Roman" w:hAnsi="Times New Roman" w:cs="Times New Roman"/>
                <w:color w:val="000000" w:themeColor="text1"/>
              </w:rPr>
              <w:t>烟气</w:t>
            </w:r>
          </w:p>
          <w:p>
            <w:pPr>
              <w:pStyle w:val="93"/>
              <w:spacing w:before="24" w:after="24" w:line="240" w:lineRule="auto"/>
              <w:rPr>
                <w:rFonts w:ascii="Times New Roman" w:hAnsi="Times New Roman" w:cs="Times New Roman"/>
                <w:color w:val="000000" w:themeColor="text1"/>
                <w:kern w:val="0"/>
              </w:rPr>
            </w:pPr>
            <w:r>
              <w:rPr>
                <w:rFonts w:ascii="Times New Roman" w:hAnsi="Times New Roman" w:cs="Times New Roman"/>
                <w:color w:val="000000" w:themeColor="text1"/>
              </w:rPr>
              <w:t>流量/</w:t>
            </w:r>
            <w:r>
              <w:rPr>
                <w:rFonts w:ascii="Times New Roman" w:cs="Times New Roman"/>
                <w:color w:val="000000" w:themeColor="text1"/>
              </w:rPr>
              <w:t>（</w:t>
            </w:r>
            <w:r>
              <w:rPr>
                <w:rFonts w:ascii="Times New Roman" w:hAnsi="Times New Roman" w:cs="Times New Roman"/>
                <w:color w:val="000000" w:themeColor="text1"/>
              </w:rPr>
              <w:t>m</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/h</w:t>
            </w:r>
            <w:r>
              <w:rPr>
                <w:rFonts w:ascii="Times New Roman" w:cs="Times New Roman"/>
                <w:color w:val="000000" w:themeColor="text1"/>
              </w:rPr>
              <w:t>）</w:t>
            </w:r>
          </w:p>
        </w:tc>
        <w:tc>
          <w:tcPr>
            <w:tcW w:w="286" w:type="pct"/>
            <w:vMerge w:val="restart"/>
            <w:tcBorders>
              <w:top w:val="single" w:color="000000" w:sz="4" w:space="0"/>
              <w:left w:val="single" w:color="000000" w:sz="2" w:space="0"/>
              <w:bottom w:val="single" w:color="000000" w:sz="2" w:space="0"/>
              <w:right w:val="single" w:color="000000" w:sz="2" w:space="0"/>
            </w:tcBorders>
            <w:shd w:val="clear" w:color="auto" w:fill="FFFFFF"/>
            <w:vAlign w:val="center"/>
          </w:tcPr>
          <w:p>
            <w:pPr>
              <w:pStyle w:val="93"/>
              <w:spacing w:before="24" w:after="24" w:line="240" w:lineRule="auto"/>
              <w:rPr>
                <w:rFonts w:ascii="Times New Roman" w:hAnsi="Times New Roman" w:cs="Times New Roman"/>
                <w:color w:val="000000" w:themeColor="text1"/>
                <w:kern w:val="0"/>
              </w:rPr>
            </w:pPr>
            <w:r>
              <w:rPr>
                <w:rFonts w:ascii="Times New Roman" w:hAnsi="Times New Roman" w:cs="Times New Roman"/>
                <w:color w:val="000000" w:themeColor="text1"/>
              </w:rPr>
              <w:t>烟气温度/℃</w:t>
            </w:r>
          </w:p>
        </w:tc>
        <w:tc>
          <w:tcPr>
            <w:tcW w:w="368" w:type="pct"/>
            <w:vMerge w:val="restart"/>
            <w:tcBorders>
              <w:top w:val="single" w:color="000000" w:sz="4" w:space="0"/>
              <w:left w:val="single" w:color="000000" w:sz="2" w:space="0"/>
              <w:bottom w:val="single" w:color="000000" w:sz="2" w:space="0"/>
              <w:right w:val="single" w:color="000000" w:sz="2" w:space="0"/>
            </w:tcBorders>
            <w:shd w:val="clear" w:color="auto" w:fill="FFFFFF"/>
            <w:vAlign w:val="center"/>
          </w:tcPr>
          <w:p>
            <w:pPr>
              <w:pStyle w:val="93"/>
              <w:spacing w:before="24" w:after="24" w:line="240" w:lineRule="auto"/>
              <w:rPr>
                <w:rFonts w:ascii="Times New Roman" w:hAnsi="Times New Roman" w:cs="Times New Roman"/>
                <w:color w:val="000000" w:themeColor="text1"/>
                <w:kern w:val="0"/>
              </w:rPr>
            </w:pPr>
            <w:r>
              <w:rPr>
                <w:rFonts w:ascii="Times New Roman" w:hAnsi="Times New Roman" w:cs="Times New Roman"/>
                <w:color w:val="000000" w:themeColor="text1"/>
              </w:rPr>
              <w:t>年排放小时数/h</w:t>
            </w:r>
          </w:p>
        </w:tc>
        <w:tc>
          <w:tcPr>
            <w:tcW w:w="229" w:type="pct"/>
            <w:vMerge w:val="restart"/>
            <w:tcBorders>
              <w:top w:val="single" w:color="000000" w:sz="4" w:space="0"/>
              <w:left w:val="single" w:color="000000" w:sz="2" w:space="0"/>
              <w:bottom w:val="single" w:color="000000" w:sz="2" w:space="0"/>
              <w:right w:val="single" w:color="000000" w:sz="2" w:space="0"/>
            </w:tcBorders>
            <w:shd w:val="clear" w:color="auto" w:fill="FFFFFF"/>
            <w:vAlign w:val="center"/>
          </w:tcPr>
          <w:p>
            <w:pPr>
              <w:pStyle w:val="93"/>
              <w:spacing w:before="24" w:after="24" w:line="240" w:lineRule="auto"/>
              <w:rPr>
                <w:rFonts w:ascii="Times New Roman" w:hAnsi="Times New Roman" w:cs="Times New Roman"/>
                <w:color w:val="000000" w:themeColor="text1"/>
                <w:kern w:val="0"/>
              </w:rPr>
            </w:pPr>
            <w:r>
              <w:rPr>
                <w:rFonts w:ascii="Times New Roman" w:hAnsi="Times New Roman" w:cs="Times New Roman"/>
                <w:color w:val="000000" w:themeColor="text1"/>
              </w:rPr>
              <w:t>排放工况</w:t>
            </w:r>
          </w:p>
        </w:tc>
        <w:tc>
          <w:tcPr>
            <w:tcW w:w="1076" w:type="pct"/>
            <w:gridSpan w:val="3"/>
            <w:tcBorders>
              <w:top w:val="single" w:color="000000" w:sz="4" w:space="0"/>
              <w:left w:val="single" w:color="000000" w:sz="2" w:space="0"/>
              <w:bottom w:val="nil"/>
              <w:right w:val="single" w:color="000000" w:sz="4" w:space="0"/>
            </w:tcBorders>
            <w:shd w:val="clear" w:color="auto" w:fill="FFFFFF"/>
            <w:vAlign w:val="center"/>
          </w:tcPr>
          <w:p>
            <w:pPr>
              <w:pStyle w:val="93"/>
              <w:spacing w:before="24" w:after="24" w:line="240" w:lineRule="auto"/>
              <w:rPr>
                <w:rFonts w:ascii="Times New Roman" w:hAnsi="Times New Roman" w:cs="Times New Roman"/>
                <w:color w:val="000000" w:themeColor="text1"/>
              </w:rPr>
            </w:pPr>
            <w:r>
              <w:rPr>
                <w:rFonts w:ascii="Times New Roman" w:hAnsi="Times New Roman" w:cs="Times New Roman"/>
                <w:color w:val="000000" w:themeColor="text1"/>
              </w:rPr>
              <w:t>污染物排放速率/(kg/h)</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25" w:hRule="atLeast"/>
          <w:jc w:val="center"/>
        </w:trPr>
        <w:tc>
          <w:tcPr>
            <w:tcW w:w="245" w:type="pct"/>
            <w:vMerge w:val="continue"/>
            <w:tcBorders>
              <w:top w:val="single" w:color="000000" w:sz="12" w:space="0"/>
              <w:left w:val="single" w:color="000000" w:sz="4" w:space="0"/>
              <w:bottom w:val="single" w:color="000000" w:sz="2" w:space="0"/>
              <w:right w:val="single" w:color="000000" w:sz="2" w:space="0"/>
            </w:tcBorders>
            <w:vAlign w:val="center"/>
          </w:tcPr>
          <w:p>
            <w:pPr>
              <w:widowControl/>
              <w:adjustRightInd w:val="0"/>
              <w:snapToGrid w:val="0"/>
              <w:jc w:val="center"/>
              <w:rPr>
                <w:rFonts w:eastAsia="宋体" w:cs="Times New Roman"/>
                <w:color w:val="000000" w:themeColor="text1"/>
                <w:kern w:val="0"/>
                <w:sz w:val="21"/>
              </w:rPr>
            </w:pPr>
          </w:p>
        </w:tc>
        <w:tc>
          <w:tcPr>
            <w:tcW w:w="266" w:type="pct"/>
            <w:vMerge w:val="continue"/>
            <w:tcBorders>
              <w:top w:val="single" w:color="000000" w:sz="12" w:space="0"/>
              <w:left w:val="single" w:color="000000" w:sz="2" w:space="0"/>
              <w:bottom w:val="single" w:color="000000" w:sz="2" w:space="0"/>
              <w:right w:val="single" w:color="000000" w:sz="2" w:space="0"/>
            </w:tcBorders>
            <w:vAlign w:val="center"/>
          </w:tcPr>
          <w:p>
            <w:pPr>
              <w:widowControl/>
              <w:adjustRightInd w:val="0"/>
              <w:snapToGrid w:val="0"/>
              <w:jc w:val="center"/>
              <w:rPr>
                <w:rFonts w:eastAsia="宋体" w:cs="Times New Roman"/>
                <w:color w:val="000000" w:themeColor="text1"/>
                <w:kern w:val="0"/>
                <w:sz w:val="21"/>
              </w:rPr>
            </w:pPr>
          </w:p>
        </w:tc>
        <w:tc>
          <w:tcPr>
            <w:tcW w:w="437" w:type="pct"/>
            <w:tcBorders>
              <w:top w:val="single" w:color="000000" w:sz="2" w:space="0"/>
              <w:left w:val="single" w:color="000000" w:sz="2" w:space="0"/>
              <w:bottom w:val="single" w:color="000000" w:sz="2" w:space="0"/>
              <w:right w:val="single" w:color="000000" w:sz="2" w:space="0"/>
            </w:tcBorders>
            <w:shd w:val="clear" w:color="auto" w:fill="FFFFFF"/>
            <w:vAlign w:val="center"/>
          </w:tcPr>
          <w:p>
            <w:pPr>
              <w:adjustRightInd w:val="0"/>
              <w:snapToGrid w:val="0"/>
              <w:jc w:val="center"/>
              <w:rPr>
                <w:rFonts w:eastAsia="宋体"/>
                <w:color w:val="000000" w:themeColor="text1"/>
                <w:sz w:val="21"/>
              </w:rPr>
            </w:pPr>
            <w:r>
              <w:rPr>
                <w:color w:val="000000" w:themeColor="text1"/>
                <w:sz w:val="21"/>
              </w:rPr>
              <w:t>X</w:t>
            </w:r>
          </w:p>
        </w:tc>
        <w:tc>
          <w:tcPr>
            <w:tcW w:w="403" w:type="pct"/>
            <w:tcBorders>
              <w:top w:val="single" w:color="000000" w:sz="2" w:space="0"/>
              <w:left w:val="single" w:color="000000" w:sz="2" w:space="0"/>
              <w:bottom w:val="single" w:color="000000" w:sz="2" w:space="0"/>
              <w:right w:val="single" w:color="000000" w:sz="2" w:space="0"/>
            </w:tcBorders>
            <w:shd w:val="clear" w:color="auto" w:fill="FFFFFF"/>
            <w:vAlign w:val="center"/>
          </w:tcPr>
          <w:p>
            <w:pPr>
              <w:adjustRightInd w:val="0"/>
              <w:snapToGrid w:val="0"/>
              <w:jc w:val="center"/>
              <w:rPr>
                <w:rFonts w:eastAsia="宋体"/>
                <w:color w:val="000000" w:themeColor="text1"/>
                <w:sz w:val="21"/>
              </w:rPr>
            </w:pPr>
            <w:r>
              <w:rPr>
                <w:color w:val="000000" w:themeColor="text1"/>
                <w:sz w:val="21"/>
              </w:rPr>
              <w:t>Y</w:t>
            </w:r>
          </w:p>
        </w:tc>
        <w:tc>
          <w:tcPr>
            <w:tcW w:w="464" w:type="pct"/>
            <w:vMerge w:val="continue"/>
            <w:tcBorders>
              <w:top w:val="single" w:color="000000" w:sz="12" w:space="0"/>
              <w:left w:val="single" w:color="000000" w:sz="2" w:space="0"/>
              <w:bottom w:val="single" w:color="000000" w:sz="2" w:space="0"/>
              <w:right w:val="single" w:color="000000" w:sz="2" w:space="0"/>
            </w:tcBorders>
            <w:vAlign w:val="center"/>
          </w:tcPr>
          <w:p>
            <w:pPr>
              <w:widowControl/>
              <w:adjustRightInd w:val="0"/>
              <w:snapToGrid w:val="0"/>
              <w:jc w:val="center"/>
              <w:rPr>
                <w:rFonts w:eastAsia="宋体" w:cs="Times New Roman"/>
                <w:color w:val="000000" w:themeColor="text1"/>
                <w:kern w:val="0"/>
                <w:sz w:val="21"/>
              </w:rPr>
            </w:pPr>
          </w:p>
        </w:tc>
        <w:tc>
          <w:tcPr>
            <w:tcW w:w="309" w:type="pct"/>
            <w:vMerge w:val="continue"/>
            <w:tcBorders>
              <w:top w:val="single" w:color="000000" w:sz="12" w:space="0"/>
              <w:left w:val="single" w:color="000000" w:sz="2" w:space="0"/>
              <w:bottom w:val="single" w:color="000000" w:sz="2" w:space="0"/>
              <w:right w:val="single" w:color="000000" w:sz="2" w:space="0"/>
            </w:tcBorders>
            <w:vAlign w:val="center"/>
          </w:tcPr>
          <w:p>
            <w:pPr>
              <w:widowControl/>
              <w:adjustRightInd w:val="0"/>
              <w:snapToGrid w:val="0"/>
              <w:jc w:val="center"/>
              <w:rPr>
                <w:rFonts w:eastAsia="宋体" w:cs="Times New Roman"/>
                <w:color w:val="000000" w:themeColor="text1"/>
                <w:kern w:val="0"/>
                <w:sz w:val="21"/>
              </w:rPr>
            </w:pPr>
          </w:p>
        </w:tc>
        <w:tc>
          <w:tcPr>
            <w:tcW w:w="393" w:type="pct"/>
            <w:vMerge w:val="continue"/>
            <w:tcBorders>
              <w:top w:val="single" w:color="000000" w:sz="12" w:space="0"/>
              <w:left w:val="single" w:color="000000" w:sz="2" w:space="0"/>
              <w:bottom w:val="single" w:color="000000" w:sz="2" w:space="0"/>
              <w:right w:val="single" w:color="000000" w:sz="2" w:space="0"/>
            </w:tcBorders>
            <w:vAlign w:val="center"/>
          </w:tcPr>
          <w:p>
            <w:pPr>
              <w:widowControl/>
              <w:adjustRightInd w:val="0"/>
              <w:snapToGrid w:val="0"/>
              <w:jc w:val="center"/>
              <w:rPr>
                <w:rFonts w:eastAsia="宋体" w:cs="Times New Roman"/>
                <w:color w:val="000000" w:themeColor="text1"/>
                <w:kern w:val="0"/>
                <w:sz w:val="21"/>
              </w:rPr>
            </w:pPr>
          </w:p>
        </w:tc>
        <w:tc>
          <w:tcPr>
            <w:tcW w:w="524" w:type="pct"/>
            <w:vMerge w:val="continue"/>
            <w:tcBorders>
              <w:top w:val="single" w:color="000000" w:sz="12" w:space="0"/>
              <w:left w:val="single" w:color="000000" w:sz="2" w:space="0"/>
              <w:bottom w:val="single" w:color="000000" w:sz="2" w:space="0"/>
              <w:right w:val="single" w:color="000000" w:sz="2" w:space="0"/>
            </w:tcBorders>
            <w:vAlign w:val="center"/>
          </w:tcPr>
          <w:p>
            <w:pPr>
              <w:widowControl/>
              <w:adjustRightInd w:val="0"/>
              <w:snapToGrid w:val="0"/>
              <w:jc w:val="center"/>
              <w:rPr>
                <w:rFonts w:eastAsia="宋体" w:cs="Times New Roman"/>
                <w:color w:val="000000" w:themeColor="text1"/>
                <w:kern w:val="0"/>
                <w:sz w:val="21"/>
              </w:rPr>
            </w:pPr>
          </w:p>
        </w:tc>
        <w:tc>
          <w:tcPr>
            <w:tcW w:w="286" w:type="pct"/>
            <w:vMerge w:val="continue"/>
            <w:tcBorders>
              <w:top w:val="single" w:color="000000" w:sz="12" w:space="0"/>
              <w:left w:val="single" w:color="000000" w:sz="2" w:space="0"/>
              <w:bottom w:val="single" w:color="000000" w:sz="2" w:space="0"/>
              <w:right w:val="single" w:color="000000" w:sz="2" w:space="0"/>
            </w:tcBorders>
            <w:vAlign w:val="center"/>
          </w:tcPr>
          <w:p>
            <w:pPr>
              <w:widowControl/>
              <w:adjustRightInd w:val="0"/>
              <w:snapToGrid w:val="0"/>
              <w:jc w:val="center"/>
              <w:rPr>
                <w:rFonts w:eastAsia="宋体" w:cs="Times New Roman"/>
                <w:color w:val="000000" w:themeColor="text1"/>
                <w:kern w:val="0"/>
                <w:sz w:val="21"/>
              </w:rPr>
            </w:pPr>
          </w:p>
        </w:tc>
        <w:tc>
          <w:tcPr>
            <w:tcW w:w="368" w:type="pct"/>
            <w:vMerge w:val="continue"/>
            <w:tcBorders>
              <w:top w:val="single" w:color="000000" w:sz="12" w:space="0"/>
              <w:left w:val="single" w:color="000000" w:sz="2" w:space="0"/>
              <w:bottom w:val="single" w:color="000000" w:sz="2" w:space="0"/>
              <w:right w:val="single" w:color="000000" w:sz="2" w:space="0"/>
            </w:tcBorders>
            <w:vAlign w:val="center"/>
          </w:tcPr>
          <w:p>
            <w:pPr>
              <w:widowControl/>
              <w:adjustRightInd w:val="0"/>
              <w:snapToGrid w:val="0"/>
              <w:jc w:val="center"/>
              <w:rPr>
                <w:rFonts w:eastAsia="宋体" w:cs="Times New Roman"/>
                <w:color w:val="000000" w:themeColor="text1"/>
                <w:kern w:val="0"/>
                <w:sz w:val="21"/>
              </w:rPr>
            </w:pPr>
          </w:p>
        </w:tc>
        <w:tc>
          <w:tcPr>
            <w:tcW w:w="229" w:type="pct"/>
            <w:vMerge w:val="continue"/>
            <w:tcBorders>
              <w:top w:val="single" w:color="000000" w:sz="12" w:space="0"/>
              <w:left w:val="single" w:color="000000" w:sz="2" w:space="0"/>
              <w:bottom w:val="single" w:color="000000" w:sz="2" w:space="0"/>
              <w:right w:val="single" w:color="000000" w:sz="2" w:space="0"/>
            </w:tcBorders>
            <w:vAlign w:val="center"/>
          </w:tcPr>
          <w:p>
            <w:pPr>
              <w:widowControl/>
              <w:adjustRightInd w:val="0"/>
              <w:snapToGrid w:val="0"/>
              <w:jc w:val="center"/>
              <w:rPr>
                <w:rFonts w:eastAsia="宋体" w:cs="Times New Roman"/>
                <w:color w:val="000000" w:themeColor="text1"/>
                <w:kern w:val="0"/>
                <w:sz w:val="21"/>
              </w:rPr>
            </w:pPr>
          </w:p>
        </w:tc>
        <w:tc>
          <w:tcPr>
            <w:tcW w:w="326" w:type="pct"/>
            <w:tcBorders>
              <w:top w:val="single" w:color="000000" w:sz="2" w:space="0"/>
              <w:left w:val="single" w:color="000000" w:sz="2" w:space="0"/>
              <w:bottom w:val="single" w:color="000000" w:sz="2" w:space="0"/>
              <w:right w:val="single" w:color="auto" w:sz="4" w:space="0"/>
            </w:tcBorders>
            <w:shd w:val="clear" w:color="auto" w:fill="FFFFFF"/>
            <w:vAlign w:val="center"/>
          </w:tcPr>
          <w:p>
            <w:pPr>
              <w:pStyle w:val="93"/>
              <w:spacing w:before="24" w:after="24" w:line="240" w:lineRule="auto"/>
              <w:rPr>
                <w:rFonts w:ascii="Times New Roman" w:hAnsi="Times New Roman" w:cs="Times New Roman"/>
                <w:color w:val="000000" w:themeColor="text1"/>
                <w:kern w:val="0"/>
              </w:rPr>
            </w:pPr>
            <w:r>
              <w:rPr>
                <w:rFonts w:ascii="Times New Roman" w:hAnsi="Times New Roman" w:cs="Times New Roman"/>
                <w:color w:val="000000" w:themeColor="text1"/>
                <w:position w:val="2"/>
              </w:rPr>
              <w:t>SO</w:t>
            </w:r>
            <w:r>
              <w:rPr>
                <w:rFonts w:ascii="Times New Roman" w:hAnsi="Times New Roman" w:cs="Times New Roman"/>
                <w:color w:val="000000" w:themeColor="text1"/>
                <w:vertAlign w:val="subscript"/>
              </w:rPr>
              <w:t>2</w:t>
            </w:r>
          </w:p>
        </w:tc>
        <w:tc>
          <w:tcPr>
            <w:tcW w:w="376" w:type="pct"/>
            <w:tcBorders>
              <w:top w:val="single" w:color="000000" w:sz="2" w:space="0"/>
              <w:left w:val="single" w:color="auto" w:sz="4" w:space="0"/>
              <w:bottom w:val="single" w:color="000000" w:sz="2" w:space="0"/>
              <w:right w:val="nil"/>
            </w:tcBorders>
            <w:shd w:val="clear" w:color="auto" w:fill="FFFFFF"/>
            <w:vAlign w:val="center"/>
          </w:tcPr>
          <w:p>
            <w:pPr>
              <w:pStyle w:val="93"/>
              <w:spacing w:before="24" w:after="24" w:line="240" w:lineRule="auto"/>
              <w:rPr>
                <w:rFonts w:ascii="Times New Roman" w:hAnsi="Times New Roman" w:cs="Times New Roman"/>
                <w:color w:val="000000" w:themeColor="text1"/>
                <w:kern w:val="0"/>
              </w:rPr>
            </w:pPr>
            <w:r>
              <w:rPr>
                <w:rFonts w:ascii="Times New Roman" w:hAnsi="Times New Roman" w:cs="Times New Roman"/>
                <w:color w:val="000000" w:themeColor="text1"/>
                <w:position w:val="2"/>
              </w:rPr>
              <w:t>NO</w:t>
            </w:r>
            <w:r>
              <w:rPr>
                <w:rFonts w:hint="eastAsia" w:ascii="Times New Roman" w:hAnsi="Times New Roman" w:cs="Times New Roman"/>
                <w:color w:val="000000" w:themeColor="text1"/>
                <w:vertAlign w:val="subscript"/>
              </w:rPr>
              <w:t>x</w:t>
            </w:r>
          </w:p>
        </w:tc>
        <w:tc>
          <w:tcPr>
            <w:tcW w:w="374" w:type="pct"/>
            <w:tcBorders>
              <w:top w:val="single" w:color="000000" w:sz="2" w:space="0"/>
              <w:left w:val="single" w:color="auto" w:sz="4" w:space="0"/>
              <w:bottom w:val="single" w:color="000000" w:sz="2" w:space="0"/>
              <w:right w:val="single" w:color="000000" w:sz="4" w:space="0"/>
            </w:tcBorders>
            <w:shd w:val="clear" w:color="auto" w:fill="FFFFFF"/>
            <w:vAlign w:val="center"/>
          </w:tcPr>
          <w:p>
            <w:pPr>
              <w:pStyle w:val="93"/>
              <w:spacing w:before="24" w:after="24" w:line="240" w:lineRule="auto"/>
              <w:rPr>
                <w:rFonts w:ascii="Times New Roman" w:hAnsi="Times New Roman" w:cs="Times New Roman"/>
                <w:color w:val="000000" w:themeColor="text1"/>
                <w:position w:val="2"/>
              </w:rPr>
            </w:pPr>
            <w:r>
              <w:rPr>
                <w:rFonts w:ascii="Times New Roman" w:hAnsi="Times New Roman" w:cs="Times New Roman"/>
                <w:color w:val="000000" w:themeColor="text1"/>
                <w:position w:val="2"/>
              </w:rPr>
              <w:t>颗粒物</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422" w:hRule="atLeast"/>
          <w:jc w:val="center"/>
        </w:trPr>
        <w:tc>
          <w:tcPr>
            <w:tcW w:w="245" w:type="pct"/>
            <w:tcBorders>
              <w:top w:val="single" w:color="000000" w:sz="2" w:space="0"/>
              <w:left w:val="single" w:color="000000" w:sz="4" w:space="0"/>
              <w:bottom w:val="single" w:color="000000" w:sz="4" w:space="0"/>
              <w:right w:val="single" w:color="000000" w:sz="2" w:space="0"/>
            </w:tcBorders>
            <w:shd w:val="clear" w:color="auto" w:fill="FFFFFF"/>
            <w:vAlign w:val="center"/>
          </w:tcPr>
          <w:p>
            <w:pPr>
              <w:pStyle w:val="93"/>
              <w:spacing w:before="24" w:after="24" w:line="240" w:lineRule="auto"/>
              <w:rPr>
                <w:rFonts w:ascii="Times New Roman" w:hAnsi="Times New Roman" w:cs="Times New Roman"/>
                <w:color w:val="000000" w:themeColor="text1"/>
                <w:kern w:val="0"/>
              </w:rPr>
            </w:pPr>
            <w:r>
              <w:rPr>
                <w:rFonts w:hint="eastAsia" w:ascii="Times New Roman" w:hAnsi="Times New Roman" w:cs="Times New Roman"/>
                <w:color w:val="000000" w:themeColor="text1"/>
              </w:rPr>
              <w:t>G1</w:t>
            </w:r>
          </w:p>
        </w:tc>
        <w:tc>
          <w:tcPr>
            <w:tcW w:w="266" w:type="pct"/>
            <w:tcBorders>
              <w:top w:val="single" w:color="000000" w:sz="2" w:space="0"/>
              <w:left w:val="single" w:color="000000" w:sz="2" w:space="0"/>
              <w:bottom w:val="single" w:color="000000" w:sz="4" w:space="0"/>
              <w:right w:val="single" w:color="000000" w:sz="2" w:space="0"/>
            </w:tcBorders>
            <w:shd w:val="clear" w:color="auto" w:fill="FFFFFF"/>
            <w:vAlign w:val="center"/>
          </w:tcPr>
          <w:p>
            <w:pPr>
              <w:pStyle w:val="93"/>
              <w:spacing w:before="24" w:after="24" w:line="240" w:lineRule="auto"/>
              <w:rPr>
                <w:rFonts w:ascii="Times New Roman" w:hAnsi="Times New Roman" w:cs="Times New Roman"/>
                <w:color w:val="000000" w:themeColor="text1"/>
                <w:kern w:val="0"/>
              </w:rPr>
            </w:pPr>
            <w:r>
              <w:rPr>
                <w:rFonts w:ascii="Times New Roman" w:hAnsi="Times New Roman" w:cs="Times New Roman"/>
                <w:color w:val="000000" w:themeColor="text1"/>
                <w:kern w:val="0"/>
              </w:rPr>
              <w:t>锅炉废气</w:t>
            </w:r>
          </w:p>
        </w:tc>
        <w:tc>
          <w:tcPr>
            <w:tcW w:w="437" w:type="pct"/>
            <w:tcBorders>
              <w:top w:val="single" w:color="000000" w:sz="2" w:space="0"/>
              <w:left w:val="single" w:color="000000" w:sz="2" w:space="0"/>
              <w:bottom w:val="single" w:color="000000" w:sz="4" w:space="0"/>
              <w:right w:val="single" w:color="000000" w:sz="2" w:space="0"/>
            </w:tcBorders>
            <w:shd w:val="clear" w:color="auto" w:fill="FFFFFF"/>
            <w:vAlign w:val="center"/>
          </w:tcPr>
          <w:p>
            <w:pPr>
              <w:pStyle w:val="93"/>
              <w:spacing w:before="24" w:after="24" w:line="240" w:lineRule="auto"/>
              <w:rPr>
                <w:rFonts w:ascii="Times New Roman" w:hAnsi="Times New Roman" w:cs="Times New Roman"/>
                <w:color w:val="000000" w:themeColor="text1"/>
                <w:kern w:val="0"/>
              </w:rPr>
            </w:pPr>
            <w:r>
              <w:rPr>
                <w:rFonts w:ascii="Times New Roman" w:hAnsi="Times New Roman" w:cs="Times New Roman"/>
                <w:color w:val="000000" w:themeColor="text1"/>
                <w:kern w:val="0"/>
              </w:rPr>
              <w:t>113.14113</w:t>
            </w:r>
          </w:p>
        </w:tc>
        <w:tc>
          <w:tcPr>
            <w:tcW w:w="403" w:type="pct"/>
            <w:tcBorders>
              <w:top w:val="single" w:color="000000" w:sz="2" w:space="0"/>
              <w:left w:val="single" w:color="000000" w:sz="2" w:space="0"/>
              <w:bottom w:val="single" w:color="000000" w:sz="4" w:space="0"/>
              <w:right w:val="single" w:color="000000" w:sz="2" w:space="0"/>
            </w:tcBorders>
            <w:shd w:val="clear" w:color="auto" w:fill="FFFFFF"/>
            <w:vAlign w:val="center"/>
          </w:tcPr>
          <w:p>
            <w:pPr>
              <w:pStyle w:val="93"/>
              <w:spacing w:before="24" w:after="24" w:line="240" w:lineRule="auto"/>
              <w:rPr>
                <w:rFonts w:ascii="Times New Roman" w:hAnsi="Times New Roman" w:cs="Times New Roman"/>
                <w:color w:val="000000" w:themeColor="text1"/>
                <w:kern w:val="0"/>
              </w:rPr>
            </w:pPr>
            <w:r>
              <w:rPr>
                <w:rFonts w:ascii="Times New Roman" w:hAnsi="Times New Roman" w:cs="Times New Roman"/>
                <w:color w:val="000000" w:themeColor="text1"/>
                <w:kern w:val="0"/>
              </w:rPr>
              <w:t>29.38125</w:t>
            </w:r>
          </w:p>
        </w:tc>
        <w:tc>
          <w:tcPr>
            <w:tcW w:w="464" w:type="pct"/>
            <w:tcBorders>
              <w:top w:val="single" w:color="000000" w:sz="2" w:space="0"/>
              <w:left w:val="single" w:color="000000" w:sz="2" w:space="0"/>
              <w:bottom w:val="single" w:color="000000" w:sz="4" w:space="0"/>
              <w:right w:val="single" w:color="000000" w:sz="2" w:space="0"/>
            </w:tcBorders>
            <w:shd w:val="clear" w:color="auto" w:fill="FFFFFF"/>
            <w:vAlign w:val="center"/>
          </w:tcPr>
          <w:p>
            <w:pPr>
              <w:pStyle w:val="93"/>
              <w:spacing w:before="24" w:after="24" w:line="240" w:lineRule="auto"/>
              <w:rPr>
                <w:rFonts w:ascii="Times New Roman" w:hAnsi="Times New Roman" w:cs="Times New Roman"/>
                <w:color w:val="000000" w:themeColor="text1"/>
                <w:kern w:val="0"/>
              </w:rPr>
            </w:pPr>
            <w:r>
              <w:rPr>
                <w:rFonts w:hint="eastAsia" w:ascii="Times New Roman" w:hAnsi="Times New Roman" w:cs="Times New Roman"/>
                <w:color w:val="000000" w:themeColor="text1"/>
                <w:kern w:val="0"/>
              </w:rPr>
              <w:t>30</w:t>
            </w:r>
          </w:p>
        </w:tc>
        <w:tc>
          <w:tcPr>
            <w:tcW w:w="309" w:type="pct"/>
            <w:tcBorders>
              <w:top w:val="single" w:color="000000" w:sz="2" w:space="0"/>
              <w:left w:val="single" w:color="000000" w:sz="2" w:space="0"/>
              <w:bottom w:val="single" w:color="000000" w:sz="4" w:space="0"/>
              <w:right w:val="single" w:color="000000" w:sz="2" w:space="0"/>
            </w:tcBorders>
            <w:shd w:val="clear" w:color="auto" w:fill="FFFFFF"/>
            <w:vAlign w:val="center"/>
          </w:tcPr>
          <w:p>
            <w:pPr>
              <w:pStyle w:val="93"/>
              <w:spacing w:before="24" w:after="24" w:line="240" w:lineRule="auto"/>
              <w:rPr>
                <w:rFonts w:ascii="Times New Roman" w:hAnsi="Times New Roman" w:cs="Times New Roman"/>
                <w:color w:val="000000" w:themeColor="text1"/>
                <w:kern w:val="0"/>
              </w:rPr>
            </w:pPr>
            <w:r>
              <w:rPr>
                <w:rFonts w:hint="eastAsia" w:ascii="Times New Roman" w:hAnsi="Times New Roman" w:cs="Times New Roman"/>
                <w:color w:val="000000" w:themeColor="text1"/>
                <w:kern w:val="0"/>
              </w:rPr>
              <w:t>15</w:t>
            </w:r>
          </w:p>
        </w:tc>
        <w:tc>
          <w:tcPr>
            <w:tcW w:w="393" w:type="pct"/>
            <w:tcBorders>
              <w:top w:val="single" w:color="000000" w:sz="2" w:space="0"/>
              <w:left w:val="single" w:color="000000" w:sz="2" w:space="0"/>
              <w:bottom w:val="single" w:color="000000" w:sz="4" w:space="0"/>
              <w:right w:val="single" w:color="000000" w:sz="2" w:space="0"/>
            </w:tcBorders>
            <w:shd w:val="clear" w:color="auto" w:fill="FFFFFF"/>
            <w:vAlign w:val="center"/>
          </w:tcPr>
          <w:p>
            <w:pPr>
              <w:pStyle w:val="93"/>
              <w:spacing w:before="24" w:after="24" w:line="240" w:lineRule="auto"/>
              <w:rPr>
                <w:rFonts w:ascii="Times New Roman" w:hAnsi="Times New Roman" w:cs="Times New Roman"/>
                <w:color w:val="000000" w:themeColor="text1"/>
                <w:kern w:val="0"/>
              </w:rPr>
            </w:pPr>
            <w:r>
              <w:rPr>
                <w:rFonts w:hint="eastAsia" w:ascii="Times New Roman" w:hAnsi="Times New Roman" w:cs="Times New Roman"/>
                <w:color w:val="000000" w:themeColor="text1"/>
                <w:kern w:val="0"/>
              </w:rPr>
              <w:t>0.02</w:t>
            </w:r>
          </w:p>
        </w:tc>
        <w:tc>
          <w:tcPr>
            <w:tcW w:w="524" w:type="pct"/>
            <w:tcBorders>
              <w:top w:val="single" w:color="000000" w:sz="2" w:space="0"/>
              <w:left w:val="single" w:color="000000" w:sz="2" w:space="0"/>
              <w:bottom w:val="single" w:color="000000" w:sz="4" w:space="0"/>
              <w:right w:val="single" w:color="000000" w:sz="2" w:space="0"/>
            </w:tcBorders>
            <w:shd w:val="clear" w:color="auto" w:fill="FFFFFF"/>
            <w:vAlign w:val="center"/>
          </w:tcPr>
          <w:p>
            <w:pPr>
              <w:pStyle w:val="93"/>
              <w:spacing w:before="24" w:after="24" w:line="240" w:lineRule="auto"/>
              <w:rPr>
                <w:rFonts w:ascii="Times New Roman" w:hAnsi="Times New Roman" w:cs="Times New Roman"/>
                <w:color w:val="000000" w:themeColor="text1"/>
                <w:kern w:val="0"/>
              </w:rPr>
            </w:pPr>
            <w:r>
              <w:rPr>
                <w:rFonts w:hint="eastAsia" w:ascii="Times New Roman" w:hAnsi="Times New Roman" w:cs="Times New Roman"/>
                <w:color w:val="000000" w:themeColor="text1"/>
                <w:kern w:val="0"/>
              </w:rPr>
              <w:t>435</w:t>
            </w:r>
          </w:p>
        </w:tc>
        <w:tc>
          <w:tcPr>
            <w:tcW w:w="286" w:type="pct"/>
            <w:tcBorders>
              <w:top w:val="single" w:color="000000" w:sz="2" w:space="0"/>
              <w:left w:val="single" w:color="000000" w:sz="2" w:space="0"/>
              <w:bottom w:val="single" w:color="000000" w:sz="4" w:space="0"/>
              <w:right w:val="single" w:color="000000" w:sz="2" w:space="0"/>
            </w:tcBorders>
            <w:shd w:val="clear" w:color="auto" w:fill="FFFFFF"/>
            <w:vAlign w:val="center"/>
          </w:tcPr>
          <w:p>
            <w:pPr>
              <w:pStyle w:val="93"/>
              <w:spacing w:before="24" w:after="24" w:line="240" w:lineRule="auto"/>
              <w:rPr>
                <w:rFonts w:ascii="Times New Roman" w:hAnsi="Times New Roman" w:cs="Times New Roman"/>
                <w:color w:val="000000" w:themeColor="text1"/>
                <w:kern w:val="0"/>
              </w:rPr>
            </w:pPr>
            <w:r>
              <w:rPr>
                <w:rFonts w:hint="eastAsia" w:ascii="Times New Roman" w:hAnsi="Times New Roman" w:cs="Times New Roman"/>
                <w:color w:val="000000" w:themeColor="text1"/>
                <w:kern w:val="0"/>
              </w:rPr>
              <w:t>35</w:t>
            </w:r>
          </w:p>
        </w:tc>
        <w:tc>
          <w:tcPr>
            <w:tcW w:w="368" w:type="pct"/>
            <w:tcBorders>
              <w:top w:val="single" w:color="000000" w:sz="2" w:space="0"/>
              <w:left w:val="single" w:color="000000" w:sz="2" w:space="0"/>
              <w:bottom w:val="single" w:color="000000" w:sz="4" w:space="0"/>
              <w:right w:val="single" w:color="000000" w:sz="2" w:space="0"/>
            </w:tcBorders>
            <w:shd w:val="clear" w:color="auto" w:fill="FFFFFF"/>
            <w:vAlign w:val="center"/>
          </w:tcPr>
          <w:p>
            <w:pPr>
              <w:pStyle w:val="93"/>
              <w:spacing w:before="24" w:after="24" w:line="240" w:lineRule="auto"/>
              <w:rPr>
                <w:rFonts w:ascii="Times New Roman" w:hAnsi="Times New Roman" w:cs="Times New Roman"/>
                <w:color w:val="000000" w:themeColor="text1"/>
                <w:kern w:val="0"/>
              </w:rPr>
            </w:pPr>
            <w:r>
              <w:rPr>
                <w:rFonts w:hint="eastAsia" w:ascii="Times New Roman" w:hAnsi="Times New Roman" w:cs="Times New Roman"/>
                <w:color w:val="000000" w:themeColor="text1"/>
                <w:kern w:val="0"/>
              </w:rPr>
              <w:t>2944</w:t>
            </w:r>
          </w:p>
        </w:tc>
        <w:tc>
          <w:tcPr>
            <w:tcW w:w="229" w:type="pct"/>
            <w:tcBorders>
              <w:top w:val="single" w:color="000000" w:sz="2" w:space="0"/>
              <w:left w:val="single" w:color="000000" w:sz="2" w:space="0"/>
              <w:bottom w:val="single" w:color="000000" w:sz="4" w:space="0"/>
              <w:right w:val="single" w:color="000000" w:sz="2" w:space="0"/>
            </w:tcBorders>
            <w:shd w:val="clear" w:color="auto" w:fill="FFFFFF"/>
            <w:vAlign w:val="center"/>
          </w:tcPr>
          <w:p>
            <w:pPr>
              <w:pStyle w:val="93"/>
              <w:spacing w:before="24" w:after="24" w:line="240" w:lineRule="auto"/>
              <w:rPr>
                <w:rFonts w:ascii="Times New Roman" w:hAnsi="Times New Roman" w:cs="Times New Roman"/>
                <w:color w:val="000000" w:themeColor="text1"/>
                <w:kern w:val="0"/>
              </w:rPr>
            </w:pPr>
            <w:r>
              <w:rPr>
                <w:rFonts w:ascii="Times New Roman" w:hAnsi="Times New Roman" w:cs="Times New Roman"/>
                <w:color w:val="000000" w:themeColor="text1"/>
              </w:rPr>
              <w:t>正常</w:t>
            </w:r>
          </w:p>
        </w:tc>
        <w:tc>
          <w:tcPr>
            <w:tcW w:w="326" w:type="pct"/>
            <w:tcBorders>
              <w:top w:val="single" w:color="000000" w:sz="2" w:space="0"/>
              <w:left w:val="single" w:color="000000" w:sz="2" w:space="0"/>
              <w:bottom w:val="single" w:color="000000" w:sz="4" w:space="0"/>
              <w:right w:val="single" w:color="auto" w:sz="4" w:space="0"/>
            </w:tcBorders>
            <w:shd w:val="clear" w:color="auto" w:fill="FFFFFF"/>
            <w:vAlign w:val="center"/>
          </w:tcPr>
          <w:p>
            <w:pPr>
              <w:adjustRightInd w:val="0"/>
              <w:snapToGrid w:val="0"/>
              <w:jc w:val="center"/>
            </w:pPr>
            <w:r>
              <w:rPr>
                <w:rFonts w:hint="eastAsia"/>
                <w:sz w:val="21"/>
              </w:rPr>
              <w:t>0.011</w:t>
            </w:r>
          </w:p>
        </w:tc>
        <w:tc>
          <w:tcPr>
            <w:tcW w:w="376" w:type="pct"/>
            <w:tcBorders>
              <w:top w:val="single" w:color="000000" w:sz="2" w:space="0"/>
              <w:left w:val="single" w:color="auto" w:sz="4" w:space="0"/>
              <w:bottom w:val="single" w:color="000000" w:sz="4" w:space="0"/>
              <w:right w:val="nil"/>
            </w:tcBorders>
            <w:shd w:val="clear" w:color="auto" w:fill="FFFFFF"/>
            <w:vAlign w:val="center"/>
          </w:tcPr>
          <w:p>
            <w:pPr>
              <w:adjustRightInd w:val="0"/>
              <w:snapToGrid w:val="0"/>
              <w:jc w:val="center"/>
              <w:rPr>
                <w:rFonts w:cs="Times New Roman"/>
                <w:color w:val="000000" w:themeColor="text1"/>
                <w:kern w:val="0"/>
              </w:rPr>
            </w:pPr>
            <w:r>
              <w:rPr>
                <w:rFonts w:hint="eastAsia"/>
                <w:sz w:val="21"/>
              </w:rPr>
              <w:t>0.027</w:t>
            </w:r>
          </w:p>
        </w:tc>
        <w:tc>
          <w:tcPr>
            <w:tcW w:w="374" w:type="pct"/>
            <w:tcBorders>
              <w:top w:val="single" w:color="000000" w:sz="2" w:space="0"/>
              <w:left w:val="single" w:color="auto" w:sz="4" w:space="0"/>
              <w:bottom w:val="single" w:color="000000" w:sz="4" w:space="0"/>
              <w:right w:val="single" w:color="000000" w:sz="4" w:space="0"/>
            </w:tcBorders>
            <w:shd w:val="clear" w:color="auto" w:fill="FFFFFF"/>
            <w:vAlign w:val="center"/>
          </w:tcPr>
          <w:p>
            <w:pPr>
              <w:adjustRightInd w:val="0"/>
              <w:snapToGrid w:val="0"/>
              <w:jc w:val="center"/>
              <w:rPr>
                <w:rFonts w:cs="Times New Roman"/>
                <w:color w:val="000000" w:themeColor="text1"/>
                <w:kern w:val="0"/>
              </w:rPr>
            </w:pPr>
            <w:r>
              <w:rPr>
                <w:rFonts w:hint="eastAsia"/>
                <w:sz w:val="21"/>
              </w:rPr>
              <w:t>0.004</w:t>
            </w:r>
          </w:p>
        </w:tc>
      </w:tr>
    </w:tbl>
    <w:p>
      <w:pPr>
        <w:pStyle w:val="14"/>
        <w:spacing w:line="240" w:lineRule="auto"/>
      </w:pPr>
      <w:r>
        <w:t>表</w:t>
      </w:r>
      <w:r>
        <w:fldChar w:fldCharType="begin"/>
      </w:r>
      <w:r>
        <w:instrText xml:space="preserve"> STYLEREF 2 \s </w:instrText>
      </w:r>
      <w:r>
        <w:fldChar w:fldCharType="separate"/>
      </w:r>
      <w:r>
        <w:t>1.7</w:t>
      </w:r>
      <w:r>
        <w:fldChar w:fldCharType="end"/>
      </w:r>
      <w:r>
        <w:noBreakHyphen/>
      </w:r>
      <w:r>
        <w:fldChar w:fldCharType="begin"/>
      </w:r>
      <w:r>
        <w:instrText xml:space="preserve"> SEQ 表 \* ARABIC \s 2 </w:instrText>
      </w:r>
      <w:r>
        <w:fldChar w:fldCharType="separate"/>
      </w:r>
      <w:r>
        <w:t>5</w:t>
      </w:r>
      <w:r>
        <w:fldChar w:fldCharType="end"/>
      </w:r>
      <w:r>
        <w:rPr>
          <w:rFonts w:hint="eastAsia"/>
        </w:rPr>
        <w:t xml:space="preserve"> </w:t>
      </w:r>
      <w:r>
        <w:t>矩形面源参数表</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9"/>
        <w:gridCol w:w="691"/>
        <w:gridCol w:w="1101"/>
        <w:gridCol w:w="1004"/>
        <w:gridCol w:w="615"/>
        <w:gridCol w:w="615"/>
        <w:gridCol w:w="750"/>
        <w:gridCol w:w="792"/>
        <w:gridCol w:w="847"/>
        <w:gridCol w:w="559"/>
        <w:gridCol w:w="1156"/>
        <w:gridCol w:w="1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pStyle w:val="14"/>
              <w:adjustRightInd w:val="0"/>
              <w:snapToGrid w:val="0"/>
              <w:spacing w:line="240" w:lineRule="auto"/>
              <w:rPr>
                <w:b w:val="0"/>
                <w:color w:val="000000" w:themeColor="text1"/>
                <w:sz w:val="21"/>
                <w:szCs w:val="21"/>
              </w:rPr>
            </w:pPr>
            <w:r>
              <w:rPr>
                <w:rFonts w:hint="eastAsia"/>
                <w:b w:val="0"/>
                <w:color w:val="000000" w:themeColor="text1"/>
                <w:sz w:val="21"/>
                <w:szCs w:val="21"/>
              </w:rPr>
              <w:t>编号</w:t>
            </w:r>
          </w:p>
        </w:tc>
        <w:tc>
          <w:tcPr>
            <w:tcW w:w="0" w:type="auto"/>
            <w:vMerge w:val="restart"/>
            <w:vAlign w:val="center"/>
          </w:tcPr>
          <w:p>
            <w:pPr>
              <w:pStyle w:val="14"/>
              <w:adjustRightInd w:val="0"/>
              <w:snapToGrid w:val="0"/>
              <w:spacing w:line="240" w:lineRule="auto"/>
              <w:rPr>
                <w:b w:val="0"/>
                <w:color w:val="000000" w:themeColor="text1"/>
                <w:sz w:val="21"/>
                <w:szCs w:val="21"/>
              </w:rPr>
            </w:pPr>
            <w:r>
              <w:rPr>
                <w:rFonts w:hint="eastAsia"/>
                <w:b w:val="0"/>
                <w:color w:val="000000" w:themeColor="text1"/>
                <w:sz w:val="21"/>
                <w:szCs w:val="21"/>
              </w:rPr>
              <w:t>名称</w:t>
            </w:r>
          </w:p>
        </w:tc>
        <w:tc>
          <w:tcPr>
            <w:tcW w:w="0" w:type="auto"/>
            <w:gridSpan w:val="2"/>
            <w:vAlign w:val="center"/>
          </w:tcPr>
          <w:p>
            <w:pPr>
              <w:pStyle w:val="14"/>
              <w:adjustRightInd w:val="0"/>
              <w:snapToGrid w:val="0"/>
              <w:spacing w:line="240" w:lineRule="auto"/>
              <w:rPr>
                <w:b w:val="0"/>
                <w:color w:val="000000" w:themeColor="text1"/>
                <w:sz w:val="21"/>
                <w:szCs w:val="21"/>
              </w:rPr>
            </w:pPr>
            <w:r>
              <w:rPr>
                <w:rFonts w:hint="eastAsia"/>
                <w:b w:val="0"/>
                <w:color w:val="000000" w:themeColor="text1"/>
                <w:sz w:val="21"/>
                <w:szCs w:val="21"/>
              </w:rPr>
              <w:t>面源起点坐标/m</w:t>
            </w:r>
          </w:p>
        </w:tc>
        <w:tc>
          <w:tcPr>
            <w:tcW w:w="0" w:type="auto"/>
            <w:vMerge w:val="restart"/>
            <w:vAlign w:val="center"/>
          </w:tcPr>
          <w:p>
            <w:pPr>
              <w:pStyle w:val="14"/>
              <w:adjustRightInd w:val="0"/>
              <w:snapToGrid w:val="0"/>
              <w:spacing w:line="240" w:lineRule="auto"/>
              <w:rPr>
                <w:b w:val="0"/>
                <w:color w:val="000000" w:themeColor="text1"/>
                <w:sz w:val="21"/>
                <w:szCs w:val="21"/>
              </w:rPr>
            </w:pPr>
            <w:r>
              <w:rPr>
                <w:rFonts w:hint="eastAsia"/>
                <w:b w:val="0"/>
                <w:color w:val="000000" w:themeColor="text1"/>
                <w:sz w:val="21"/>
                <w:szCs w:val="21"/>
              </w:rPr>
              <w:t>面源长度/m</w:t>
            </w:r>
          </w:p>
        </w:tc>
        <w:tc>
          <w:tcPr>
            <w:tcW w:w="0" w:type="auto"/>
            <w:vMerge w:val="restart"/>
            <w:vAlign w:val="center"/>
          </w:tcPr>
          <w:p>
            <w:pPr>
              <w:pStyle w:val="14"/>
              <w:adjustRightInd w:val="0"/>
              <w:snapToGrid w:val="0"/>
              <w:spacing w:line="240" w:lineRule="auto"/>
              <w:rPr>
                <w:b w:val="0"/>
                <w:color w:val="000000" w:themeColor="text1"/>
                <w:sz w:val="21"/>
                <w:szCs w:val="21"/>
              </w:rPr>
            </w:pPr>
            <w:r>
              <w:rPr>
                <w:rFonts w:hint="eastAsia"/>
                <w:b w:val="0"/>
                <w:color w:val="000000" w:themeColor="text1"/>
                <w:sz w:val="21"/>
                <w:szCs w:val="21"/>
              </w:rPr>
              <w:t>面源宽度/m</w:t>
            </w:r>
          </w:p>
        </w:tc>
        <w:tc>
          <w:tcPr>
            <w:tcW w:w="0" w:type="auto"/>
            <w:vMerge w:val="restart"/>
            <w:vAlign w:val="center"/>
          </w:tcPr>
          <w:p>
            <w:pPr>
              <w:pStyle w:val="14"/>
              <w:adjustRightInd w:val="0"/>
              <w:snapToGrid w:val="0"/>
              <w:spacing w:line="240" w:lineRule="auto"/>
              <w:rPr>
                <w:b w:val="0"/>
                <w:color w:val="000000" w:themeColor="text1"/>
                <w:sz w:val="21"/>
                <w:szCs w:val="21"/>
              </w:rPr>
            </w:pPr>
            <w:r>
              <w:rPr>
                <w:rFonts w:hint="eastAsia"/>
                <w:b w:val="0"/>
                <w:color w:val="000000" w:themeColor="text1"/>
                <w:sz w:val="21"/>
                <w:szCs w:val="21"/>
              </w:rPr>
              <w:t>与正北向夹角/°</w:t>
            </w:r>
          </w:p>
        </w:tc>
        <w:tc>
          <w:tcPr>
            <w:tcW w:w="0" w:type="auto"/>
            <w:vMerge w:val="restart"/>
            <w:vAlign w:val="center"/>
          </w:tcPr>
          <w:p>
            <w:pPr>
              <w:pStyle w:val="14"/>
              <w:adjustRightInd w:val="0"/>
              <w:snapToGrid w:val="0"/>
              <w:spacing w:line="240" w:lineRule="auto"/>
              <w:rPr>
                <w:b w:val="0"/>
                <w:color w:val="000000" w:themeColor="text1"/>
                <w:sz w:val="21"/>
                <w:szCs w:val="21"/>
              </w:rPr>
            </w:pPr>
            <w:r>
              <w:rPr>
                <w:rFonts w:hint="eastAsia"/>
                <w:b w:val="0"/>
                <w:color w:val="000000" w:themeColor="text1"/>
                <w:sz w:val="21"/>
                <w:szCs w:val="21"/>
              </w:rPr>
              <w:t>面源有效排放高度/m</w:t>
            </w:r>
          </w:p>
        </w:tc>
        <w:tc>
          <w:tcPr>
            <w:tcW w:w="0" w:type="auto"/>
            <w:vMerge w:val="restart"/>
            <w:vAlign w:val="center"/>
          </w:tcPr>
          <w:p>
            <w:pPr>
              <w:pStyle w:val="14"/>
              <w:adjustRightInd w:val="0"/>
              <w:snapToGrid w:val="0"/>
              <w:spacing w:line="240" w:lineRule="auto"/>
              <w:rPr>
                <w:b w:val="0"/>
                <w:color w:val="000000" w:themeColor="text1"/>
                <w:sz w:val="21"/>
                <w:szCs w:val="21"/>
              </w:rPr>
            </w:pPr>
            <w:r>
              <w:rPr>
                <w:rFonts w:hint="eastAsia"/>
                <w:b w:val="0"/>
                <w:color w:val="000000" w:themeColor="text1"/>
                <w:sz w:val="21"/>
                <w:szCs w:val="21"/>
              </w:rPr>
              <w:t>年排放小时数/h</w:t>
            </w:r>
          </w:p>
        </w:tc>
        <w:tc>
          <w:tcPr>
            <w:tcW w:w="0" w:type="auto"/>
            <w:vMerge w:val="restart"/>
            <w:vAlign w:val="center"/>
          </w:tcPr>
          <w:p>
            <w:pPr>
              <w:pStyle w:val="14"/>
              <w:adjustRightInd w:val="0"/>
              <w:snapToGrid w:val="0"/>
              <w:spacing w:line="240" w:lineRule="auto"/>
              <w:rPr>
                <w:b w:val="0"/>
                <w:color w:val="000000" w:themeColor="text1"/>
                <w:sz w:val="21"/>
                <w:szCs w:val="21"/>
              </w:rPr>
            </w:pPr>
            <w:r>
              <w:rPr>
                <w:rFonts w:hint="eastAsia"/>
                <w:b w:val="0"/>
                <w:color w:val="000000" w:themeColor="text1"/>
                <w:sz w:val="21"/>
                <w:szCs w:val="21"/>
              </w:rPr>
              <w:t>排放工况</w:t>
            </w:r>
          </w:p>
        </w:tc>
        <w:tc>
          <w:tcPr>
            <w:tcW w:w="0" w:type="auto"/>
            <w:gridSpan w:val="2"/>
            <w:vAlign w:val="center"/>
          </w:tcPr>
          <w:p>
            <w:pPr>
              <w:pStyle w:val="14"/>
              <w:adjustRightInd w:val="0"/>
              <w:snapToGrid w:val="0"/>
              <w:spacing w:line="240" w:lineRule="auto"/>
              <w:rPr>
                <w:b w:val="0"/>
                <w:color w:val="000000" w:themeColor="text1"/>
                <w:sz w:val="21"/>
                <w:szCs w:val="21"/>
              </w:rPr>
            </w:pPr>
            <w:r>
              <w:rPr>
                <w:rFonts w:hint="eastAsia"/>
                <w:b w:val="0"/>
                <w:color w:val="000000" w:themeColor="text1"/>
                <w:sz w:val="21"/>
                <w:szCs w:val="21"/>
              </w:rPr>
              <w:t>污染物排放速率/（kg/h）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0" w:type="auto"/>
            <w:vMerge w:val="continue"/>
            <w:vAlign w:val="center"/>
          </w:tcPr>
          <w:p>
            <w:pPr>
              <w:pStyle w:val="14"/>
              <w:adjustRightInd w:val="0"/>
              <w:snapToGrid w:val="0"/>
              <w:spacing w:line="240" w:lineRule="auto"/>
              <w:rPr>
                <w:b w:val="0"/>
                <w:color w:val="000000" w:themeColor="text1"/>
                <w:sz w:val="21"/>
                <w:szCs w:val="21"/>
              </w:rPr>
            </w:pPr>
          </w:p>
        </w:tc>
        <w:tc>
          <w:tcPr>
            <w:tcW w:w="0" w:type="auto"/>
            <w:vMerge w:val="continue"/>
            <w:vAlign w:val="center"/>
          </w:tcPr>
          <w:p>
            <w:pPr>
              <w:pStyle w:val="14"/>
              <w:adjustRightInd w:val="0"/>
              <w:snapToGrid w:val="0"/>
              <w:spacing w:line="240" w:lineRule="auto"/>
              <w:rPr>
                <w:b w:val="0"/>
                <w:color w:val="000000" w:themeColor="text1"/>
                <w:sz w:val="21"/>
                <w:szCs w:val="21"/>
              </w:rPr>
            </w:pPr>
          </w:p>
        </w:tc>
        <w:tc>
          <w:tcPr>
            <w:tcW w:w="0" w:type="auto"/>
            <w:vAlign w:val="center"/>
          </w:tcPr>
          <w:p>
            <w:pPr>
              <w:pStyle w:val="14"/>
              <w:adjustRightInd w:val="0"/>
              <w:snapToGrid w:val="0"/>
              <w:spacing w:line="240" w:lineRule="auto"/>
              <w:rPr>
                <w:b w:val="0"/>
                <w:color w:val="000000" w:themeColor="text1"/>
                <w:sz w:val="21"/>
                <w:szCs w:val="21"/>
              </w:rPr>
            </w:pPr>
            <w:r>
              <w:rPr>
                <w:rFonts w:hint="eastAsia"/>
                <w:b w:val="0"/>
                <w:color w:val="000000" w:themeColor="text1"/>
                <w:sz w:val="21"/>
                <w:szCs w:val="21"/>
              </w:rPr>
              <w:t>X</w:t>
            </w:r>
          </w:p>
        </w:tc>
        <w:tc>
          <w:tcPr>
            <w:tcW w:w="0" w:type="auto"/>
            <w:vAlign w:val="center"/>
          </w:tcPr>
          <w:p>
            <w:pPr>
              <w:pStyle w:val="14"/>
              <w:adjustRightInd w:val="0"/>
              <w:snapToGrid w:val="0"/>
              <w:spacing w:line="240" w:lineRule="auto"/>
              <w:rPr>
                <w:b w:val="0"/>
                <w:color w:val="000000" w:themeColor="text1"/>
                <w:sz w:val="21"/>
                <w:szCs w:val="21"/>
              </w:rPr>
            </w:pPr>
            <w:r>
              <w:rPr>
                <w:rFonts w:hint="eastAsia"/>
                <w:b w:val="0"/>
                <w:color w:val="000000" w:themeColor="text1"/>
                <w:sz w:val="21"/>
                <w:szCs w:val="21"/>
              </w:rPr>
              <w:t>Y</w:t>
            </w:r>
          </w:p>
        </w:tc>
        <w:tc>
          <w:tcPr>
            <w:tcW w:w="0" w:type="auto"/>
            <w:vMerge w:val="continue"/>
            <w:vAlign w:val="center"/>
          </w:tcPr>
          <w:p>
            <w:pPr>
              <w:pStyle w:val="14"/>
              <w:adjustRightInd w:val="0"/>
              <w:snapToGrid w:val="0"/>
              <w:spacing w:line="240" w:lineRule="auto"/>
              <w:rPr>
                <w:b w:val="0"/>
                <w:color w:val="000000" w:themeColor="text1"/>
                <w:sz w:val="21"/>
                <w:szCs w:val="21"/>
              </w:rPr>
            </w:pPr>
          </w:p>
        </w:tc>
        <w:tc>
          <w:tcPr>
            <w:tcW w:w="0" w:type="auto"/>
            <w:vMerge w:val="continue"/>
            <w:vAlign w:val="center"/>
          </w:tcPr>
          <w:p>
            <w:pPr>
              <w:pStyle w:val="14"/>
              <w:adjustRightInd w:val="0"/>
              <w:snapToGrid w:val="0"/>
              <w:spacing w:line="240" w:lineRule="auto"/>
              <w:rPr>
                <w:b w:val="0"/>
                <w:color w:val="000000" w:themeColor="text1"/>
                <w:sz w:val="21"/>
                <w:szCs w:val="21"/>
              </w:rPr>
            </w:pPr>
          </w:p>
        </w:tc>
        <w:tc>
          <w:tcPr>
            <w:tcW w:w="0" w:type="auto"/>
            <w:vMerge w:val="continue"/>
            <w:vAlign w:val="center"/>
          </w:tcPr>
          <w:p>
            <w:pPr>
              <w:pStyle w:val="14"/>
              <w:adjustRightInd w:val="0"/>
              <w:snapToGrid w:val="0"/>
              <w:spacing w:line="240" w:lineRule="auto"/>
              <w:rPr>
                <w:b w:val="0"/>
                <w:color w:val="000000" w:themeColor="text1"/>
                <w:sz w:val="21"/>
                <w:szCs w:val="21"/>
              </w:rPr>
            </w:pPr>
          </w:p>
        </w:tc>
        <w:tc>
          <w:tcPr>
            <w:tcW w:w="0" w:type="auto"/>
            <w:vMerge w:val="continue"/>
            <w:vAlign w:val="center"/>
          </w:tcPr>
          <w:p>
            <w:pPr>
              <w:pStyle w:val="14"/>
              <w:adjustRightInd w:val="0"/>
              <w:snapToGrid w:val="0"/>
              <w:spacing w:line="240" w:lineRule="auto"/>
              <w:rPr>
                <w:b w:val="0"/>
                <w:color w:val="000000" w:themeColor="text1"/>
                <w:sz w:val="21"/>
                <w:szCs w:val="21"/>
              </w:rPr>
            </w:pPr>
          </w:p>
        </w:tc>
        <w:tc>
          <w:tcPr>
            <w:tcW w:w="0" w:type="auto"/>
            <w:vMerge w:val="continue"/>
            <w:vAlign w:val="center"/>
          </w:tcPr>
          <w:p>
            <w:pPr>
              <w:pStyle w:val="14"/>
              <w:adjustRightInd w:val="0"/>
              <w:snapToGrid w:val="0"/>
              <w:spacing w:line="240" w:lineRule="auto"/>
              <w:rPr>
                <w:b w:val="0"/>
                <w:color w:val="000000" w:themeColor="text1"/>
                <w:sz w:val="21"/>
                <w:szCs w:val="21"/>
              </w:rPr>
            </w:pPr>
          </w:p>
        </w:tc>
        <w:tc>
          <w:tcPr>
            <w:tcW w:w="0" w:type="auto"/>
            <w:vMerge w:val="continue"/>
            <w:vAlign w:val="center"/>
          </w:tcPr>
          <w:p>
            <w:pPr>
              <w:pStyle w:val="14"/>
              <w:adjustRightInd w:val="0"/>
              <w:snapToGrid w:val="0"/>
              <w:spacing w:line="240" w:lineRule="auto"/>
              <w:rPr>
                <w:b w:val="0"/>
                <w:color w:val="000000" w:themeColor="text1"/>
                <w:sz w:val="21"/>
                <w:szCs w:val="21"/>
              </w:rPr>
            </w:pPr>
          </w:p>
        </w:tc>
        <w:tc>
          <w:tcPr>
            <w:tcW w:w="0" w:type="auto"/>
            <w:vAlign w:val="center"/>
          </w:tcPr>
          <w:p>
            <w:pPr>
              <w:pStyle w:val="93"/>
              <w:spacing w:before="24" w:after="24" w:line="240" w:lineRule="auto"/>
              <w:rPr>
                <w:rFonts w:ascii="Times New Roman" w:hAnsi="Times New Roman" w:cs="Times New Roman"/>
                <w:color w:val="000000" w:themeColor="text1"/>
                <w:kern w:val="0"/>
              </w:rPr>
            </w:pPr>
            <w:r>
              <w:rPr>
                <w:rFonts w:ascii="Times New Roman" w:hAnsi="Times New Roman" w:cs="Times New Roman"/>
                <w:color w:val="000000" w:themeColor="text1"/>
              </w:rPr>
              <w:t>NH</w:t>
            </w:r>
            <w:r>
              <w:rPr>
                <w:rFonts w:ascii="Times New Roman" w:hAnsi="Times New Roman" w:cs="Times New Roman"/>
                <w:color w:val="000000" w:themeColor="text1"/>
                <w:vertAlign w:val="subscript"/>
              </w:rPr>
              <w:t>3</w:t>
            </w:r>
          </w:p>
        </w:tc>
        <w:tc>
          <w:tcPr>
            <w:tcW w:w="0" w:type="auto"/>
            <w:vAlign w:val="center"/>
          </w:tcPr>
          <w:p>
            <w:pPr>
              <w:pStyle w:val="93"/>
              <w:spacing w:before="24" w:after="24" w:line="240" w:lineRule="auto"/>
              <w:rPr>
                <w:rFonts w:ascii="Times New Roman" w:hAnsi="Times New Roman" w:cs="Times New Roman"/>
                <w:color w:val="000000" w:themeColor="text1"/>
                <w:kern w:val="0"/>
              </w:rPr>
            </w:pPr>
            <w:r>
              <w:rPr>
                <w:rFonts w:ascii="Times New Roman" w:hAnsi="Times New Roman" w:cs="Times New Roman"/>
                <w:color w:val="000000" w:themeColor="text1"/>
              </w:rPr>
              <w:t>H</w:t>
            </w:r>
            <w:r>
              <w:rPr>
                <w:rFonts w:ascii="Times New Roman" w:hAnsi="Times New Roman" w:cs="Times New Roman"/>
                <w:color w:val="000000" w:themeColor="text1"/>
                <w:vertAlign w:val="subscript"/>
              </w:rPr>
              <w:t>2</w:t>
            </w:r>
            <w:r>
              <w:rPr>
                <w:rFonts w:ascii="Times New Roman" w:hAnsi="Times New Roman" w:cs="Times New Roman"/>
                <w:color w:val="000000" w:themeColor="text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4"/>
              <w:adjustRightInd w:val="0"/>
              <w:snapToGrid w:val="0"/>
              <w:spacing w:line="240" w:lineRule="auto"/>
              <w:rPr>
                <w:b w:val="0"/>
                <w:color w:val="000000" w:themeColor="text1"/>
                <w:sz w:val="21"/>
                <w:szCs w:val="21"/>
              </w:rPr>
            </w:pPr>
            <w:r>
              <w:rPr>
                <w:rFonts w:hint="eastAsia"/>
                <w:b w:val="0"/>
                <w:color w:val="000000" w:themeColor="text1"/>
                <w:sz w:val="21"/>
                <w:szCs w:val="21"/>
              </w:rPr>
              <w:t>1</w:t>
            </w:r>
          </w:p>
        </w:tc>
        <w:tc>
          <w:tcPr>
            <w:tcW w:w="0" w:type="auto"/>
            <w:vAlign w:val="center"/>
          </w:tcPr>
          <w:p>
            <w:pPr>
              <w:pStyle w:val="14"/>
              <w:adjustRightInd w:val="0"/>
              <w:snapToGrid w:val="0"/>
              <w:spacing w:line="240" w:lineRule="auto"/>
              <w:rPr>
                <w:b w:val="0"/>
                <w:color w:val="000000" w:themeColor="text1"/>
                <w:sz w:val="21"/>
                <w:szCs w:val="21"/>
              </w:rPr>
            </w:pPr>
            <w:r>
              <w:rPr>
                <w:rFonts w:hint="eastAsia"/>
                <w:b w:val="0"/>
                <w:color w:val="000000" w:themeColor="text1"/>
                <w:sz w:val="21"/>
                <w:szCs w:val="21"/>
              </w:rPr>
              <w:t>污水处理站恶臭</w:t>
            </w:r>
          </w:p>
        </w:tc>
        <w:tc>
          <w:tcPr>
            <w:tcW w:w="0" w:type="auto"/>
            <w:vAlign w:val="center"/>
          </w:tcPr>
          <w:p>
            <w:pPr>
              <w:pStyle w:val="14"/>
              <w:adjustRightInd w:val="0"/>
              <w:snapToGrid w:val="0"/>
              <w:spacing w:line="240" w:lineRule="auto"/>
              <w:rPr>
                <w:b w:val="0"/>
                <w:color w:val="000000" w:themeColor="text1"/>
                <w:sz w:val="21"/>
                <w:szCs w:val="21"/>
              </w:rPr>
            </w:pPr>
            <w:r>
              <w:rPr>
                <w:b w:val="0"/>
                <w:color w:val="000000" w:themeColor="text1"/>
                <w:sz w:val="21"/>
                <w:szCs w:val="21"/>
              </w:rPr>
              <w:t>113.14055</w:t>
            </w:r>
          </w:p>
        </w:tc>
        <w:tc>
          <w:tcPr>
            <w:tcW w:w="0" w:type="auto"/>
            <w:vAlign w:val="center"/>
          </w:tcPr>
          <w:p>
            <w:pPr>
              <w:pStyle w:val="14"/>
              <w:adjustRightInd w:val="0"/>
              <w:snapToGrid w:val="0"/>
              <w:spacing w:line="240" w:lineRule="auto"/>
              <w:rPr>
                <w:b w:val="0"/>
                <w:color w:val="000000" w:themeColor="text1"/>
                <w:sz w:val="21"/>
                <w:szCs w:val="21"/>
              </w:rPr>
            </w:pPr>
            <w:r>
              <w:rPr>
                <w:b w:val="0"/>
                <w:color w:val="000000" w:themeColor="text1"/>
                <w:sz w:val="21"/>
                <w:szCs w:val="21"/>
              </w:rPr>
              <w:t>29.38135</w:t>
            </w:r>
          </w:p>
        </w:tc>
        <w:tc>
          <w:tcPr>
            <w:tcW w:w="0" w:type="auto"/>
            <w:vAlign w:val="center"/>
          </w:tcPr>
          <w:p>
            <w:pPr>
              <w:pStyle w:val="14"/>
              <w:adjustRightInd w:val="0"/>
              <w:snapToGrid w:val="0"/>
              <w:spacing w:line="240" w:lineRule="auto"/>
              <w:rPr>
                <w:b w:val="0"/>
                <w:color w:val="000000" w:themeColor="text1"/>
                <w:sz w:val="21"/>
                <w:szCs w:val="21"/>
              </w:rPr>
            </w:pPr>
            <w:r>
              <w:rPr>
                <w:rFonts w:hint="eastAsia"/>
                <w:b w:val="0"/>
                <w:color w:val="000000" w:themeColor="text1"/>
                <w:sz w:val="21"/>
                <w:szCs w:val="21"/>
              </w:rPr>
              <w:t>6</w:t>
            </w:r>
          </w:p>
        </w:tc>
        <w:tc>
          <w:tcPr>
            <w:tcW w:w="0" w:type="auto"/>
            <w:vAlign w:val="center"/>
          </w:tcPr>
          <w:p>
            <w:pPr>
              <w:pStyle w:val="14"/>
              <w:adjustRightInd w:val="0"/>
              <w:snapToGrid w:val="0"/>
              <w:spacing w:line="240" w:lineRule="auto"/>
              <w:rPr>
                <w:b w:val="0"/>
                <w:color w:val="000000" w:themeColor="text1"/>
                <w:sz w:val="21"/>
                <w:szCs w:val="21"/>
              </w:rPr>
            </w:pPr>
            <w:r>
              <w:rPr>
                <w:rFonts w:hint="eastAsia"/>
                <w:b w:val="0"/>
                <w:color w:val="000000" w:themeColor="text1"/>
                <w:sz w:val="21"/>
                <w:szCs w:val="21"/>
              </w:rPr>
              <w:t>4</w:t>
            </w:r>
          </w:p>
        </w:tc>
        <w:tc>
          <w:tcPr>
            <w:tcW w:w="0" w:type="auto"/>
            <w:vAlign w:val="center"/>
          </w:tcPr>
          <w:p>
            <w:pPr>
              <w:pStyle w:val="14"/>
              <w:adjustRightInd w:val="0"/>
              <w:snapToGrid w:val="0"/>
              <w:spacing w:line="240" w:lineRule="auto"/>
              <w:rPr>
                <w:b w:val="0"/>
                <w:color w:val="000000" w:themeColor="text1"/>
                <w:sz w:val="21"/>
                <w:szCs w:val="21"/>
              </w:rPr>
            </w:pPr>
            <w:r>
              <w:rPr>
                <w:rFonts w:hint="eastAsia"/>
                <w:b w:val="0"/>
                <w:color w:val="000000" w:themeColor="text1"/>
                <w:sz w:val="21"/>
                <w:szCs w:val="21"/>
              </w:rPr>
              <w:t>0</w:t>
            </w:r>
          </w:p>
        </w:tc>
        <w:tc>
          <w:tcPr>
            <w:tcW w:w="0" w:type="auto"/>
            <w:vAlign w:val="center"/>
          </w:tcPr>
          <w:p>
            <w:pPr>
              <w:pStyle w:val="14"/>
              <w:adjustRightInd w:val="0"/>
              <w:snapToGrid w:val="0"/>
              <w:spacing w:line="240" w:lineRule="auto"/>
              <w:rPr>
                <w:b w:val="0"/>
                <w:color w:val="000000" w:themeColor="text1"/>
                <w:sz w:val="21"/>
                <w:szCs w:val="21"/>
              </w:rPr>
            </w:pPr>
            <w:r>
              <w:rPr>
                <w:rFonts w:hint="eastAsia"/>
                <w:b w:val="0"/>
                <w:color w:val="000000" w:themeColor="text1"/>
                <w:sz w:val="21"/>
                <w:szCs w:val="21"/>
              </w:rPr>
              <w:t>10</w:t>
            </w:r>
          </w:p>
        </w:tc>
        <w:tc>
          <w:tcPr>
            <w:tcW w:w="0" w:type="auto"/>
            <w:vAlign w:val="center"/>
          </w:tcPr>
          <w:p>
            <w:pPr>
              <w:pStyle w:val="14"/>
              <w:adjustRightInd w:val="0"/>
              <w:snapToGrid w:val="0"/>
              <w:spacing w:line="240" w:lineRule="auto"/>
              <w:rPr>
                <w:b w:val="0"/>
                <w:color w:val="000000" w:themeColor="text1"/>
                <w:sz w:val="21"/>
                <w:szCs w:val="21"/>
              </w:rPr>
            </w:pPr>
            <w:r>
              <w:rPr>
                <w:rFonts w:hint="eastAsia"/>
                <w:b w:val="0"/>
                <w:color w:val="000000" w:themeColor="text1"/>
                <w:sz w:val="21"/>
                <w:szCs w:val="21"/>
              </w:rPr>
              <w:t>8760</w:t>
            </w:r>
          </w:p>
        </w:tc>
        <w:tc>
          <w:tcPr>
            <w:tcW w:w="0" w:type="auto"/>
            <w:vAlign w:val="center"/>
          </w:tcPr>
          <w:p>
            <w:pPr>
              <w:pStyle w:val="14"/>
              <w:adjustRightInd w:val="0"/>
              <w:snapToGrid w:val="0"/>
              <w:spacing w:line="240" w:lineRule="auto"/>
              <w:rPr>
                <w:b w:val="0"/>
                <w:color w:val="000000" w:themeColor="text1"/>
                <w:sz w:val="21"/>
                <w:szCs w:val="21"/>
              </w:rPr>
            </w:pPr>
            <w:r>
              <w:rPr>
                <w:rFonts w:hint="eastAsia"/>
                <w:b w:val="0"/>
                <w:color w:val="000000" w:themeColor="text1"/>
                <w:sz w:val="21"/>
                <w:szCs w:val="21"/>
              </w:rPr>
              <w:t>正常</w:t>
            </w:r>
          </w:p>
        </w:tc>
        <w:tc>
          <w:tcPr>
            <w:tcW w:w="0" w:type="auto"/>
            <w:vAlign w:val="center"/>
          </w:tcPr>
          <w:p>
            <w:pPr>
              <w:pStyle w:val="93"/>
              <w:spacing w:before="24" w:after="24" w:line="240" w:lineRule="auto"/>
              <w:rPr>
                <w:rFonts w:ascii="Times New Roman" w:hAnsi="Times New Roman" w:cs="Times New Roman"/>
                <w:color w:val="000000" w:themeColor="text1"/>
                <w:kern w:val="0"/>
              </w:rPr>
            </w:pPr>
            <w:r>
              <w:rPr>
                <w:rFonts w:hint="eastAsia" w:ascii="Times New Roman" w:hAnsi="Times New Roman" w:cs="Times New Roman"/>
                <w:color w:val="000000" w:themeColor="text1"/>
                <w:kern w:val="0"/>
              </w:rPr>
              <w:t>0.0000039</w:t>
            </w:r>
          </w:p>
        </w:tc>
        <w:tc>
          <w:tcPr>
            <w:tcW w:w="0" w:type="auto"/>
            <w:vAlign w:val="center"/>
          </w:tcPr>
          <w:p>
            <w:pPr>
              <w:pStyle w:val="93"/>
              <w:spacing w:before="24" w:after="24" w:line="240" w:lineRule="auto"/>
              <w:rPr>
                <w:rFonts w:ascii="Times New Roman" w:hAnsi="Times New Roman" w:cs="Times New Roman"/>
                <w:color w:val="000000" w:themeColor="text1"/>
                <w:kern w:val="0"/>
              </w:rPr>
            </w:pPr>
            <w:r>
              <w:rPr>
                <w:rFonts w:hint="eastAsia" w:ascii="Times New Roman" w:hAnsi="Times New Roman" w:cs="Times New Roman"/>
                <w:color w:val="000000" w:themeColor="text1"/>
                <w:kern w:val="0"/>
              </w:rPr>
              <w:t>0.000092</w:t>
            </w:r>
          </w:p>
        </w:tc>
      </w:tr>
    </w:tbl>
    <w:p>
      <w:pPr>
        <w:pStyle w:val="14"/>
        <w:ind w:firstLine="480" w:firstLineChars="200"/>
        <w:jc w:val="both"/>
        <w:rPr>
          <w:rFonts w:cs="Times New Roman"/>
          <w:b w:val="0"/>
        </w:rPr>
      </w:pPr>
      <w:r>
        <w:rPr>
          <w:rFonts w:cs="Times New Roman"/>
          <w:b w:val="0"/>
        </w:rPr>
        <w:t>（4）评价工作等级确定</w:t>
      </w:r>
    </w:p>
    <w:p>
      <w:pPr>
        <w:spacing w:line="360" w:lineRule="auto"/>
        <w:ind w:firstLine="480" w:firstLineChars="200"/>
        <w:rPr>
          <w:rFonts w:cs="Times New Roman"/>
          <w:szCs w:val="24"/>
        </w:rPr>
      </w:pPr>
      <w:r>
        <w:rPr>
          <w:rFonts w:cs="Times New Roman"/>
        </w:rPr>
        <w:t>本项目所有污染源正常排放的污染物的</w:t>
      </w:r>
      <w:r>
        <w:rPr>
          <w:rFonts w:cs="Times New Roman"/>
          <w:szCs w:val="24"/>
        </w:rPr>
        <w:t>P</w:t>
      </w:r>
      <w:r>
        <w:rPr>
          <w:rFonts w:cs="Times New Roman"/>
          <w:szCs w:val="24"/>
          <w:vertAlign w:val="subscript"/>
        </w:rPr>
        <w:t>max</w:t>
      </w:r>
      <w:r>
        <w:rPr>
          <w:rFonts w:cs="Times New Roman"/>
          <w:szCs w:val="24"/>
        </w:rPr>
        <w:t>和D</w:t>
      </w:r>
      <w:r>
        <w:rPr>
          <w:rFonts w:cs="Times New Roman"/>
          <w:szCs w:val="24"/>
          <w:vertAlign w:val="subscript"/>
        </w:rPr>
        <w:t>10%</w:t>
      </w:r>
      <w:r>
        <w:rPr>
          <w:rFonts w:cs="Times New Roman"/>
          <w:szCs w:val="24"/>
        </w:rPr>
        <w:t>预测结果如下表所示：</w:t>
      </w:r>
    </w:p>
    <w:p>
      <w:pPr>
        <w:pStyle w:val="14"/>
        <w:spacing w:line="240" w:lineRule="auto"/>
        <w:rPr>
          <w:rFonts w:cs="Times New Roman"/>
          <w:szCs w:val="24"/>
        </w:rPr>
      </w:pPr>
    </w:p>
    <w:p>
      <w:pPr>
        <w:pStyle w:val="14"/>
        <w:spacing w:line="240" w:lineRule="auto"/>
        <w:rPr>
          <w:rFonts w:cs="Times New Roman"/>
          <w:szCs w:val="24"/>
        </w:rPr>
      </w:pPr>
    </w:p>
    <w:p>
      <w:pPr>
        <w:pStyle w:val="14"/>
        <w:spacing w:line="240" w:lineRule="auto"/>
        <w:rPr>
          <w:rFonts w:cs="Times New Roman"/>
          <w:szCs w:val="24"/>
        </w:rPr>
      </w:pPr>
    </w:p>
    <w:p>
      <w:pPr>
        <w:pStyle w:val="14"/>
        <w:spacing w:line="240" w:lineRule="auto"/>
        <w:rPr>
          <w:rFonts w:cs="Times New Roman"/>
          <w:szCs w:val="24"/>
        </w:rPr>
      </w:pPr>
    </w:p>
    <w:p>
      <w:pPr>
        <w:pStyle w:val="14"/>
        <w:spacing w:line="240" w:lineRule="auto"/>
      </w:pPr>
      <w:r>
        <w:rPr>
          <w:rFonts w:hint="eastAsia" w:cs="Times New Roman"/>
          <w:szCs w:val="24"/>
        </w:rPr>
        <w:t>表</w:t>
      </w:r>
      <w:r>
        <w:rPr>
          <w:rFonts w:cs="Times New Roman"/>
          <w:szCs w:val="24"/>
        </w:rPr>
        <w:fldChar w:fldCharType="begin"/>
      </w:r>
      <w:r>
        <w:rPr>
          <w:rFonts w:cs="Times New Roman"/>
          <w:szCs w:val="24"/>
        </w:rPr>
        <w:instrText xml:space="preserve"> </w:instrText>
      </w:r>
      <w:r>
        <w:rPr>
          <w:rFonts w:hint="eastAsia" w:cs="Times New Roman"/>
          <w:szCs w:val="24"/>
        </w:rPr>
        <w:instrText xml:space="preserve">STYLEREF 2 \s</w:instrText>
      </w:r>
      <w:r>
        <w:rPr>
          <w:rFonts w:cs="Times New Roman"/>
          <w:szCs w:val="24"/>
        </w:rPr>
        <w:instrText xml:space="preserve"> </w:instrText>
      </w:r>
      <w:r>
        <w:rPr>
          <w:rFonts w:cs="Times New Roman"/>
          <w:szCs w:val="24"/>
        </w:rPr>
        <w:fldChar w:fldCharType="separate"/>
      </w:r>
      <w:r>
        <w:rPr>
          <w:rFonts w:cs="Times New Roman"/>
          <w:szCs w:val="24"/>
        </w:rPr>
        <w:t>1.7</w:t>
      </w:r>
      <w:r>
        <w:rPr>
          <w:rFonts w:cs="Times New Roman"/>
          <w:szCs w:val="24"/>
        </w:rPr>
        <w:fldChar w:fldCharType="end"/>
      </w:r>
      <w:r>
        <w:rPr>
          <w:rFonts w:cs="Times New Roman"/>
          <w:szCs w:val="24"/>
        </w:rPr>
        <w:noBreakHyphen/>
      </w:r>
      <w:r>
        <w:rPr>
          <w:rFonts w:cs="Times New Roman"/>
          <w:szCs w:val="24"/>
        </w:rPr>
        <w:fldChar w:fldCharType="begin"/>
      </w:r>
      <w:r>
        <w:rPr>
          <w:rFonts w:cs="Times New Roman"/>
          <w:szCs w:val="24"/>
        </w:rPr>
        <w:instrText xml:space="preserve"> </w:instrText>
      </w:r>
      <w:r>
        <w:rPr>
          <w:rFonts w:hint="eastAsia" w:cs="Times New Roman"/>
          <w:szCs w:val="24"/>
        </w:rPr>
        <w:instrText xml:space="preserve">SEQ 表 \* ARABIC \s 2</w:instrText>
      </w:r>
      <w:r>
        <w:rPr>
          <w:rFonts w:cs="Times New Roman"/>
          <w:szCs w:val="24"/>
        </w:rPr>
        <w:instrText xml:space="preserve"> </w:instrText>
      </w:r>
      <w:r>
        <w:rPr>
          <w:rFonts w:cs="Times New Roman"/>
          <w:szCs w:val="24"/>
        </w:rPr>
        <w:fldChar w:fldCharType="separate"/>
      </w:r>
      <w:r>
        <w:rPr>
          <w:rFonts w:cs="Times New Roman"/>
          <w:szCs w:val="24"/>
        </w:rPr>
        <w:t>6</w:t>
      </w:r>
      <w:r>
        <w:rPr>
          <w:rFonts w:cs="Times New Roman"/>
          <w:szCs w:val="24"/>
        </w:rPr>
        <w:fldChar w:fldCharType="end"/>
      </w:r>
      <w:r>
        <w:rPr>
          <w:rFonts w:hint="eastAsia" w:cs="Times New Roman"/>
          <w:szCs w:val="24"/>
        </w:rPr>
        <w:t xml:space="preserve">  </w:t>
      </w:r>
      <w:r>
        <w:rPr>
          <w:rFonts w:cs="Times New Roman"/>
          <w:szCs w:val="24"/>
        </w:rPr>
        <w:t>P</w:t>
      </w:r>
      <w:r>
        <w:rPr>
          <w:rFonts w:cs="Times New Roman"/>
          <w:szCs w:val="24"/>
          <w:vertAlign w:val="subscript"/>
        </w:rPr>
        <w:t>max</w:t>
      </w:r>
      <w:r>
        <w:rPr>
          <w:rFonts w:cs="Times New Roman"/>
          <w:szCs w:val="24"/>
        </w:rPr>
        <w:t>和D</w:t>
      </w:r>
      <w:r>
        <w:rPr>
          <w:rFonts w:cs="Times New Roman"/>
          <w:szCs w:val="24"/>
          <w:vertAlign w:val="subscript"/>
        </w:rPr>
        <w:t>10%</w:t>
      </w:r>
      <w:r>
        <w:rPr>
          <w:rFonts w:cs="Times New Roman"/>
          <w:szCs w:val="24"/>
        </w:rPr>
        <w:t>预测和计算结果一览表</w:t>
      </w:r>
    </w:p>
    <w:tbl>
      <w:tblPr>
        <w:tblStyle w:val="40"/>
        <w:tblW w:w="5000" w:type="pct"/>
        <w:tblInd w:w="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autofit"/>
        <w:tblCellMar>
          <w:top w:w="0" w:type="dxa"/>
          <w:left w:w="108" w:type="dxa"/>
          <w:bottom w:w="0" w:type="dxa"/>
          <w:right w:w="108" w:type="dxa"/>
        </w:tblCellMar>
      </w:tblPr>
      <w:tblGrid>
        <w:gridCol w:w="1925"/>
        <w:gridCol w:w="1607"/>
        <w:gridCol w:w="2593"/>
        <w:gridCol w:w="1366"/>
        <w:gridCol w:w="1208"/>
        <w:gridCol w:w="947"/>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998" w:type="pct"/>
            <w:vAlign w:val="center"/>
          </w:tcPr>
          <w:p>
            <w:pPr>
              <w:wordWrap w:val="0"/>
              <w:jc w:val="center"/>
              <w:rPr>
                <w:rFonts w:eastAsia="宋体" w:cs="Times New Roman"/>
                <w:color w:val="000000" w:themeColor="text1"/>
                <w:sz w:val="21"/>
              </w:rPr>
            </w:pPr>
            <w:r>
              <w:rPr>
                <w:rFonts w:eastAsia="宋体" w:cs="Times New Roman"/>
                <w:color w:val="000000" w:themeColor="text1"/>
                <w:sz w:val="21"/>
              </w:rPr>
              <w:t>污染源名称</w:t>
            </w:r>
          </w:p>
        </w:tc>
        <w:tc>
          <w:tcPr>
            <w:tcW w:w="833" w:type="pct"/>
            <w:vAlign w:val="center"/>
          </w:tcPr>
          <w:p>
            <w:pPr>
              <w:wordWrap w:val="0"/>
              <w:jc w:val="center"/>
              <w:rPr>
                <w:rFonts w:eastAsia="宋体" w:cs="Times New Roman"/>
                <w:color w:val="000000" w:themeColor="text1"/>
                <w:sz w:val="21"/>
              </w:rPr>
            </w:pPr>
            <w:r>
              <w:rPr>
                <w:rFonts w:eastAsia="宋体" w:cs="Times New Roman"/>
                <w:color w:val="000000" w:themeColor="text1"/>
                <w:sz w:val="21"/>
              </w:rPr>
              <w:t>评价因子</w:t>
            </w:r>
          </w:p>
        </w:tc>
        <w:tc>
          <w:tcPr>
            <w:tcW w:w="1344" w:type="pct"/>
            <w:vAlign w:val="center"/>
          </w:tcPr>
          <w:p>
            <w:pPr>
              <w:wordWrap w:val="0"/>
              <w:jc w:val="center"/>
              <w:rPr>
                <w:rFonts w:eastAsia="宋体" w:cs="Times New Roman"/>
                <w:color w:val="000000" w:themeColor="text1"/>
                <w:sz w:val="21"/>
              </w:rPr>
            </w:pPr>
            <w:r>
              <w:rPr>
                <w:rFonts w:eastAsia="宋体" w:cs="Times New Roman"/>
                <w:color w:val="000000" w:themeColor="text1"/>
                <w:sz w:val="21"/>
              </w:rPr>
              <w:t>评价标准(μg/m</w:t>
            </w:r>
            <w:r>
              <w:rPr>
                <w:rFonts w:eastAsia="宋体" w:cs="Times New Roman"/>
                <w:color w:val="000000" w:themeColor="text1"/>
                <w:sz w:val="21"/>
                <w:vertAlign w:val="superscript"/>
              </w:rPr>
              <w:t>3</w:t>
            </w:r>
            <w:r>
              <w:rPr>
                <w:rFonts w:eastAsia="宋体" w:cs="Times New Roman"/>
                <w:color w:val="000000" w:themeColor="text1"/>
                <w:sz w:val="21"/>
              </w:rPr>
              <w:t>)</w:t>
            </w:r>
          </w:p>
        </w:tc>
        <w:tc>
          <w:tcPr>
            <w:tcW w:w="708" w:type="pct"/>
            <w:vAlign w:val="center"/>
          </w:tcPr>
          <w:p>
            <w:pPr>
              <w:wordWrap w:val="0"/>
              <w:jc w:val="center"/>
              <w:rPr>
                <w:rFonts w:eastAsia="宋体" w:cs="Times New Roman"/>
                <w:color w:val="000000" w:themeColor="text1"/>
                <w:sz w:val="21"/>
              </w:rPr>
            </w:pPr>
            <w:r>
              <w:rPr>
                <w:rFonts w:eastAsia="宋体" w:cs="Times New Roman"/>
                <w:color w:val="000000" w:themeColor="text1"/>
                <w:sz w:val="21"/>
              </w:rPr>
              <w:t>C</w:t>
            </w:r>
            <w:r>
              <w:rPr>
                <w:rFonts w:eastAsia="宋体" w:cs="Times New Roman"/>
                <w:color w:val="000000" w:themeColor="text1"/>
                <w:sz w:val="21"/>
                <w:vertAlign w:val="subscript"/>
              </w:rPr>
              <w:t>max</w:t>
            </w:r>
          </w:p>
          <w:p>
            <w:pPr>
              <w:wordWrap w:val="0"/>
              <w:jc w:val="center"/>
              <w:rPr>
                <w:rFonts w:eastAsia="宋体" w:cs="Times New Roman"/>
                <w:color w:val="000000" w:themeColor="text1"/>
                <w:sz w:val="21"/>
              </w:rPr>
            </w:pPr>
            <w:r>
              <w:rPr>
                <w:rFonts w:eastAsia="宋体" w:cs="Times New Roman"/>
                <w:color w:val="000000" w:themeColor="text1"/>
                <w:sz w:val="21"/>
              </w:rPr>
              <w:t>(μg/m</w:t>
            </w:r>
            <w:r>
              <w:rPr>
                <w:rFonts w:eastAsia="宋体" w:cs="Times New Roman"/>
                <w:color w:val="000000" w:themeColor="text1"/>
                <w:sz w:val="21"/>
                <w:vertAlign w:val="superscript"/>
              </w:rPr>
              <w:t>3</w:t>
            </w:r>
            <w:r>
              <w:rPr>
                <w:rFonts w:eastAsia="宋体" w:cs="Times New Roman"/>
                <w:color w:val="000000" w:themeColor="text1"/>
                <w:sz w:val="21"/>
              </w:rPr>
              <w:t>)</w:t>
            </w:r>
          </w:p>
        </w:tc>
        <w:tc>
          <w:tcPr>
            <w:tcW w:w="626" w:type="pct"/>
            <w:vAlign w:val="center"/>
          </w:tcPr>
          <w:p>
            <w:pPr>
              <w:wordWrap w:val="0"/>
              <w:jc w:val="center"/>
              <w:rPr>
                <w:rFonts w:eastAsia="宋体" w:cs="Times New Roman"/>
                <w:color w:val="000000" w:themeColor="text1"/>
                <w:sz w:val="21"/>
              </w:rPr>
            </w:pPr>
            <w:r>
              <w:rPr>
                <w:rFonts w:eastAsia="宋体" w:cs="Times New Roman"/>
                <w:color w:val="000000" w:themeColor="text1"/>
                <w:sz w:val="21"/>
              </w:rPr>
              <w:t>P</w:t>
            </w:r>
            <w:r>
              <w:rPr>
                <w:rFonts w:eastAsia="宋体" w:cs="Times New Roman"/>
                <w:color w:val="000000" w:themeColor="text1"/>
                <w:sz w:val="21"/>
                <w:vertAlign w:val="subscript"/>
              </w:rPr>
              <w:t>max</w:t>
            </w:r>
          </w:p>
          <w:p>
            <w:pPr>
              <w:wordWrap w:val="0"/>
              <w:jc w:val="center"/>
              <w:rPr>
                <w:rFonts w:eastAsia="宋体" w:cs="Times New Roman"/>
                <w:color w:val="000000" w:themeColor="text1"/>
                <w:sz w:val="21"/>
              </w:rPr>
            </w:pPr>
            <w:r>
              <w:rPr>
                <w:rFonts w:eastAsia="宋体" w:cs="Times New Roman"/>
                <w:color w:val="000000" w:themeColor="text1"/>
                <w:sz w:val="21"/>
              </w:rPr>
              <w:t>(%)</w:t>
            </w:r>
          </w:p>
        </w:tc>
        <w:tc>
          <w:tcPr>
            <w:tcW w:w="491" w:type="pct"/>
            <w:vAlign w:val="center"/>
          </w:tcPr>
          <w:p>
            <w:pPr>
              <w:wordWrap w:val="0"/>
              <w:jc w:val="center"/>
              <w:rPr>
                <w:rFonts w:eastAsia="宋体" w:cs="Times New Roman"/>
                <w:color w:val="000000" w:themeColor="text1"/>
                <w:sz w:val="21"/>
              </w:rPr>
            </w:pPr>
            <w:r>
              <w:rPr>
                <w:rFonts w:eastAsia="宋体" w:cs="Times New Roman"/>
                <w:color w:val="000000" w:themeColor="text1"/>
                <w:sz w:val="21"/>
              </w:rPr>
              <w:t>D</w:t>
            </w:r>
            <w:r>
              <w:rPr>
                <w:rFonts w:eastAsia="宋体" w:cs="Times New Roman"/>
                <w:color w:val="000000" w:themeColor="text1"/>
                <w:sz w:val="21"/>
                <w:vertAlign w:val="subscript"/>
              </w:rPr>
              <w:t>10%</w:t>
            </w:r>
          </w:p>
          <w:p>
            <w:pPr>
              <w:wordWrap w:val="0"/>
              <w:jc w:val="center"/>
              <w:rPr>
                <w:rFonts w:eastAsia="宋体" w:cs="Times New Roman"/>
                <w:color w:val="000000" w:themeColor="text1"/>
                <w:sz w:val="21"/>
              </w:rPr>
            </w:pPr>
            <w:r>
              <w:rPr>
                <w:rFonts w:eastAsia="宋体" w:cs="Times New Roman"/>
                <w:color w:val="000000" w:themeColor="text1"/>
                <w:sz w:val="21"/>
              </w:rPr>
              <w:t>(m)</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998" w:type="pct"/>
            <w:vAlign w:val="center"/>
          </w:tcPr>
          <w:p>
            <w:pPr>
              <w:wordWrap w:val="0"/>
              <w:jc w:val="center"/>
              <w:rPr>
                <w:rFonts w:eastAsia="宋体" w:cs="Times New Roman"/>
                <w:color w:val="000000" w:themeColor="text1"/>
                <w:sz w:val="21"/>
              </w:rPr>
            </w:pPr>
            <w:r>
              <w:rPr>
                <w:rFonts w:eastAsia="宋体" w:cs="Times New Roman"/>
                <w:color w:val="000000" w:themeColor="text1"/>
                <w:sz w:val="21"/>
              </w:rPr>
              <w:t>点源</w:t>
            </w:r>
          </w:p>
        </w:tc>
        <w:tc>
          <w:tcPr>
            <w:tcW w:w="833" w:type="pct"/>
            <w:vAlign w:val="center"/>
          </w:tcPr>
          <w:p>
            <w:pPr>
              <w:wordWrap w:val="0"/>
              <w:jc w:val="center"/>
              <w:rPr>
                <w:rFonts w:eastAsia="宋体" w:cs="Times New Roman"/>
                <w:color w:val="000000" w:themeColor="text1"/>
                <w:sz w:val="21"/>
              </w:rPr>
            </w:pPr>
            <w:r>
              <w:rPr>
                <w:rFonts w:hint="eastAsia" w:eastAsia="宋体" w:cs="Times New Roman"/>
                <w:color w:val="000000" w:themeColor="text1"/>
                <w:sz w:val="21"/>
              </w:rPr>
              <w:t>SO</w:t>
            </w:r>
            <w:r>
              <w:rPr>
                <w:rFonts w:hint="eastAsia" w:eastAsia="宋体" w:cs="Times New Roman"/>
                <w:color w:val="000000" w:themeColor="text1"/>
                <w:sz w:val="21"/>
                <w:vertAlign w:val="subscript"/>
              </w:rPr>
              <w:t>2</w:t>
            </w:r>
          </w:p>
        </w:tc>
        <w:tc>
          <w:tcPr>
            <w:tcW w:w="1344" w:type="pct"/>
            <w:vAlign w:val="center"/>
          </w:tcPr>
          <w:p>
            <w:pPr>
              <w:wordWrap w:val="0"/>
              <w:jc w:val="center"/>
              <w:rPr>
                <w:rFonts w:eastAsia="宋体" w:cs="Times New Roman"/>
                <w:color w:val="000000" w:themeColor="text1"/>
                <w:sz w:val="21"/>
              </w:rPr>
            </w:pPr>
            <w:r>
              <w:rPr>
                <w:rFonts w:hint="eastAsia" w:eastAsia="宋体" w:cs="Times New Roman"/>
                <w:color w:val="000000" w:themeColor="text1"/>
                <w:sz w:val="21"/>
              </w:rPr>
              <w:t>500</w:t>
            </w:r>
          </w:p>
        </w:tc>
        <w:tc>
          <w:tcPr>
            <w:tcW w:w="708" w:type="pct"/>
            <w:vAlign w:val="center"/>
          </w:tcPr>
          <w:p>
            <w:pPr>
              <w:wordWrap w:val="0"/>
              <w:jc w:val="center"/>
              <w:rPr>
                <w:rFonts w:eastAsia="宋体" w:cs="Times New Roman"/>
                <w:color w:val="000000" w:themeColor="text1"/>
                <w:sz w:val="21"/>
              </w:rPr>
            </w:pPr>
            <w:r>
              <w:rPr>
                <w:rFonts w:eastAsia="宋体" w:cs="Times New Roman"/>
                <w:color w:val="000000" w:themeColor="text1"/>
                <w:sz w:val="21"/>
              </w:rPr>
              <w:t>2.55E-03</w:t>
            </w:r>
          </w:p>
        </w:tc>
        <w:tc>
          <w:tcPr>
            <w:tcW w:w="626" w:type="pct"/>
            <w:vAlign w:val="center"/>
          </w:tcPr>
          <w:p>
            <w:pPr>
              <w:wordWrap w:val="0"/>
              <w:jc w:val="center"/>
              <w:rPr>
                <w:rFonts w:eastAsia="宋体" w:cs="Times New Roman"/>
                <w:color w:val="000000" w:themeColor="text1"/>
                <w:sz w:val="21"/>
              </w:rPr>
            </w:pPr>
            <w:r>
              <w:rPr>
                <w:rFonts w:hint="eastAsia" w:eastAsia="宋体" w:cs="Times New Roman"/>
                <w:color w:val="000000" w:themeColor="text1"/>
                <w:sz w:val="21"/>
              </w:rPr>
              <w:t>0.51</w:t>
            </w:r>
          </w:p>
        </w:tc>
        <w:tc>
          <w:tcPr>
            <w:tcW w:w="491" w:type="pct"/>
            <w:vAlign w:val="center"/>
          </w:tcPr>
          <w:p>
            <w:pPr>
              <w:wordWrap w:val="0"/>
              <w:jc w:val="center"/>
              <w:rPr>
                <w:rFonts w:eastAsia="宋体" w:cs="Times New Roman"/>
                <w:color w:val="000000" w:themeColor="text1"/>
                <w:sz w:val="21"/>
              </w:rPr>
            </w:pPr>
            <w:r>
              <w:rPr>
                <w:rFonts w:hint="eastAsia" w:eastAsia="宋体" w:cs="Times New Roman"/>
                <w:color w:val="000000" w:themeColor="text1"/>
                <w:sz w:val="21"/>
              </w:rPr>
              <w:t>0</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998" w:type="pct"/>
            <w:vAlign w:val="center"/>
          </w:tcPr>
          <w:p>
            <w:pPr>
              <w:wordWrap w:val="0"/>
              <w:jc w:val="center"/>
              <w:rPr>
                <w:rFonts w:eastAsia="宋体" w:cs="Times New Roman"/>
                <w:color w:val="000000" w:themeColor="text1"/>
                <w:sz w:val="21"/>
              </w:rPr>
            </w:pPr>
            <w:r>
              <w:rPr>
                <w:rFonts w:eastAsia="宋体" w:cs="Times New Roman"/>
                <w:color w:val="000000" w:themeColor="text1"/>
                <w:sz w:val="21"/>
              </w:rPr>
              <w:t>点源</w:t>
            </w:r>
          </w:p>
        </w:tc>
        <w:tc>
          <w:tcPr>
            <w:tcW w:w="833" w:type="pct"/>
            <w:vAlign w:val="center"/>
          </w:tcPr>
          <w:p>
            <w:pPr>
              <w:wordWrap w:val="0"/>
              <w:jc w:val="center"/>
              <w:rPr>
                <w:rFonts w:eastAsia="宋体" w:cs="Times New Roman"/>
                <w:color w:val="000000" w:themeColor="text1"/>
                <w:sz w:val="21"/>
              </w:rPr>
            </w:pPr>
            <w:r>
              <w:rPr>
                <w:rFonts w:hint="eastAsia" w:eastAsia="宋体" w:cs="Times New Roman"/>
                <w:color w:val="000000" w:themeColor="text1"/>
                <w:sz w:val="21"/>
              </w:rPr>
              <w:t>NOx</w:t>
            </w:r>
          </w:p>
        </w:tc>
        <w:tc>
          <w:tcPr>
            <w:tcW w:w="1344" w:type="pct"/>
            <w:vAlign w:val="center"/>
          </w:tcPr>
          <w:p>
            <w:pPr>
              <w:wordWrap w:val="0"/>
              <w:jc w:val="center"/>
              <w:rPr>
                <w:rFonts w:eastAsia="宋体" w:cs="Times New Roman"/>
                <w:color w:val="000000" w:themeColor="text1"/>
                <w:sz w:val="21"/>
              </w:rPr>
            </w:pPr>
            <w:r>
              <w:rPr>
                <w:rFonts w:eastAsia="宋体" w:cs="Times New Roman"/>
                <w:color w:val="000000" w:themeColor="text1"/>
                <w:sz w:val="21"/>
              </w:rPr>
              <w:t>200</w:t>
            </w:r>
          </w:p>
        </w:tc>
        <w:tc>
          <w:tcPr>
            <w:tcW w:w="708" w:type="pct"/>
            <w:vAlign w:val="center"/>
          </w:tcPr>
          <w:p>
            <w:pPr>
              <w:wordWrap w:val="0"/>
              <w:jc w:val="center"/>
              <w:rPr>
                <w:rFonts w:eastAsia="宋体" w:cs="Times New Roman"/>
                <w:color w:val="000000" w:themeColor="text1"/>
                <w:sz w:val="21"/>
              </w:rPr>
            </w:pPr>
            <w:r>
              <w:rPr>
                <w:rFonts w:eastAsia="宋体" w:cs="Times New Roman"/>
                <w:color w:val="000000" w:themeColor="text1"/>
                <w:sz w:val="21"/>
              </w:rPr>
              <w:t>9.27E-04</w:t>
            </w:r>
          </w:p>
        </w:tc>
        <w:tc>
          <w:tcPr>
            <w:tcW w:w="626" w:type="pct"/>
            <w:vAlign w:val="center"/>
          </w:tcPr>
          <w:p>
            <w:pPr>
              <w:wordWrap w:val="0"/>
              <w:jc w:val="center"/>
              <w:rPr>
                <w:rFonts w:eastAsia="宋体" w:cs="Times New Roman"/>
                <w:color w:val="000000" w:themeColor="text1"/>
                <w:sz w:val="21"/>
              </w:rPr>
            </w:pPr>
            <w:r>
              <w:rPr>
                <w:rFonts w:hint="eastAsia" w:eastAsia="宋体" w:cs="Times New Roman"/>
                <w:color w:val="000000" w:themeColor="text1"/>
                <w:sz w:val="21"/>
              </w:rPr>
              <w:t>0.46</w:t>
            </w:r>
          </w:p>
        </w:tc>
        <w:tc>
          <w:tcPr>
            <w:tcW w:w="491" w:type="pct"/>
            <w:vAlign w:val="center"/>
          </w:tcPr>
          <w:p>
            <w:pPr>
              <w:wordWrap w:val="0"/>
              <w:jc w:val="center"/>
              <w:rPr>
                <w:rFonts w:eastAsia="宋体" w:cs="Times New Roman"/>
                <w:color w:val="000000" w:themeColor="text1"/>
                <w:sz w:val="21"/>
              </w:rPr>
            </w:pPr>
            <w:r>
              <w:rPr>
                <w:rFonts w:hint="eastAsia" w:eastAsia="宋体" w:cs="Times New Roman"/>
                <w:color w:val="000000" w:themeColor="text1"/>
                <w:sz w:val="21"/>
              </w:rPr>
              <w:t>0</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998" w:type="pct"/>
            <w:vAlign w:val="center"/>
          </w:tcPr>
          <w:p>
            <w:pPr>
              <w:wordWrap w:val="0"/>
              <w:jc w:val="center"/>
              <w:rPr>
                <w:rFonts w:eastAsia="宋体" w:cs="Times New Roman"/>
                <w:color w:val="000000" w:themeColor="text1"/>
                <w:sz w:val="21"/>
              </w:rPr>
            </w:pPr>
            <w:r>
              <w:rPr>
                <w:rFonts w:eastAsia="宋体" w:cs="Times New Roman"/>
                <w:color w:val="000000" w:themeColor="text1"/>
                <w:sz w:val="21"/>
              </w:rPr>
              <w:t>点源</w:t>
            </w:r>
          </w:p>
        </w:tc>
        <w:tc>
          <w:tcPr>
            <w:tcW w:w="833" w:type="pct"/>
            <w:vAlign w:val="center"/>
          </w:tcPr>
          <w:p>
            <w:pPr>
              <w:wordWrap w:val="0"/>
              <w:jc w:val="center"/>
              <w:rPr>
                <w:rFonts w:eastAsia="宋体" w:cs="Times New Roman"/>
                <w:color w:val="000000" w:themeColor="text1"/>
                <w:sz w:val="21"/>
              </w:rPr>
            </w:pPr>
            <w:r>
              <w:rPr>
                <w:rFonts w:hint="eastAsia" w:eastAsia="宋体" w:cs="Times New Roman"/>
                <w:color w:val="000000" w:themeColor="text1"/>
                <w:sz w:val="21"/>
              </w:rPr>
              <w:t>PM</w:t>
            </w:r>
            <w:r>
              <w:rPr>
                <w:rFonts w:hint="eastAsia" w:eastAsia="宋体" w:cs="Times New Roman"/>
                <w:color w:val="000000" w:themeColor="text1"/>
                <w:sz w:val="21"/>
                <w:vertAlign w:val="subscript"/>
              </w:rPr>
              <w:t>10</w:t>
            </w:r>
          </w:p>
        </w:tc>
        <w:tc>
          <w:tcPr>
            <w:tcW w:w="1344" w:type="pct"/>
            <w:vAlign w:val="center"/>
          </w:tcPr>
          <w:p>
            <w:pPr>
              <w:wordWrap w:val="0"/>
              <w:jc w:val="center"/>
              <w:rPr>
                <w:rFonts w:eastAsia="宋体" w:cs="Times New Roman"/>
                <w:color w:val="000000" w:themeColor="text1"/>
                <w:sz w:val="21"/>
              </w:rPr>
            </w:pPr>
            <w:r>
              <w:rPr>
                <w:rFonts w:hint="eastAsia" w:eastAsia="宋体" w:cs="Times New Roman"/>
                <w:color w:val="000000" w:themeColor="text1"/>
                <w:sz w:val="21"/>
              </w:rPr>
              <w:t>150</w:t>
            </w:r>
          </w:p>
        </w:tc>
        <w:tc>
          <w:tcPr>
            <w:tcW w:w="708" w:type="pct"/>
            <w:vAlign w:val="center"/>
          </w:tcPr>
          <w:p>
            <w:pPr>
              <w:wordWrap w:val="0"/>
              <w:jc w:val="center"/>
              <w:rPr>
                <w:rFonts w:eastAsia="宋体" w:cs="Times New Roman"/>
                <w:color w:val="000000" w:themeColor="text1"/>
                <w:sz w:val="21"/>
              </w:rPr>
            </w:pPr>
            <w:r>
              <w:rPr>
                <w:rFonts w:eastAsia="宋体" w:cs="Times New Roman"/>
                <w:color w:val="000000" w:themeColor="text1"/>
                <w:sz w:val="21"/>
              </w:rPr>
              <w:t>6.26E-03</w:t>
            </w:r>
          </w:p>
        </w:tc>
        <w:tc>
          <w:tcPr>
            <w:tcW w:w="626" w:type="pct"/>
            <w:vAlign w:val="center"/>
          </w:tcPr>
          <w:p>
            <w:pPr>
              <w:wordWrap w:val="0"/>
              <w:jc w:val="center"/>
              <w:rPr>
                <w:rFonts w:eastAsia="宋体" w:cs="Times New Roman"/>
                <w:color w:val="000000" w:themeColor="text1"/>
                <w:sz w:val="21"/>
              </w:rPr>
            </w:pPr>
            <w:r>
              <w:rPr>
                <w:rFonts w:hint="eastAsia" w:eastAsia="宋体" w:cs="Times New Roman"/>
                <w:color w:val="000000" w:themeColor="text1"/>
                <w:sz w:val="21"/>
              </w:rPr>
              <w:t>2.98</w:t>
            </w:r>
          </w:p>
        </w:tc>
        <w:tc>
          <w:tcPr>
            <w:tcW w:w="491" w:type="pct"/>
            <w:vAlign w:val="center"/>
          </w:tcPr>
          <w:p>
            <w:pPr>
              <w:wordWrap w:val="0"/>
              <w:jc w:val="center"/>
              <w:rPr>
                <w:rFonts w:eastAsia="宋体" w:cs="Times New Roman"/>
                <w:color w:val="000000" w:themeColor="text1"/>
                <w:sz w:val="21"/>
              </w:rPr>
            </w:pPr>
            <w:r>
              <w:rPr>
                <w:rFonts w:hint="eastAsia" w:eastAsia="宋体" w:cs="Times New Roman"/>
                <w:color w:val="000000" w:themeColor="text1"/>
                <w:sz w:val="21"/>
              </w:rPr>
              <w:t>0</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998" w:type="pct"/>
            <w:vAlign w:val="center"/>
          </w:tcPr>
          <w:p>
            <w:pPr>
              <w:wordWrap w:val="0"/>
              <w:jc w:val="center"/>
              <w:rPr>
                <w:rFonts w:eastAsia="宋体" w:cs="Times New Roman"/>
                <w:color w:val="000000" w:themeColor="text1"/>
                <w:sz w:val="21"/>
              </w:rPr>
            </w:pPr>
            <w:r>
              <w:rPr>
                <w:rFonts w:eastAsia="宋体" w:cs="Times New Roman"/>
                <w:color w:val="000000" w:themeColor="text1"/>
                <w:sz w:val="21"/>
              </w:rPr>
              <w:t>矩形面源</w:t>
            </w:r>
          </w:p>
        </w:tc>
        <w:tc>
          <w:tcPr>
            <w:tcW w:w="833" w:type="pct"/>
            <w:vAlign w:val="center"/>
          </w:tcPr>
          <w:p>
            <w:pPr>
              <w:wordWrap w:val="0"/>
              <w:jc w:val="center"/>
              <w:rPr>
                <w:rFonts w:eastAsia="宋体" w:cs="Times New Roman"/>
                <w:color w:val="000000" w:themeColor="text1"/>
                <w:sz w:val="21"/>
              </w:rPr>
            </w:pPr>
            <w:r>
              <w:rPr>
                <w:rFonts w:eastAsia="宋体" w:cs="Times New Roman"/>
                <w:color w:val="000000" w:themeColor="text1"/>
                <w:sz w:val="21"/>
              </w:rPr>
              <w:t>H</w:t>
            </w:r>
            <w:r>
              <w:rPr>
                <w:rFonts w:eastAsia="宋体" w:cs="Times New Roman"/>
                <w:color w:val="000000" w:themeColor="text1"/>
                <w:sz w:val="21"/>
                <w:vertAlign w:val="subscript"/>
              </w:rPr>
              <w:t>2</w:t>
            </w:r>
            <w:r>
              <w:rPr>
                <w:rFonts w:eastAsia="宋体" w:cs="Times New Roman"/>
                <w:color w:val="000000" w:themeColor="text1"/>
                <w:sz w:val="21"/>
              </w:rPr>
              <w:t>S</w:t>
            </w:r>
          </w:p>
        </w:tc>
        <w:tc>
          <w:tcPr>
            <w:tcW w:w="1344" w:type="pct"/>
            <w:vAlign w:val="center"/>
          </w:tcPr>
          <w:p>
            <w:pPr>
              <w:wordWrap w:val="0"/>
              <w:jc w:val="center"/>
              <w:rPr>
                <w:rFonts w:eastAsia="宋体" w:cs="Times New Roman"/>
                <w:color w:val="000000" w:themeColor="text1"/>
                <w:sz w:val="21"/>
              </w:rPr>
            </w:pPr>
            <w:r>
              <w:rPr>
                <w:rFonts w:eastAsia="宋体" w:cs="Times New Roman"/>
                <w:color w:val="000000" w:themeColor="text1"/>
                <w:sz w:val="21"/>
              </w:rPr>
              <w:t>10</w:t>
            </w:r>
          </w:p>
        </w:tc>
        <w:tc>
          <w:tcPr>
            <w:tcW w:w="708" w:type="pct"/>
            <w:vAlign w:val="center"/>
          </w:tcPr>
          <w:p>
            <w:pPr>
              <w:wordWrap w:val="0"/>
              <w:jc w:val="center"/>
              <w:rPr>
                <w:rFonts w:eastAsia="宋体" w:cs="Times New Roman"/>
                <w:color w:val="000000" w:themeColor="text1"/>
                <w:sz w:val="21"/>
              </w:rPr>
            </w:pPr>
            <w:r>
              <w:rPr>
                <w:rFonts w:eastAsia="宋体" w:cs="Times New Roman"/>
                <w:color w:val="000000" w:themeColor="text1"/>
                <w:sz w:val="21"/>
              </w:rPr>
              <w:t>1.66E-01</w:t>
            </w:r>
          </w:p>
        </w:tc>
        <w:tc>
          <w:tcPr>
            <w:tcW w:w="626" w:type="pct"/>
            <w:vAlign w:val="center"/>
          </w:tcPr>
          <w:p>
            <w:pPr>
              <w:wordWrap w:val="0"/>
              <w:jc w:val="center"/>
              <w:rPr>
                <w:rFonts w:eastAsia="宋体" w:cs="Times New Roman"/>
                <w:color w:val="000000" w:themeColor="text1"/>
                <w:sz w:val="21"/>
              </w:rPr>
            </w:pPr>
            <w:r>
              <w:rPr>
                <w:rFonts w:hint="eastAsia" w:eastAsia="宋体" w:cs="Times New Roman"/>
                <w:color w:val="000000" w:themeColor="text1"/>
                <w:sz w:val="21"/>
              </w:rPr>
              <w:t>1.66</w:t>
            </w:r>
          </w:p>
        </w:tc>
        <w:tc>
          <w:tcPr>
            <w:tcW w:w="491" w:type="pct"/>
            <w:vAlign w:val="center"/>
          </w:tcPr>
          <w:p>
            <w:pPr>
              <w:wordWrap w:val="0"/>
              <w:jc w:val="center"/>
              <w:rPr>
                <w:rFonts w:eastAsia="宋体" w:cs="Times New Roman"/>
                <w:color w:val="000000" w:themeColor="text1"/>
                <w:sz w:val="21"/>
              </w:rPr>
            </w:pPr>
            <w:r>
              <w:rPr>
                <w:rFonts w:hint="eastAsia" w:eastAsia="宋体" w:cs="Times New Roman"/>
                <w:color w:val="000000" w:themeColor="text1"/>
                <w:sz w:val="21"/>
              </w:rPr>
              <w:t>0</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998" w:type="pct"/>
            <w:vAlign w:val="center"/>
          </w:tcPr>
          <w:p>
            <w:pPr>
              <w:wordWrap w:val="0"/>
              <w:jc w:val="center"/>
              <w:rPr>
                <w:rFonts w:eastAsia="宋体" w:cs="Times New Roman"/>
                <w:color w:val="000000" w:themeColor="text1"/>
                <w:sz w:val="21"/>
              </w:rPr>
            </w:pPr>
            <w:r>
              <w:rPr>
                <w:rFonts w:eastAsia="宋体" w:cs="Times New Roman"/>
                <w:color w:val="000000" w:themeColor="text1"/>
                <w:sz w:val="21"/>
              </w:rPr>
              <w:t>矩形面源</w:t>
            </w:r>
          </w:p>
        </w:tc>
        <w:tc>
          <w:tcPr>
            <w:tcW w:w="833" w:type="pct"/>
            <w:vAlign w:val="center"/>
          </w:tcPr>
          <w:p>
            <w:pPr>
              <w:wordWrap w:val="0"/>
              <w:jc w:val="center"/>
              <w:rPr>
                <w:rFonts w:eastAsia="宋体" w:cs="Times New Roman"/>
                <w:color w:val="000000" w:themeColor="text1"/>
                <w:sz w:val="21"/>
              </w:rPr>
            </w:pPr>
            <w:r>
              <w:rPr>
                <w:rFonts w:eastAsia="宋体" w:cs="Times New Roman"/>
                <w:color w:val="000000" w:themeColor="text1"/>
                <w:sz w:val="21"/>
              </w:rPr>
              <w:t>NH</w:t>
            </w:r>
            <w:r>
              <w:rPr>
                <w:rFonts w:eastAsia="宋体" w:cs="Times New Roman"/>
                <w:color w:val="000000" w:themeColor="text1"/>
                <w:sz w:val="21"/>
                <w:vertAlign w:val="subscript"/>
              </w:rPr>
              <w:t>3</w:t>
            </w:r>
          </w:p>
        </w:tc>
        <w:tc>
          <w:tcPr>
            <w:tcW w:w="1344" w:type="pct"/>
            <w:vAlign w:val="center"/>
          </w:tcPr>
          <w:p>
            <w:pPr>
              <w:wordWrap w:val="0"/>
              <w:jc w:val="center"/>
              <w:rPr>
                <w:rFonts w:eastAsia="宋体" w:cs="Times New Roman"/>
                <w:color w:val="000000" w:themeColor="text1"/>
                <w:sz w:val="21"/>
              </w:rPr>
            </w:pPr>
            <w:r>
              <w:rPr>
                <w:rFonts w:eastAsia="宋体" w:cs="Times New Roman"/>
                <w:color w:val="000000" w:themeColor="text1"/>
                <w:sz w:val="21"/>
              </w:rPr>
              <w:t>200</w:t>
            </w:r>
          </w:p>
        </w:tc>
        <w:tc>
          <w:tcPr>
            <w:tcW w:w="708" w:type="pct"/>
            <w:vAlign w:val="center"/>
          </w:tcPr>
          <w:p>
            <w:pPr>
              <w:wordWrap w:val="0"/>
              <w:jc w:val="center"/>
              <w:rPr>
                <w:rFonts w:eastAsia="宋体" w:cs="Times New Roman"/>
                <w:color w:val="000000" w:themeColor="text1"/>
                <w:sz w:val="21"/>
              </w:rPr>
            </w:pPr>
            <w:r>
              <w:rPr>
                <w:rFonts w:eastAsia="宋体" w:cs="Times New Roman"/>
                <w:color w:val="000000" w:themeColor="text1"/>
                <w:sz w:val="21"/>
              </w:rPr>
              <w:t>7.04E-03</w:t>
            </w:r>
          </w:p>
        </w:tc>
        <w:tc>
          <w:tcPr>
            <w:tcW w:w="626" w:type="pct"/>
            <w:vAlign w:val="center"/>
          </w:tcPr>
          <w:p>
            <w:pPr>
              <w:wordWrap w:val="0"/>
              <w:jc w:val="center"/>
              <w:rPr>
                <w:rFonts w:eastAsia="宋体" w:cs="Times New Roman"/>
                <w:color w:val="000000" w:themeColor="text1"/>
                <w:sz w:val="21"/>
              </w:rPr>
            </w:pPr>
            <w:r>
              <w:rPr>
                <w:rFonts w:hint="eastAsia" w:eastAsia="宋体" w:cs="Times New Roman"/>
                <w:color w:val="000000" w:themeColor="text1"/>
                <w:sz w:val="21"/>
              </w:rPr>
              <w:t>0.00</w:t>
            </w:r>
          </w:p>
        </w:tc>
        <w:tc>
          <w:tcPr>
            <w:tcW w:w="491" w:type="pct"/>
            <w:vAlign w:val="center"/>
          </w:tcPr>
          <w:p>
            <w:pPr>
              <w:wordWrap w:val="0"/>
              <w:jc w:val="center"/>
              <w:rPr>
                <w:rFonts w:eastAsia="宋体" w:cs="Times New Roman"/>
                <w:color w:val="000000" w:themeColor="text1"/>
                <w:sz w:val="21"/>
              </w:rPr>
            </w:pPr>
            <w:r>
              <w:rPr>
                <w:rFonts w:hint="eastAsia" w:eastAsia="宋体" w:cs="Times New Roman"/>
                <w:color w:val="000000" w:themeColor="text1"/>
                <w:sz w:val="21"/>
              </w:rPr>
              <w:t>0</w:t>
            </w:r>
          </w:p>
        </w:tc>
      </w:tr>
    </w:tbl>
    <w:p>
      <w:pPr>
        <w:pStyle w:val="14"/>
        <w:ind w:firstLine="480" w:firstLineChars="200"/>
        <w:jc w:val="both"/>
        <w:rPr>
          <w:rFonts w:cs="Times New Roman"/>
          <w:b w:val="0"/>
          <w:szCs w:val="24"/>
        </w:rPr>
      </w:pPr>
      <w:r>
        <w:rPr>
          <w:rFonts w:cs="Times New Roman"/>
          <w:b w:val="0"/>
          <w:color w:val="000000" w:themeColor="text1"/>
          <w:szCs w:val="24"/>
        </w:rPr>
        <w:t>综合以上分析，本项目P</w:t>
      </w:r>
      <w:r>
        <w:rPr>
          <w:rFonts w:cs="Times New Roman"/>
          <w:b w:val="0"/>
          <w:color w:val="000000" w:themeColor="text1"/>
          <w:szCs w:val="24"/>
          <w:vertAlign w:val="subscript"/>
        </w:rPr>
        <w:t>max</w:t>
      </w:r>
      <w:r>
        <w:rPr>
          <w:rFonts w:cs="Times New Roman"/>
          <w:b w:val="0"/>
          <w:color w:val="000000" w:themeColor="text1"/>
          <w:szCs w:val="24"/>
        </w:rPr>
        <w:t>最大值出现为点源排放的PM</w:t>
      </w:r>
      <w:r>
        <w:rPr>
          <w:rFonts w:cs="Times New Roman"/>
          <w:b w:val="0"/>
          <w:color w:val="000000" w:themeColor="text1"/>
          <w:szCs w:val="24"/>
          <w:vertAlign w:val="subscript"/>
        </w:rPr>
        <w:t>10</w:t>
      </w:r>
      <w:r>
        <w:rPr>
          <w:rFonts w:cs="Times New Roman"/>
          <w:b w:val="0"/>
          <w:color w:val="000000" w:themeColor="text1"/>
          <w:szCs w:val="24"/>
        </w:rPr>
        <w:t>，P</w:t>
      </w:r>
      <w:r>
        <w:rPr>
          <w:rFonts w:cs="Times New Roman"/>
          <w:b w:val="0"/>
          <w:color w:val="000000" w:themeColor="text1"/>
          <w:szCs w:val="24"/>
          <w:vertAlign w:val="subscript"/>
        </w:rPr>
        <w:t>max</w:t>
      </w:r>
      <w:r>
        <w:rPr>
          <w:rFonts w:cs="Times New Roman"/>
          <w:b w:val="0"/>
          <w:color w:val="000000" w:themeColor="text1"/>
          <w:szCs w:val="24"/>
        </w:rPr>
        <w:t>值为2.98%，C</w:t>
      </w:r>
      <w:r>
        <w:rPr>
          <w:rFonts w:cs="Times New Roman"/>
          <w:b w:val="0"/>
          <w:color w:val="000000" w:themeColor="text1"/>
          <w:szCs w:val="24"/>
          <w:vertAlign w:val="subscript"/>
        </w:rPr>
        <w:t>max</w:t>
      </w:r>
      <w:r>
        <w:rPr>
          <w:rFonts w:cs="Times New Roman"/>
          <w:b w:val="0"/>
          <w:color w:val="000000" w:themeColor="text1"/>
          <w:szCs w:val="24"/>
        </w:rPr>
        <w:t>为</w:t>
      </w:r>
      <w:r>
        <w:rPr>
          <w:rFonts w:cs="Times New Roman"/>
          <w:b w:val="0"/>
          <w:bCs/>
          <w:color w:val="000000" w:themeColor="text1"/>
          <w:szCs w:val="24"/>
        </w:rPr>
        <w:t>6.26E-03</w:t>
      </w:r>
      <w:r>
        <w:rPr>
          <w:rFonts w:cs="Times New Roman"/>
          <w:b w:val="0"/>
          <w:color w:val="000000" w:themeColor="text1"/>
          <w:szCs w:val="24"/>
        </w:rPr>
        <w:t>ug/m</w:t>
      </w:r>
      <w:r>
        <w:rPr>
          <w:rFonts w:cs="Times New Roman"/>
          <w:b w:val="0"/>
          <w:color w:val="000000" w:themeColor="text1"/>
          <w:szCs w:val="24"/>
          <w:vertAlign w:val="superscript"/>
        </w:rPr>
        <w:t>3</w:t>
      </w:r>
      <w:r>
        <w:rPr>
          <w:rFonts w:cs="Times New Roman"/>
          <w:b w:val="0"/>
          <w:color w:val="000000" w:themeColor="text1"/>
          <w:szCs w:val="24"/>
        </w:rPr>
        <w:t>，根据《环境影响评价技术导则大气环境》(HJ2.2-2018)分级判据，确定本项目大气环境影响评价工作等级为二级。</w:t>
      </w:r>
    </w:p>
    <w:p>
      <w:pPr>
        <w:pStyle w:val="5"/>
        <w:rPr>
          <w:snapToGrid w:val="0"/>
          <w:color w:val="000000" w:themeColor="text1"/>
        </w:rPr>
      </w:pPr>
      <w:r>
        <w:rPr>
          <w:rFonts w:hint="eastAsia"/>
          <w:snapToGrid w:val="0"/>
          <w:color w:val="000000" w:themeColor="text1"/>
        </w:rPr>
        <w:t>水环境</w:t>
      </w:r>
      <w:bookmarkEnd w:id="94"/>
    </w:p>
    <w:p>
      <w:pPr>
        <w:pStyle w:val="56"/>
        <w:adjustRightInd w:val="0"/>
        <w:snapToGrid w:val="0"/>
        <w:rPr>
          <w:color w:val="000000" w:themeColor="text1"/>
        </w:rPr>
      </w:pPr>
      <w:r>
        <w:rPr>
          <w:rFonts w:hint="eastAsia"/>
          <w:color w:val="000000" w:themeColor="text1"/>
        </w:rPr>
        <w:t>地表水</w:t>
      </w:r>
    </w:p>
    <w:p>
      <w:pPr>
        <w:spacing w:line="360" w:lineRule="auto"/>
        <w:ind w:firstLine="480" w:firstLineChars="200"/>
        <w:rPr>
          <w:rFonts w:cs="Times New Roman"/>
          <w:color w:val="000000" w:themeColor="text1"/>
        </w:rPr>
      </w:pPr>
      <w:r>
        <w:rPr>
          <w:rFonts w:cs="Times New Roman"/>
          <w:color w:val="000000" w:themeColor="text1"/>
        </w:rPr>
        <w:t>本项目医院内实行污水分流措施，本医院的住院病人产生的废水、门诊病人产生的废水、洗衣房废水和医护人员的生活废水、检验室废水经过医院自建的污水处理站预处理，达到《医疗机构水污染排放标准》（GB18466-2005）表2中“预处理标准”后排入市政排水管网，再排入马壕污水处理厂处理，医院职工公寓废水经化粪池处理之后排入市政管网，再进入马壕污水处理厂处理。医院食堂废水经隔油沉淀池处理之后再进化粪池处理排入市政管网，再进入马壕污水处理厂处理。</w:t>
      </w:r>
    </w:p>
    <w:p>
      <w:pPr>
        <w:spacing w:line="360" w:lineRule="auto"/>
        <w:ind w:firstLine="480" w:firstLineChars="200"/>
        <w:rPr>
          <w:rFonts w:cs="Times New Roman"/>
          <w:color w:val="FF0000"/>
          <w:szCs w:val="24"/>
        </w:rPr>
      </w:pPr>
      <w:r>
        <w:rPr>
          <w:rFonts w:cs="Times New Roman"/>
          <w:color w:val="000000" w:themeColor="text1"/>
        </w:rPr>
        <w:t>根据以上分析，再根据《</w:t>
      </w:r>
      <w:r>
        <w:rPr>
          <w:rFonts w:cs="Times New Roman"/>
          <w:bCs/>
          <w:color w:val="000000" w:themeColor="text1"/>
        </w:rPr>
        <w:t>环境影响评价技术导则—地表水环境</w:t>
      </w:r>
      <w:r>
        <w:rPr>
          <w:rFonts w:cs="Times New Roman"/>
          <w:color w:val="000000" w:themeColor="text1"/>
        </w:rPr>
        <w:t>》</w:t>
      </w:r>
      <w:r>
        <w:rPr>
          <w:rFonts w:cs="Times New Roman"/>
          <w:bCs/>
          <w:color w:val="000000" w:themeColor="text1"/>
        </w:rPr>
        <w:t>（HJ2.3-2018）中地表水环境影响评价工作等级判据，本项目地表水环境影响评价工作等</w:t>
      </w:r>
      <w:r>
        <w:rPr>
          <w:rFonts w:cs="Times New Roman"/>
          <w:color w:val="000000" w:themeColor="text1"/>
        </w:rPr>
        <w:t>级为三级B，可</w:t>
      </w:r>
      <w:r>
        <w:rPr>
          <w:rFonts w:cs="Times New Roman"/>
          <w:bCs/>
          <w:color w:val="000000" w:themeColor="text1"/>
        </w:rPr>
        <w:t>以不进行地表水环境影响预测，主要评价内容包括：</w:t>
      </w:r>
      <w:r>
        <w:rPr>
          <w:rFonts w:cs="Times New Roman" w:hAnsiTheme="minorEastAsia"/>
          <w:color w:val="000000" w:themeColor="text1"/>
        </w:rPr>
        <w:t>①</w:t>
      </w:r>
      <w:r>
        <w:rPr>
          <w:rFonts w:cs="Times New Roman"/>
          <w:color w:val="000000" w:themeColor="text1"/>
        </w:rPr>
        <w:t>水污染物控制和水环境影响减缓措施有效性评价；</w:t>
      </w:r>
      <w:r>
        <w:rPr>
          <w:rFonts w:cs="Times New Roman" w:hAnsiTheme="minorEastAsia"/>
          <w:color w:val="000000" w:themeColor="text1"/>
        </w:rPr>
        <w:t>②</w:t>
      </w:r>
      <w:r>
        <w:rPr>
          <w:rFonts w:cs="Times New Roman"/>
          <w:color w:val="000000" w:themeColor="text1"/>
        </w:rPr>
        <w:t>依托污水设施的环境可行性评价。</w:t>
      </w:r>
      <w:r>
        <w:rPr>
          <w:rFonts w:cs="Times New Roman"/>
          <w:bCs/>
        </w:rPr>
        <w:t>对地表水环境影响评价工作等级判据具体见</w:t>
      </w:r>
      <w:r>
        <w:fldChar w:fldCharType="begin"/>
      </w:r>
      <w:r>
        <w:instrText xml:space="preserve"> REF _Ref531335409 \h  \* MERGEFORMAT </w:instrText>
      </w:r>
      <w:r>
        <w:fldChar w:fldCharType="separate"/>
      </w:r>
      <w:r>
        <w:rPr>
          <w:rFonts w:cs="Times New Roman"/>
          <w:color w:val="000000" w:themeColor="text1"/>
          <w:szCs w:val="24"/>
        </w:rPr>
        <w:t>表1.7</w:t>
      </w:r>
      <w:r>
        <w:rPr>
          <w:rFonts w:cs="Times New Roman"/>
          <w:color w:val="000000" w:themeColor="text1"/>
          <w:szCs w:val="24"/>
        </w:rPr>
        <w:noBreakHyphen/>
      </w:r>
      <w:r>
        <w:rPr>
          <w:rFonts w:cs="Times New Roman"/>
          <w:color w:val="000000" w:themeColor="text1"/>
          <w:szCs w:val="24"/>
        </w:rPr>
        <w:t>7</w:t>
      </w:r>
      <w:r>
        <w:rPr>
          <w:rFonts w:cs="Times New Roman"/>
          <w:color w:val="000000" w:themeColor="text1"/>
          <w:szCs w:val="24"/>
        </w:rPr>
        <w:fldChar w:fldCharType="end"/>
      </w:r>
      <w:r>
        <w:rPr>
          <w:rFonts w:cs="Times New Roman"/>
          <w:color w:val="000000" w:themeColor="text1"/>
          <w:szCs w:val="24"/>
        </w:rPr>
        <w:t>。</w:t>
      </w:r>
    </w:p>
    <w:p>
      <w:pPr>
        <w:pStyle w:val="14"/>
        <w:spacing w:line="240" w:lineRule="auto"/>
      </w:pPr>
      <w:bookmarkStart w:id="95" w:name="_Ref528452768"/>
      <w:bookmarkStart w:id="96" w:name="_Ref531335409"/>
      <w:r>
        <w:rPr>
          <w:rFonts w:hint="eastAsia" w:hAnsi="宋体" w:cs="Times New Roman"/>
          <w:color w:val="000000" w:themeColor="text1"/>
        </w:rPr>
        <w:t>表</w:t>
      </w:r>
      <w:bookmarkEnd w:id="95"/>
      <w:r>
        <w:rPr>
          <w:rFonts w:hAnsi="宋体" w:cs="Times New Roman"/>
          <w:color w:val="000000" w:themeColor="text1"/>
        </w:rPr>
        <w:fldChar w:fldCharType="begin"/>
      </w:r>
      <w:r>
        <w:rPr>
          <w:rFonts w:hAnsi="宋体" w:cs="Times New Roman"/>
          <w:color w:val="000000" w:themeColor="text1"/>
        </w:rPr>
        <w:instrText xml:space="preserve"> </w:instrText>
      </w:r>
      <w:r>
        <w:rPr>
          <w:rFonts w:hint="eastAsia" w:hAnsi="宋体" w:cs="Times New Roman"/>
          <w:color w:val="000000" w:themeColor="text1"/>
        </w:rPr>
        <w:instrText xml:space="preserve">STYLEREF 2 \s</w:instrText>
      </w:r>
      <w:r>
        <w:rPr>
          <w:rFonts w:hAnsi="宋体" w:cs="Times New Roman"/>
          <w:color w:val="000000" w:themeColor="text1"/>
        </w:rPr>
        <w:instrText xml:space="preserve"> </w:instrText>
      </w:r>
      <w:r>
        <w:rPr>
          <w:rFonts w:hAnsi="宋体" w:cs="Times New Roman"/>
          <w:color w:val="000000" w:themeColor="text1"/>
        </w:rPr>
        <w:fldChar w:fldCharType="separate"/>
      </w:r>
      <w:r>
        <w:rPr>
          <w:rFonts w:hAnsi="宋体" w:cs="Times New Roman"/>
          <w:color w:val="000000" w:themeColor="text1"/>
        </w:rPr>
        <w:t>1.7</w:t>
      </w:r>
      <w:r>
        <w:rPr>
          <w:rFonts w:hAnsi="宋体" w:cs="Times New Roman"/>
          <w:color w:val="000000" w:themeColor="text1"/>
        </w:rPr>
        <w:fldChar w:fldCharType="end"/>
      </w:r>
      <w:r>
        <w:rPr>
          <w:rFonts w:hAnsi="宋体" w:cs="Times New Roman"/>
          <w:color w:val="000000" w:themeColor="text1"/>
        </w:rPr>
        <w:noBreakHyphen/>
      </w:r>
      <w:r>
        <w:rPr>
          <w:rFonts w:hAnsi="宋体" w:cs="Times New Roman"/>
          <w:color w:val="000000" w:themeColor="text1"/>
        </w:rPr>
        <w:fldChar w:fldCharType="begin"/>
      </w:r>
      <w:r>
        <w:rPr>
          <w:rFonts w:hAnsi="宋体" w:cs="Times New Roman"/>
          <w:color w:val="000000" w:themeColor="text1"/>
        </w:rPr>
        <w:instrText xml:space="preserve"> </w:instrText>
      </w:r>
      <w:r>
        <w:rPr>
          <w:rFonts w:hint="eastAsia" w:hAnsi="宋体" w:cs="Times New Roman"/>
          <w:color w:val="000000" w:themeColor="text1"/>
        </w:rPr>
        <w:instrText xml:space="preserve">SEQ 表 \* ARABIC \s 2</w:instrText>
      </w:r>
      <w:r>
        <w:rPr>
          <w:rFonts w:hAnsi="宋体" w:cs="Times New Roman"/>
          <w:color w:val="000000" w:themeColor="text1"/>
        </w:rPr>
        <w:instrText xml:space="preserve"> </w:instrText>
      </w:r>
      <w:r>
        <w:rPr>
          <w:rFonts w:hAnsi="宋体" w:cs="Times New Roman"/>
          <w:color w:val="000000" w:themeColor="text1"/>
        </w:rPr>
        <w:fldChar w:fldCharType="separate"/>
      </w:r>
      <w:r>
        <w:rPr>
          <w:rFonts w:hAnsi="宋体" w:cs="Times New Roman"/>
          <w:color w:val="000000" w:themeColor="text1"/>
        </w:rPr>
        <w:t>7</w:t>
      </w:r>
      <w:r>
        <w:rPr>
          <w:rFonts w:hAnsi="宋体" w:cs="Times New Roman"/>
          <w:color w:val="000000" w:themeColor="text1"/>
        </w:rPr>
        <w:fldChar w:fldCharType="end"/>
      </w:r>
      <w:bookmarkEnd w:id="96"/>
      <w:r>
        <w:rPr>
          <w:rFonts w:hint="eastAsia" w:hAnsi="宋体" w:cs="Times New Roman"/>
          <w:color w:val="000000" w:themeColor="text1"/>
        </w:rPr>
        <w:t xml:space="preserve"> </w:t>
      </w:r>
      <w:r>
        <w:rPr>
          <w:rFonts w:hint="eastAsia"/>
          <w:color w:val="000000" w:themeColor="text1"/>
        </w:rPr>
        <w:t>地表水环境影响评价工作等级判据</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2126"/>
        <w:gridCol w:w="5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restart"/>
            <w:vAlign w:val="center"/>
          </w:tcPr>
          <w:p>
            <w:pPr>
              <w:pStyle w:val="14"/>
              <w:spacing w:line="240" w:lineRule="auto"/>
              <w:rPr>
                <w:b w:val="0"/>
                <w:sz w:val="21"/>
                <w:szCs w:val="21"/>
              </w:rPr>
            </w:pPr>
            <w:r>
              <w:rPr>
                <w:rFonts w:hint="eastAsia"/>
                <w:b w:val="0"/>
                <w:sz w:val="21"/>
                <w:szCs w:val="21"/>
              </w:rPr>
              <w:t>评价等级</w:t>
            </w:r>
          </w:p>
        </w:tc>
        <w:tc>
          <w:tcPr>
            <w:tcW w:w="7716" w:type="dxa"/>
            <w:gridSpan w:val="2"/>
            <w:vAlign w:val="center"/>
          </w:tcPr>
          <w:p>
            <w:pPr>
              <w:pStyle w:val="14"/>
              <w:spacing w:line="240" w:lineRule="auto"/>
              <w:rPr>
                <w:b w:val="0"/>
                <w:sz w:val="21"/>
                <w:szCs w:val="21"/>
              </w:rPr>
            </w:pPr>
            <w:r>
              <w:rPr>
                <w:rFonts w:hint="eastAsia"/>
                <w:b w:val="0"/>
                <w:sz w:val="21"/>
                <w:szCs w:val="21"/>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tcPr>
          <w:p>
            <w:pPr>
              <w:pStyle w:val="14"/>
              <w:spacing w:line="240" w:lineRule="auto"/>
              <w:rPr>
                <w:b w:val="0"/>
                <w:sz w:val="21"/>
                <w:szCs w:val="21"/>
              </w:rPr>
            </w:pPr>
          </w:p>
        </w:tc>
        <w:tc>
          <w:tcPr>
            <w:tcW w:w="2126" w:type="dxa"/>
            <w:vAlign w:val="center"/>
          </w:tcPr>
          <w:p>
            <w:pPr>
              <w:pStyle w:val="14"/>
              <w:spacing w:line="240" w:lineRule="auto"/>
              <w:rPr>
                <w:b w:val="0"/>
                <w:sz w:val="21"/>
                <w:szCs w:val="21"/>
              </w:rPr>
            </w:pPr>
            <w:r>
              <w:rPr>
                <w:rFonts w:hint="eastAsia"/>
                <w:b w:val="0"/>
                <w:sz w:val="21"/>
                <w:szCs w:val="21"/>
              </w:rPr>
              <w:t>排放方式</w:t>
            </w:r>
          </w:p>
        </w:tc>
        <w:tc>
          <w:tcPr>
            <w:tcW w:w="5590" w:type="dxa"/>
            <w:vAlign w:val="center"/>
          </w:tcPr>
          <w:p>
            <w:pPr>
              <w:pStyle w:val="14"/>
              <w:spacing w:line="240" w:lineRule="auto"/>
              <w:rPr>
                <w:b w:val="0"/>
                <w:sz w:val="21"/>
                <w:szCs w:val="21"/>
              </w:rPr>
            </w:pPr>
            <w:r>
              <w:rPr>
                <w:rFonts w:hint="eastAsia"/>
                <w:b w:val="0"/>
                <w:sz w:val="21"/>
                <w:szCs w:val="21"/>
              </w:rPr>
              <w:t>废水排放量Q/（m</w:t>
            </w:r>
            <w:r>
              <w:rPr>
                <w:rFonts w:hint="eastAsia"/>
                <w:b w:val="0"/>
                <w:sz w:val="21"/>
                <w:szCs w:val="21"/>
                <w:vertAlign w:val="superscript"/>
              </w:rPr>
              <w:t>3</w:t>
            </w:r>
            <w:r>
              <w:rPr>
                <w:rFonts w:hint="eastAsia"/>
                <w:b w:val="0"/>
                <w:sz w:val="21"/>
                <w:szCs w:val="21"/>
              </w:rPr>
              <w:t>/d）；水污染物当数W/（量纲一）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pPr>
              <w:pStyle w:val="14"/>
              <w:spacing w:line="240" w:lineRule="auto"/>
              <w:rPr>
                <w:b w:val="0"/>
                <w:sz w:val="21"/>
                <w:szCs w:val="21"/>
              </w:rPr>
            </w:pPr>
            <w:r>
              <w:rPr>
                <w:rFonts w:hint="eastAsia"/>
                <w:b w:val="0"/>
                <w:sz w:val="21"/>
                <w:szCs w:val="21"/>
              </w:rPr>
              <w:t>一级</w:t>
            </w:r>
          </w:p>
        </w:tc>
        <w:tc>
          <w:tcPr>
            <w:tcW w:w="2126" w:type="dxa"/>
          </w:tcPr>
          <w:p>
            <w:pPr>
              <w:pStyle w:val="14"/>
              <w:spacing w:line="240" w:lineRule="auto"/>
              <w:rPr>
                <w:b w:val="0"/>
                <w:sz w:val="21"/>
                <w:szCs w:val="21"/>
              </w:rPr>
            </w:pPr>
            <w:r>
              <w:rPr>
                <w:rFonts w:hint="eastAsia"/>
                <w:b w:val="0"/>
                <w:sz w:val="21"/>
                <w:szCs w:val="21"/>
              </w:rPr>
              <w:t>直接排放</w:t>
            </w:r>
          </w:p>
        </w:tc>
        <w:tc>
          <w:tcPr>
            <w:tcW w:w="5590" w:type="dxa"/>
            <w:vAlign w:val="center"/>
          </w:tcPr>
          <w:p>
            <w:pPr>
              <w:pStyle w:val="14"/>
              <w:spacing w:line="240" w:lineRule="auto"/>
              <w:rPr>
                <w:b w:val="0"/>
                <w:sz w:val="21"/>
                <w:szCs w:val="21"/>
              </w:rPr>
            </w:pPr>
            <w:r>
              <w:rPr>
                <w:rFonts w:hint="eastAsia"/>
                <w:b w:val="0"/>
                <w:sz w:val="21"/>
                <w:szCs w:val="21"/>
              </w:rPr>
              <w:t>Q≥20000或W≥600000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pPr>
              <w:pStyle w:val="14"/>
              <w:spacing w:line="240" w:lineRule="auto"/>
              <w:rPr>
                <w:b w:val="0"/>
                <w:sz w:val="21"/>
                <w:szCs w:val="21"/>
              </w:rPr>
            </w:pPr>
            <w:r>
              <w:rPr>
                <w:rFonts w:hint="eastAsia"/>
                <w:b w:val="0"/>
                <w:sz w:val="21"/>
                <w:szCs w:val="21"/>
              </w:rPr>
              <w:t>二级</w:t>
            </w:r>
          </w:p>
        </w:tc>
        <w:tc>
          <w:tcPr>
            <w:tcW w:w="2126" w:type="dxa"/>
          </w:tcPr>
          <w:p>
            <w:pPr>
              <w:pStyle w:val="14"/>
              <w:spacing w:line="240" w:lineRule="auto"/>
              <w:rPr>
                <w:b w:val="0"/>
                <w:sz w:val="21"/>
                <w:szCs w:val="21"/>
              </w:rPr>
            </w:pPr>
            <w:r>
              <w:rPr>
                <w:rFonts w:hint="eastAsia"/>
                <w:b w:val="0"/>
                <w:sz w:val="21"/>
                <w:szCs w:val="21"/>
              </w:rPr>
              <w:t>直接排放</w:t>
            </w:r>
          </w:p>
        </w:tc>
        <w:tc>
          <w:tcPr>
            <w:tcW w:w="5590" w:type="dxa"/>
            <w:vAlign w:val="center"/>
          </w:tcPr>
          <w:p>
            <w:pPr>
              <w:pStyle w:val="14"/>
              <w:spacing w:line="240" w:lineRule="auto"/>
              <w:rPr>
                <w:b w:val="0"/>
                <w:sz w:val="21"/>
                <w:szCs w:val="21"/>
              </w:rPr>
            </w:pPr>
            <w:r>
              <w:rPr>
                <w:rFonts w:hint="eastAsia"/>
                <w:b w:val="0"/>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pPr>
              <w:pStyle w:val="14"/>
              <w:spacing w:line="240" w:lineRule="auto"/>
              <w:rPr>
                <w:b w:val="0"/>
                <w:sz w:val="21"/>
                <w:szCs w:val="21"/>
              </w:rPr>
            </w:pPr>
            <w:r>
              <w:rPr>
                <w:rFonts w:hint="eastAsia"/>
                <w:b w:val="0"/>
                <w:sz w:val="21"/>
                <w:szCs w:val="21"/>
              </w:rPr>
              <w:t>三级A</w:t>
            </w:r>
          </w:p>
        </w:tc>
        <w:tc>
          <w:tcPr>
            <w:tcW w:w="2126" w:type="dxa"/>
          </w:tcPr>
          <w:p>
            <w:pPr>
              <w:pStyle w:val="14"/>
              <w:spacing w:line="240" w:lineRule="auto"/>
              <w:rPr>
                <w:b w:val="0"/>
                <w:sz w:val="21"/>
                <w:szCs w:val="21"/>
              </w:rPr>
            </w:pPr>
            <w:r>
              <w:rPr>
                <w:rFonts w:hint="eastAsia"/>
                <w:b w:val="0"/>
                <w:sz w:val="21"/>
                <w:szCs w:val="21"/>
              </w:rPr>
              <w:t>直接排放</w:t>
            </w:r>
          </w:p>
        </w:tc>
        <w:tc>
          <w:tcPr>
            <w:tcW w:w="5590" w:type="dxa"/>
            <w:vAlign w:val="center"/>
          </w:tcPr>
          <w:p>
            <w:pPr>
              <w:pStyle w:val="14"/>
              <w:spacing w:line="240" w:lineRule="auto"/>
              <w:rPr>
                <w:b w:val="0"/>
                <w:sz w:val="21"/>
                <w:szCs w:val="21"/>
              </w:rPr>
            </w:pPr>
            <w:r>
              <w:rPr>
                <w:rFonts w:hint="eastAsia"/>
                <w:b w:val="0"/>
                <w:sz w:val="21"/>
                <w:szCs w:val="21"/>
              </w:rPr>
              <w:t>Q＜200且W＜6000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pPr>
              <w:pStyle w:val="14"/>
              <w:spacing w:line="240" w:lineRule="auto"/>
              <w:rPr>
                <w:b w:val="0"/>
                <w:sz w:val="21"/>
                <w:szCs w:val="21"/>
              </w:rPr>
            </w:pPr>
            <w:r>
              <w:rPr>
                <w:rFonts w:hint="eastAsia"/>
                <w:b w:val="0"/>
                <w:sz w:val="21"/>
                <w:szCs w:val="21"/>
              </w:rPr>
              <w:t>三级B</w:t>
            </w:r>
          </w:p>
        </w:tc>
        <w:tc>
          <w:tcPr>
            <w:tcW w:w="2126" w:type="dxa"/>
          </w:tcPr>
          <w:p>
            <w:pPr>
              <w:pStyle w:val="14"/>
              <w:spacing w:line="240" w:lineRule="auto"/>
              <w:rPr>
                <w:b w:val="0"/>
                <w:sz w:val="21"/>
                <w:szCs w:val="21"/>
              </w:rPr>
            </w:pPr>
            <w:r>
              <w:rPr>
                <w:rFonts w:hint="eastAsia"/>
                <w:b w:val="0"/>
                <w:sz w:val="21"/>
                <w:szCs w:val="21"/>
              </w:rPr>
              <w:t>间接排放</w:t>
            </w:r>
          </w:p>
        </w:tc>
        <w:tc>
          <w:tcPr>
            <w:tcW w:w="5590" w:type="dxa"/>
          </w:tcPr>
          <w:p>
            <w:pPr>
              <w:pStyle w:val="14"/>
              <w:spacing w:line="240" w:lineRule="auto"/>
              <w:rPr>
                <w:b w:val="0"/>
                <w:sz w:val="21"/>
                <w:szCs w:val="21"/>
              </w:rPr>
            </w:pPr>
            <w:r>
              <w:rPr>
                <w:rFonts w:hint="eastAsia"/>
                <w:b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3"/>
          </w:tcPr>
          <w:p>
            <w:pPr>
              <w:pStyle w:val="14"/>
              <w:adjustRightInd w:val="0"/>
              <w:snapToGrid w:val="0"/>
              <w:spacing w:line="240" w:lineRule="auto"/>
              <w:jc w:val="both"/>
              <w:rPr>
                <w:rFonts w:cs="Times New Roman"/>
                <w:b w:val="0"/>
                <w:sz w:val="21"/>
                <w:szCs w:val="21"/>
              </w:rPr>
            </w:pPr>
            <w:r>
              <w:rPr>
                <w:rFonts w:cs="Times New Roman"/>
                <w:b w:val="0"/>
                <w:sz w:val="21"/>
                <w:szCs w:val="21"/>
              </w:rPr>
              <w:t>注1：水污染物当量数等于该污染物的年排放量除以该污染物的污染当量值（见附录A），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pPr>
              <w:pStyle w:val="14"/>
              <w:adjustRightInd w:val="0"/>
              <w:snapToGrid w:val="0"/>
              <w:spacing w:line="240" w:lineRule="auto"/>
              <w:jc w:val="both"/>
              <w:rPr>
                <w:rFonts w:cs="Times New Roman"/>
                <w:b w:val="0"/>
                <w:sz w:val="21"/>
                <w:szCs w:val="21"/>
              </w:rPr>
            </w:pPr>
            <w:r>
              <w:rPr>
                <w:rFonts w:cs="Times New Roman"/>
                <w:b w:val="0"/>
                <w:sz w:val="21"/>
                <w:szCs w:val="21"/>
              </w:rPr>
              <w:t>注2：废水排放量按行业排放标准中规定的废水种类统计，没有相关行业排放标准要求的通过工程分析合理确定，应统计含热量大的冷却水的排放量，可不统计间接冷却水、循环水及其他含污染物极少的清净下水的排放量。</w:t>
            </w:r>
          </w:p>
          <w:p>
            <w:pPr>
              <w:pStyle w:val="14"/>
              <w:adjustRightInd w:val="0"/>
              <w:snapToGrid w:val="0"/>
              <w:spacing w:line="240" w:lineRule="auto"/>
              <w:jc w:val="both"/>
              <w:rPr>
                <w:rFonts w:cs="Times New Roman"/>
                <w:b w:val="0"/>
                <w:sz w:val="21"/>
                <w:szCs w:val="21"/>
              </w:rPr>
            </w:pPr>
            <w:r>
              <w:rPr>
                <w:rFonts w:cs="Times New Roman"/>
                <w:b w:val="0"/>
                <w:sz w:val="21"/>
                <w:szCs w:val="21"/>
              </w:rPr>
              <w:t>注3：厂区存在堆积物（露天堆放的原料、燃料、废渣等以及垃圾堆放场）、降尘污染的，应将初期雨污水纳入废水排放量，相应的主要污染物纳入水污染当量计算。</w:t>
            </w:r>
          </w:p>
          <w:p>
            <w:pPr>
              <w:pStyle w:val="14"/>
              <w:adjustRightInd w:val="0"/>
              <w:snapToGrid w:val="0"/>
              <w:spacing w:line="240" w:lineRule="auto"/>
              <w:jc w:val="both"/>
              <w:rPr>
                <w:rFonts w:cs="Times New Roman"/>
                <w:b w:val="0"/>
                <w:sz w:val="21"/>
                <w:szCs w:val="21"/>
              </w:rPr>
            </w:pPr>
            <w:r>
              <w:rPr>
                <w:rFonts w:cs="Times New Roman"/>
                <w:b w:val="0"/>
                <w:sz w:val="21"/>
                <w:szCs w:val="21"/>
              </w:rPr>
              <w:t>注4：建设项目直接排放第一类污染物的，其评价等级为一级；建设项目直接排放的污染物为受纳水体超标因子的，评价等级不低于二级。</w:t>
            </w:r>
          </w:p>
          <w:p>
            <w:pPr>
              <w:pStyle w:val="14"/>
              <w:adjustRightInd w:val="0"/>
              <w:snapToGrid w:val="0"/>
              <w:spacing w:line="240" w:lineRule="auto"/>
              <w:jc w:val="both"/>
              <w:rPr>
                <w:rFonts w:cs="Times New Roman"/>
                <w:b w:val="0"/>
                <w:sz w:val="21"/>
                <w:szCs w:val="21"/>
              </w:rPr>
            </w:pPr>
            <w:r>
              <w:rPr>
                <w:rFonts w:cs="Times New Roman"/>
                <w:b w:val="0"/>
                <w:sz w:val="21"/>
                <w:szCs w:val="21"/>
              </w:rPr>
              <w:t>注5：直接排放受纳水体影响范围涉及饮用水水源保护区、饮用水取水口、重点保护与珍稀水生生物的栖息地、重要水生生物的自然产卵场等保护目标时，评价等级不低于二级。</w:t>
            </w:r>
          </w:p>
          <w:p>
            <w:pPr>
              <w:pStyle w:val="14"/>
              <w:adjustRightInd w:val="0"/>
              <w:snapToGrid w:val="0"/>
              <w:spacing w:line="240" w:lineRule="auto"/>
              <w:jc w:val="both"/>
              <w:rPr>
                <w:rFonts w:cs="Times New Roman"/>
                <w:b w:val="0"/>
                <w:sz w:val="21"/>
                <w:szCs w:val="21"/>
              </w:rPr>
            </w:pPr>
            <w:r>
              <w:rPr>
                <w:rFonts w:cs="Times New Roman"/>
                <w:b w:val="0"/>
                <w:sz w:val="21"/>
                <w:szCs w:val="21"/>
              </w:rPr>
              <w:t>注6：建设项目向河流、湖库排放温排水引起受纳水体水温变化超过水环境质量标准要求，且评价范围有水温敏感目标时，评价等级为一级。</w:t>
            </w:r>
          </w:p>
          <w:p>
            <w:pPr>
              <w:pStyle w:val="14"/>
              <w:adjustRightInd w:val="0"/>
              <w:snapToGrid w:val="0"/>
              <w:spacing w:line="240" w:lineRule="auto"/>
              <w:jc w:val="both"/>
              <w:rPr>
                <w:rFonts w:cs="Times New Roman"/>
                <w:b w:val="0"/>
                <w:sz w:val="21"/>
                <w:szCs w:val="21"/>
              </w:rPr>
            </w:pPr>
            <w:r>
              <w:rPr>
                <w:rFonts w:cs="Times New Roman"/>
                <w:b w:val="0"/>
                <w:sz w:val="21"/>
                <w:szCs w:val="21"/>
              </w:rPr>
              <w:t>注7：建设项目利用海水作为调节温度介质，排水量≥500万m</w:t>
            </w:r>
            <w:r>
              <w:rPr>
                <w:rFonts w:cs="Times New Roman"/>
                <w:b w:val="0"/>
                <w:sz w:val="21"/>
                <w:szCs w:val="21"/>
                <w:vertAlign w:val="superscript"/>
              </w:rPr>
              <w:t>3</w:t>
            </w:r>
            <w:r>
              <w:rPr>
                <w:rFonts w:cs="Times New Roman"/>
                <w:b w:val="0"/>
                <w:sz w:val="21"/>
                <w:szCs w:val="21"/>
              </w:rPr>
              <w:t>/d，评价等级为一级；排水量＜500万m</w:t>
            </w:r>
            <w:r>
              <w:rPr>
                <w:rFonts w:cs="Times New Roman"/>
                <w:b w:val="0"/>
                <w:sz w:val="21"/>
                <w:szCs w:val="21"/>
                <w:vertAlign w:val="superscript"/>
              </w:rPr>
              <w:t>3</w:t>
            </w:r>
            <w:r>
              <w:rPr>
                <w:rFonts w:cs="Times New Roman"/>
                <w:b w:val="0"/>
                <w:sz w:val="21"/>
                <w:szCs w:val="21"/>
              </w:rPr>
              <w:t>/d，评价等级为二级。</w:t>
            </w:r>
          </w:p>
          <w:p>
            <w:pPr>
              <w:pStyle w:val="14"/>
              <w:adjustRightInd w:val="0"/>
              <w:snapToGrid w:val="0"/>
              <w:spacing w:line="240" w:lineRule="auto"/>
              <w:jc w:val="both"/>
              <w:rPr>
                <w:rFonts w:cs="Times New Roman"/>
                <w:b w:val="0"/>
                <w:sz w:val="21"/>
                <w:szCs w:val="21"/>
              </w:rPr>
            </w:pPr>
            <w:r>
              <w:rPr>
                <w:rFonts w:cs="Times New Roman"/>
                <w:b w:val="0"/>
                <w:sz w:val="21"/>
                <w:szCs w:val="21"/>
              </w:rPr>
              <w:t>注8：仅涉及清净下水排放的，如其排放水质满足受纳水体水环境质量标准要求的，评价等级为三级A。</w:t>
            </w:r>
          </w:p>
          <w:p>
            <w:pPr>
              <w:pStyle w:val="14"/>
              <w:adjustRightInd w:val="0"/>
              <w:snapToGrid w:val="0"/>
              <w:spacing w:line="240" w:lineRule="auto"/>
              <w:jc w:val="both"/>
              <w:rPr>
                <w:rFonts w:cs="Times New Roman"/>
                <w:b w:val="0"/>
                <w:sz w:val="21"/>
                <w:szCs w:val="21"/>
              </w:rPr>
            </w:pPr>
            <w:r>
              <w:rPr>
                <w:rFonts w:cs="Times New Roman"/>
                <w:b w:val="0"/>
                <w:sz w:val="21"/>
                <w:szCs w:val="21"/>
              </w:rPr>
              <w:t>注9：依托现有排放口，且对外环境未新增排放污染物的直接排放建设项目，评价等级参照间接排放，定为三级B。</w:t>
            </w:r>
          </w:p>
          <w:p>
            <w:pPr>
              <w:pStyle w:val="14"/>
              <w:adjustRightInd w:val="0"/>
              <w:snapToGrid w:val="0"/>
              <w:spacing w:line="240" w:lineRule="auto"/>
              <w:jc w:val="both"/>
              <w:rPr>
                <w:b w:val="0"/>
                <w:sz w:val="21"/>
                <w:szCs w:val="21"/>
              </w:rPr>
            </w:pPr>
            <w:r>
              <w:rPr>
                <w:rFonts w:cs="Times New Roman"/>
                <w:b w:val="0"/>
                <w:sz w:val="21"/>
                <w:szCs w:val="21"/>
              </w:rPr>
              <w:t>注10：建设项目生产工艺中有废水产生，但作为回水利用，不排放到外环境的，按三级B评价。</w:t>
            </w:r>
          </w:p>
        </w:tc>
      </w:tr>
    </w:tbl>
    <w:p>
      <w:pPr>
        <w:pStyle w:val="56"/>
        <w:rPr>
          <w:color w:val="000000" w:themeColor="text1"/>
        </w:rPr>
      </w:pPr>
      <w:r>
        <w:rPr>
          <w:rFonts w:hint="eastAsia"/>
          <w:color w:val="000000" w:themeColor="text1"/>
        </w:rPr>
        <w:t>地下水</w:t>
      </w:r>
    </w:p>
    <w:p>
      <w:pPr>
        <w:spacing w:line="360" w:lineRule="auto"/>
        <w:ind w:firstLine="480" w:firstLineChars="200"/>
        <w:rPr>
          <w:rFonts w:cs="Times New Roman"/>
          <w:color w:val="000000" w:themeColor="text1"/>
        </w:rPr>
      </w:pPr>
      <w:r>
        <w:rPr>
          <w:rFonts w:cs="Times New Roman"/>
          <w:color w:val="000000" w:themeColor="text1"/>
        </w:rPr>
        <w:t>根据</w:t>
      </w:r>
      <w:r>
        <w:rPr>
          <w:rFonts w:hint="eastAsia" w:cs="Times New Roman"/>
          <w:color w:val="000000" w:themeColor="text1"/>
        </w:rPr>
        <w:t>《环境影响评价技术导则  地下水环境》（HJ610-2016）有关规定，本项目属于</w:t>
      </w:r>
      <w:r>
        <w:rPr>
          <w:rFonts w:cs="Times New Roman"/>
          <w:color w:val="000000" w:themeColor="text1"/>
        </w:rPr>
        <w:t>Ⅳ类建设项目（除需要编制报告书的三甲医院为Ⅲ类项目，其余均为Ⅳ类项目</w:t>
      </w:r>
      <w:r>
        <w:rPr>
          <w:rFonts w:hint="eastAsia" w:cs="Times New Roman"/>
          <w:color w:val="000000" w:themeColor="text1"/>
        </w:rPr>
        <w:t>），</w:t>
      </w:r>
      <w:r>
        <w:rPr>
          <w:rFonts w:cs="Times New Roman"/>
          <w:color w:val="000000" w:themeColor="text1"/>
        </w:rPr>
        <w:t>本项目不属于三甲医院</w:t>
      </w:r>
      <w:r>
        <w:rPr>
          <w:rFonts w:hint="eastAsia" w:cs="Times New Roman"/>
          <w:color w:val="000000" w:themeColor="text1"/>
        </w:rPr>
        <w:t>，</w:t>
      </w:r>
      <w:r>
        <w:rPr>
          <w:rFonts w:cs="Times New Roman"/>
          <w:color w:val="000000" w:themeColor="text1"/>
        </w:rPr>
        <w:t>因此为Ⅳ类项目</w:t>
      </w:r>
      <w:r>
        <w:rPr>
          <w:rFonts w:hint="eastAsia" w:cs="Times New Roman"/>
          <w:color w:val="000000" w:themeColor="text1"/>
        </w:rPr>
        <w:t>。</w:t>
      </w:r>
      <w:r>
        <w:rPr>
          <w:rFonts w:cs="Times New Roman"/>
          <w:color w:val="000000" w:themeColor="text1"/>
        </w:rPr>
        <w:t>根据导则</w:t>
      </w:r>
      <w:r>
        <w:rPr>
          <w:rFonts w:hint="eastAsia" w:cs="Times New Roman"/>
          <w:color w:val="000000" w:themeColor="text1"/>
        </w:rPr>
        <w:t>的</w:t>
      </w:r>
      <w:r>
        <w:rPr>
          <w:rFonts w:cs="Times New Roman"/>
          <w:color w:val="000000" w:themeColor="text1"/>
        </w:rPr>
        <w:t>规定</w:t>
      </w:r>
      <w:r>
        <w:rPr>
          <w:rFonts w:hint="eastAsia" w:cs="Times New Roman"/>
          <w:color w:val="000000" w:themeColor="text1"/>
        </w:rPr>
        <w:t>，</w:t>
      </w:r>
      <w:r>
        <w:rPr>
          <w:rFonts w:cs="Times New Roman"/>
          <w:color w:val="000000" w:themeColor="text1"/>
        </w:rPr>
        <w:t>Ⅳ类项目不开展地下水环境影响评级，且本项目营运期不取地下水</w:t>
      </w:r>
      <w:r>
        <w:rPr>
          <w:rFonts w:hint="eastAsia" w:cs="Times New Roman"/>
          <w:color w:val="000000" w:themeColor="text1"/>
        </w:rPr>
        <w:t>，也</w:t>
      </w:r>
      <w:r>
        <w:rPr>
          <w:rFonts w:cs="Times New Roman"/>
          <w:color w:val="000000" w:themeColor="text1"/>
        </w:rPr>
        <w:t>不向地下注水</w:t>
      </w:r>
      <w:r>
        <w:rPr>
          <w:rFonts w:hint="eastAsia" w:cs="Times New Roman"/>
          <w:color w:val="000000" w:themeColor="text1"/>
        </w:rPr>
        <w:t>，</w:t>
      </w:r>
      <w:r>
        <w:rPr>
          <w:rFonts w:cs="Times New Roman"/>
          <w:color w:val="000000" w:themeColor="text1"/>
        </w:rPr>
        <w:t>项目营运期废水能够进入市政污水管网</w:t>
      </w:r>
      <w:r>
        <w:rPr>
          <w:rFonts w:hint="eastAsia" w:cs="Times New Roman"/>
          <w:color w:val="000000" w:themeColor="text1"/>
        </w:rPr>
        <w:t>，</w:t>
      </w:r>
      <w:r>
        <w:rPr>
          <w:rFonts w:cs="Times New Roman"/>
          <w:color w:val="000000" w:themeColor="text1"/>
        </w:rPr>
        <w:t>因此对地下水影响相对不明显</w:t>
      </w:r>
      <w:r>
        <w:rPr>
          <w:rFonts w:hint="eastAsia" w:cs="Times New Roman"/>
          <w:color w:val="000000" w:themeColor="text1"/>
        </w:rPr>
        <w:t>，则</w:t>
      </w:r>
      <w:r>
        <w:rPr>
          <w:rFonts w:cs="Times New Roman"/>
          <w:color w:val="000000" w:themeColor="text1"/>
        </w:rPr>
        <w:t>本环评针对地下水环境影响评价从简</w:t>
      </w:r>
      <w:r>
        <w:rPr>
          <w:rFonts w:hint="eastAsia" w:cs="Times New Roman"/>
          <w:color w:val="000000" w:themeColor="text1"/>
        </w:rPr>
        <w:t>，</w:t>
      </w:r>
      <w:r>
        <w:rPr>
          <w:rFonts w:cs="Times New Roman"/>
          <w:color w:val="000000" w:themeColor="text1"/>
        </w:rPr>
        <w:t>仅提出相应的地下水防治措施</w:t>
      </w:r>
      <w:r>
        <w:rPr>
          <w:rFonts w:hint="eastAsia" w:cs="Times New Roman"/>
          <w:color w:val="000000" w:themeColor="text1"/>
        </w:rPr>
        <w:t>。</w:t>
      </w:r>
    </w:p>
    <w:p>
      <w:pPr>
        <w:pStyle w:val="5"/>
        <w:rPr>
          <w:color w:val="000000" w:themeColor="text1"/>
        </w:rPr>
      </w:pPr>
      <w:bookmarkStart w:id="97" w:name="_Toc532497614"/>
      <w:r>
        <w:rPr>
          <w:rFonts w:hint="eastAsia"/>
          <w:color w:val="000000" w:themeColor="text1"/>
        </w:rPr>
        <w:t>声环境</w:t>
      </w:r>
      <w:bookmarkEnd w:id="97"/>
    </w:p>
    <w:p>
      <w:pPr>
        <w:adjustRightInd w:val="0"/>
        <w:snapToGrid w:val="0"/>
        <w:spacing w:line="360" w:lineRule="auto"/>
        <w:ind w:firstLine="480" w:firstLineChars="200"/>
        <w:rPr>
          <w:rFonts w:cs="Times New Roman"/>
          <w:color w:val="000000"/>
        </w:rPr>
      </w:pPr>
      <w:r>
        <w:rPr>
          <w:rFonts w:hAnsi="宋体" w:cs="Times New Roman"/>
          <w:color w:val="000000"/>
        </w:rPr>
        <w:t>本项目所在区域的声环境执行</w:t>
      </w:r>
      <w:r>
        <w:rPr>
          <w:rFonts w:hint="eastAsia" w:hAnsi="宋体" w:cs="Times New Roman"/>
          <w:color w:val="000000"/>
        </w:rPr>
        <w:t>《声环境质量标准》</w:t>
      </w:r>
      <w:r>
        <w:t>（GB3096-2008）中的</w:t>
      </w:r>
      <w:r>
        <w:rPr>
          <w:rFonts w:hint="eastAsia"/>
        </w:rPr>
        <w:t>2类标准。项目营运期主要噪声源为中央空调冷却塔、污水处理站水泵、柴油发电机等动力设备噪声、进出停车场的车辆噪声和人群活动噪声，本项目采用低噪声设备并对噪声已采取相应的措施，建设前后新增噪声强度小于</w:t>
      </w:r>
      <w:r>
        <w:t>3dB（A），根据《环境影响评价技术导则 声环境》（HJ2.4-2009）的规定</w:t>
      </w:r>
      <w:r>
        <w:rPr>
          <w:rFonts w:hint="eastAsia"/>
        </w:rPr>
        <w:t>，</w:t>
      </w:r>
      <w:r>
        <w:t>本次声环境评价工作等级为二级</w:t>
      </w:r>
      <w:r>
        <w:rPr>
          <w:rFonts w:hint="eastAsia"/>
        </w:rPr>
        <w:t>。</w:t>
      </w:r>
      <w:r>
        <w:t>声环境影响评价工作等级判据具体见</w:t>
      </w:r>
      <w:r>
        <w:fldChar w:fldCharType="begin"/>
      </w:r>
      <w:r>
        <w:rPr>
          <w:rFonts w:hAnsi="宋体" w:cs="Times New Roman"/>
          <w:color w:val="000000"/>
        </w:rPr>
        <w:instrText xml:space="preserve"> REF _Ref531335518 \h </w:instrText>
      </w:r>
      <w:r>
        <w:fldChar w:fldCharType="separate"/>
      </w:r>
      <w:r>
        <w:rPr>
          <w:rFonts w:hAnsi="宋体" w:cs="Times New Roman"/>
          <w:color w:val="000000"/>
        </w:rPr>
        <w:t>表1.7</w:t>
      </w:r>
      <w:r>
        <w:rPr>
          <w:rFonts w:hAnsi="宋体" w:cs="Times New Roman"/>
          <w:color w:val="000000"/>
        </w:rPr>
        <w:noBreakHyphen/>
      </w:r>
      <w:r>
        <w:rPr>
          <w:rFonts w:hAnsi="宋体" w:cs="Times New Roman"/>
          <w:color w:val="000000"/>
        </w:rPr>
        <w:t>8</w:t>
      </w:r>
      <w:r>
        <w:fldChar w:fldCharType="end"/>
      </w:r>
      <w:r>
        <w:rPr>
          <w:rFonts w:hAnsi="宋体" w:cs="Times New Roman"/>
          <w:color w:val="000000"/>
        </w:rPr>
        <w:t>。</w:t>
      </w:r>
    </w:p>
    <w:p>
      <w:pPr>
        <w:pStyle w:val="14"/>
        <w:spacing w:line="240" w:lineRule="auto"/>
      </w:pPr>
      <w:bookmarkStart w:id="98" w:name="_Ref528452971"/>
      <w:bookmarkStart w:id="99" w:name="_Ref531335518"/>
      <w:r>
        <w:rPr>
          <w:rFonts w:hAnsi="宋体" w:cs="Times New Roman"/>
          <w:color w:val="000000"/>
        </w:rPr>
        <w:t>表</w:t>
      </w:r>
      <w:bookmarkEnd w:id="98"/>
      <w:r>
        <w:rPr>
          <w:rFonts w:hAnsi="宋体" w:cs="Times New Roman"/>
          <w:color w:val="000000"/>
        </w:rPr>
        <w:fldChar w:fldCharType="begin"/>
      </w:r>
      <w:r>
        <w:rPr>
          <w:rFonts w:hAnsi="宋体" w:cs="Times New Roman"/>
          <w:color w:val="000000"/>
        </w:rPr>
        <w:instrText xml:space="preserve"> STYLEREF 2 \s </w:instrText>
      </w:r>
      <w:r>
        <w:rPr>
          <w:rFonts w:hAnsi="宋体" w:cs="Times New Roman"/>
          <w:color w:val="000000"/>
        </w:rPr>
        <w:fldChar w:fldCharType="separate"/>
      </w:r>
      <w:r>
        <w:rPr>
          <w:rFonts w:hAnsi="宋体" w:cs="Times New Roman"/>
          <w:color w:val="000000"/>
        </w:rPr>
        <w:t>1.7</w:t>
      </w:r>
      <w:r>
        <w:rPr>
          <w:rFonts w:hAnsi="宋体" w:cs="Times New Roman"/>
          <w:color w:val="000000"/>
        </w:rPr>
        <w:fldChar w:fldCharType="end"/>
      </w:r>
      <w:r>
        <w:rPr>
          <w:rFonts w:hAnsi="宋体" w:cs="Times New Roman"/>
          <w:color w:val="000000"/>
        </w:rPr>
        <w:noBreakHyphen/>
      </w:r>
      <w:r>
        <w:rPr>
          <w:rFonts w:hAnsi="宋体" w:cs="Times New Roman"/>
          <w:color w:val="000000"/>
        </w:rPr>
        <w:fldChar w:fldCharType="begin"/>
      </w:r>
      <w:r>
        <w:rPr>
          <w:rFonts w:hAnsi="宋体" w:cs="Times New Roman"/>
          <w:color w:val="000000"/>
        </w:rPr>
        <w:instrText xml:space="preserve"> SEQ 表 \* ARABIC \s 2 </w:instrText>
      </w:r>
      <w:r>
        <w:rPr>
          <w:rFonts w:hAnsi="宋体" w:cs="Times New Roman"/>
          <w:color w:val="000000"/>
        </w:rPr>
        <w:fldChar w:fldCharType="separate"/>
      </w:r>
      <w:r>
        <w:rPr>
          <w:rFonts w:hAnsi="宋体" w:cs="Times New Roman"/>
          <w:color w:val="000000"/>
        </w:rPr>
        <w:t>8</w:t>
      </w:r>
      <w:r>
        <w:rPr>
          <w:rFonts w:hAnsi="宋体" w:cs="Times New Roman"/>
          <w:color w:val="000000"/>
        </w:rPr>
        <w:fldChar w:fldCharType="end"/>
      </w:r>
      <w:bookmarkEnd w:id="99"/>
      <w:r>
        <w:rPr>
          <w:rFonts w:hint="eastAsia" w:hAnsi="宋体" w:cs="Times New Roman"/>
          <w:color w:val="000000"/>
        </w:rPr>
        <w:t xml:space="preserve"> </w:t>
      </w:r>
      <w:r>
        <w:rPr>
          <w:rFonts w:hAnsi="宋体" w:cs="Times New Roman"/>
          <w:color w:val="000000"/>
        </w:rPr>
        <w:t>声环境影响评价工作等级判据</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5348"/>
        <w:gridCol w:w="429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2772" w:type="pct"/>
            <w:vAlign w:val="center"/>
          </w:tcPr>
          <w:p>
            <w:pPr>
              <w:spacing w:line="320" w:lineRule="exact"/>
              <w:jc w:val="center"/>
              <w:rPr>
                <w:rFonts w:cs="Times New Roman"/>
                <w:color w:val="000000"/>
                <w:sz w:val="21"/>
              </w:rPr>
            </w:pPr>
            <w:r>
              <w:rPr>
                <w:rFonts w:cs="Times New Roman"/>
                <w:color w:val="000000"/>
                <w:sz w:val="21"/>
              </w:rPr>
              <w:t>项目</w:t>
            </w:r>
          </w:p>
        </w:tc>
        <w:tc>
          <w:tcPr>
            <w:tcW w:w="2228" w:type="pct"/>
            <w:vAlign w:val="center"/>
          </w:tcPr>
          <w:p>
            <w:pPr>
              <w:spacing w:line="320" w:lineRule="exact"/>
              <w:jc w:val="center"/>
              <w:rPr>
                <w:rFonts w:cs="Times New Roman"/>
                <w:color w:val="000000"/>
                <w:sz w:val="21"/>
              </w:rPr>
            </w:pPr>
            <w:r>
              <w:rPr>
                <w:rFonts w:cs="Times New Roman"/>
                <w:color w:val="000000"/>
                <w:sz w:val="21"/>
              </w:rPr>
              <w:t>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2772" w:type="pct"/>
            <w:vAlign w:val="center"/>
          </w:tcPr>
          <w:p>
            <w:pPr>
              <w:spacing w:line="320" w:lineRule="exact"/>
              <w:jc w:val="center"/>
              <w:rPr>
                <w:rFonts w:cs="Times New Roman"/>
                <w:color w:val="000000"/>
                <w:sz w:val="21"/>
              </w:rPr>
            </w:pPr>
            <w:r>
              <w:rPr>
                <w:rFonts w:cs="Times New Roman"/>
                <w:color w:val="000000"/>
                <w:sz w:val="21"/>
              </w:rPr>
              <w:t>周围环境适用标准</w:t>
            </w:r>
          </w:p>
        </w:tc>
        <w:tc>
          <w:tcPr>
            <w:tcW w:w="2228" w:type="pct"/>
            <w:vAlign w:val="center"/>
          </w:tcPr>
          <w:p>
            <w:pPr>
              <w:spacing w:line="320" w:lineRule="exact"/>
              <w:jc w:val="center"/>
              <w:rPr>
                <w:rFonts w:cs="Times New Roman"/>
                <w:color w:val="000000"/>
                <w:sz w:val="21"/>
              </w:rPr>
            </w:pPr>
            <w:r>
              <w:rPr>
                <w:rFonts w:cs="Times New Roman"/>
                <w:color w:val="000000"/>
                <w:sz w:val="21"/>
              </w:rPr>
              <w:t>GB3096-2008中的</w:t>
            </w:r>
            <w:r>
              <w:rPr>
                <w:rFonts w:hint="eastAsia" w:cs="Times New Roman"/>
                <w:color w:val="000000"/>
                <w:sz w:val="21"/>
              </w:rPr>
              <w:t>2</w:t>
            </w:r>
            <w:r>
              <w:rPr>
                <w:rFonts w:cs="Times New Roman"/>
                <w:color w:val="000000"/>
                <w:sz w:val="21"/>
              </w:rPr>
              <w:t>类标准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2772" w:type="pct"/>
            <w:vAlign w:val="center"/>
          </w:tcPr>
          <w:p>
            <w:pPr>
              <w:spacing w:line="320" w:lineRule="exact"/>
              <w:jc w:val="center"/>
              <w:rPr>
                <w:rFonts w:cs="Times New Roman"/>
                <w:color w:val="000000"/>
                <w:sz w:val="21"/>
              </w:rPr>
            </w:pPr>
            <w:r>
              <w:rPr>
                <w:rFonts w:cs="Times New Roman"/>
                <w:color w:val="000000"/>
                <w:sz w:val="21"/>
              </w:rPr>
              <w:t>周围环境受项目影响噪声增加量</w:t>
            </w:r>
          </w:p>
        </w:tc>
        <w:tc>
          <w:tcPr>
            <w:tcW w:w="2228" w:type="pct"/>
            <w:vAlign w:val="center"/>
          </w:tcPr>
          <w:p>
            <w:pPr>
              <w:spacing w:line="320" w:lineRule="exact"/>
              <w:jc w:val="center"/>
              <w:rPr>
                <w:rFonts w:cs="Times New Roman"/>
                <w:color w:val="000000"/>
                <w:sz w:val="21"/>
              </w:rPr>
            </w:pPr>
            <w:r>
              <w:rPr>
                <w:rFonts w:cs="Times New Roman"/>
                <w:color w:val="000000"/>
                <w:sz w:val="21"/>
              </w:rPr>
              <w:t>3dB(A)以内</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2772" w:type="pct"/>
            <w:vAlign w:val="center"/>
          </w:tcPr>
          <w:p>
            <w:pPr>
              <w:spacing w:line="320" w:lineRule="exact"/>
              <w:jc w:val="center"/>
              <w:rPr>
                <w:rFonts w:cs="Times New Roman"/>
                <w:color w:val="000000"/>
                <w:sz w:val="21"/>
              </w:rPr>
            </w:pPr>
            <w:r>
              <w:rPr>
                <w:rFonts w:cs="Times New Roman"/>
                <w:color w:val="000000"/>
                <w:sz w:val="21"/>
              </w:rPr>
              <w:t>评价工作等级</w:t>
            </w:r>
          </w:p>
        </w:tc>
        <w:tc>
          <w:tcPr>
            <w:tcW w:w="2228" w:type="pct"/>
            <w:vAlign w:val="center"/>
          </w:tcPr>
          <w:p>
            <w:pPr>
              <w:spacing w:line="320" w:lineRule="exact"/>
              <w:jc w:val="center"/>
              <w:rPr>
                <w:rFonts w:cs="Times New Roman"/>
                <w:color w:val="000000"/>
                <w:sz w:val="21"/>
              </w:rPr>
            </w:pPr>
            <w:r>
              <w:rPr>
                <w:rFonts w:hint="eastAsia" w:cs="Times New Roman"/>
                <w:color w:val="000000"/>
                <w:sz w:val="21"/>
              </w:rPr>
              <w:t>二</w:t>
            </w:r>
            <w:r>
              <w:rPr>
                <w:rFonts w:cs="Times New Roman"/>
                <w:color w:val="000000"/>
                <w:sz w:val="21"/>
              </w:rPr>
              <w:t>级</w:t>
            </w:r>
          </w:p>
        </w:tc>
      </w:tr>
    </w:tbl>
    <w:p>
      <w:pPr>
        <w:pStyle w:val="5"/>
        <w:rPr>
          <w:color w:val="000000" w:themeColor="text1"/>
        </w:rPr>
      </w:pPr>
      <w:bookmarkStart w:id="100" w:name="_Toc532497615"/>
      <w:r>
        <w:rPr>
          <w:rFonts w:hint="eastAsia"/>
          <w:color w:val="000000" w:themeColor="text1"/>
        </w:rPr>
        <w:t>生态环境</w:t>
      </w:r>
      <w:bookmarkEnd w:id="100"/>
    </w:p>
    <w:p>
      <w:pPr>
        <w:adjustRightInd w:val="0"/>
        <w:snapToGrid w:val="0"/>
        <w:spacing w:line="360" w:lineRule="auto"/>
        <w:ind w:firstLine="480" w:firstLineChars="200"/>
        <w:rPr>
          <w:color w:val="000000" w:themeColor="text1"/>
        </w:rPr>
      </w:pPr>
      <w:r>
        <w:rPr>
          <w:color w:val="000000" w:themeColor="text1"/>
        </w:rPr>
        <w:t>本项目</w:t>
      </w:r>
      <w:r>
        <w:rPr>
          <w:rFonts w:hint="eastAsia"/>
          <w:color w:val="000000" w:themeColor="text1"/>
        </w:rPr>
        <w:t>用地</w:t>
      </w:r>
      <w:r>
        <w:rPr>
          <w:color w:val="000000" w:themeColor="text1"/>
        </w:rPr>
        <w:t>面积小于2km</w:t>
      </w:r>
      <w:r>
        <w:rPr>
          <w:color w:val="000000" w:themeColor="text1"/>
          <w:vertAlign w:val="superscript"/>
        </w:rPr>
        <w:t>2</w:t>
      </w:r>
      <w:r>
        <w:rPr>
          <w:color w:val="000000" w:themeColor="text1"/>
        </w:rPr>
        <w:t>，项目</w:t>
      </w:r>
      <w:r>
        <w:rPr>
          <w:rFonts w:hint="eastAsia"/>
          <w:color w:val="000000" w:themeColor="text1"/>
        </w:rPr>
        <w:t>所在区域</w:t>
      </w:r>
      <w:r>
        <w:rPr>
          <w:color w:val="000000" w:themeColor="text1"/>
        </w:rPr>
        <w:t>不属于生态环境敏感地区，为一般区域。项目生态评价工作级别判别见</w:t>
      </w:r>
      <w:r>
        <w:fldChar w:fldCharType="begin"/>
      </w:r>
      <w:r>
        <w:instrText xml:space="preserve"> REF _Ref493603607 \h  \* MERGEFORMAT </w:instrText>
      </w:r>
      <w:r>
        <w:fldChar w:fldCharType="separate"/>
      </w:r>
      <w:r>
        <w:rPr>
          <w:rFonts w:hint="eastAsia"/>
          <w:color w:val="000000" w:themeColor="text1"/>
        </w:rPr>
        <w:t>表</w:t>
      </w:r>
      <w:r>
        <w:rPr>
          <w:color w:val="000000" w:themeColor="text1"/>
        </w:rPr>
        <w:t>1.7</w:t>
      </w:r>
      <w:r>
        <w:rPr>
          <w:color w:val="000000" w:themeColor="text1"/>
        </w:rPr>
        <w:noBreakHyphen/>
      </w:r>
      <w:r>
        <w:rPr>
          <w:color w:val="000000" w:themeColor="text1"/>
        </w:rPr>
        <w:t>9</w:t>
      </w:r>
      <w:r>
        <w:rPr>
          <w:color w:val="000000" w:themeColor="text1"/>
        </w:rPr>
        <w:fldChar w:fldCharType="end"/>
      </w:r>
      <w:r>
        <w:rPr>
          <w:color w:val="000000" w:themeColor="text1"/>
        </w:rPr>
        <w:t>。</w:t>
      </w:r>
    </w:p>
    <w:p>
      <w:pPr>
        <w:widowControl/>
        <w:jc w:val="center"/>
        <w:rPr>
          <w:b/>
          <w:color w:val="000000" w:themeColor="text1"/>
        </w:rPr>
      </w:pPr>
      <w:bookmarkStart w:id="101" w:name="_Ref493603607"/>
    </w:p>
    <w:p>
      <w:pPr>
        <w:widowControl/>
        <w:jc w:val="center"/>
        <w:rPr>
          <w:b/>
          <w:color w:val="000000" w:themeColor="text1"/>
        </w:rPr>
      </w:pPr>
    </w:p>
    <w:p>
      <w:pPr>
        <w:widowControl/>
        <w:jc w:val="center"/>
        <w:rPr>
          <w:b/>
          <w:color w:val="000000" w:themeColor="text1"/>
        </w:rPr>
      </w:pPr>
    </w:p>
    <w:p>
      <w:pPr>
        <w:widowControl/>
        <w:jc w:val="center"/>
        <w:rPr>
          <w:b/>
          <w:color w:val="000000" w:themeColor="text1"/>
        </w:rPr>
      </w:pPr>
      <w:r>
        <w:rPr>
          <w:rFonts w:hint="eastAsia"/>
          <w:b/>
          <w:color w:val="000000" w:themeColor="text1"/>
        </w:rPr>
        <w:t>表</w:t>
      </w:r>
      <w:r>
        <w:rPr>
          <w:b/>
          <w:color w:val="000000" w:themeColor="text1"/>
        </w:rPr>
        <w:fldChar w:fldCharType="begin"/>
      </w:r>
      <w:r>
        <w:rPr>
          <w:b/>
          <w:color w:val="000000" w:themeColor="text1"/>
        </w:rPr>
        <w:instrText xml:space="preserve"> </w:instrText>
      </w:r>
      <w:r>
        <w:rPr>
          <w:rFonts w:hint="eastAsia"/>
          <w:b/>
          <w:color w:val="000000" w:themeColor="text1"/>
        </w:rPr>
        <w:instrText xml:space="preserve">STYLEREF 2 \s</w:instrText>
      </w:r>
      <w:r>
        <w:rPr>
          <w:b/>
          <w:color w:val="000000" w:themeColor="text1"/>
        </w:rPr>
        <w:instrText xml:space="preserve"> </w:instrText>
      </w:r>
      <w:r>
        <w:rPr>
          <w:b/>
          <w:color w:val="000000" w:themeColor="text1"/>
        </w:rPr>
        <w:fldChar w:fldCharType="separate"/>
      </w:r>
      <w:r>
        <w:rPr>
          <w:b/>
          <w:color w:val="000000" w:themeColor="text1"/>
        </w:rPr>
        <w:t>1.7</w:t>
      </w:r>
      <w:r>
        <w:rPr>
          <w:b/>
          <w:color w:val="000000" w:themeColor="text1"/>
        </w:rPr>
        <w:fldChar w:fldCharType="end"/>
      </w:r>
      <w:r>
        <w:rPr>
          <w:b/>
          <w:color w:val="000000" w:themeColor="text1"/>
        </w:rPr>
        <w:noBreakHyphen/>
      </w:r>
      <w:r>
        <w:rPr>
          <w:b/>
          <w:color w:val="000000" w:themeColor="text1"/>
        </w:rPr>
        <w:fldChar w:fldCharType="begin"/>
      </w:r>
      <w:r>
        <w:rPr>
          <w:b/>
          <w:color w:val="000000" w:themeColor="text1"/>
        </w:rPr>
        <w:instrText xml:space="preserve"> </w:instrText>
      </w:r>
      <w:r>
        <w:rPr>
          <w:rFonts w:hint="eastAsia"/>
          <w:b/>
          <w:color w:val="000000" w:themeColor="text1"/>
        </w:rPr>
        <w:instrText xml:space="preserve">SEQ 表 \* ARABIC \s 2</w:instrText>
      </w:r>
      <w:r>
        <w:rPr>
          <w:b/>
          <w:color w:val="000000" w:themeColor="text1"/>
        </w:rPr>
        <w:instrText xml:space="preserve"> </w:instrText>
      </w:r>
      <w:r>
        <w:rPr>
          <w:b/>
          <w:color w:val="000000" w:themeColor="text1"/>
        </w:rPr>
        <w:fldChar w:fldCharType="separate"/>
      </w:r>
      <w:r>
        <w:rPr>
          <w:b/>
          <w:color w:val="000000" w:themeColor="text1"/>
        </w:rPr>
        <w:t>9</w:t>
      </w:r>
      <w:r>
        <w:rPr>
          <w:b/>
          <w:color w:val="000000" w:themeColor="text1"/>
        </w:rPr>
        <w:fldChar w:fldCharType="end"/>
      </w:r>
      <w:bookmarkEnd w:id="101"/>
      <w:r>
        <w:rPr>
          <w:rFonts w:hint="eastAsia"/>
          <w:b/>
          <w:color w:val="000000" w:themeColor="text1"/>
        </w:rPr>
        <w:t xml:space="preserve"> 生态影响评价工作等级划分表</w:t>
      </w:r>
    </w:p>
    <w:tbl>
      <w:tblPr>
        <w:tblStyle w:val="39"/>
        <w:tblW w:w="9242" w:type="dxa"/>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2727"/>
        <w:gridCol w:w="1920"/>
        <w:gridCol w:w="2673"/>
        <w:gridCol w:w="1922"/>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jc w:val="center"/>
        </w:trPr>
        <w:tc>
          <w:tcPr>
            <w:tcW w:w="2727" w:type="dxa"/>
            <w:vMerge w:val="restart"/>
            <w:vAlign w:val="center"/>
          </w:tcPr>
          <w:p>
            <w:pPr>
              <w:ind w:right="-566" w:rightChars="-236"/>
              <w:jc w:val="center"/>
              <w:rPr>
                <w:color w:val="000000" w:themeColor="text1"/>
                <w:sz w:val="21"/>
              </w:rPr>
            </w:pPr>
            <w:r>
              <w:rPr>
                <w:color w:val="000000" w:themeColor="text1"/>
                <w:sz w:val="21"/>
              </w:rPr>
              <w:t>影响区域生态敏感性</w:t>
            </w:r>
          </w:p>
        </w:tc>
        <w:tc>
          <w:tcPr>
            <w:tcW w:w="6515" w:type="dxa"/>
            <w:gridSpan w:val="3"/>
            <w:vAlign w:val="center"/>
          </w:tcPr>
          <w:p>
            <w:pPr>
              <w:jc w:val="center"/>
              <w:rPr>
                <w:color w:val="000000" w:themeColor="text1"/>
                <w:sz w:val="21"/>
              </w:rPr>
            </w:pPr>
            <w:r>
              <w:rPr>
                <w:color w:val="000000" w:themeColor="text1"/>
                <w:sz w:val="21"/>
              </w:rPr>
              <w:t>工程占地（水域）范围</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jc w:val="center"/>
        </w:trPr>
        <w:tc>
          <w:tcPr>
            <w:tcW w:w="2727" w:type="dxa"/>
            <w:vMerge w:val="continue"/>
            <w:vAlign w:val="center"/>
          </w:tcPr>
          <w:p>
            <w:pPr>
              <w:ind w:firstLine="480"/>
              <w:jc w:val="center"/>
              <w:rPr>
                <w:color w:val="000000" w:themeColor="text1"/>
                <w:sz w:val="21"/>
              </w:rPr>
            </w:pPr>
          </w:p>
        </w:tc>
        <w:tc>
          <w:tcPr>
            <w:tcW w:w="1920" w:type="dxa"/>
            <w:vAlign w:val="center"/>
          </w:tcPr>
          <w:p>
            <w:pPr>
              <w:jc w:val="center"/>
              <w:rPr>
                <w:color w:val="000000" w:themeColor="text1"/>
                <w:sz w:val="21"/>
              </w:rPr>
            </w:pPr>
            <w:r>
              <w:rPr>
                <w:color w:val="000000" w:themeColor="text1"/>
                <w:sz w:val="21"/>
              </w:rPr>
              <w:t>面积≥20km</w:t>
            </w:r>
            <w:r>
              <w:rPr>
                <w:color w:val="000000" w:themeColor="text1"/>
                <w:sz w:val="21"/>
                <w:vertAlign w:val="superscript"/>
              </w:rPr>
              <w:t>2</w:t>
            </w:r>
            <w:r>
              <w:rPr>
                <w:color w:val="000000" w:themeColor="text1"/>
                <w:sz w:val="21"/>
              </w:rPr>
              <w:t>长度≥100km</w:t>
            </w:r>
          </w:p>
        </w:tc>
        <w:tc>
          <w:tcPr>
            <w:tcW w:w="2673" w:type="dxa"/>
            <w:vAlign w:val="center"/>
          </w:tcPr>
          <w:p>
            <w:pPr>
              <w:jc w:val="center"/>
              <w:rPr>
                <w:color w:val="000000" w:themeColor="text1"/>
                <w:sz w:val="21"/>
              </w:rPr>
            </w:pPr>
            <w:r>
              <w:rPr>
                <w:color w:val="000000" w:themeColor="text1"/>
                <w:sz w:val="21"/>
              </w:rPr>
              <w:t>面积2km</w:t>
            </w:r>
            <w:r>
              <w:rPr>
                <w:color w:val="000000" w:themeColor="text1"/>
                <w:sz w:val="21"/>
                <w:vertAlign w:val="superscript"/>
              </w:rPr>
              <w:t>2</w:t>
            </w:r>
            <w:r>
              <w:rPr>
                <w:color w:val="000000" w:themeColor="text1"/>
                <w:sz w:val="21"/>
              </w:rPr>
              <w:t>～20km</w:t>
            </w:r>
            <w:r>
              <w:rPr>
                <w:color w:val="000000" w:themeColor="text1"/>
                <w:sz w:val="21"/>
                <w:vertAlign w:val="superscript"/>
              </w:rPr>
              <w:t>2</w:t>
            </w:r>
            <w:r>
              <w:rPr>
                <w:color w:val="000000" w:themeColor="text1"/>
                <w:sz w:val="21"/>
              </w:rPr>
              <w:t>或长度50km～100km</w:t>
            </w:r>
          </w:p>
        </w:tc>
        <w:tc>
          <w:tcPr>
            <w:tcW w:w="1922" w:type="dxa"/>
            <w:vAlign w:val="center"/>
          </w:tcPr>
          <w:p>
            <w:pPr>
              <w:jc w:val="center"/>
              <w:rPr>
                <w:color w:val="000000" w:themeColor="text1"/>
                <w:sz w:val="21"/>
              </w:rPr>
            </w:pPr>
            <w:r>
              <w:rPr>
                <w:color w:val="000000" w:themeColor="text1"/>
                <w:sz w:val="21"/>
              </w:rPr>
              <w:t>面积≤2km</w:t>
            </w:r>
            <w:r>
              <w:rPr>
                <w:color w:val="000000" w:themeColor="text1"/>
                <w:sz w:val="21"/>
                <w:vertAlign w:val="superscript"/>
              </w:rPr>
              <w:t>2</w:t>
            </w:r>
            <w:r>
              <w:rPr>
                <w:color w:val="000000" w:themeColor="text1"/>
                <w:sz w:val="21"/>
              </w:rPr>
              <w:t>或长度≤50km</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jc w:val="center"/>
        </w:trPr>
        <w:tc>
          <w:tcPr>
            <w:tcW w:w="2727" w:type="dxa"/>
            <w:vAlign w:val="center"/>
          </w:tcPr>
          <w:p>
            <w:pPr>
              <w:jc w:val="center"/>
              <w:rPr>
                <w:color w:val="000000" w:themeColor="text1"/>
                <w:sz w:val="21"/>
              </w:rPr>
            </w:pPr>
            <w:r>
              <w:rPr>
                <w:color w:val="000000" w:themeColor="text1"/>
                <w:sz w:val="21"/>
              </w:rPr>
              <w:t>特殊生态敏感区</w:t>
            </w:r>
          </w:p>
        </w:tc>
        <w:tc>
          <w:tcPr>
            <w:tcW w:w="1920" w:type="dxa"/>
            <w:vAlign w:val="center"/>
          </w:tcPr>
          <w:p>
            <w:pPr>
              <w:jc w:val="center"/>
              <w:rPr>
                <w:color w:val="000000" w:themeColor="text1"/>
                <w:sz w:val="21"/>
              </w:rPr>
            </w:pPr>
            <w:r>
              <w:rPr>
                <w:color w:val="000000" w:themeColor="text1"/>
                <w:sz w:val="21"/>
              </w:rPr>
              <w:t>一级</w:t>
            </w:r>
          </w:p>
        </w:tc>
        <w:tc>
          <w:tcPr>
            <w:tcW w:w="2673" w:type="dxa"/>
            <w:vAlign w:val="center"/>
          </w:tcPr>
          <w:p>
            <w:pPr>
              <w:jc w:val="center"/>
              <w:rPr>
                <w:color w:val="000000" w:themeColor="text1"/>
                <w:sz w:val="21"/>
              </w:rPr>
            </w:pPr>
            <w:r>
              <w:rPr>
                <w:color w:val="000000" w:themeColor="text1"/>
                <w:sz w:val="21"/>
              </w:rPr>
              <w:t>一级</w:t>
            </w:r>
          </w:p>
        </w:tc>
        <w:tc>
          <w:tcPr>
            <w:tcW w:w="1922" w:type="dxa"/>
            <w:vAlign w:val="center"/>
          </w:tcPr>
          <w:p>
            <w:pPr>
              <w:jc w:val="center"/>
              <w:rPr>
                <w:color w:val="000000" w:themeColor="text1"/>
                <w:sz w:val="21"/>
              </w:rPr>
            </w:pPr>
            <w:r>
              <w:rPr>
                <w:color w:val="000000" w:themeColor="text1"/>
                <w:sz w:val="21"/>
              </w:rPr>
              <w:t>一级</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jc w:val="center"/>
        </w:trPr>
        <w:tc>
          <w:tcPr>
            <w:tcW w:w="2727" w:type="dxa"/>
            <w:vAlign w:val="center"/>
          </w:tcPr>
          <w:p>
            <w:pPr>
              <w:jc w:val="center"/>
              <w:rPr>
                <w:color w:val="000000" w:themeColor="text1"/>
                <w:sz w:val="21"/>
              </w:rPr>
            </w:pPr>
            <w:r>
              <w:rPr>
                <w:color w:val="000000" w:themeColor="text1"/>
                <w:sz w:val="21"/>
              </w:rPr>
              <w:t>重要生态敏感区</w:t>
            </w:r>
          </w:p>
        </w:tc>
        <w:tc>
          <w:tcPr>
            <w:tcW w:w="1920" w:type="dxa"/>
            <w:vAlign w:val="center"/>
          </w:tcPr>
          <w:p>
            <w:pPr>
              <w:jc w:val="center"/>
              <w:rPr>
                <w:color w:val="000000" w:themeColor="text1"/>
                <w:sz w:val="21"/>
              </w:rPr>
            </w:pPr>
            <w:r>
              <w:rPr>
                <w:color w:val="000000" w:themeColor="text1"/>
                <w:sz w:val="21"/>
              </w:rPr>
              <w:t>一级</w:t>
            </w:r>
          </w:p>
        </w:tc>
        <w:tc>
          <w:tcPr>
            <w:tcW w:w="2673" w:type="dxa"/>
            <w:vAlign w:val="center"/>
          </w:tcPr>
          <w:p>
            <w:pPr>
              <w:jc w:val="center"/>
              <w:rPr>
                <w:color w:val="000000" w:themeColor="text1"/>
                <w:sz w:val="21"/>
              </w:rPr>
            </w:pPr>
            <w:r>
              <w:rPr>
                <w:color w:val="000000" w:themeColor="text1"/>
                <w:sz w:val="21"/>
              </w:rPr>
              <w:t>二级</w:t>
            </w:r>
          </w:p>
        </w:tc>
        <w:tc>
          <w:tcPr>
            <w:tcW w:w="1922" w:type="dxa"/>
            <w:vAlign w:val="center"/>
          </w:tcPr>
          <w:p>
            <w:pPr>
              <w:jc w:val="center"/>
              <w:rPr>
                <w:color w:val="000000" w:themeColor="text1"/>
                <w:sz w:val="21"/>
              </w:rPr>
            </w:pPr>
            <w:r>
              <w:rPr>
                <w:color w:val="000000" w:themeColor="text1"/>
                <w:sz w:val="21"/>
              </w:rPr>
              <w:t>三级</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jc w:val="center"/>
        </w:trPr>
        <w:tc>
          <w:tcPr>
            <w:tcW w:w="2727" w:type="dxa"/>
            <w:vAlign w:val="center"/>
          </w:tcPr>
          <w:p>
            <w:pPr>
              <w:jc w:val="center"/>
              <w:rPr>
                <w:color w:val="000000" w:themeColor="text1"/>
                <w:sz w:val="21"/>
              </w:rPr>
            </w:pPr>
            <w:r>
              <w:rPr>
                <w:color w:val="000000" w:themeColor="text1"/>
                <w:sz w:val="21"/>
              </w:rPr>
              <w:t>一般区域</w:t>
            </w:r>
          </w:p>
        </w:tc>
        <w:tc>
          <w:tcPr>
            <w:tcW w:w="1920" w:type="dxa"/>
            <w:vAlign w:val="center"/>
          </w:tcPr>
          <w:p>
            <w:pPr>
              <w:jc w:val="center"/>
              <w:rPr>
                <w:color w:val="000000" w:themeColor="text1"/>
                <w:sz w:val="21"/>
              </w:rPr>
            </w:pPr>
            <w:r>
              <w:rPr>
                <w:color w:val="000000" w:themeColor="text1"/>
                <w:sz w:val="21"/>
              </w:rPr>
              <w:t>二级</w:t>
            </w:r>
          </w:p>
        </w:tc>
        <w:tc>
          <w:tcPr>
            <w:tcW w:w="2673" w:type="dxa"/>
            <w:vAlign w:val="center"/>
          </w:tcPr>
          <w:p>
            <w:pPr>
              <w:jc w:val="center"/>
              <w:rPr>
                <w:color w:val="000000" w:themeColor="text1"/>
                <w:sz w:val="21"/>
              </w:rPr>
            </w:pPr>
            <w:r>
              <w:rPr>
                <w:color w:val="000000" w:themeColor="text1"/>
                <w:sz w:val="21"/>
              </w:rPr>
              <w:t>三级</w:t>
            </w:r>
          </w:p>
        </w:tc>
        <w:tc>
          <w:tcPr>
            <w:tcW w:w="1922" w:type="dxa"/>
            <w:vAlign w:val="center"/>
          </w:tcPr>
          <w:p>
            <w:pPr>
              <w:jc w:val="center"/>
              <w:rPr>
                <w:color w:val="000000" w:themeColor="text1"/>
                <w:sz w:val="21"/>
              </w:rPr>
            </w:pPr>
            <w:r>
              <w:rPr>
                <w:color w:val="000000" w:themeColor="text1"/>
                <w:sz w:val="21"/>
              </w:rPr>
              <w:t>三级</w:t>
            </w:r>
          </w:p>
        </w:tc>
      </w:tr>
    </w:tbl>
    <w:p>
      <w:pPr>
        <w:adjustRightInd w:val="0"/>
        <w:snapToGrid w:val="0"/>
        <w:spacing w:line="360" w:lineRule="auto"/>
        <w:ind w:firstLine="480" w:firstLineChars="200"/>
        <w:rPr>
          <w:rFonts w:eastAsia="宋体" w:cs="Times New Roman"/>
          <w:color w:val="000000" w:themeColor="text1"/>
          <w:szCs w:val="24"/>
        </w:rPr>
      </w:pPr>
      <w:r>
        <w:rPr>
          <w:rFonts w:eastAsia="宋体" w:cs="Times New Roman"/>
          <w:color w:val="000000" w:themeColor="text1"/>
          <w:szCs w:val="24"/>
        </w:rPr>
        <w:t>对照《环境影响评价技术导则—生态影响》（HJ19-2011）中有关要求，</w:t>
      </w:r>
      <w:r>
        <w:rPr>
          <w:rFonts w:hint="eastAsia"/>
          <w:color w:val="000000" w:themeColor="text1"/>
        </w:rPr>
        <w:t>本项目已建好，项目不重新建设，生态环境作影响分析即可。</w:t>
      </w:r>
    </w:p>
    <w:p>
      <w:pPr>
        <w:pStyle w:val="5"/>
      </w:pPr>
      <w:bookmarkStart w:id="102" w:name="_Toc532497616"/>
      <w:r>
        <w:rPr>
          <w:rFonts w:hint="eastAsia"/>
        </w:rPr>
        <w:t>风险评价工作等级</w:t>
      </w:r>
      <w:bookmarkEnd w:id="102"/>
    </w:p>
    <w:p>
      <w:pPr>
        <w:pStyle w:val="17"/>
        <w:spacing w:after="0" w:line="360" w:lineRule="auto"/>
        <w:ind w:right="388" w:firstLine="480" w:firstLineChars="200"/>
        <w:rPr>
          <w:color w:val="000000" w:themeColor="text1"/>
        </w:rPr>
      </w:pPr>
      <w:r>
        <w:rPr>
          <w:rFonts w:hint="eastAsia"/>
          <w:color w:val="000000" w:themeColor="text1"/>
        </w:rPr>
        <w:t>依据《建设项目环境风险评价技术导则》（</w:t>
      </w:r>
      <w:r>
        <w:rPr>
          <w:color w:val="000000" w:themeColor="text1"/>
        </w:rPr>
        <w:t>HJ169-2018</w:t>
      </w:r>
      <w:r>
        <w:rPr>
          <w:rFonts w:hint="eastAsia"/>
          <w:color w:val="000000" w:themeColor="text1"/>
        </w:rPr>
        <w:t>），当单元内存在的危险物质为多品种时，则按（</w:t>
      </w:r>
      <w:r>
        <w:rPr>
          <w:color w:val="000000" w:themeColor="text1"/>
        </w:rPr>
        <w:t>5-1</w:t>
      </w:r>
      <w:r>
        <w:rPr>
          <w:rFonts w:hint="eastAsia"/>
          <w:color w:val="000000" w:themeColor="text1"/>
        </w:rPr>
        <w:t>）式进行计算，若满足式（</w:t>
      </w:r>
      <w:r>
        <w:rPr>
          <w:color w:val="000000" w:themeColor="text1"/>
        </w:rPr>
        <w:t>8-1</w:t>
      </w:r>
      <w:r>
        <w:rPr>
          <w:rFonts w:hint="eastAsia"/>
          <w:color w:val="000000" w:themeColor="text1"/>
        </w:rPr>
        <w:t>），则该单元定为危险化学品重大危险源。</w:t>
      </w:r>
    </w:p>
    <w:p>
      <w:pPr>
        <w:pStyle w:val="17"/>
        <w:spacing w:before="116" w:after="0" w:line="360" w:lineRule="auto"/>
        <w:ind w:left="945" w:right="454" w:firstLine="480" w:firstLineChars="200"/>
        <w:jc w:val="center"/>
        <w:rPr>
          <w:color w:val="000000" w:themeColor="text1"/>
          <w:spacing w:val="-5"/>
          <w:position w:val="2"/>
        </w:rPr>
      </w:pPr>
      <w:r>
        <w:rPr>
          <w:color w:val="000000" w:themeColor="text1"/>
          <w:position w:val="2"/>
        </w:rPr>
        <w:t>q</w:t>
      </w:r>
      <w:r>
        <w:rPr>
          <w:color w:val="000000" w:themeColor="text1"/>
          <w:sz w:val="16"/>
          <w:szCs w:val="16"/>
        </w:rPr>
        <w:t>1</w:t>
      </w:r>
      <w:r>
        <w:rPr>
          <w:color w:val="000000" w:themeColor="text1"/>
          <w:position w:val="2"/>
        </w:rPr>
        <w:t>/Q</w:t>
      </w:r>
      <w:r>
        <w:rPr>
          <w:color w:val="000000" w:themeColor="text1"/>
          <w:sz w:val="16"/>
          <w:szCs w:val="16"/>
        </w:rPr>
        <w:t>1</w:t>
      </w:r>
      <w:r>
        <w:rPr>
          <w:color w:val="000000" w:themeColor="text1"/>
          <w:position w:val="2"/>
        </w:rPr>
        <w:t>+q</w:t>
      </w:r>
      <w:r>
        <w:rPr>
          <w:color w:val="000000" w:themeColor="text1"/>
          <w:sz w:val="16"/>
          <w:szCs w:val="16"/>
        </w:rPr>
        <w:t>2</w:t>
      </w:r>
      <w:r>
        <w:rPr>
          <w:color w:val="000000" w:themeColor="text1"/>
          <w:position w:val="2"/>
        </w:rPr>
        <w:t>/Q</w:t>
      </w:r>
      <w:r>
        <w:rPr>
          <w:color w:val="000000" w:themeColor="text1"/>
          <w:sz w:val="16"/>
          <w:szCs w:val="16"/>
        </w:rPr>
        <w:t>2</w:t>
      </w:r>
      <w:r>
        <w:rPr>
          <w:color w:val="000000" w:themeColor="text1"/>
          <w:position w:val="2"/>
        </w:rPr>
        <w:t>+……+q</w:t>
      </w:r>
      <w:r>
        <w:rPr>
          <w:color w:val="000000" w:themeColor="text1"/>
          <w:sz w:val="16"/>
          <w:szCs w:val="16"/>
        </w:rPr>
        <w:t>n</w:t>
      </w:r>
      <w:r>
        <w:rPr>
          <w:color w:val="000000" w:themeColor="text1"/>
          <w:position w:val="2"/>
        </w:rPr>
        <w:t>/Q</w:t>
      </w:r>
      <w:r>
        <w:rPr>
          <w:color w:val="000000" w:themeColor="text1"/>
          <w:sz w:val="16"/>
          <w:szCs w:val="16"/>
        </w:rPr>
        <w:t>n</w:t>
      </w:r>
      <w:r>
        <w:rPr>
          <w:color w:val="000000" w:themeColor="text1"/>
          <w:position w:val="2"/>
        </w:rPr>
        <w:t>≥1</w:t>
      </w:r>
      <w:r>
        <w:rPr>
          <w:color w:val="000000" w:themeColor="text1"/>
          <w:position w:val="2"/>
        </w:rPr>
        <w:tab/>
      </w:r>
      <w:r>
        <w:rPr>
          <w:rFonts w:hint="eastAsia"/>
          <w:color w:val="000000" w:themeColor="text1"/>
          <w:spacing w:val="-5"/>
          <w:position w:val="2"/>
        </w:rPr>
        <w:t>（</w:t>
      </w:r>
      <w:r>
        <w:rPr>
          <w:color w:val="000000" w:themeColor="text1"/>
          <w:spacing w:val="-5"/>
          <w:position w:val="2"/>
        </w:rPr>
        <w:t>5-1</w:t>
      </w:r>
      <w:r>
        <w:rPr>
          <w:rFonts w:hint="eastAsia"/>
          <w:color w:val="000000" w:themeColor="text1"/>
          <w:spacing w:val="-5"/>
          <w:position w:val="2"/>
        </w:rPr>
        <w:t>）</w:t>
      </w:r>
    </w:p>
    <w:p>
      <w:pPr>
        <w:pStyle w:val="17"/>
        <w:spacing w:before="116" w:after="0" w:line="360" w:lineRule="auto"/>
        <w:ind w:right="454" w:firstLine="392" w:firstLineChars="200"/>
        <w:rPr>
          <w:color w:val="000000" w:themeColor="text1"/>
        </w:rPr>
      </w:pPr>
      <w:r>
        <w:rPr>
          <w:rFonts w:hint="eastAsia"/>
          <w:color w:val="000000" w:themeColor="text1"/>
          <w:spacing w:val="-22"/>
          <w:position w:val="2"/>
        </w:rPr>
        <w:t xml:space="preserve">式中 </w:t>
      </w:r>
      <w:r>
        <w:rPr>
          <w:color w:val="000000" w:themeColor="text1"/>
          <w:position w:val="2"/>
        </w:rPr>
        <w:t>q</w:t>
      </w:r>
      <w:r>
        <w:rPr>
          <w:color w:val="000000" w:themeColor="text1"/>
          <w:sz w:val="16"/>
          <w:szCs w:val="16"/>
        </w:rPr>
        <w:t>1</w:t>
      </w:r>
      <w:r>
        <w:rPr>
          <w:rFonts w:hint="eastAsia"/>
          <w:color w:val="000000" w:themeColor="text1"/>
          <w:spacing w:val="-5"/>
          <w:position w:val="2"/>
        </w:rPr>
        <w:t>、</w:t>
      </w:r>
      <w:r>
        <w:rPr>
          <w:color w:val="000000" w:themeColor="text1"/>
          <w:position w:val="2"/>
        </w:rPr>
        <w:t>q</w:t>
      </w:r>
      <w:r>
        <w:rPr>
          <w:color w:val="000000" w:themeColor="text1"/>
          <w:sz w:val="16"/>
          <w:szCs w:val="16"/>
        </w:rPr>
        <w:t>2</w:t>
      </w:r>
      <w:r>
        <w:rPr>
          <w:color w:val="000000" w:themeColor="text1"/>
          <w:position w:val="2"/>
        </w:rPr>
        <w:t>…q</w:t>
      </w:r>
      <w:r>
        <w:rPr>
          <w:color w:val="000000" w:themeColor="text1"/>
          <w:sz w:val="16"/>
          <w:szCs w:val="16"/>
        </w:rPr>
        <w:t xml:space="preserve">n </w:t>
      </w:r>
      <w:r>
        <w:rPr>
          <w:rFonts w:hint="eastAsia"/>
          <w:color w:val="000000" w:themeColor="text1"/>
          <w:spacing w:val="-2"/>
          <w:position w:val="2"/>
        </w:rPr>
        <w:t>每一种危险物品的实际储存量</w:t>
      </w:r>
      <w:r>
        <w:rPr>
          <w:rFonts w:hint="eastAsia"/>
          <w:color w:val="000000" w:themeColor="text1"/>
          <w:position w:val="2"/>
        </w:rPr>
        <w:t>（</w:t>
      </w:r>
      <w:r>
        <w:rPr>
          <w:color w:val="000000" w:themeColor="text1"/>
          <w:position w:val="2"/>
        </w:rPr>
        <w:t>t</w:t>
      </w:r>
      <w:r>
        <w:rPr>
          <w:rFonts w:hint="eastAsia"/>
          <w:color w:val="000000" w:themeColor="text1"/>
          <w:position w:val="2"/>
        </w:rPr>
        <w:t>），</w:t>
      </w:r>
      <w:r>
        <w:rPr>
          <w:color w:val="000000" w:themeColor="text1"/>
          <w:position w:val="2"/>
        </w:rPr>
        <w:t>Q</w:t>
      </w:r>
      <w:r>
        <w:rPr>
          <w:color w:val="000000" w:themeColor="text1"/>
          <w:sz w:val="16"/>
          <w:szCs w:val="16"/>
        </w:rPr>
        <w:t>1</w:t>
      </w:r>
      <w:r>
        <w:rPr>
          <w:rFonts w:hint="eastAsia"/>
          <w:color w:val="000000" w:themeColor="text1"/>
          <w:spacing w:val="-5"/>
          <w:position w:val="2"/>
        </w:rPr>
        <w:t>、</w:t>
      </w:r>
      <w:r>
        <w:rPr>
          <w:color w:val="000000" w:themeColor="text1"/>
          <w:position w:val="2"/>
        </w:rPr>
        <w:t>Q</w:t>
      </w:r>
      <w:r>
        <w:rPr>
          <w:color w:val="000000" w:themeColor="text1"/>
          <w:sz w:val="16"/>
          <w:szCs w:val="16"/>
        </w:rPr>
        <w:t>2</w:t>
      </w:r>
      <w:r>
        <w:rPr>
          <w:color w:val="000000" w:themeColor="text1"/>
          <w:position w:val="2"/>
        </w:rPr>
        <w:t>…Q</w:t>
      </w:r>
      <w:r>
        <w:rPr>
          <w:color w:val="000000" w:themeColor="text1"/>
          <w:sz w:val="16"/>
          <w:szCs w:val="16"/>
        </w:rPr>
        <w:t>n</w:t>
      </w:r>
      <w:r>
        <w:rPr>
          <w:rFonts w:hint="eastAsia"/>
          <w:color w:val="000000" w:themeColor="text1"/>
          <w:spacing w:val="-3"/>
          <w:position w:val="2"/>
        </w:rPr>
        <w:t>为对应危</w:t>
      </w:r>
      <w:r>
        <w:rPr>
          <w:rFonts w:hint="eastAsia"/>
          <w:color w:val="000000" w:themeColor="text1"/>
        </w:rPr>
        <w:t>险物品的临界量（</w:t>
      </w:r>
      <w:r>
        <w:rPr>
          <w:color w:val="000000" w:themeColor="text1"/>
        </w:rPr>
        <w:t>t</w:t>
      </w:r>
      <w:r>
        <w:rPr>
          <w:rFonts w:hint="eastAsia"/>
          <w:color w:val="000000" w:themeColor="text1"/>
        </w:rPr>
        <w:t>）。</w:t>
      </w:r>
    </w:p>
    <w:p>
      <w:pPr>
        <w:pStyle w:val="141"/>
        <w:jc w:val="center"/>
        <w:rPr>
          <w:rFonts w:ascii="Times New Roman" w:hAnsi="Times New Roman" w:cs="Times New Roman" w:eastAsiaTheme="minorEastAsia"/>
          <w:b/>
          <w:color w:val="000000" w:themeColor="text1"/>
          <w:sz w:val="24"/>
          <w:szCs w:val="24"/>
        </w:rPr>
      </w:pPr>
      <w:r>
        <w:rPr>
          <w:rFonts w:ascii="Times New Roman" w:cs="Times New Roman" w:hAnsiTheme="minorEastAsia" w:eastAsiaTheme="minorEastAsia"/>
          <w:b/>
          <w:color w:val="000000" w:themeColor="text1"/>
          <w:sz w:val="24"/>
          <w:szCs w:val="24"/>
        </w:rPr>
        <w:t>表</w:t>
      </w:r>
      <w:r>
        <w:rPr>
          <w:rFonts w:ascii="Times New Roman" w:cs="Times New Roman" w:hAnsiTheme="minorEastAsia" w:eastAsiaTheme="minorEastAsia"/>
          <w:b/>
          <w:color w:val="000000" w:themeColor="text1"/>
          <w:sz w:val="24"/>
          <w:szCs w:val="24"/>
        </w:rPr>
        <w:fldChar w:fldCharType="begin"/>
      </w:r>
      <w:r>
        <w:rPr>
          <w:rFonts w:ascii="Times New Roman" w:cs="Times New Roman" w:hAnsiTheme="minorEastAsia" w:eastAsiaTheme="minorEastAsia"/>
          <w:b/>
          <w:color w:val="000000" w:themeColor="text1"/>
          <w:sz w:val="24"/>
          <w:szCs w:val="24"/>
        </w:rPr>
        <w:instrText xml:space="preserve"> STYLEREF 2 \s </w:instrText>
      </w:r>
      <w:r>
        <w:rPr>
          <w:rFonts w:ascii="Times New Roman" w:cs="Times New Roman" w:hAnsiTheme="minorEastAsia" w:eastAsiaTheme="minorEastAsia"/>
          <w:b/>
          <w:color w:val="000000" w:themeColor="text1"/>
          <w:sz w:val="24"/>
          <w:szCs w:val="24"/>
        </w:rPr>
        <w:fldChar w:fldCharType="separate"/>
      </w:r>
      <w:r>
        <w:rPr>
          <w:rFonts w:ascii="Times New Roman" w:cs="Times New Roman" w:hAnsiTheme="minorEastAsia" w:eastAsiaTheme="minorEastAsia"/>
          <w:b/>
          <w:color w:val="000000" w:themeColor="text1"/>
          <w:sz w:val="24"/>
          <w:szCs w:val="24"/>
        </w:rPr>
        <w:t>1.7</w:t>
      </w:r>
      <w:r>
        <w:rPr>
          <w:rFonts w:ascii="Times New Roman" w:cs="Times New Roman" w:hAnsiTheme="minorEastAsia" w:eastAsiaTheme="minorEastAsia"/>
          <w:b/>
          <w:color w:val="000000" w:themeColor="text1"/>
          <w:sz w:val="24"/>
          <w:szCs w:val="24"/>
        </w:rPr>
        <w:fldChar w:fldCharType="end"/>
      </w:r>
      <w:r>
        <w:rPr>
          <w:rFonts w:ascii="Times New Roman" w:cs="Times New Roman" w:hAnsiTheme="minorEastAsia" w:eastAsiaTheme="minorEastAsia"/>
          <w:b/>
          <w:color w:val="000000" w:themeColor="text1"/>
          <w:sz w:val="24"/>
          <w:szCs w:val="24"/>
        </w:rPr>
        <w:noBreakHyphen/>
      </w:r>
      <w:r>
        <w:rPr>
          <w:rFonts w:ascii="Times New Roman" w:cs="Times New Roman" w:hAnsiTheme="minorEastAsia" w:eastAsiaTheme="minorEastAsia"/>
          <w:b/>
          <w:color w:val="000000" w:themeColor="text1"/>
          <w:sz w:val="24"/>
          <w:szCs w:val="24"/>
        </w:rPr>
        <w:fldChar w:fldCharType="begin"/>
      </w:r>
      <w:r>
        <w:rPr>
          <w:rFonts w:ascii="Times New Roman" w:cs="Times New Roman" w:hAnsiTheme="minorEastAsia" w:eastAsiaTheme="minorEastAsia"/>
          <w:b/>
          <w:color w:val="000000" w:themeColor="text1"/>
          <w:sz w:val="24"/>
          <w:szCs w:val="24"/>
        </w:rPr>
        <w:instrText xml:space="preserve"> SEQ 表 \* ARABIC \s 2 </w:instrText>
      </w:r>
      <w:r>
        <w:rPr>
          <w:rFonts w:ascii="Times New Roman" w:cs="Times New Roman" w:hAnsiTheme="minorEastAsia" w:eastAsiaTheme="minorEastAsia"/>
          <w:b/>
          <w:color w:val="000000" w:themeColor="text1"/>
          <w:sz w:val="24"/>
          <w:szCs w:val="24"/>
        </w:rPr>
        <w:fldChar w:fldCharType="separate"/>
      </w:r>
      <w:r>
        <w:rPr>
          <w:rFonts w:ascii="Times New Roman" w:cs="Times New Roman" w:hAnsiTheme="minorEastAsia" w:eastAsiaTheme="minorEastAsia"/>
          <w:b/>
          <w:color w:val="000000" w:themeColor="text1"/>
          <w:sz w:val="24"/>
          <w:szCs w:val="24"/>
        </w:rPr>
        <w:t>10</w:t>
      </w:r>
      <w:r>
        <w:rPr>
          <w:rFonts w:ascii="Times New Roman" w:cs="Times New Roman" w:hAnsiTheme="minorEastAsia" w:eastAsiaTheme="minorEastAsia"/>
          <w:b/>
          <w:color w:val="000000" w:themeColor="text1"/>
          <w:sz w:val="24"/>
          <w:szCs w:val="24"/>
        </w:rPr>
        <w:fldChar w:fldCharType="end"/>
      </w:r>
      <w:r>
        <w:rPr>
          <w:rFonts w:hint="eastAsia" w:ascii="Times New Roman" w:cs="Times New Roman" w:hAnsiTheme="minorEastAsia" w:eastAsiaTheme="minorEastAsia"/>
          <w:b/>
          <w:color w:val="000000" w:themeColor="text1"/>
          <w:sz w:val="24"/>
          <w:szCs w:val="24"/>
        </w:rPr>
        <w:t xml:space="preserve">  </w:t>
      </w:r>
      <w:r>
        <w:rPr>
          <w:rFonts w:ascii="Times New Roman" w:cs="Times New Roman" w:hAnsiTheme="minorEastAsia" w:eastAsiaTheme="minorEastAsia"/>
          <w:b/>
          <w:color w:val="000000" w:themeColor="text1"/>
          <w:sz w:val="24"/>
          <w:szCs w:val="24"/>
        </w:rPr>
        <w:t>医院危险物质最大存在总量与临界量一览表</w:t>
      </w:r>
    </w:p>
    <w:tbl>
      <w:tblPr>
        <w:tblStyle w:val="39"/>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500"/>
        <w:gridCol w:w="2324"/>
        <w:gridCol w:w="2560"/>
        <w:gridCol w:w="20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324" w:type="pct"/>
          </w:tcPr>
          <w:p>
            <w:pPr>
              <w:pStyle w:val="140"/>
              <w:spacing w:before="73"/>
              <w:ind w:left="686" w:right="675"/>
              <w:rPr>
                <w:rFonts w:cs="Times New Roman"/>
                <w:color w:val="000000" w:themeColor="text1"/>
                <w:sz w:val="21"/>
                <w:szCs w:val="21"/>
              </w:rPr>
            </w:pPr>
            <w:r>
              <w:rPr>
                <w:rFonts w:hint="eastAsia" w:cs="Times New Roman"/>
                <w:color w:val="000000" w:themeColor="text1"/>
                <w:sz w:val="21"/>
                <w:szCs w:val="21"/>
              </w:rPr>
              <w:t>物质名称</w:t>
            </w:r>
          </w:p>
        </w:tc>
        <w:tc>
          <w:tcPr>
            <w:tcW w:w="1231" w:type="pct"/>
          </w:tcPr>
          <w:p>
            <w:pPr>
              <w:pStyle w:val="140"/>
              <w:spacing w:before="73"/>
              <w:ind w:left="470" w:right="464"/>
              <w:rPr>
                <w:rFonts w:cs="Times New Roman"/>
                <w:color w:val="000000" w:themeColor="text1"/>
                <w:sz w:val="21"/>
                <w:szCs w:val="21"/>
              </w:rPr>
            </w:pPr>
            <w:r>
              <w:rPr>
                <w:rFonts w:hint="eastAsia" w:cs="Times New Roman"/>
                <w:color w:val="000000" w:themeColor="text1"/>
                <w:sz w:val="21"/>
                <w:szCs w:val="21"/>
              </w:rPr>
              <w:t>临界量（</w:t>
            </w:r>
            <w:r>
              <w:rPr>
                <w:rFonts w:ascii="Times New Roman"/>
                <w:color w:val="000000" w:themeColor="text1"/>
                <w:sz w:val="21"/>
                <w:szCs w:val="21"/>
              </w:rPr>
              <w:t>t</w:t>
            </w:r>
            <w:r>
              <w:rPr>
                <w:rFonts w:hint="eastAsia" w:cs="Times New Roman"/>
                <w:color w:val="000000" w:themeColor="text1"/>
                <w:sz w:val="21"/>
                <w:szCs w:val="21"/>
              </w:rPr>
              <w:t>）</w:t>
            </w:r>
          </w:p>
        </w:tc>
        <w:tc>
          <w:tcPr>
            <w:tcW w:w="1355" w:type="pct"/>
          </w:tcPr>
          <w:p>
            <w:pPr>
              <w:pStyle w:val="140"/>
              <w:spacing w:before="73"/>
              <w:ind w:left="576" w:right="565"/>
              <w:rPr>
                <w:rFonts w:cs="Times New Roman"/>
                <w:color w:val="000000" w:themeColor="text1"/>
                <w:sz w:val="21"/>
                <w:szCs w:val="21"/>
              </w:rPr>
            </w:pPr>
            <w:r>
              <w:rPr>
                <w:rFonts w:hint="eastAsia" w:cs="Times New Roman"/>
                <w:color w:val="000000" w:themeColor="text1"/>
                <w:sz w:val="21"/>
                <w:szCs w:val="21"/>
              </w:rPr>
              <w:t>存在量（</w:t>
            </w:r>
            <w:r>
              <w:rPr>
                <w:rFonts w:ascii="Times New Roman"/>
                <w:color w:val="000000" w:themeColor="text1"/>
                <w:sz w:val="21"/>
                <w:szCs w:val="21"/>
              </w:rPr>
              <w:t>t</w:t>
            </w:r>
            <w:r>
              <w:rPr>
                <w:rFonts w:hint="eastAsia" w:cs="Times New Roman"/>
                <w:color w:val="000000" w:themeColor="text1"/>
                <w:sz w:val="21"/>
                <w:szCs w:val="21"/>
              </w:rPr>
              <w:t>）</w:t>
            </w:r>
          </w:p>
        </w:tc>
        <w:tc>
          <w:tcPr>
            <w:tcW w:w="1089" w:type="pct"/>
          </w:tcPr>
          <w:p>
            <w:pPr>
              <w:pStyle w:val="140"/>
              <w:spacing w:before="87"/>
              <w:ind w:left="737" w:right="728"/>
              <w:rPr>
                <w:rFonts w:ascii="Times New Roman"/>
                <w:color w:val="000000" w:themeColor="text1"/>
                <w:sz w:val="21"/>
                <w:szCs w:val="21"/>
              </w:rPr>
            </w:pPr>
            <w:r>
              <w:rPr>
                <w:rFonts w:ascii="Times New Roman"/>
                <w:color w:val="000000" w:themeColor="text1"/>
                <w:sz w:val="21"/>
                <w:szCs w:val="21"/>
              </w:rPr>
              <w:t>q/Q</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324" w:type="pct"/>
          </w:tcPr>
          <w:p>
            <w:pPr>
              <w:pStyle w:val="140"/>
              <w:spacing w:before="22"/>
              <w:ind w:left="686" w:right="673"/>
              <w:rPr>
                <w:rFonts w:cs="Times New Roman"/>
                <w:color w:val="000000" w:themeColor="text1"/>
                <w:sz w:val="21"/>
                <w:szCs w:val="21"/>
              </w:rPr>
            </w:pPr>
            <w:r>
              <w:rPr>
                <w:rFonts w:hint="eastAsia"/>
                <w:sz w:val="21"/>
                <w:szCs w:val="21"/>
              </w:rPr>
              <w:t>甲醛</w:t>
            </w:r>
          </w:p>
        </w:tc>
        <w:tc>
          <w:tcPr>
            <w:tcW w:w="1231" w:type="pct"/>
          </w:tcPr>
          <w:p>
            <w:pPr>
              <w:pStyle w:val="140"/>
              <w:spacing w:before="36"/>
              <w:ind w:left="470" w:right="462"/>
              <w:rPr>
                <w:rFonts w:ascii="Times New Roman"/>
                <w:color w:val="000000" w:themeColor="text1"/>
                <w:sz w:val="21"/>
                <w:szCs w:val="21"/>
              </w:rPr>
            </w:pPr>
            <w:r>
              <w:rPr>
                <w:rFonts w:hint="eastAsia" w:ascii="Times New Roman"/>
                <w:color w:val="000000" w:themeColor="text1"/>
                <w:sz w:val="21"/>
                <w:szCs w:val="21"/>
              </w:rPr>
              <w:t>50</w:t>
            </w:r>
          </w:p>
        </w:tc>
        <w:tc>
          <w:tcPr>
            <w:tcW w:w="1355" w:type="pct"/>
          </w:tcPr>
          <w:p>
            <w:pPr>
              <w:pStyle w:val="140"/>
              <w:spacing w:before="36"/>
              <w:ind w:left="576" w:right="563"/>
              <w:rPr>
                <w:rFonts w:ascii="Times New Roman"/>
                <w:color w:val="000000" w:themeColor="text1"/>
                <w:sz w:val="21"/>
                <w:szCs w:val="21"/>
              </w:rPr>
            </w:pPr>
            <w:r>
              <w:rPr>
                <w:rFonts w:hint="eastAsia" w:ascii="Times New Roman"/>
                <w:color w:val="000000" w:themeColor="text1"/>
                <w:sz w:val="21"/>
                <w:szCs w:val="21"/>
              </w:rPr>
              <w:t>0.1</w:t>
            </w:r>
          </w:p>
        </w:tc>
        <w:tc>
          <w:tcPr>
            <w:tcW w:w="1089" w:type="pct"/>
          </w:tcPr>
          <w:p>
            <w:pPr>
              <w:pStyle w:val="140"/>
              <w:spacing w:before="34"/>
              <w:ind w:left="738" w:right="728"/>
              <w:rPr>
                <w:rFonts w:ascii="Times New Roman"/>
                <w:color w:val="000000" w:themeColor="text1"/>
                <w:sz w:val="21"/>
                <w:szCs w:val="21"/>
              </w:rPr>
            </w:pPr>
            <w:r>
              <w:rPr>
                <w:rFonts w:hint="eastAsia" w:ascii="Times New Roman"/>
                <w:color w:val="000000" w:themeColor="text1"/>
                <w:sz w:val="21"/>
                <w:szCs w:val="21"/>
              </w:rPr>
              <w:t>0.002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324" w:type="pct"/>
          </w:tcPr>
          <w:p>
            <w:pPr>
              <w:pStyle w:val="140"/>
              <w:spacing w:before="22"/>
              <w:ind w:left="686" w:right="673"/>
              <w:rPr>
                <w:rFonts w:cs="Times New Roman"/>
                <w:color w:val="000000" w:themeColor="text1"/>
                <w:sz w:val="21"/>
                <w:szCs w:val="21"/>
              </w:rPr>
            </w:pPr>
            <w:r>
              <w:rPr>
                <w:rFonts w:hint="eastAsia" w:cs="Times New Roman"/>
                <w:color w:val="000000" w:themeColor="text1"/>
                <w:sz w:val="21"/>
                <w:szCs w:val="21"/>
              </w:rPr>
              <w:t>乙醇</w:t>
            </w:r>
          </w:p>
        </w:tc>
        <w:tc>
          <w:tcPr>
            <w:tcW w:w="1231" w:type="pct"/>
          </w:tcPr>
          <w:p>
            <w:pPr>
              <w:pStyle w:val="140"/>
              <w:spacing w:before="36"/>
              <w:ind w:left="470" w:right="462"/>
              <w:rPr>
                <w:rFonts w:ascii="Times New Roman"/>
                <w:color w:val="000000" w:themeColor="text1"/>
                <w:sz w:val="21"/>
                <w:szCs w:val="21"/>
              </w:rPr>
            </w:pPr>
            <w:r>
              <w:rPr>
                <w:rFonts w:hint="eastAsia" w:ascii="Times New Roman"/>
                <w:color w:val="000000" w:themeColor="text1"/>
                <w:sz w:val="21"/>
                <w:szCs w:val="21"/>
              </w:rPr>
              <w:t>5</w:t>
            </w:r>
          </w:p>
        </w:tc>
        <w:tc>
          <w:tcPr>
            <w:tcW w:w="1355" w:type="pct"/>
          </w:tcPr>
          <w:p>
            <w:pPr>
              <w:pStyle w:val="140"/>
              <w:spacing w:before="36"/>
              <w:ind w:left="576" w:right="563"/>
              <w:rPr>
                <w:rFonts w:ascii="Times New Roman"/>
                <w:color w:val="000000" w:themeColor="text1"/>
                <w:sz w:val="21"/>
                <w:szCs w:val="21"/>
              </w:rPr>
            </w:pPr>
            <w:r>
              <w:rPr>
                <w:rFonts w:hint="eastAsia" w:ascii="Times New Roman"/>
                <w:color w:val="000000" w:themeColor="text1"/>
                <w:sz w:val="21"/>
                <w:szCs w:val="21"/>
              </w:rPr>
              <w:t>0.1</w:t>
            </w:r>
          </w:p>
        </w:tc>
        <w:tc>
          <w:tcPr>
            <w:tcW w:w="1089" w:type="pct"/>
          </w:tcPr>
          <w:p>
            <w:pPr>
              <w:pStyle w:val="140"/>
              <w:spacing w:before="34"/>
              <w:ind w:left="738" w:right="728"/>
              <w:rPr>
                <w:rFonts w:ascii="Times New Roman"/>
                <w:color w:val="000000" w:themeColor="text1"/>
                <w:sz w:val="21"/>
                <w:szCs w:val="21"/>
              </w:rPr>
            </w:pPr>
            <w:r>
              <w:rPr>
                <w:rFonts w:hint="eastAsia" w:ascii="Times New Roman"/>
                <w:color w:val="000000" w:themeColor="text1"/>
                <w:sz w:val="21"/>
                <w:szCs w:val="21"/>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324" w:type="pct"/>
          </w:tcPr>
          <w:p>
            <w:pPr>
              <w:pStyle w:val="140"/>
              <w:spacing w:before="22"/>
              <w:ind w:left="686" w:right="673"/>
              <w:rPr>
                <w:rFonts w:cs="Times New Roman"/>
                <w:color w:val="000000" w:themeColor="text1"/>
                <w:sz w:val="21"/>
                <w:szCs w:val="21"/>
              </w:rPr>
            </w:pPr>
            <w:r>
              <w:rPr>
                <w:rFonts w:hint="eastAsia" w:cs="Times New Roman"/>
                <w:color w:val="000000" w:themeColor="text1"/>
                <w:sz w:val="21"/>
                <w:szCs w:val="21"/>
              </w:rPr>
              <w:t>盐酸</w:t>
            </w:r>
          </w:p>
        </w:tc>
        <w:tc>
          <w:tcPr>
            <w:tcW w:w="1231" w:type="pct"/>
          </w:tcPr>
          <w:p>
            <w:pPr>
              <w:pStyle w:val="140"/>
              <w:spacing w:before="36"/>
              <w:ind w:left="470" w:right="462"/>
              <w:rPr>
                <w:rFonts w:ascii="Times New Roman"/>
                <w:color w:val="000000" w:themeColor="text1"/>
                <w:sz w:val="21"/>
                <w:szCs w:val="21"/>
              </w:rPr>
            </w:pPr>
            <w:r>
              <w:rPr>
                <w:rFonts w:ascii="Times New Roman"/>
                <w:color w:val="000000" w:themeColor="text1"/>
                <w:sz w:val="21"/>
                <w:szCs w:val="21"/>
              </w:rPr>
              <w:t>7.5</w:t>
            </w:r>
          </w:p>
        </w:tc>
        <w:tc>
          <w:tcPr>
            <w:tcW w:w="1355" w:type="pct"/>
          </w:tcPr>
          <w:p>
            <w:pPr>
              <w:pStyle w:val="140"/>
              <w:spacing w:before="36"/>
              <w:ind w:left="576" w:right="563"/>
              <w:rPr>
                <w:rFonts w:ascii="Times New Roman"/>
                <w:color w:val="000000" w:themeColor="text1"/>
                <w:sz w:val="21"/>
                <w:szCs w:val="21"/>
              </w:rPr>
            </w:pPr>
            <w:r>
              <w:rPr>
                <w:rFonts w:ascii="Times New Roman"/>
                <w:color w:val="000000" w:themeColor="text1"/>
                <w:sz w:val="21"/>
                <w:szCs w:val="21"/>
              </w:rPr>
              <w:t>1.5</w:t>
            </w:r>
          </w:p>
        </w:tc>
        <w:tc>
          <w:tcPr>
            <w:tcW w:w="1089" w:type="pct"/>
          </w:tcPr>
          <w:p>
            <w:pPr>
              <w:pStyle w:val="140"/>
              <w:spacing w:before="34"/>
              <w:ind w:left="738" w:right="728"/>
              <w:rPr>
                <w:rFonts w:ascii="Times New Roman"/>
                <w:color w:val="000000" w:themeColor="text1"/>
                <w:sz w:val="21"/>
                <w:szCs w:val="21"/>
              </w:rPr>
            </w:pPr>
            <w:r>
              <w:rPr>
                <w:rFonts w:ascii="Times New Roman"/>
                <w:color w:val="000000" w:themeColor="text1"/>
                <w:sz w:val="21"/>
                <w:szCs w:val="21"/>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1324" w:type="pct"/>
          </w:tcPr>
          <w:p>
            <w:pPr>
              <w:pStyle w:val="140"/>
              <w:spacing w:before="61"/>
              <w:ind w:left="686" w:right="673"/>
              <w:rPr>
                <w:rFonts w:cs="Times New Roman"/>
                <w:color w:val="000000" w:themeColor="text1"/>
                <w:sz w:val="21"/>
                <w:szCs w:val="21"/>
              </w:rPr>
            </w:pPr>
            <w:r>
              <w:rPr>
                <w:rFonts w:hint="eastAsia" w:cs="Times New Roman"/>
                <w:color w:val="000000" w:themeColor="text1"/>
                <w:sz w:val="21"/>
                <w:szCs w:val="21"/>
              </w:rPr>
              <w:t>氯酸钠</w:t>
            </w:r>
          </w:p>
        </w:tc>
        <w:tc>
          <w:tcPr>
            <w:tcW w:w="1231" w:type="pct"/>
          </w:tcPr>
          <w:p>
            <w:pPr>
              <w:pStyle w:val="140"/>
              <w:spacing w:before="75"/>
              <w:ind w:left="470" w:right="462"/>
              <w:rPr>
                <w:rFonts w:ascii="Times New Roman"/>
                <w:color w:val="000000" w:themeColor="text1"/>
                <w:sz w:val="21"/>
                <w:szCs w:val="21"/>
              </w:rPr>
            </w:pPr>
            <w:r>
              <w:rPr>
                <w:rFonts w:ascii="Times New Roman"/>
                <w:color w:val="000000" w:themeColor="text1"/>
                <w:sz w:val="21"/>
                <w:szCs w:val="21"/>
              </w:rPr>
              <w:t>100</w:t>
            </w:r>
          </w:p>
        </w:tc>
        <w:tc>
          <w:tcPr>
            <w:tcW w:w="1355" w:type="pct"/>
          </w:tcPr>
          <w:p>
            <w:pPr>
              <w:pStyle w:val="140"/>
              <w:spacing w:before="75"/>
              <w:ind w:left="8"/>
              <w:rPr>
                <w:rFonts w:ascii="Times New Roman"/>
                <w:color w:val="000000" w:themeColor="text1"/>
                <w:sz w:val="21"/>
                <w:szCs w:val="21"/>
              </w:rPr>
            </w:pPr>
            <w:r>
              <w:rPr>
                <w:rFonts w:ascii="Times New Roman"/>
                <w:color w:val="000000" w:themeColor="text1"/>
                <w:sz w:val="21"/>
                <w:szCs w:val="21"/>
              </w:rPr>
              <w:t>3</w:t>
            </w:r>
          </w:p>
        </w:tc>
        <w:tc>
          <w:tcPr>
            <w:tcW w:w="1089" w:type="pct"/>
          </w:tcPr>
          <w:p>
            <w:pPr>
              <w:pStyle w:val="140"/>
              <w:spacing w:before="72"/>
              <w:ind w:left="738" w:right="728"/>
              <w:rPr>
                <w:rFonts w:ascii="Times New Roman"/>
                <w:color w:val="000000" w:themeColor="text1"/>
                <w:sz w:val="21"/>
                <w:szCs w:val="21"/>
              </w:rPr>
            </w:pPr>
            <w:r>
              <w:rPr>
                <w:rFonts w:ascii="Times New Roman"/>
                <w:color w:val="000000" w:themeColor="text1"/>
                <w:sz w:val="21"/>
                <w:szCs w:val="21"/>
              </w:rPr>
              <w:t>0.03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324" w:type="pct"/>
          </w:tcPr>
          <w:p>
            <w:pPr>
              <w:pStyle w:val="140"/>
              <w:spacing w:before="61"/>
              <w:ind w:left="686" w:right="673"/>
              <w:rPr>
                <w:rFonts w:cs="Times New Roman"/>
                <w:color w:val="000000" w:themeColor="text1"/>
                <w:sz w:val="21"/>
                <w:szCs w:val="21"/>
              </w:rPr>
            </w:pPr>
            <w:r>
              <w:rPr>
                <w:rFonts w:hint="eastAsia" w:cs="Times New Roman"/>
                <w:color w:val="000000" w:themeColor="text1"/>
                <w:sz w:val="21"/>
                <w:szCs w:val="21"/>
              </w:rPr>
              <w:t>氧气</w:t>
            </w:r>
          </w:p>
        </w:tc>
        <w:tc>
          <w:tcPr>
            <w:tcW w:w="1231" w:type="pct"/>
          </w:tcPr>
          <w:p>
            <w:pPr>
              <w:pStyle w:val="140"/>
              <w:spacing w:before="75"/>
              <w:ind w:left="5"/>
              <w:rPr>
                <w:rFonts w:ascii="Times New Roman"/>
                <w:color w:val="000000" w:themeColor="text1"/>
                <w:sz w:val="21"/>
                <w:szCs w:val="21"/>
              </w:rPr>
            </w:pPr>
            <w:r>
              <w:rPr>
                <w:rFonts w:hint="eastAsia" w:ascii="Times New Roman"/>
                <w:color w:val="000000" w:themeColor="text1"/>
                <w:sz w:val="21"/>
                <w:szCs w:val="21"/>
              </w:rPr>
              <w:t>200</w:t>
            </w:r>
          </w:p>
        </w:tc>
        <w:tc>
          <w:tcPr>
            <w:tcW w:w="1355" w:type="pct"/>
          </w:tcPr>
          <w:p>
            <w:pPr>
              <w:pStyle w:val="140"/>
              <w:spacing w:before="75"/>
              <w:ind w:left="9"/>
              <w:rPr>
                <w:rFonts w:ascii="Times New Roman"/>
                <w:color w:val="000000" w:themeColor="text1"/>
                <w:sz w:val="21"/>
                <w:szCs w:val="21"/>
              </w:rPr>
            </w:pPr>
            <w:r>
              <w:rPr>
                <w:rFonts w:hint="eastAsia" w:ascii="Times New Roman"/>
                <w:color w:val="000000" w:themeColor="text1"/>
                <w:sz w:val="21"/>
                <w:szCs w:val="21"/>
              </w:rPr>
              <w:t>0.2</w:t>
            </w:r>
          </w:p>
        </w:tc>
        <w:tc>
          <w:tcPr>
            <w:tcW w:w="1089" w:type="pct"/>
          </w:tcPr>
          <w:p>
            <w:pPr>
              <w:pStyle w:val="140"/>
              <w:spacing w:before="73"/>
              <w:ind w:left="5"/>
              <w:rPr>
                <w:rFonts w:ascii="Times New Roman"/>
                <w:color w:val="000000" w:themeColor="text1"/>
                <w:sz w:val="21"/>
                <w:szCs w:val="21"/>
              </w:rPr>
            </w:pPr>
            <w:r>
              <w:rPr>
                <w:rFonts w:hint="eastAsia" w:ascii="Times New Roman"/>
                <w:color w:val="000000" w:themeColor="text1"/>
                <w:sz w:val="21"/>
                <w:szCs w:val="21"/>
              </w:rPr>
              <w:t>0.001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324" w:type="pct"/>
          </w:tcPr>
          <w:p>
            <w:pPr>
              <w:pStyle w:val="140"/>
              <w:spacing w:before="61"/>
              <w:ind w:left="686" w:right="673"/>
              <w:rPr>
                <w:rFonts w:cs="Times New Roman"/>
                <w:color w:val="000000" w:themeColor="text1"/>
                <w:sz w:val="21"/>
                <w:szCs w:val="21"/>
              </w:rPr>
            </w:pPr>
            <w:r>
              <w:rPr>
                <w:rFonts w:hint="eastAsia" w:cs="Times New Roman"/>
                <w:color w:val="000000" w:themeColor="text1"/>
                <w:sz w:val="21"/>
                <w:szCs w:val="21"/>
              </w:rPr>
              <w:t>天然气</w:t>
            </w:r>
          </w:p>
        </w:tc>
        <w:tc>
          <w:tcPr>
            <w:tcW w:w="1231" w:type="pct"/>
          </w:tcPr>
          <w:p>
            <w:pPr>
              <w:pStyle w:val="140"/>
              <w:spacing w:before="75"/>
              <w:ind w:left="5"/>
              <w:rPr>
                <w:rFonts w:ascii="Times New Roman"/>
                <w:color w:val="000000" w:themeColor="text1"/>
                <w:sz w:val="21"/>
                <w:szCs w:val="21"/>
              </w:rPr>
            </w:pPr>
            <w:r>
              <w:rPr>
                <w:rFonts w:ascii="Times New Roman"/>
                <w:color w:val="000000" w:themeColor="text1"/>
                <w:sz w:val="21"/>
                <w:szCs w:val="21"/>
              </w:rPr>
              <w:t>/</w:t>
            </w:r>
          </w:p>
        </w:tc>
        <w:tc>
          <w:tcPr>
            <w:tcW w:w="1355" w:type="pct"/>
          </w:tcPr>
          <w:p>
            <w:pPr>
              <w:pStyle w:val="140"/>
              <w:spacing w:before="75"/>
              <w:ind w:left="9"/>
              <w:rPr>
                <w:rFonts w:ascii="Times New Roman"/>
                <w:color w:val="000000" w:themeColor="text1"/>
                <w:sz w:val="21"/>
                <w:szCs w:val="21"/>
              </w:rPr>
            </w:pPr>
            <w:r>
              <w:rPr>
                <w:rFonts w:ascii="Times New Roman"/>
                <w:color w:val="000000" w:themeColor="text1"/>
                <w:sz w:val="21"/>
                <w:szCs w:val="21"/>
              </w:rPr>
              <w:t>/</w:t>
            </w:r>
          </w:p>
        </w:tc>
        <w:tc>
          <w:tcPr>
            <w:tcW w:w="1089" w:type="pct"/>
          </w:tcPr>
          <w:p>
            <w:pPr>
              <w:pStyle w:val="140"/>
              <w:spacing w:before="73"/>
              <w:ind w:left="5"/>
              <w:rPr>
                <w:rFonts w:ascii="Times New Roman"/>
                <w:color w:val="000000" w:themeColor="text1"/>
                <w:sz w:val="21"/>
                <w:szCs w:val="21"/>
              </w:rPr>
            </w:pPr>
            <w:r>
              <w:rPr>
                <w:rFonts w:ascii="Times New Roman"/>
                <w:color w:val="000000" w:themeColor="text1"/>
                <w:sz w:val="21"/>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3911" w:type="pct"/>
            <w:gridSpan w:val="3"/>
          </w:tcPr>
          <w:p>
            <w:pPr>
              <w:pStyle w:val="140"/>
              <w:spacing w:before="109"/>
              <w:ind w:left="2044" w:right="2036"/>
              <w:rPr>
                <w:rFonts w:cs="Times New Roman"/>
                <w:color w:val="000000" w:themeColor="text1"/>
                <w:sz w:val="21"/>
                <w:szCs w:val="21"/>
              </w:rPr>
            </w:pPr>
            <w:r>
              <w:rPr>
                <w:rFonts w:hint="eastAsia" w:cs="Times New Roman"/>
                <w:color w:val="000000" w:themeColor="text1"/>
                <w:sz w:val="21"/>
                <w:szCs w:val="21"/>
              </w:rPr>
              <w:t>物质总量与临界量比值</w:t>
            </w:r>
            <w:r>
              <w:rPr>
                <w:rFonts w:ascii="Times New Roman"/>
                <w:color w:val="000000" w:themeColor="text1"/>
                <w:sz w:val="21"/>
                <w:szCs w:val="21"/>
              </w:rPr>
              <w:t xml:space="preserve">Q </w:t>
            </w:r>
            <w:r>
              <w:rPr>
                <w:rFonts w:hint="eastAsia" w:cs="Times New Roman"/>
                <w:color w:val="000000" w:themeColor="text1"/>
                <w:sz w:val="21"/>
                <w:szCs w:val="21"/>
              </w:rPr>
              <w:t>值</w:t>
            </w:r>
          </w:p>
        </w:tc>
        <w:tc>
          <w:tcPr>
            <w:tcW w:w="1089" w:type="pct"/>
          </w:tcPr>
          <w:p>
            <w:pPr>
              <w:pStyle w:val="140"/>
              <w:spacing w:before="120"/>
              <w:ind w:left="738" w:right="728"/>
              <w:rPr>
                <w:rFonts w:ascii="Times New Roman"/>
                <w:color w:val="000000" w:themeColor="text1"/>
                <w:sz w:val="21"/>
                <w:szCs w:val="21"/>
              </w:rPr>
            </w:pPr>
            <w:r>
              <w:rPr>
                <w:rFonts w:hint="eastAsia" w:ascii="Times New Roman"/>
                <w:color w:val="000000" w:themeColor="text1"/>
                <w:sz w:val="21"/>
                <w:szCs w:val="21"/>
              </w:rPr>
              <w:t>0.253</w:t>
            </w:r>
          </w:p>
        </w:tc>
      </w:tr>
    </w:tbl>
    <w:p>
      <w:pPr>
        <w:autoSpaceDE w:val="0"/>
        <w:autoSpaceDN w:val="0"/>
        <w:adjustRightInd w:val="0"/>
        <w:spacing w:line="360" w:lineRule="auto"/>
        <w:ind w:firstLine="472" w:firstLineChars="200"/>
        <w:jc w:val="left"/>
        <w:rPr>
          <w:rFonts w:cs="Times New Roman"/>
          <w:color w:val="000000" w:themeColor="text1"/>
          <w:szCs w:val="24"/>
        </w:rPr>
      </w:pPr>
      <w:r>
        <w:rPr>
          <w:rFonts w:cs="Times New Roman"/>
          <w:color w:val="000000" w:themeColor="text1"/>
          <w:spacing w:val="-2"/>
        </w:rPr>
        <w:t>根据上表得知，各危险品存储量远小于临界量，物质总量与临界量比值</w:t>
      </w:r>
      <w:r>
        <w:rPr>
          <w:rFonts w:cs="Times New Roman"/>
          <w:color w:val="000000" w:themeColor="text1"/>
        </w:rPr>
        <w:t>Q</w:t>
      </w:r>
      <w:r>
        <w:rPr>
          <w:rFonts w:cs="Times New Roman"/>
          <w:color w:val="000000" w:themeColor="text1"/>
          <w:spacing w:val="23"/>
        </w:rPr>
        <w:t>为0.253</w:t>
      </w:r>
      <w:r>
        <w:rPr>
          <w:rFonts w:cs="Times New Roman"/>
          <w:color w:val="000000" w:themeColor="text1"/>
          <w:szCs w:val="24"/>
        </w:rPr>
        <w:t>＜1</w:t>
      </w:r>
      <w:r>
        <w:rPr>
          <w:rFonts w:cs="Times New Roman"/>
          <w:color w:val="000000" w:themeColor="text1"/>
          <w:spacing w:val="-3"/>
          <w:szCs w:val="24"/>
        </w:rPr>
        <w:t>，所以本项目不构成危险化学品重大危险源，风险潜势为I</w:t>
      </w:r>
      <w:r>
        <w:rPr>
          <w:rFonts w:cs="Times New Roman"/>
          <w:color w:val="000000" w:themeColor="text1"/>
          <w:szCs w:val="24"/>
        </w:rPr>
        <w:t>。</w:t>
      </w:r>
    </w:p>
    <w:p>
      <w:pPr>
        <w:pStyle w:val="14"/>
        <w:spacing w:line="240" w:lineRule="auto"/>
        <w:rPr>
          <w:rFonts w:cs="Times New Roman"/>
          <w:color w:val="000000" w:themeColor="text1"/>
        </w:rPr>
      </w:pPr>
      <w:bookmarkStart w:id="103" w:name="_Ref530598678"/>
      <w:r>
        <w:rPr>
          <w:rFonts w:cs="Times New Roman"/>
          <w:color w:val="000000" w:themeColor="text1"/>
        </w:rPr>
        <w:t>表</w:t>
      </w:r>
      <w:r>
        <w:rPr>
          <w:rFonts w:cs="Times New Roman"/>
          <w:color w:val="000000" w:themeColor="text1"/>
        </w:rPr>
        <w:fldChar w:fldCharType="begin"/>
      </w:r>
      <w:r>
        <w:rPr>
          <w:rFonts w:cs="Times New Roman"/>
          <w:color w:val="000000" w:themeColor="text1"/>
        </w:rPr>
        <w:instrText xml:space="preserve"> STYLEREF 2 \s </w:instrText>
      </w:r>
      <w:r>
        <w:rPr>
          <w:rFonts w:cs="Times New Roman"/>
          <w:color w:val="000000" w:themeColor="text1"/>
        </w:rPr>
        <w:fldChar w:fldCharType="separate"/>
      </w:r>
      <w:r>
        <w:rPr>
          <w:rFonts w:cs="Times New Roman"/>
          <w:color w:val="000000" w:themeColor="text1"/>
        </w:rPr>
        <w:t>1.7</w:t>
      </w:r>
      <w:r>
        <w:rPr>
          <w:rFonts w:cs="Times New Roman"/>
          <w:color w:val="000000" w:themeColor="text1"/>
        </w:rPr>
        <w:fldChar w:fldCharType="end"/>
      </w:r>
      <w:r>
        <w:rPr>
          <w:rFonts w:cs="Times New Roman"/>
          <w:color w:val="000000" w:themeColor="text1"/>
        </w:rPr>
        <w:noBreakHyphen/>
      </w:r>
      <w:r>
        <w:rPr>
          <w:rFonts w:cs="Times New Roman"/>
          <w:color w:val="000000" w:themeColor="text1"/>
        </w:rPr>
        <w:fldChar w:fldCharType="begin"/>
      </w:r>
      <w:r>
        <w:rPr>
          <w:rFonts w:cs="Times New Roman"/>
          <w:color w:val="000000" w:themeColor="text1"/>
        </w:rPr>
        <w:instrText xml:space="preserve"> SEQ 表 \* ARABIC \s 2 </w:instrText>
      </w:r>
      <w:r>
        <w:rPr>
          <w:rFonts w:cs="Times New Roman"/>
          <w:color w:val="000000" w:themeColor="text1"/>
        </w:rPr>
        <w:fldChar w:fldCharType="separate"/>
      </w:r>
      <w:r>
        <w:rPr>
          <w:rFonts w:cs="Times New Roman"/>
          <w:color w:val="000000" w:themeColor="text1"/>
        </w:rPr>
        <w:t>11</w:t>
      </w:r>
      <w:r>
        <w:rPr>
          <w:rFonts w:cs="Times New Roman"/>
          <w:color w:val="000000" w:themeColor="text1"/>
        </w:rPr>
        <w:fldChar w:fldCharType="end"/>
      </w:r>
      <w:bookmarkEnd w:id="103"/>
      <w:r>
        <w:rPr>
          <w:rFonts w:cs="Times New Roman"/>
          <w:color w:val="000000" w:themeColor="text1"/>
        </w:rPr>
        <w:t xml:space="preserve"> 环境风险评价工作级别</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8"/>
        <w:gridCol w:w="1848"/>
        <w:gridCol w:w="1848"/>
        <w:gridCol w:w="1849"/>
        <w:gridCol w:w="1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tcPr>
          <w:p>
            <w:pPr>
              <w:pStyle w:val="14"/>
              <w:spacing w:line="240" w:lineRule="auto"/>
              <w:rPr>
                <w:rFonts w:cs="Times New Roman"/>
                <w:b w:val="0"/>
                <w:color w:val="000000" w:themeColor="text1"/>
                <w:sz w:val="21"/>
                <w:szCs w:val="21"/>
              </w:rPr>
            </w:pPr>
            <w:r>
              <w:rPr>
                <w:rFonts w:cs="Times New Roman"/>
                <w:b w:val="0"/>
                <w:color w:val="000000" w:themeColor="text1"/>
                <w:sz w:val="21"/>
                <w:szCs w:val="21"/>
              </w:rPr>
              <w:t>环境风险潜势</w:t>
            </w:r>
          </w:p>
        </w:tc>
        <w:tc>
          <w:tcPr>
            <w:tcW w:w="1848" w:type="dxa"/>
          </w:tcPr>
          <w:p>
            <w:pPr>
              <w:pStyle w:val="14"/>
              <w:spacing w:line="240" w:lineRule="auto"/>
              <w:rPr>
                <w:rFonts w:cs="Times New Roman"/>
                <w:b w:val="0"/>
                <w:color w:val="000000" w:themeColor="text1"/>
                <w:sz w:val="21"/>
                <w:szCs w:val="21"/>
              </w:rPr>
            </w:pPr>
            <w:r>
              <w:rPr>
                <w:rFonts w:cs="Times New Roman"/>
                <w:b w:val="0"/>
                <w:color w:val="000000" w:themeColor="text1"/>
                <w:sz w:val="21"/>
                <w:szCs w:val="21"/>
              </w:rPr>
              <w:t>Ⅳ、Ⅳ</w:t>
            </w:r>
            <w:r>
              <w:rPr>
                <w:rFonts w:cs="Times New Roman"/>
                <w:b w:val="0"/>
                <w:color w:val="000000" w:themeColor="text1"/>
                <w:sz w:val="21"/>
                <w:szCs w:val="21"/>
                <w:vertAlign w:val="superscript"/>
              </w:rPr>
              <w:t>＋</w:t>
            </w:r>
          </w:p>
        </w:tc>
        <w:tc>
          <w:tcPr>
            <w:tcW w:w="1848" w:type="dxa"/>
          </w:tcPr>
          <w:p>
            <w:pPr>
              <w:pStyle w:val="14"/>
              <w:spacing w:line="240" w:lineRule="auto"/>
              <w:rPr>
                <w:rFonts w:cs="Times New Roman"/>
                <w:b w:val="0"/>
                <w:color w:val="000000" w:themeColor="text1"/>
                <w:sz w:val="21"/>
                <w:szCs w:val="21"/>
              </w:rPr>
            </w:pPr>
            <w:r>
              <w:rPr>
                <w:rFonts w:cs="Times New Roman"/>
                <w:b w:val="0"/>
                <w:color w:val="000000" w:themeColor="text1"/>
                <w:sz w:val="21"/>
                <w:szCs w:val="21"/>
              </w:rPr>
              <w:t>Ⅲ</w:t>
            </w:r>
          </w:p>
        </w:tc>
        <w:tc>
          <w:tcPr>
            <w:tcW w:w="1849" w:type="dxa"/>
          </w:tcPr>
          <w:p>
            <w:pPr>
              <w:pStyle w:val="14"/>
              <w:spacing w:line="240" w:lineRule="auto"/>
              <w:rPr>
                <w:rFonts w:cs="Times New Roman"/>
                <w:b w:val="0"/>
                <w:color w:val="000000" w:themeColor="text1"/>
                <w:sz w:val="21"/>
                <w:szCs w:val="21"/>
              </w:rPr>
            </w:pPr>
            <w:r>
              <w:rPr>
                <w:rFonts w:cs="Times New Roman"/>
                <w:b w:val="0"/>
                <w:color w:val="000000" w:themeColor="text1"/>
                <w:sz w:val="21"/>
                <w:szCs w:val="21"/>
              </w:rPr>
              <w:t>Ⅱ</w:t>
            </w:r>
          </w:p>
        </w:tc>
        <w:tc>
          <w:tcPr>
            <w:tcW w:w="1849" w:type="dxa"/>
          </w:tcPr>
          <w:p>
            <w:pPr>
              <w:pStyle w:val="14"/>
              <w:spacing w:line="240" w:lineRule="auto"/>
              <w:rPr>
                <w:rFonts w:cs="Times New Roman"/>
                <w:b w:val="0"/>
                <w:color w:val="000000" w:themeColor="text1"/>
                <w:sz w:val="21"/>
                <w:szCs w:val="21"/>
              </w:rPr>
            </w:pPr>
            <w:r>
              <w:rPr>
                <w:rFonts w:cs="Times New Roman"/>
                <w:b w:val="0"/>
                <w:color w:val="000000" w:themeColor="text1"/>
                <w:sz w:val="21"/>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tcPr>
          <w:p>
            <w:pPr>
              <w:pStyle w:val="14"/>
              <w:spacing w:line="240" w:lineRule="auto"/>
              <w:rPr>
                <w:rFonts w:cs="Times New Roman"/>
                <w:b w:val="0"/>
                <w:color w:val="000000" w:themeColor="text1"/>
                <w:sz w:val="21"/>
                <w:szCs w:val="21"/>
              </w:rPr>
            </w:pPr>
            <w:r>
              <w:rPr>
                <w:rFonts w:cs="Times New Roman"/>
                <w:b w:val="0"/>
                <w:color w:val="000000" w:themeColor="text1"/>
                <w:sz w:val="21"/>
                <w:szCs w:val="21"/>
              </w:rPr>
              <w:t>评价工作等级</w:t>
            </w:r>
          </w:p>
        </w:tc>
        <w:tc>
          <w:tcPr>
            <w:tcW w:w="1848" w:type="dxa"/>
          </w:tcPr>
          <w:p>
            <w:pPr>
              <w:pStyle w:val="14"/>
              <w:spacing w:line="240" w:lineRule="auto"/>
              <w:rPr>
                <w:rFonts w:cs="Times New Roman"/>
                <w:b w:val="0"/>
                <w:color w:val="000000" w:themeColor="text1"/>
                <w:sz w:val="21"/>
                <w:szCs w:val="21"/>
              </w:rPr>
            </w:pPr>
            <w:r>
              <w:rPr>
                <w:rFonts w:cs="Times New Roman"/>
                <w:b w:val="0"/>
                <w:color w:val="000000" w:themeColor="text1"/>
                <w:sz w:val="21"/>
                <w:szCs w:val="21"/>
              </w:rPr>
              <w:t>一</w:t>
            </w:r>
          </w:p>
        </w:tc>
        <w:tc>
          <w:tcPr>
            <w:tcW w:w="1848" w:type="dxa"/>
          </w:tcPr>
          <w:p>
            <w:pPr>
              <w:pStyle w:val="14"/>
              <w:spacing w:line="240" w:lineRule="auto"/>
              <w:rPr>
                <w:rFonts w:cs="Times New Roman"/>
                <w:b w:val="0"/>
                <w:color w:val="000000" w:themeColor="text1"/>
                <w:sz w:val="21"/>
                <w:szCs w:val="21"/>
              </w:rPr>
            </w:pPr>
            <w:r>
              <w:rPr>
                <w:rFonts w:cs="Times New Roman"/>
                <w:b w:val="0"/>
                <w:color w:val="000000" w:themeColor="text1"/>
                <w:sz w:val="21"/>
                <w:szCs w:val="21"/>
              </w:rPr>
              <w:t>二</w:t>
            </w:r>
          </w:p>
        </w:tc>
        <w:tc>
          <w:tcPr>
            <w:tcW w:w="1849" w:type="dxa"/>
          </w:tcPr>
          <w:p>
            <w:pPr>
              <w:pStyle w:val="14"/>
              <w:spacing w:line="240" w:lineRule="auto"/>
              <w:rPr>
                <w:rFonts w:cs="Times New Roman"/>
                <w:b w:val="0"/>
                <w:color w:val="000000" w:themeColor="text1"/>
                <w:sz w:val="21"/>
                <w:szCs w:val="21"/>
              </w:rPr>
            </w:pPr>
            <w:r>
              <w:rPr>
                <w:rFonts w:cs="Times New Roman"/>
                <w:b w:val="0"/>
                <w:color w:val="000000" w:themeColor="text1"/>
                <w:sz w:val="21"/>
                <w:szCs w:val="21"/>
              </w:rPr>
              <w:t>三</w:t>
            </w:r>
          </w:p>
        </w:tc>
        <w:tc>
          <w:tcPr>
            <w:tcW w:w="1849" w:type="dxa"/>
          </w:tcPr>
          <w:p>
            <w:pPr>
              <w:pStyle w:val="14"/>
              <w:spacing w:line="240" w:lineRule="auto"/>
              <w:rPr>
                <w:rFonts w:cs="Times New Roman"/>
                <w:b w:val="0"/>
                <w:color w:val="000000" w:themeColor="text1"/>
                <w:sz w:val="21"/>
                <w:szCs w:val="21"/>
              </w:rPr>
            </w:pPr>
            <w:r>
              <w:rPr>
                <w:rFonts w:cs="Times New Roman"/>
                <w:b w:val="0"/>
                <w:color w:val="000000" w:themeColor="text1"/>
                <w:sz w:val="21"/>
                <w:szCs w:val="21"/>
              </w:rPr>
              <w:t>简单分析</w:t>
            </w:r>
            <w:r>
              <w:rPr>
                <w:rFonts w:cs="Times New Roman"/>
                <w:b w:val="0"/>
                <w:color w:val="000000" w:themeColor="text1"/>
                <w:sz w:val="21"/>
                <w:szCs w:val="21"/>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5"/>
          </w:tcPr>
          <w:p>
            <w:pPr>
              <w:pStyle w:val="14"/>
              <w:spacing w:line="240" w:lineRule="auto"/>
              <w:jc w:val="both"/>
              <w:rPr>
                <w:rFonts w:cs="Times New Roman"/>
                <w:b w:val="0"/>
                <w:color w:val="000000" w:themeColor="text1"/>
                <w:sz w:val="21"/>
                <w:szCs w:val="21"/>
              </w:rPr>
            </w:pPr>
            <w:r>
              <w:rPr>
                <w:rFonts w:cs="Times New Roman"/>
                <w:b w:val="0"/>
                <w:color w:val="000000" w:themeColor="text1"/>
                <w:sz w:val="21"/>
                <w:szCs w:val="21"/>
              </w:rPr>
              <w:t>是相对于详细评价工作内容而言，在描述危险物质、环境影响途径、环境危害后果、风险防范措施等方面给出定性的说明。见附录A。</w:t>
            </w:r>
          </w:p>
        </w:tc>
      </w:tr>
    </w:tbl>
    <w:p>
      <w:pPr>
        <w:autoSpaceDE w:val="0"/>
        <w:autoSpaceDN w:val="0"/>
        <w:adjustRightInd w:val="0"/>
        <w:spacing w:line="360" w:lineRule="auto"/>
        <w:ind w:firstLine="472" w:firstLineChars="200"/>
        <w:jc w:val="left"/>
        <w:rPr>
          <w:rFonts w:cs="Times New Roman"/>
          <w:color w:val="FF0000"/>
        </w:rPr>
      </w:pPr>
      <w:r>
        <w:rPr>
          <w:rFonts w:hint="eastAsia"/>
          <w:color w:val="000000" w:themeColor="text1"/>
          <w:spacing w:val="-2"/>
        </w:rPr>
        <w:t>依据《建设项目环境风险评价技术导则》（</w:t>
      </w:r>
      <w:r>
        <w:rPr>
          <w:color w:val="000000" w:themeColor="text1"/>
          <w:spacing w:val="-2"/>
        </w:rPr>
        <w:t>HJ169-2018</w:t>
      </w:r>
      <w:r>
        <w:rPr>
          <w:rFonts w:hint="eastAsia"/>
          <w:color w:val="000000" w:themeColor="text1"/>
          <w:spacing w:val="-2"/>
        </w:rPr>
        <w:t xml:space="preserve">），本项目风险潜势为 </w:t>
      </w:r>
      <w:r>
        <w:rPr>
          <w:color w:val="000000" w:themeColor="text1"/>
          <w:spacing w:val="-2"/>
        </w:rPr>
        <w:t>I</w:t>
      </w:r>
      <w:r>
        <w:rPr>
          <w:rFonts w:hint="eastAsia"/>
          <w:color w:val="000000" w:themeColor="text1"/>
          <w:spacing w:val="-2"/>
        </w:rPr>
        <w:t>，因此本项目风险评价等级为开展简单分析。</w:t>
      </w:r>
    </w:p>
    <w:p>
      <w:pPr>
        <w:pStyle w:val="5"/>
      </w:pPr>
      <w:r>
        <w:t>土壤评价工作等级</w:t>
      </w:r>
    </w:p>
    <w:p>
      <w:pPr>
        <w:spacing w:line="360" w:lineRule="auto"/>
        <w:ind w:firstLine="480" w:firstLineChars="200"/>
        <w:rPr>
          <w:rFonts w:cs="Times New Roman" w:hAnsiTheme="minorEastAsia"/>
        </w:rPr>
      </w:pPr>
      <w:r>
        <w:rPr>
          <w:rFonts w:cs="Times New Roman"/>
        </w:rPr>
        <w:t>根据《</w:t>
      </w:r>
      <w:r>
        <w:rPr>
          <w:rFonts w:hAnsi="宋体" w:cs="Times New Roman"/>
        </w:rPr>
        <w:t>环境影响评价技术导则</w:t>
      </w:r>
      <w:r>
        <w:rPr>
          <w:rFonts w:cs="Times New Roman"/>
        </w:rPr>
        <w:t>—</w:t>
      </w:r>
      <w:r>
        <w:rPr>
          <w:rFonts w:hAnsi="宋体" w:cs="Times New Roman"/>
        </w:rPr>
        <w:t>土壤环境（试行）</w:t>
      </w:r>
      <w:r>
        <w:rPr>
          <w:rFonts w:cs="Times New Roman"/>
        </w:rPr>
        <w:t>》</w:t>
      </w:r>
      <w:r>
        <w:rPr>
          <w:rFonts w:hAnsi="宋体" w:cs="Times New Roman"/>
        </w:rPr>
        <w:t>（</w:t>
      </w:r>
      <w:r>
        <w:rPr>
          <w:rFonts w:cs="Times New Roman"/>
        </w:rPr>
        <w:t>HJ964-2018</w:t>
      </w:r>
      <w:r>
        <w:rPr>
          <w:rFonts w:hAnsi="宋体" w:cs="Times New Roman"/>
        </w:rPr>
        <w:t>），查附录</w:t>
      </w:r>
      <w:r>
        <w:rPr>
          <w:rFonts w:cs="Times New Roman"/>
        </w:rPr>
        <w:t>A</w:t>
      </w:r>
      <w:r>
        <w:rPr>
          <w:rFonts w:hAnsi="宋体" w:cs="Times New Roman"/>
        </w:rPr>
        <w:t>土壤环境影响评价项目类别，本项目属于其他行业，则项目类别为</w:t>
      </w:r>
      <w:r>
        <w:rPr>
          <w:rFonts w:cs="Times New Roman"/>
        </w:rPr>
        <w:t>Ⅳ</w:t>
      </w:r>
      <w:r>
        <w:rPr>
          <w:rFonts w:cs="Times New Roman" w:hAnsiTheme="minorEastAsia"/>
        </w:rPr>
        <w:t>类。根查阅</w:t>
      </w:r>
      <w:r>
        <w:rPr>
          <w:rFonts w:cs="Times New Roman"/>
        </w:rPr>
        <w:t>《</w:t>
      </w:r>
      <w:r>
        <w:rPr>
          <w:rFonts w:hAnsi="宋体" w:cs="Times New Roman"/>
        </w:rPr>
        <w:t>环境影响评价技术导则</w:t>
      </w:r>
      <w:r>
        <w:rPr>
          <w:rFonts w:cs="Times New Roman"/>
        </w:rPr>
        <w:t>—</w:t>
      </w:r>
      <w:r>
        <w:rPr>
          <w:rFonts w:hAnsi="宋体" w:cs="Times New Roman"/>
        </w:rPr>
        <w:t>土壤环境（试行）</w:t>
      </w:r>
      <w:r>
        <w:rPr>
          <w:rFonts w:cs="Times New Roman"/>
        </w:rPr>
        <w:t>》</w:t>
      </w:r>
      <w:r>
        <w:rPr>
          <w:rFonts w:hAnsi="宋体" w:cs="Times New Roman"/>
        </w:rPr>
        <w:t>（</w:t>
      </w:r>
      <w:r>
        <w:rPr>
          <w:rFonts w:cs="Times New Roman"/>
        </w:rPr>
        <w:t>HJ964-2018</w:t>
      </w:r>
      <w:r>
        <w:rPr>
          <w:rFonts w:hAnsi="宋体" w:cs="Times New Roman"/>
        </w:rPr>
        <w:t>）</w:t>
      </w:r>
      <w:r>
        <w:rPr>
          <w:rFonts w:cs="Times New Roman"/>
        </w:rPr>
        <w:t>4.2.2</w:t>
      </w:r>
      <w:r>
        <w:rPr>
          <w:rFonts w:hAnsi="宋体" w:cs="Times New Roman"/>
        </w:rPr>
        <w:t>中规定</w:t>
      </w:r>
      <w:r>
        <w:rPr>
          <w:rFonts w:cs="Times New Roman"/>
        </w:rPr>
        <w:t>“</w:t>
      </w:r>
      <w:r>
        <w:rPr>
          <w:rFonts w:hAnsi="宋体" w:cs="Times New Roman"/>
        </w:rPr>
        <w:t>根据行业特征、工艺特点或规模大小等将建设项目类别分为</w:t>
      </w:r>
      <w:r>
        <w:rPr>
          <w:rFonts w:cs="Times New Roman"/>
        </w:rPr>
        <w:t>Ⅰ</w:t>
      </w:r>
      <w:r>
        <w:rPr>
          <w:rFonts w:cs="Times New Roman" w:hAnsiTheme="minorEastAsia"/>
        </w:rPr>
        <w:t>类、</w:t>
      </w:r>
      <w:r>
        <w:rPr>
          <w:rFonts w:cs="Times New Roman"/>
        </w:rPr>
        <w:t>Ⅱ</w:t>
      </w:r>
      <w:r>
        <w:rPr>
          <w:rFonts w:cs="Times New Roman" w:hAnsiTheme="minorEastAsia"/>
        </w:rPr>
        <w:t>类、</w:t>
      </w:r>
      <w:r>
        <w:rPr>
          <w:rFonts w:cs="Times New Roman"/>
        </w:rPr>
        <w:t>Ⅲ</w:t>
      </w:r>
      <w:r>
        <w:rPr>
          <w:rFonts w:cs="Times New Roman" w:hAnsiTheme="minorEastAsia"/>
        </w:rPr>
        <w:t>类、</w:t>
      </w:r>
      <w:r>
        <w:rPr>
          <w:rFonts w:cs="Times New Roman"/>
        </w:rPr>
        <w:t>Ⅳ</w:t>
      </w:r>
      <w:r>
        <w:rPr>
          <w:rFonts w:cs="Times New Roman" w:hAnsiTheme="minorEastAsia"/>
        </w:rPr>
        <w:t>类，见附录</w:t>
      </w:r>
      <w:r>
        <w:rPr>
          <w:rFonts w:cs="Times New Roman"/>
        </w:rPr>
        <w:t>A</w:t>
      </w:r>
      <w:r>
        <w:rPr>
          <w:rFonts w:cs="Times New Roman" w:hAnsiTheme="minorEastAsia"/>
        </w:rPr>
        <w:t>，其中</w:t>
      </w:r>
      <w:r>
        <w:rPr>
          <w:rFonts w:cs="Times New Roman"/>
        </w:rPr>
        <w:t>Ⅳ</w:t>
      </w:r>
      <w:r>
        <w:rPr>
          <w:rFonts w:cs="Times New Roman" w:hAnsiTheme="minorEastAsia"/>
        </w:rPr>
        <w:t>类建设项目可不开展土壤环境影响评价；导则中有提出</w:t>
      </w:r>
      <w:r>
        <w:rPr>
          <w:rFonts w:hint="eastAsia" w:cs="Times New Roman" w:hAnsiTheme="minorEastAsia"/>
        </w:rPr>
        <w:t>，</w:t>
      </w:r>
      <w:r>
        <w:rPr>
          <w:rFonts w:cs="Times New Roman" w:hAnsiTheme="minorEastAsia"/>
        </w:rPr>
        <w:t>自身为敏感目标的建设项目，可根据需要仅对土壤环境现状进行调查</w:t>
      </w:r>
      <w:r>
        <w:rPr>
          <w:rFonts w:cs="Times New Roman"/>
        </w:rPr>
        <w:t>”</w:t>
      </w:r>
      <w:r>
        <w:rPr>
          <w:rFonts w:hint="eastAsia" w:cs="Times New Roman"/>
        </w:rPr>
        <w:t>，</w:t>
      </w:r>
      <w:r>
        <w:rPr>
          <w:rFonts w:cs="Times New Roman" w:hAnsiTheme="minorEastAsia"/>
        </w:rPr>
        <w:t>本项目为医院建设项目，属于自身为敏感目标的建设项目</w:t>
      </w:r>
      <w:r>
        <w:rPr>
          <w:rFonts w:hint="eastAsia" w:cs="Times New Roman" w:hAnsiTheme="minorEastAsia"/>
        </w:rPr>
        <w:t>，</w:t>
      </w:r>
      <w:r>
        <w:rPr>
          <w:rFonts w:cs="Times New Roman" w:hAnsiTheme="minorEastAsia"/>
        </w:rPr>
        <w:t>则对本项目地土壤进行了监测及现场调查</w:t>
      </w:r>
      <w:r>
        <w:rPr>
          <w:rFonts w:hint="eastAsia" w:cs="Times New Roman" w:hAnsiTheme="minorEastAsia"/>
        </w:rPr>
        <w:t>。</w:t>
      </w:r>
    </w:p>
    <w:p>
      <w:pPr>
        <w:pStyle w:val="5"/>
      </w:pPr>
      <w:r>
        <w:t>评价等级小结</w:t>
      </w:r>
    </w:p>
    <w:p>
      <w:pPr>
        <w:spacing w:line="360" w:lineRule="auto"/>
        <w:ind w:firstLine="480" w:firstLineChars="200"/>
      </w:pPr>
      <w:r>
        <w:rPr>
          <w:rFonts w:hint="eastAsia"/>
        </w:rPr>
        <w:t>根据上述各环境要素评价工作等级确定依据与实际情况，各环境要素评价等级汇总见下表。</w:t>
      </w:r>
    </w:p>
    <w:p>
      <w:pPr>
        <w:pStyle w:val="14"/>
        <w:spacing w:line="240" w:lineRule="auto"/>
      </w:pPr>
      <w:r>
        <w:rPr>
          <w:rFonts w:hint="eastAsia"/>
        </w:rPr>
        <w:t xml:space="preserve">表 </w:t>
      </w:r>
      <w:r>
        <w:fldChar w:fldCharType="begin"/>
      </w:r>
      <w:r>
        <w:instrText xml:space="preserve"> STYLEREF 2 \s </w:instrText>
      </w:r>
      <w:r>
        <w:fldChar w:fldCharType="separate"/>
      </w:r>
      <w:r>
        <w:t>1.7</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12</w:t>
      </w:r>
      <w:r>
        <w:fldChar w:fldCharType="end"/>
      </w:r>
      <w:r>
        <w:rPr>
          <w:rFonts w:hint="eastAsia"/>
        </w:rPr>
        <w:t xml:space="preserve">  评价工作等级及依据汇总表</w:t>
      </w:r>
    </w:p>
    <w:tbl>
      <w:tblPr>
        <w:tblStyle w:val="39"/>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20"/>
        <w:gridCol w:w="1163"/>
        <w:gridCol w:w="70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46" w:type="pct"/>
            <w:vAlign w:val="center"/>
          </w:tcPr>
          <w:p>
            <w:pPr>
              <w:pStyle w:val="140"/>
              <w:ind w:left="128" w:right="121"/>
              <w:rPr>
                <w:rFonts w:ascii="Times New Roman" w:hAnsi="Times New Roman" w:cs="Times New Roman"/>
                <w:bCs/>
                <w:sz w:val="21"/>
                <w:szCs w:val="21"/>
              </w:rPr>
            </w:pPr>
            <w:r>
              <w:rPr>
                <w:rFonts w:ascii="Times New Roman" w:hAnsi="Times New Roman" w:cs="Times New Roman"/>
                <w:bCs/>
                <w:sz w:val="21"/>
                <w:szCs w:val="21"/>
              </w:rPr>
              <w:t>评价内容</w:t>
            </w:r>
          </w:p>
        </w:tc>
        <w:tc>
          <w:tcPr>
            <w:tcW w:w="616" w:type="pct"/>
            <w:vAlign w:val="center"/>
          </w:tcPr>
          <w:p>
            <w:pPr>
              <w:pStyle w:val="140"/>
              <w:ind w:left="180" w:right="171"/>
              <w:rPr>
                <w:rFonts w:ascii="Times New Roman" w:hAnsi="Times New Roman" w:cs="Times New Roman"/>
                <w:bCs/>
                <w:sz w:val="21"/>
                <w:szCs w:val="21"/>
              </w:rPr>
            </w:pPr>
            <w:r>
              <w:rPr>
                <w:rFonts w:ascii="Times New Roman" w:hAnsi="Times New Roman" w:cs="Times New Roman"/>
                <w:bCs/>
                <w:sz w:val="21"/>
                <w:szCs w:val="21"/>
              </w:rPr>
              <w:t>工作等级</w:t>
            </w:r>
          </w:p>
        </w:tc>
        <w:tc>
          <w:tcPr>
            <w:tcW w:w="3738" w:type="pct"/>
            <w:vAlign w:val="center"/>
          </w:tcPr>
          <w:p>
            <w:pPr>
              <w:pStyle w:val="140"/>
              <w:ind w:left="9"/>
              <w:rPr>
                <w:rFonts w:ascii="Times New Roman" w:hAnsi="Times New Roman" w:cs="Times New Roman"/>
                <w:bCs/>
                <w:sz w:val="21"/>
                <w:szCs w:val="21"/>
              </w:rPr>
            </w:pPr>
            <w:r>
              <w:rPr>
                <w:rFonts w:ascii="Times New Roman" w:hAnsi="Times New Roman" w:cs="Times New Roman"/>
                <w:bCs/>
                <w:sz w:val="21"/>
                <w:szCs w:val="21"/>
              </w:rPr>
              <w:t>确定依据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46" w:type="pct"/>
            <w:vAlign w:val="center"/>
          </w:tcPr>
          <w:p>
            <w:pPr>
              <w:pStyle w:val="140"/>
              <w:spacing w:before="22"/>
              <w:ind w:left="130" w:right="121"/>
              <w:rPr>
                <w:rFonts w:ascii="Times New Roman" w:hAnsi="Times New Roman" w:cs="Times New Roman"/>
                <w:sz w:val="21"/>
                <w:szCs w:val="21"/>
              </w:rPr>
            </w:pPr>
            <w:r>
              <w:rPr>
                <w:rFonts w:ascii="Times New Roman" w:hAnsi="Times New Roman" w:cs="Times New Roman"/>
                <w:sz w:val="21"/>
                <w:szCs w:val="21"/>
              </w:rPr>
              <w:t>地表水环境</w:t>
            </w:r>
          </w:p>
        </w:tc>
        <w:tc>
          <w:tcPr>
            <w:tcW w:w="616" w:type="pct"/>
            <w:vAlign w:val="center"/>
          </w:tcPr>
          <w:p>
            <w:pPr>
              <w:pStyle w:val="140"/>
              <w:spacing w:before="22"/>
              <w:ind w:left="180" w:right="172"/>
              <w:rPr>
                <w:rFonts w:ascii="Times New Roman" w:hAnsi="Times New Roman" w:cs="Times New Roman"/>
                <w:sz w:val="21"/>
                <w:szCs w:val="21"/>
              </w:rPr>
            </w:pPr>
            <w:r>
              <w:rPr>
                <w:rFonts w:ascii="Times New Roman" w:hAnsi="Times New Roman" w:cs="Times New Roman"/>
                <w:sz w:val="21"/>
                <w:szCs w:val="21"/>
              </w:rPr>
              <w:t>三级B</w:t>
            </w:r>
          </w:p>
        </w:tc>
        <w:tc>
          <w:tcPr>
            <w:tcW w:w="3738" w:type="pct"/>
            <w:vAlign w:val="center"/>
          </w:tcPr>
          <w:p>
            <w:pPr>
              <w:pStyle w:val="140"/>
              <w:spacing w:before="22"/>
              <w:ind w:left="8"/>
              <w:rPr>
                <w:rFonts w:ascii="Times New Roman" w:hAnsi="Times New Roman" w:cs="Times New Roman"/>
                <w:sz w:val="21"/>
                <w:szCs w:val="21"/>
              </w:rPr>
            </w:pPr>
            <w:r>
              <w:rPr>
                <w:rFonts w:ascii="Times New Roman" w:hAnsi="Times New Roman" w:cs="Times New Roman"/>
                <w:sz w:val="21"/>
                <w:szCs w:val="21"/>
              </w:rPr>
              <w:t>本项目建成后废水预处理后排放马壕污水处理厂，属间接排放。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46" w:type="pct"/>
            <w:vAlign w:val="center"/>
          </w:tcPr>
          <w:p>
            <w:pPr>
              <w:pStyle w:val="140"/>
              <w:spacing w:before="22"/>
              <w:ind w:left="130" w:right="121"/>
              <w:rPr>
                <w:rFonts w:ascii="Times New Roman" w:hAnsi="Times New Roman" w:cs="Times New Roman"/>
                <w:sz w:val="21"/>
                <w:szCs w:val="21"/>
              </w:rPr>
            </w:pPr>
            <w:r>
              <w:rPr>
                <w:rFonts w:ascii="Times New Roman" w:hAnsi="Times New Roman" w:cs="Times New Roman"/>
                <w:sz w:val="21"/>
                <w:szCs w:val="21"/>
              </w:rPr>
              <w:t>大气环境</w:t>
            </w:r>
          </w:p>
        </w:tc>
        <w:tc>
          <w:tcPr>
            <w:tcW w:w="616" w:type="pct"/>
            <w:vAlign w:val="center"/>
          </w:tcPr>
          <w:p>
            <w:pPr>
              <w:pStyle w:val="140"/>
              <w:spacing w:before="22"/>
              <w:ind w:left="180" w:right="171"/>
              <w:rPr>
                <w:rFonts w:ascii="Times New Roman" w:hAnsi="Times New Roman" w:cs="Times New Roman"/>
                <w:sz w:val="21"/>
                <w:szCs w:val="21"/>
              </w:rPr>
            </w:pPr>
            <w:r>
              <w:rPr>
                <w:rFonts w:ascii="Times New Roman" w:hAnsi="Times New Roman" w:cs="Times New Roman"/>
                <w:sz w:val="21"/>
                <w:szCs w:val="21"/>
              </w:rPr>
              <w:t>二级</w:t>
            </w:r>
          </w:p>
        </w:tc>
        <w:tc>
          <w:tcPr>
            <w:tcW w:w="3738" w:type="pct"/>
            <w:vAlign w:val="center"/>
          </w:tcPr>
          <w:p>
            <w:pPr>
              <w:pStyle w:val="140"/>
              <w:spacing w:before="22"/>
              <w:ind w:left="9"/>
              <w:rPr>
                <w:rFonts w:ascii="Times New Roman" w:hAnsi="Times New Roman" w:cs="Times New Roman"/>
                <w:sz w:val="21"/>
                <w:szCs w:val="21"/>
              </w:rPr>
            </w:pPr>
            <w:r>
              <w:rPr>
                <w:rFonts w:ascii="Times New Roman" w:hAnsi="Times New Roman" w:cs="Times New Roman"/>
                <w:sz w:val="21"/>
                <w:szCs w:val="21"/>
              </w:rPr>
              <w:t>本项目P</w:t>
            </w:r>
            <w:r>
              <w:rPr>
                <w:rFonts w:ascii="Times New Roman" w:hAnsi="Times New Roman" w:cs="Times New Roman"/>
                <w:sz w:val="21"/>
                <w:szCs w:val="21"/>
                <w:vertAlign w:val="subscript"/>
              </w:rPr>
              <w:t>max</w:t>
            </w:r>
            <w:r>
              <w:rPr>
                <w:rFonts w:ascii="Times New Roman" w:hAnsi="Times New Roman" w:cs="Times New Roman"/>
                <w:sz w:val="21"/>
                <w:szCs w:val="21"/>
              </w:rPr>
              <w:t>最大值出现为点源排放的PM</w:t>
            </w:r>
            <w:r>
              <w:rPr>
                <w:rFonts w:ascii="Times New Roman" w:hAnsi="Times New Roman" w:cs="Times New Roman"/>
                <w:sz w:val="21"/>
                <w:szCs w:val="21"/>
                <w:vertAlign w:val="subscript"/>
              </w:rPr>
              <w:t>10</w:t>
            </w:r>
            <w:r>
              <w:rPr>
                <w:rFonts w:ascii="Times New Roman" w:hAnsi="Times New Roman" w:cs="Times New Roman"/>
                <w:sz w:val="21"/>
                <w:szCs w:val="21"/>
              </w:rPr>
              <w:t>，P</w:t>
            </w:r>
            <w:r>
              <w:rPr>
                <w:rFonts w:ascii="Times New Roman" w:hAnsi="Times New Roman" w:cs="Times New Roman"/>
                <w:sz w:val="21"/>
                <w:szCs w:val="21"/>
                <w:vertAlign w:val="subscript"/>
              </w:rPr>
              <w:t>max</w:t>
            </w:r>
            <w:r>
              <w:rPr>
                <w:rFonts w:ascii="Times New Roman" w:hAnsi="Times New Roman" w:cs="Times New Roman"/>
                <w:sz w:val="21"/>
                <w:szCs w:val="21"/>
              </w:rPr>
              <w:t>值为2.98%，C</w:t>
            </w:r>
            <w:r>
              <w:rPr>
                <w:rFonts w:ascii="Times New Roman" w:hAnsi="Times New Roman" w:cs="Times New Roman"/>
                <w:sz w:val="21"/>
                <w:szCs w:val="21"/>
                <w:vertAlign w:val="subscript"/>
              </w:rPr>
              <w:t>max</w:t>
            </w:r>
            <w:r>
              <w:rPr>
                <w:rFonts w:ascii="Times New Roman" w:hAnsi="Times New Roman" w:cs="Times New Roman"/>
                <w:sz w:val="21"/>
                <w:szCs w:val="21"/>
              </w:rPr>
              <w:t>为</w:t>
            </w:r>
            <w:r>
              <w:rPr>
                <w:rFonts w:ascii="Times New Roman" w:hAnsi="Times New Roman" w:cs="Times New Roman"/>
                <w:bCs/>
                <w:sz w:val="21"/>
                <w:szCs w:val="21"/>
              </w:rPr>
              <w:t>6.26E-03</w:t>
            </w:r>
            <w:r>
              <w:rPr>
                <w:rFonts w:ascii="Times New Roman" w:hAnsi="Times New Roman" w:cs="Times New Roman"/>
                <w:sz w:val="21"/>
                <w:szCs w:val="21"/>
              </w:rPr>
              <w:t>ug/m</w:t>
            </w:r>
            <w:r>
              <w:rPr>
                <w:rFonts w:ascii="Times New Roman" w:hAnsi="Times New Roman" w:cs="Times New Roman"/>
                <w:sz w:val="21"/>
                <w:szCs w:val="21"/>
                <w:vertAlign w:val="superscript"/>
              </w:rPr>
              <w:t>3</w:t>
            </w:r>
            <w:r>
              <w:rPr>
                <w:rFonts w:ascii="Times New Roman" w:hAnsi="Times New Roman" w:cs="Times New Roman"/>
                <w:sz w:val="21"/>
                <w:szCs w:val="21"/>
              </w:rPr>
              <w:t>，根据《环境影响评价技术导则大气环境》(HJ2.2-2018)分级判据，确定本项目大气环境影响评价工作等级为二级。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46" w:type="pct"/>
            <w:vAlign w:val="center"/>
          </w:tcPr>
          <w:p>
            <w:pPr>
              <w:pStyle w:val="140"/>
              <w:spacing w:before="178"/>
              <w:ind w:left="128" w:right="121"/>
              <w:rPr>
                <w:rFonts w:ascii="Times New Roman" w:hAnsi="Times New Roman" w:cs="Times New Roman"/>
                <w:sz w:val="21"/>
                <w:szCs w:val="21"/>
              </w:rPr>
            </w:pPr>
            <w:r>
              <w:rPr>
                <w:rFonts w:ascii="Times New Roman" w:hAnsi="Times New Roman" w:cs="Times New Roman"/>
                <w:sz w:val="21"/>
                <w:szCs w:val="21"/>
              </w:rPr>
              <w:t>声环境</w:t>
            </w:r>
          </w:p>
        </w:tc>
        <w:tc>
          <w:tcPr>
            <w:tcW w:w="616" w:type="pct"/>
            <w:vAlign w:val="center"/>
          </w:tcPr>
          <w:p>
            <w:pPr>
              <w:pStyle w:val="140"/>
              <w:spacing w:before="178"/>
              <w:ind w:left="180" w:right="171"/>
              <w:rPr>
                <w:rFonts w:ascii="Times New Roman" w:hAnsi="Times New Roman" w:cs="Times New Roman"/>
                <w:sz w:val="21"/>
                <w:szCs w:val="21"/>
              </w:rPr>
            </w:pPr>
            <w:r>
              <w:rPr>
                <w:rFonts w:ascii="Times New Roman" w:hAnsi="Times New Roman" w:cs="Times New Roman"/>
                <w:sz w:val="21"/>
                <w:szCs w:val="21"/>
              </w:rPr>
              <w:t>二级</w:t>
            </w:r>
          </w:p>
        </w:tc>
        <w:tc>
          <w:tcPr>
            <w:tcW w:w="3738" w:type="pct"/>
            <w:vAlign w:val="center"/>
          </w:tcPr>
          <w:p>
            <w:pPr>
              <w:pStyle w:val="140"/>
              <w:spacing w:before="43"/>
              <w:ind w:left="10"/>
              <w:rPr>
                <w:rFonts w:ascii="Times New Roman" w:hAnsi="Times New Roman" w:cs="Times New Roman"/>
                <w:sz w:val="21"/>
                <w:szCs w:val="21"/>
              </w:rPr>
            </w:pPr>
            <w:r>
              <w:rPr>
                <w:rFonts w:ascii="Times New Roman" w:hAnsi="Times New Roman" w:cs="Times New Roman"/>
                <w:color w:val="000000"/>
                <w:sz w:val="21"/>
                <w:szCs w:val="21"/>
              </w:rPr>
              <w:t>本项目所在区域的声环境执行《声环境质量标准》</w:t>
            </w:r>
            <w:r>
              <w:rPr>
                <w:rFonts w:ascii="Times New Roman" w:hAnsi="Times New Roman" w:cs="Times New Roman"/>
                <w:sz w:val="21"/>
                <w:szCs w:val="21"/>
              </w:rPr>
              <w:t>（GB3096-2008）中的2类标准，建设前后新增噪声强度小于3dB（A），根据《环境影响评价技术导则 声环境》（HJ2.4-2009）的规定，本次声环境评价工作等级为二级。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46" w:type="pct"/>
            <w:vAlign w:val="center"/>
          </w:tcPr>
          <w:p>
            <w:pPr>
              <w:pStyle w:val="140"/>
              <w:spacing w:before="22"/>
              <w:ind w:left="128" w:right="121"/>
              <w:rPr>
                <w:rFonts w:ascii="Times New Roman" w:hAnsi="Times New Roman" w:cs="Times New Roman"/>
                <w:sz w:val="21"/>
                <w:szCs w:val="21"/>
              </w:rPr>
            </w:pPr>
            <w:r>
              <w:rPr>
                <w:rFonts w:ascii="Times New Roman" w:hAnsi="Times New Roman" w:cs="Times New Roman"/>
                <w:sz w:val="21"/>
                <w:szCs w:val="21"/>
              </w:rPr>
              <w:t>地下水</w:t>
            </w:r>
          </w:p>
        </w:tc>
        <w:tc>
          <w:tcPr>
            <w:tcW w:w="616" w:type="pct"/>
            <w:vAlign w:val="center"/>
          </w:tcPr>
          <w:p>
            <w:pPr>
              <w:pStyle w:val="140"/>
              <w:spacing w:before="22"/>
              <w:ind w:left="180" w:right="171"/>
              <w:rPr>
                <w:rFonts w:ascii="Times New Roman" w:hAnsi="Times New Roman" w:cs="Times New Roman"/>
                <w:sz w:val="21"/>
                <w:szCs w:val="21"/>
              </w:rPr>
            </w:pPr>
            <w:r>
              <w:rPr>
                <w:rFonts w:ascii="Times New Roman" w:hAnsi="Times New Roman" w:cs="Times New Roman"/>
                <w:sz w:val="21"/>
                <w:szCs w:val="21"/>
              </w:rPr>
              <w:t>不开展地下水环境影响评价</w:t>
            </w:r>
          </w:p>
        </w:tc>
        <w:tc>
          <w:tcPr>
            <w:tcW w:w="3738" w:type="pct"/>
            <w:vAlign w:val="center"/>
          </w:tcPr>
          <w:p>
            <w:pPr>
              <w:pStyle w:val="140"/>
              <w:spacing w:before="22"/>
              <w:ind w:left="11"/>
              <w:rPr>
                <w:rFonts w:ascii="Times New Roman" w:hAnsi="Times New Roman" w:cs="Times New Roman"/>
                <w:sz w:val="21"/>
                <w:szCs w:val="21"/>
              </w:rPr>
            </w:pPr>
            <w:r>
              <w:rPr>
                <w:rFonts w:ascii="Times New Roman" w:hAnsi="Times New Roman" w:cs="Times New Roman"/>
                <w:sz w:val="21"/>
                <w:szCs w:val="21"/>
              </w:rPr>
              <w:t>本项目属于Ⅳ项目，不开展地下水环境影响评价。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646" w:type="pct"/>
            <w:vAlign w:val="center"/>
          </w:tcPr>
          <w:p>
            <w:pPr>
              <w:pStyle w:val="140"/>
              <w:ind w:left="130" w:right="121"/>
              <w:rPr>
                <w:rFonts w:ascii="Times New Roman" w:hAnsi="Times New Roman" w:cs="Times New Roman"/>
                <w:sz w:val="21"/>
                <w:szCs w:val="21"/>
              </w:rPr>
            </w:pPr>
            <w:r>
              <w:rPr>
                <w:rFonts w:ascii="Times New Roman" w:hAnsi="Times New Roman" w:cs="Times New Roman"/>
                <w:sz w:val="21"/>
                <w:szCs w:val="21"/>
              </w:rPr>
              <w:t>生态环境</w:t>
            </w:r>
          </w:p>
        </w:tc>
        <w:tc>
          <w:tcPr>
            <w:tcW w:w="616" w:type="pct"/>
            <w:vAlign w:val="center"/>
          </w:tcPr>
          <w:p>
            <w:pPr>
              <w:pStyle w:val="140"/>
              <w:ind w:left="180" w:right="171"/>
              <w:rPr>
                <w:rFonts w:ascii="Times New Roman" w:hAnsi="Times New Roman" w:cs="Times New Roman"/>
                <w:sz w:val="21"/>
                <w:szCs w:val="21"/>
              </w:rPr>
            </w:pPr>
            <w:r>
              <w:rPr>
                <w:rFonts w:ascii="Times New Roman" w:hAnsi="Times New Roman" w:cs="Times New Roman"/>
                <w:sz w:val="21"/>
                <w:szCs w:val="21"/>
              </w:rPr>
              <w:t>三级</w:t>
            </w:r>
          </w:p>
        </w:tc>
        <w:tc>
          <w:tcPr>
            <w:tcW w:w="3738" w:type="pct"/>
            <w:vAlign w:val="center"/>
          </w:tcPr>
          <w:p>
            <w:pPr>
              <w:pStyle w:val="140"/>
              <w:tabs>
                <w:tab w:val="center" w:pos="2947"/>
                <w:tab w:val="right" w:pos="5889"/>
              </w:tabs>
              <w:spacing w:before="43"/>
              <w:ind w:left="6"/>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本项目用地面积小于2km</w:t>
            </w:r>
            <w:r>
              <w:rPr>
                <w:rFonts w:ascii="Times New Roman" w:hAnsi="Times New Roman" w:cs="Times New Roman"/>
                <w:color w:val="000000" w:themeColor="text1"/>
                <w:sz w:val="21"/>
                <w:szCs w:val="21"/>
                <w:vertAlign w:val="superscript"/>
              </w:rPr>
              <w:t>2</w:t>
            </w:r>
            <w:r>
              <w:rPr>
                <w:rFonts w:ascii="Times New Roman" w:hAnsi="Times New Roman" w:cs="Times New Roman"/>
                <w:color w:val="000000" w:themeColor="text1"/>
                <w:sz w:val="21"/>
                <w:szCs w:val="21"/>
              </w:rPr>
              <w:t>，项目所在区域不属于生态环境敏感地区，为一般区域。本项目已建好，项目不重新建设，生态环境作影响分析即可。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46" w:type="pct"/>
            <w:vAlign w:val="center"/>
          </w:tcPr>
          <w:p>
            <w:pPr>
              <w:pStyle w:val="140"/>
              <w:spacing w:before="22"/>
              <w:ind w:left="128" w:right="121"/>
              <w:rPr>
                <w:rFonts w:ascii="Times New Roman" w:hAnsi="Times New Roman" w:cs="Times New Roman"/>
                <w:sz w:val="21"/>
                <w:szCs w:val="21"/>
              </w:rPr>
            </w:pPr>
            <w:r>
              <w:rPr>
                <w:rFonts w:ascii="Times New Roman" w:hAnsi="Times New Roman" w:cs="Times New Roman"/>
                <w:sz w:val="21"/>
                <w:szCs w:val="21"/>
              </w:rPr>
              <w:t>土壤环境</w:t>
            </w:r>
          </w:p>
        </w:tc>
        <w:tc>
          <w:tcPr>
            <w:tcW w:w="616" w:type="pct"/>
            <w:vAlign w:val="center"/>
          </w:tcPr>
          <w:p>
            <w:pPr>
              <w:pStyle w:val="140"/>
              <w:spacing w:before="22"/>
              <w:ind w:left="180" w:right="171"/>
              <w:rPr>
                <w:rFonts w:ascii="Times New Roman" w:hAnsi="Times New Roman" w:cs="Times New Roman"/>
                <w:sz w:val="21"/>
                <w:szCs w:val="21"/>
              </w:rPr>
            </w:pPr>
            <w:r>
              <w:rPr>
                <w:rFonts w:ascii="Times New Roman" w:hAnsi="Times New Roman" w:cs="Times New Roman"/>
                <w:sz w:val="21"/>
                <w:szCs w:val="21"/>
              </w:rPr>
              <w:t>不开展土壤环境影响评价</w:t>
            </w:r>
          </w:p>
        </w:tc>
        <w:tc>
          <w:tcPr>
            <w:tcW w:w="3738" w:type="pct"/>
            <w:vAlign w:val="center"/>
          </w:tcPr>
          <w:p>
            <w:pPr>
              <w:pStyle w:val="140"/>
              <w:spacing w:before="22"/>
              <w:ind w:left="11"/>
              <w:rPr>
                <w:rFonts w:ascii="Times New Roman" w:hAnsi="Times New Roman" w:cs="Times New Roman"/>
                <w:sz w:val="21"/>
                <w:szCs w:val="21"/>
              </w:rPr>
            </w:pPr>
            <w:r>
              <w:rPr>
                <w:rFonts w:ascii="Times New Roman" w:hAnsi="Times New Roman" w:cs="Times New Roman"/>
                <w:sz w:val="21"/>
                <w:szCs w:val="21"/>
              </w:rPr>
              <w:t>本项目属于Ⅳ项目，</w:t>
            </w:r>
            <w:r>
              <w:rPr>
                <w:rFonts w:ascii="Times New Roman" w:cs="Times New Roman" w:hAnsiTheme="minorEastAsia"/>
                <w:sz w:val="21"/>
                <w:szCs w:val="21"/>
              </w:rPr>
              <w:t>其中</w:t>
            </w:r>
            <w:r>
              <w:rPr>
                <w:rFonts w:ascii="Times New Roman" w:hAnsi="Times New Roman" w:cs="Times New Roman"/>
                <w:sz w:val="21"/>
                <w:szCs w:val="21"/>
              </w:rPr>
              <w:t>Ⅳ</w:t>
            </w:r>
            <w:r>
              <w:rPr>
                <w:rFonts w:ascii="Times New Roman" w:cs="Times New Roman" w:hAnsiTheme="minorEastAsia"/>
                <w:sz w:val="21"/>
                <w:szCs w:val="21"/>
              </w:rPr>
              <w:t>类建设项目可不开展土壤环境影响评价；导则中有提出，自身为敏感目标的建设项目，可根据需要仅对土壤环境现状进行调查。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46" w:type="pct"/>
            <w:vAlign w:val="center"/>
          </w:tcPr>
          <w:p>
            <w:pPr>
              <w:pStyle w:val="140"/>
              <w:spacing w:before="22"/>
              <w:ind w:left="128" w:right="121"/>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风险</w:t>
            </w:r>
          </w:p>
        </w:tc>
        <w:tc>
          <w:tcPr>
            <w:tcW w:w="616" w:type="pct"/>
            <w:vAlign w:val="center"/>
          </w:tcPr>
          <w:p>
            <w:pPr>
              <w:pStyle w:val="140"/>
              <w:spacing w:before="22"/>
              <w:ind w:left="178" w:right="172"/>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简单分析</w:t>
            </w:r>
          </w:p>
        </w:tc>
        <w:tc>
          <w:tcPr>
            <w:tcW w:w="3738" w:type="pct"/>
            <w:vAlign w:val="center"/>
          </w:tcPr>
          <w:p>
            <w:pPr>
              <w:pStyle w:val="140"/>
              <w:spacing w:before="20"/>
              <w:ind w:left="8"/>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Q＜1，企业环境风险潜势为Ⅰ。</w:t>
            </w:r>
          </w:p>
        </w:tc>
      </w:tr>
    </w:tbl>
    <w:p>
      <w:pPr>
        <w:pStyle w:val="4"/>
        <w:adjustRightInd w:val="0"/>
        <w:snapToGrid w:val="0"/>
        <w:rPr>
          <w:color w:val="000000" w:themeColor="text1"/>
        </w:rPr>
      </w:pPr>
      <w:bookmarkStart w:id="104" w:name="_Toc532497617"/>
      <w:bookmarkStart w:id="105" w:name="_Toc532498730"/>
      <w:bookmarkStart w:id="106" w:name="_Toc532763194"/>
      <w:bookmarkStart w:id="107" w:name="_Toc25826480"/>
      <w:bookmarkStart w:id="108" w:name="_Toc532376137"/>
      <w:r>
        <w:rPr>
          <w:rFonts w:hint="eastAsia"/>
          <w:color w:val="000000" w:themeColor="text1"/>
        </w:rPr>
        <w:t>评价范围</w:t>
      </w:r>
      <w:bookmarkEnd w:id="104"/>
      <w:bookmarkEnd w:id="105"/>
      <w:bookmarkEnd w:id="106"/>
      <w:bookmarkEnd w:id="107"/>
      <w:bookmarkEnd w:id="108"/>
    </w:p>
    <w:p>
      <w:pPr>
        <w:adjustRightInd w:val="0"/>
        <w:snapToGrid w:val="0"/>
        <w:spacing w:line="360" w:lineRule="auto"/>
        <w:ind w:firstLine="480" w:firstLineChars="200"/>
        <w:rPr>
          <w:color w:val="000000" w:themeColor="text1"/>
        </w:rPr>
      </w:pPr>
      <w:r>
        <w:rPr>
          <w:rFonts w:hint="eastAsia"/>
          <w:color w:val="000000" w:themeColor="text1"/>
        </w:rPr>
        <w:t>（1）大气环境</w:t>
      </w:r>
    </w:p>
    <w:p>
      <w:pPr>
        <w:adjustRightInd w:val="0"/>
        <w:snapToGrid w:val="0"/>
        <w:spacing w:line="360" w:lineRule="auto"/>
        <w:ind w:firstLine="480" w:firstLineChars="200"/>
        <w:rPr>
          <w:color w:val="000000" w:themeColor="text1"/>
        </w:rPr>
      </w:pPr>
      <w:r>
        <w:rPr>
          <w:rFonts w:hint="eastAsia"/>
          <w:color w:val="000000" w:themeColor="text1"/>
          <w:szCs w:val="24"/>
        </w:rPr>
        <w:t>以本项目所在地为中心</w:t>
      </w:r>
      <w:r>
        <w:rPr>
          <w:color w:val="000000" w:themeColor="text1"/>
          <w:szCs w:val="24"/>
        </w:rPr>
        <w:t>，</w:t>
      </w:r>
      <w:r>
        <w:rPr>
          <w:rFonts w:hint="eastAsia"/>
          <w:color w:val="000000" w:themeColor="text1"/>
          <w:szCs w:val="24"/>
        </w:rPr>
        <w:t>5</w:t>
      </w:r>
      <w:r>
        <w:rPr>
          <w:color w:val="000000" w:themeColor="text1"/>
          <w:szCs w:val="24"/>
        </w:rPr>
        <w:t>km为</w:t>
      </w:r>
      <w:r>
        <w:rPr>
          <w:rFonts w:hint="eastAsia"/>
          <w:color w:val="000000" w:themeColor="text1"/>
          <w:szCs w:val="24"/>
        </w:rPr>
        <w:t>边长</w:t>
      </w:r>
      <w:r>
        <w:rPr>
          <w:color w:val="000000" w:themeColor="text1"/>
          <w:szCs w:val="24"/>
        </w:rPr>
        <w:t>的</w:t>
      </w:r>
      <w:r>
        <w:rPr>
          <w:rFonts w:hint="eastAsia"/>
          <w:color w:val="000000" w:themeColor="text1"/>
          <w:szCs w:val="24"/>
        </w:rPr>
        <w:t>矩形</w:t>
      </w:r>
      <w:r>
        <w:rPr>
          <w:color w:val="000000" w:themeColor="text1"/>
          <w:szCs w:val="24"/>
        </w:rPr>
        <w:t>范围</w:t>
      </w:r>
      <w:r>
        <w:rPr>
          <w:rFonts w:hint="eastAsia"/>
          <w:color w:val="000000" w:themeColor="text1"/>
        </w:rPr>
        <w:t>。</w:t>
      </w:r>
    </w:p>
    <w:p>
      <w:pPr>
        <w:adjustRightInd w:val="0"/>
        <w:snapToGrid w:val="0"/>
        <w:spacing w:line="360" w:lineRule="auto"/>
        <w:ind w:firstLine="480" w:firstLineChars="200"/>
        <w:rPr>
          <w:color w:val="000000" w:themeColor="text1"/>
        </w:rPr>
      </w:pPr>
      <w:r>
        <w:rPr>
          <w:rFonts w:hint="eastAsia"/>
          <w:color w:val="000000" w:themeColor="text1"/>
        </w:rPr>
        <w:t>（2）地表水环境</w:t>
      </w:r>
    </w:p>
    <w:p>
      <w:pPr>
        <w:adjustRightInd w:val="0"/>
        <w:snapToGrid w:val="0"/>
        <w:spacing w:line="360" w:lineRule="auto"/>
        <w:ind w:firstLine="480" w:firstLineChars="200"/>
        <w:rPr>
          <w:color w:val="000000" w:themeColor="text1"/>
        </w:rPr>
      </w:pPr>
      <w:r>
        <w:rPr>
          <w:rFonts w:hint="eastAsia"/>
          <w:color w:val="000000" w:themeColor="text1"/>
        </w:rPr>
        <w:t>地表水评价范围为马壕污水处理厂尾水排放的排放口上游500m至下游3500m。</w:t>
      </w:r>
      <w:r>
        <w:rPr>
          <w:rFonts w:hint="eastAsia"/>
        </w:rPr>
        <w:t>主要对污水的排放去向及排入马壕</w:t>
      </w:r>
      <w:r>
        <w:t>污水处理厂</w:t>
      </w:r>
      <w:r>
        <w:rPr>
          <w:rFonts w:hint="eastAsia"/>
        </w:rPr>
        <w:t>的可行性进行论证。</w:t>
      </w:r>
    </w:p>
    <w:p>
      <w:pPr>
        <w:adjustRightInd w:val="0"/>
        <w:snapToGrid w:val="0"/>
        <w:spacing w:line="360" w:lineRule="auto"/>
        <w:ind w:firstLine="480" w:firstLineChars="200"/>
        <w:rPr>
          <w:color w:val="000000" w:themeColor="text1"/>
        </w:rPr>
      </w:pPr>
      <w:r>
        <w:rPr>
          <w:rFonts w:hint="eastAsia"/>
          <w:color w:val="000000" w:themeColor="text1"/>
        </w:rPr>
        <w:t>（3）声环境</w:t>
      </w:r>
    </w:p>
    <w:p>
      <w:pPr>
        <w:adjustRightInd w:val="0"/>
        <w:snapToGrid w:val="0"/>
        <w:spacing w:line="360" w:lineRule="auto"/>
        <w:ind w:firstLine="480" w:firstLineChars="200"/>
        <w:rPr>
          <w:color w:val="000000" w:themeColor="text1"/>
        </w:rPr>
      </w:pPr>
      <w:r>
        <w:rPr>
          <w:rFonts w:eastAsia="宋体" w:cs="Times New Roman"/>
          <w:color w:val="000000" w:themeColor="text1"/>
          <w:szCs w:val="24"/>
        </w:rPr>
        <w:t>评价范围确定为项目所在地</w:t>
      </w:r>
      <w:r>
        <w:rPr>
          <w:rFonts w:hint="eastAsia" w:eastAsia="宋体" w:cs="Times New Roman"/>
          <w:color w:val="000000" w:themeColor="text1"/>
          <w:szCs w:val="24"/>
        </w:rPr>
        <w:t>厂界外扩200m</w:t>
      </w:r>
      <w:r>
        <w:rPr>
          <w:rFonts w:eastAsia="宋体" w:cs="Times New Roman"/>
          <w:color w:val="000000" w:themeColor="text1"/>
          <w:szCs w:val="24"/>
        </w:rPr>
        <w:t>。</w:t>
      </w:r>
    </w:p>
    <w:p>
      <w:pPr>
        <w:adjustRightInd w:val="0"/>
        <w:snapToGrid w:val="0"/>
        <w:spacing w:line="360" w:lineRule="auto"/>
        <w:ind w:firstLine="480" w:firstLineChars="200"/>
        <w:rPr>
          <w:color w:val="000000" w:themeColor="text1"/>
        </w:rPr>
      </w:pPr>
      <w:r>
        <w:rPr>
          <w:rFonts w:hint="eastAsia"/>
          <w:color w:val="000000" w:themeColor="text1"/>
        </w:rPr>
        <w:t>（4）地下水环境</w:t>
      </w:r>
    </w:p>
    <w:p>
      <w:pPr>
        <w:adjustRightInd w:val="0"/>
        <w:snapToGrid w:val="0"/>
        <w:spacing w:line="360" w:lineRule="auto"/>
        <w:ind w:firstLine="480"/>
        <w:rPr>
          <w:rFonts w:cs="Times New Roman"/>
          <w:color w:val="FF0000"/>
        </w:rPr>
      </w:pPr>
      <w:r>
        <w:rPr>
          <w:rFonts w:cs="Times New Roman"/>
          <w:color w:val="000000" w:themeColor="text1"/>
        </w:rPr>
        <w:t>本项目为医院的建设，根据《环境影响评价技术导则 地下水环境》（HJ 610-2016）附录A，地下水环境影响评价项目类别为Ⅳ类，故不开展地下水评价工作。</w:t>
      </w:r>
    </w:p>
    <w:p>
      <w:pPr>
        <w:adjustRightInd w:val="0"/>
        <w:snapToGrid w:val="0"/>
        <w:spacing w:line="360" w:lineRule="auto"/>
        <w:ind w:firstLine="480" w:firstLineChars="200"/>
        <w:rPr>
          <w:color w:val="000000" w:themeColor="text1"/>
        </w:rPr>
      </w:pPr>
      <w:r>
        <w:rPr>
          <w:rFonts w:hint="eastAsia" w:cs="Times New Roman"/>
          <w:color w:val="000000" w:themeColor="text1"/>
        </w:rPr>
        <w:t>（5）</w:t>
      </w:r>
      <w:r>
        <w:rPr>
          <w:rFonts w:hint="eastAsia"/>
          <w:color w:val="000000" w:themeColor="text1"/>
        </w:rPr>
        <w:t>生态环境</w:t>
      </w:r>
    </w:p>
    <w:p>
      <w:pPr>
        <w:adjustRightInd w:val="0"/>
        <w:snapToGrid w:val="0"/>
        <w:spacing w:line="360" w:lineRule="auto"/>
        <w:ind w:firstLine="480"/>
        <w:rPr>
          <w:rFonts w:cs="Times New Roman"/>
          <w:color w:val="000000" w:themeColor="text1"/>
        </w:rPr>
      </w:pPr>
      <w:r>
        <w:rPr>
          <w:rFonts w:hint="eastAsia" w:cs="Times New Roman"/>
          <w:color w:val="000000" w:themeColor="text1"/>
        </w:rPr>
        <w:t>考虑</w:t>
      </w:r>
      <w:r>
        <w:rPr>
          <w:rFonts w:cs="Times New Roman"/>
          <w:color w:val="000000" w:themeColor="text1"/>
        </w:rPr>
        <w:t>到项目已建成</w:t>
      </w:r>
      <w:r>
        <w:rPr>
          <w:rFonts w:hint="eastAsia" w:cs="Times New Roman"/>
          <w:color w:val="000000" w:themeColor="text1"/>
        </w:rPr>
        <w:t>，</w:t>
      </w:r>
      <w:r>
        <w:rPr>
          <w:rFonts w:cs="Times New Roman"/>
          <w:color w:val="000000" w:themeColor="text1"/>
        </w:rPr>
        <w:t>且位于城市建成区</w:t>
      </w:r>
      <w:r>
        <w:rPr>
          <w:rFonts w:hint="eastAsia" w:cs="Times New Roman"/>
          <w:color w:val="000000" w:themeColor="text1"/>
        </w:rPr>
        <w:t>，</w:t>
      </w:r>
      <w:r>
        <w:rPr>
          <w:rFonts w:cs="Times New Roman"/>
          <w:color w:val="000000" w:themeColor="text1"/>
        </w:rPr>
        <w:t>评价范围确定为项目厂界范围内。</w:t>
      </w:r>
    </w:p>
    <w:p>
      <w:pPr>
        <w:adjustRightInd w:val="0"/>
        <w:snapToGrid w:val="0"/>
        <w:spacing w:line="360" w:lineRule="auto"/>
        <w:ind w:firstLine="480"/>
        <w:rPr>
          <w:rFonts w:cs="Times New Roman"/>
          <w:color w:val="000000" w:themeColor="text1"/>
        </w:rPr>
      </w:pPr>
      <w:r>
        <w:rPr>
          <w:rFonts w:hint="eastAsia" w:cs="Times New Roman"/>
          <w:color w:val="000000" w:themeColor="text1"/>
        </w:rPr>
        <w:t>（6）环境风险</w:t>
      </w:r>
    </w:p>
    <w:p>
      <w:pPr>
        <w:adjustRightInd w:val="0"/>
        <w:snapToGrid w:val="0"/>
        <w:spacing w:line="360" w:lineRule="auto"/>
        <w:ind w:firstLine="480"/>
        <w:rPr>
          <w:rFonts w:cs="Times New Roman"/>
          <w:color w:val="000000" w:themeColor="text1"/>
        </w:rPr>
      </w:pPr>
      <w:r>
        <w:rPr>
          <w:rFonts w:hint="eastAsia" w:cs="Times New Roman"/>
          <w:color w:val="000000" w:themeColor="text1"/>
        </w:rPr>
        <w:t>根据评价等级判定，本项目环境分析简单分析即可，不需要评价范围。</w:t>
      </w:r>
    </w:p>
    <w:p>
      <w:pPr>
        <w:adjustRightInd w:val="0"/>
        <w:snapToGrid w:val="0"/>
        <w:spacing w:line="360" w:lineRule="auto"/>
        <w:ind w:firstLine="480"/>
        <w:rPr>
          <w:rFonts w:cs="Times New Roman"/>
          <w:color w:val="000000" w:themeColor="text1"/>
        </w:rPr>
      </w:pPr>
      <w:r>
        <w:rPr>
          <w:rFonts w:hint="eastAsia" w:cs="Times New Roman"/>
          <w:color w:val="000000" w:themeColor="text1"/>
        </w:rPr>
        <w:t>（7）土壤环境</w:t>
      </w:r>
    </w:p>
    <w:p>
      <w:pPr>
        <w:adjustRightInd w:val="0"/>
        <w:snapToGrid w:val="0"/>
        <w:spacing w:line="360" w:lineRule="auto"/>
        <w:ind w:firstLine="480"/>
        <w:rPr>
          <w:rFonts w:cs="Times New Roman"/>
          <w:color w:val="000000" w:themeColor="text1"/>
        </w:rPr>
      </w:pPr>
      <w:r>
        <w:rPr>
          <w:rFonts w:cs="Times New Roman" w:hAnsiTheme="minorEastAsia"/>
          <w:color w:val="000000" w:themeColor="text1"/>
        </w:rPr>
        <w:t>本项目为</w:t>
      </w:r>
      <w:r>
        <w:rPr>
          <w:rFonts w:cs="Times New Roman"/>
          <w:color w:val="000000" w:themeColor="text1"/>
        </w:rPr>
        <w:t>Ⅳ</w:t>
      </w:r>
      <w:r>
        <w:rPr>
          <w:rFonts w:cs="Times New Roman" w:hAnsiTheme="minorEastAsia"/>
          <w:color w:val="000000" w:themeColor="text1"/>
        </w:rPr>
        <w:t>类建设项目</w:t>
      </w:r>
      <w:r>
        <w:rPr>
          <w:rFonts w:hint="eastAsia" w:cs="Times New Roman" w:hAnsiTheme="minorEastAsia"/>
          <w:color w:val="000000" w:themeColor="text1"/>
        </w:rPr>
        <w:t>，则</w:t>
      </w:r>
      <w:r>
        <w:rPr>
          <w:rFonts w:cs="Times New Roman" w:hAnsiTheme="minorEastAsia"/>
          <w:color w:val="000000" w:themeColor="text1"/>
        </w:rPr>
        <w:t>项目可不开展土壤环境影响评价</w:t>
      </w:r>
      <w:r>
        <w:rPr>
          <w:rFonts w:hint="eastAsia" w:cs="Times New Roman" w:hAnsiTheme="minorEastAsia"/>
          <w:color w:val="000000" w:themeColor="text1"/>
        </w:rPr>
        <w:t>。</w:t>
      </w:r>
    </w:p>
    <w:p>
      <w:pPr>
        <w:pStyle w:val="4"/>
        <w:adjustRightInd w:val="0"/>
        <w:snapToGrid w:val="0"/>
        <w:rPr>
          <w:color w:val="000000" w:themeColor="text1"/>
        </w:rPr>
      </w:pPr>
      <w:bookmarkStart w:id="109" w:name="_Toc25826481"/>
      <w:bookmarkStart w:id="110" w:name="_Toc532376138"/>
      <w:bookmarkStart w:id="111" w:name="_Toc532763195"/>
      <w:bookmarkStart w:id="112" w:name="_Toc532497618"/>
      <w:bookmarkStart w:id="113" w:name="_Toc532498731"/>
      <w:r>
        <w:rPr>
          <w:rFonts w:hint="eastAsia"/>
          <w:color w:val="000000" w:themeColor="text1"/>
        </w:rPr>
        <w:t>环境保护目标</w:t>
      </w:r>
      <w:bookmarkEnd w:id="109"/>
      <w:bookmarkEnd w:id="110"/>
      <w:bookmarkEnd w:id="111"/>
      <w:bookmarkEnd w:id="112"/>
      <w:bookmarkEnd w:id="113"/>
    </w:p>
    <w:p>
      <w:pPr>
        <w:adjustRightInd w:val="0"/>
        <w:snapToGrid w:val="0"/>
        <w:spacing w:line="360" w:lineRule="auto"/>
        <w:ind w:firstLine="480" w:firstLineChars="200"/>
        <w:rPr>
          <w:rFonts w:cs="Times New Roman"/>
          <w:color w:val="000000" w:themeColor="text1"/>
          <w:kern w:val="0"/>
        </w:rPr>
      </w:pPr>
      <w:r>
        <w:rPr>
          <w:rFonts w:cs="Times New Roman"/>
          <w:color w:val="000000" w:themeColor="text1"/>
        </w:rPr>
        <w:t>根据现场踏勘，项目建于岳阳市岳阳楼区福颐路48号，属于城市建成区，评价区域内没有风景名胜区和珍惜野生动植物资源，根据工程性质和周围环境特征，确定评价范围内周围居民点、学校为主要大气环境保护目标，东风湖为地表水环境保护目标，项目评价范围内周围居民点、学校为声环境目标，具体</w:t>
      </w:r>
      <w:r>
        <w:rPr>
          <w:rFonts w:cs="Times New Roman"/>
          <w:color w:val="000000" w:themeColor="text1"/>
          <w:kern w:val="0"/>
        </w:rPr>
        <w:t>见</w:t>
      </w:r>
      <w:r>
        <w:fldChar w:fldCharType="begin"/>
      </w:r>
      <w:r>
        <w:instrText xml:space="preserve"> REF _Ref493766402 \h  \* MERGEFORMAT </w:instrText>
      </w:r>
      <w:r>
        <w:fldChar w:fldCharType="separate"/>
      </w:r>
      <w:r>
        <w:rPr>
          <w:rFonts w:eastAsia="宋体" w:cs="Times New Roman"/>
          <w:color w:val="000000" w:themeColor="text1"/>
          <w:szCs w:val="24"/>
        </w:rPr>
        <w:t>表1.9</w:t>
      </w:r>
      <w:r>
        <w:rPr>
          <w:rFonts w:eastAsia="宋体" w:cs="Times New Roman"/>
          <w:color w:val="000000" w:themeColor="text1"/>
          <w:szCs w:val="24"/>
        </w:rPr>
        <w:noBreakHyphen/>
      </w:r>
      <w:r>
        <w:rPr>
          <w:rFonts w:eastAsia="宋体" w:cs="Times New Roman"/>
          <w:color w:val="000000" w:themeColor="text1"/>
          <w:szCs w:val="24"/>
        </w:rPr>
        <w:t>1</w:t>
      </w:r>
      <w:r>
        <w:rPr>
          <w:rFonts w:eastAsia="宋体" w:cs="Times New Roman"/>
          <w:color w:val="000000" w:themeColor="text1"/>
          <w:szCs w:val="24"/>
        </w:rPr>
        <w:fldChar w:fldCharType="end"/>
      </w:r>
      <w:r>
        <w:rPr>
          <w:rFonts w:cs="Times New Roman"/>
          <w:color w:val="000000" w:themeColor="text1"/>
          <w:kern w:val="0"/>
        </w:rPr>
        <w:t>。</w:t>
      </w:r>
    </w:p>
    <w:p>
      <w:pPr>
        <w:keepNext/>
        <w:adjustRightInd w:val="0"/>
        <w:snapToGrid w:val="0"/>
        <w:ind w:firstLine="2997" w:firstLineChars="1244"/>
        <w:rPr>
          <w:rFonts w:cs="Times New Roman"/>
          <w:b/>
          <w:color w:val="000000" w:themeColor="text1"/>
          <w:szCs w:val="24"/>
        </w:rPr>
      </w:pPr>
      <w:bookmarkStart w:id="114" w:name="_Ref493766402"/>
      <w:r>
        <w:rPr>
          <w:rFonts w:hint="eastAsia" w:eastAsia="宋体" w:cs="Times New Roman"/>
          <w:b/>
          <w:color w:val="000000" w:themeColor="text1"/>
          <w:szCs w:val="24"/>
        </w:rPr>
        <w:t>表</w:t>
      </w:r>
      <w:r>
        <w:rPr>
          <w:rFonts w:eastAsia="宋体" w:cs="Times New Roman"/>
          <w:b/>
          <w:color w:val="000000" w:themeColor="text1"/>
          <w:szCs w:val="24"/>
        </w:rPr>
        <w:fldChar w:fldCharType="begin"/>
      </w:r>
      <w:r>
        <w:rPr>
          <w:rFonts w:eastAsia="宋体" w:cs="Times New Roman"/>
          <w:b/>
          <w:color w:val="000000" w:themeColor="text1"/>
          <w:szCs w:val="24"/>
        </w:rPr>
        <w:instrText xml:space="preserve"> </w:instrText>
      </w:r>
      <w:r>
        <w:rPr>
          <w:rFonts w:hint="eastAsia" w:eastAsia="宋体" w:cs="Times New Roman"/>
          <w:b/>
          <w:color w:val="000000" w:themeColor="text1"/>
          <w:szCs w:val="24"/>
        </w:rPr>
        <w:instrText xml:space="preserve">STYLEREF 2 \s</w:instrText>
      </w:r>
      <w:r>
        <w:rPr>
          <w:rFonts w:eastAsia="宋体" w:cs="Times New Roman"/>
          <w:b/>
          <w:color w:val="000000" w:themeColor="text1"/>
          <w:szCs w:val="24"/>
        </w:rPr>
        <w:instrText xml:space="preserve"> </w:instrText>
      </w:r>
      <w:r>
        <w:rPr>
          <w:rFonts w:eastAsia="宋体" w:cs="Times New Roman"/>
          <w:b/>
          <w:color w:val="000000" w:themeColor="text1"/>
          <w:szCs w:val="24"/>
        </w:rPr>
        <w:fldChar w:fldCharType="separate"/>
      </w:r>
      <w:r>
        <w:rPr>
          <w:rFonts w:eastAsia="宋体" w:cs="Times New Roman"/>
          <w:b/>
          <w:color w:val="000000" w:themeColor="text1"/>
          <w:szCs w:val="24"/>
        </w:rPr>
        <w:t>1.9</w:t>
      </w:r>
      <w:r>
        <w:rPr>
          <w:rFonts w:eastAsia="宋体" w:cs="Times New Roman"/>
          <w:b/>
          <w:color w:val="000000" w:themeColor="text1"/>
          <w:szCs w:val="24"/>
        </w:rPr>
        <w:fldChar w:fldCharType="end"/>
      </w:r>
      <w:r>
        <w:rPr>
          <w:rFonts w:eastAsia="宋体" w:cs="Times New Roman"/>
          <w:b/>
          <w:color w:val="000000" w:themeColor="text1"/>
          <w:szCs w:val="24"/>
        </w:rPr>
        <w:noBreakHyphen/>
      </w:r>
      <w:r>
        <w:rPr>
          <w:rFonts w:eastAsia="宋体" w:cs="Times New Roman"/>
          <w:b/>
          <w:color w:val="000000" w:themeColor="text1"/>
          <w:szCs w:val="24"/>
        </w:rPr>
        <w:fldChar w:fldCharType="begin"/>
      </w:r>
      <w:r>
        <w:rPr>
          <w:rFonts w:eastAsia="宋体" w:cs="Times New Roman"/>
          <w:b/>
          <w:color w:val="000000" w:themeColor="text1"/>
          <w:szCs w:val="24"/>
        </w:rPr>
        <w:instrText xml:space="preserve"> </w:instrText>
      </w:r>
      <w:r>
        <w:rPr>
          <w:rFonts w:hint="eastAsia" w:eastAsia="宋体" w:cs="Times New Roman"/>
          <w:b/>
          <w:color w:val="000000" w:themeColor="text1"/>
          <w:szCs w:val="24"/>
        </w:rPr>
        <w:instrText xml:space="preserve">SEQ 表 \* ARABIC \s 2</w:instrText>
      </w:r>
      <w:r>
        <w:rPr>
          <w:rFonts w:eastAsia="宋体" w:cs="Times New Roman"/>
          <w:b/>
          <w:color w:val="000000" w:themeColor="text1"/>
          <w:szCs w:val="24"/>
        </w:rPr>
        <w:instrText xml:space="preserve"> </w:instrText>
      </w:r>
      <w:r>
        <w:rPr>
          <w:rFonts w:eastAsia="宋体" w:cs="Times New Roman"/>
          <w:b/>
          <w:color w:val="000000" w:themeColor="text1"/>
          <w:szCs w:val="24"/>
        </w:rPr>
        <w:fldChar w:fldCharType="separate"/>
      </w:r>
      <w:r>
        <w:rPr>
          <w:rFonts w:eastAsia="宋体" w:cs="Times New Roman"/>
          <w:b/>
          <w:color w:val="000000" w:themeColor="text1"/>
          <w:szCs w:val="24"/>
        </w:rPr>
        <w:t>1</w:t>
      </w:r>
      <w:r>
        <w:rPr>
          <w:rFonts w:eastAsia="宋体" w:cs="Times New Roman"/>
          <w:b/>
          <w:color w:val="000000" w:themeColor="text1"/>
          <w:szCs w:val="24"/>
        </w:rPr>
        <w:fldChar w:fldCharType="end"/>
      </w:r>
      <w:bookmarkEnd w:id="114"/>
      <w:r>
        <w:rPr>
          <w:rFonts w:hint="eastAsia" w:cs="Times New Roman"/>
          <w:b/>
          <w:color w:val="000000" w:themeColor="text1"/>
          <w:szCs w:val="24"/>
        </w:rPr>
        <w:t xml:space="preserve">  环境保护目标一览表</w:t>
      </w:r>
    </w:p>
    <w:tbl>
      <w:tblPr>
        <w:tblStyle w:val="39"/>
        <w:tblW w:w="51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75"/>
        <w:gridCol w:w="992"/>
        <w:gridCol w:w="1280"/>
        <w:gridCol w:w="1417"/>
        <w:gridCol w:w="1848"/>
        <w:gridCol w:w="1680"/>
        <w:gridCol w:w="648"/>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8" w:type="pct"/>
            <w:vMerge w:val="restart"/>
            <w:noWrap/>
            <w:vAlign w:val="center"/>
          </w:tcPr>
          <w:p>
            <w:pPr>
              <w:pStyle w:val="22"/>
              <w:jc w:val="center"/>
              <w:rPr>
                <w:rFonts w:ascii="Times New Roman" w:hAnsi="Times New Roman"/>
                <w:color w:val="000000"/>
              </w:rPr>
            </w:pPr>
            <w:r>
              <w:rPr>
                <w:rFonts w:ascii="Times New Roman" w:hAnsi="Times New Roman"/>
                <w:color w:val="000000"/>
              </w:rPr>
              <w:t>环境要素</w:t>
            </w:r>
          </w:p>
        </w:tc>
        <w:tc>
          <w:tcPr>
            <w:tcW w:w="508" w:type="pct"/>
            <w:vMerge w:val="restart"/>
            <w:noWrap/>
            <w:vAlign w:val="center"/>
          </w:tcPr>
          <w:p>
            <w:pPr>
              <w:pStyle w:val="22"/>
              <w:jc w:val="center"/>
              <w:rPr>
                <w:rFonts w:ascii="Times New Roman" w:hAnsi="Times New Roman"/>
                <w:color w:val="000000"/>
              </w:rPr>
            </w:pPr>
            <w:r>
              <w:rPr>
                <w:rFonts w:ascii="Times New Roman" w:hAnsi="Times New Roman"/>
                <w:color w:val="000000"/>
              </w:rPr>
              <w:t>名称</w:t>
            </w:r>
          </w:p>
        </w:tc>
        <w:tc>
          <w:tcPr>
            <w:tcW w:w="1382" w:type="pct"/>
            <w:gridSpan w:val="2"/>
            <w:noWrap/>
            <w:vAlign w:val="center"/>
          </w:tcPr>
          <w:p>
            <w:pPr>
              <w:pStyle w:val="22"/>
              <w:jc w:val="center"/>
              <w:rPr>
                <w:rFonts w:ascii="Times New Roman" w:hAnsi="Times New Roman"/>
                <w:color w:val="000000"/>
              </w:rPr>
            </w:pPr>
            <w:r>
              <w:rPr>
                <w:rFonts w:ascii="Times New Roman" w:hAnsi="Times New Roman"/>
                <w:color w:val="000000"/>
              </w:rPr>
              <w:t>坐标/m</w:t>
            </w:r>
          </w:p>
        </w:tc>
        <w:tc>
          <w:tcPr>
            <w:tcW w:w="947" w:type="pct"/>
            <w:vMerge w:val="restart"/>
            <w:noWrap/>
            <w:vAlign w:val="center"/>
          </w:tcPr>
          <w:p>
            <w:pPr>
              <w:pStyle w:val="22"/>
              <w:jc w:val="center"/>
              <w:rPr>
                <w:rFonts w:ascii="Times New Roman" w:hAnsi="Times New Roman"/>
                <w:color w:val="000000"/>
              </w:rPr>
            </w:pPr>
            <w:r>
              <w:rPr>
                <w:rFonts w:ascii="Times New Roman" w:hAnsi="Times New Roman"/>
                <w:color w:val="000000"/>
              </w:rPr>
              <w:t>保护对象</w:t>
            </w:r>
          </w:p>
        </w:tc>
        <w:tc>
          <w:tcPr>
            <w:tcW w:w="861" w:type="pct"/>
            <w:vMerge w:val="restart"/>
            <w:noWrap/>
            <w:vAlign w:val="center"/>
          </w:tcPr>
          <w:p>
            <w:pPr>
              <w:pStyle w:val="22"/>
              <w:jc w:val="center"/>
              <w:rPr>
                <w:rFonts w:ascii="Times New Roman" w:hAnsi="Times New Roman"/>
                <w:color w:val="000000"/>
              </w:rPr>
            </w:pPr>
            <w:r>
              <w:rPr>
                <w:rFonts w:ascii="Times New Roman" w:hAnsi="Times New Roman"/>
                <w:color w:val="000000"/>
              </w:rPr>
              <w:t>环境功能区</w:t>
            </w:r>
          </w:p>
        </w:tc>
        <w:tc>
          <w:tcPr>
            <w:tcW w:w="332" w:type="pct"/>
            <w:vMerge w:val="restart"/>
            <w:noWrap/>
            <w:vAlign w:val="center"/>
          </w:tcPr>
          <w:p>
            <w:pPr>
              <w:pStyle w:val="22"/>
              <w:jc w:val="center"/>
              <w:rPr>
                <w:rFonts w:ascii="Times New Roman" w:hAnsi="Times New Roman"/>
                <w:color w:val="000000"/>
              </w:rPr>
            </w:pPr>
            <w:r>
              <w:rPr>
                <w:rFonts w:ascii="Times New Roman" w:hAnsi="Times New Roman"/>
                <w:color w:val="000000"/>
              </w:rPr>
              <w:t>相对厂址方位</w:t>
            </w:r>
          </w:p>
        </w:tc>
        <w:tc>
          <w:tcPr>
            <w:tcW w:w="521" w:type="pct"/>
            <w:vMerge w:val="restart"/>
            <w:noWrap/>
            <w:vAlign w:val="center"/>
          </w:tcPr>
          <w:p>
            <w:pPr>
              <w:pStyle w:val="22"/>
              <w:jc w:val="center"/>
              <w:rPr>
                <w:rFonts w:ascii="Times New Roman" w:hAnsi="Times New Roman"/>
                <w:color w:val="000000"/>
              </w:rPr>
            </w:pPr>
            <w:r>
              <w:rPr>
                <w:rFonts w:ascii="Times New Roman" w:hAnsi="Times New Roman"/>
                <w:color w:val="000000"/>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8" w:type="pct"/>
            <w:vMerge w:val="continue"/>
            <w:vAlign w:val="center"/>
          </w:tcPr>
          <w:p>
            <w:pPr>
              <w:widowControl/>
              <w:jc w:val="center"/>
              <w:rPr>
                <w:rFonts w:eastAsia="宋体" w:cs="Times New Roman"/>
                <w:color w:val="000000"/>
                <w:sz w:val="21"/>
              </w:rPr>
            </w:pPr>
          </w:p>
        </w:tc>
        <w:tc>
          <w:tcPr>
            <w:tcW w:w="508" w:type="pct"/>
            <w:vMerge w:val="continue"/>
            <w:vAlign w:val="center"/>
          </w:tcPr>
          <w:p>
            <w:pPr>
              <w:widowControl/>
              <w:jc w:val="center"/>
              <w:rPr>
                <w:rFonts w:eastAsia="宋体" w:cs="Times New Roman"/>
                <w:color w:val="000000"/>
                <w:sz w:val="21"/>
              </w:rPr>
            </w:pPr>
          </w:p>
        </w:tc>
        <w:tc>
          <w:tcPr>
            <w:tcW w:w="656" w:type="pct"/>
            <w:noWrap/>
            <w:vAlign w:val="center"/>
          </w:tcPr>
          <w:p>
            <w:pPr>
              <w:pStyle w:val="22"/>
              <w:jc w:val="center"/>
              <w:rPr>
                <w:rFonts w:ascii="Times New Roman" w:hAnsi="Times New Roman"/>
                <w:color w:val="000000"/>
              </w:rPr>
            </w:pPr>
            <w:r>
              <w:rPr>
                <w:rFonts w:ascii="Times New Roman" w:hAnsi="Times New Roman"/>
                <w:color w:val="000000"/>
              </w:rPr>
              <w:t>X</w:t>
            </w:r>
          </w:p>
        </w:tc>
        <w:tc>
          <w:tcPr>
            <w:tcW w:w="726" w:type="pct"/>
            <w:noWrap/>
            <w:vAlign w:val="center"/>
          </w:tcPr>
          <w:p>
            <w:pPr>
              <w:pStyle w:val="22"/>
              <w:jc w:val="center"/>
              <w:rPr>
                <w:rFonts w:ascii="Times New Roman" w:hAnsi="Times New Roman"/>
                <w:color w:val="000000"/>
              </w:rPr>
            </w:pPr>
            <w:r>
              <w:rPr>
                <w:rFonts w:ascii="Times New Roman" w:hAnsi="Times New Roman"/>
                <w:color w:val="000000"/>
              </w:rPr>
              <w:t>Y</w:t>
            </w:r>
          </w:p>
        </w:tc>
        <w:tc>
          <w:tcPr>
            <w:tcW w:w="947" w:type="pct"/>
            <w:vMerge w:val="continue"/>
            <w:vAlign w:val="center"/>
          </w:tcPr>
          <w:p>
            <w:pPr>
              <w:widowControl/>
              <w:jc w:val="center"/>
              <w:rPr>
                <w:rFonts w:eastAsia="宋体" w:cs="Times New Roman"/>
                <w:color w:val="000000"/>
                <w:sz w:val="21"/>
              </w:rPr>
            </w:pPr>
          </w:p>
        </w:tc>
        <w:tc>
          <w:tcPr>
            <w:tcW w:w="861" w:type="pct"/>
            <w:vMerge w:val="continue"/>
            <w:vAlign w:val="center"/>
          </w:tcPr>
          <w:p>
            <w:pPr>
              <w:widowControl/>
              <w:jc w:val="center"/>
              <w:rPr>
                <w:rFonts w:eastAsia="宋体" w:cs="Times New Roman"/>
                <w:color w:val="000000"/>
                <w:sz w:val="21"/>
              </w:rPr>
            </w:pPr>
          </w:p>
        </w:tc>
        <w:tc>
          <w:tcPr>
            <w:tcW w:w="332" w:type="pct"/>
            <w:vMerge w:val="continue"/>
            <w:vAlign w:val="center"/>
          </w:tcPr>
          <w:p>
            <w:pPr>
              <w:widowControl/>
              <w:jc w:val="center"/>
              <w:rPr>
                <w:rFonts w:eastAsia="宋体" w:cs="Times New Roman"/>
                <w:color w:val="000000"/>
                <w:sz w:val="21"/>
              </w:rPr>
            </w:pPr>
          </w:p>
        </w:tc>
        <w:tc>
          <w:tcPr>
            <w:tcW w:w="521" w:type="pct"/>
            <w:vMerge w:val="continue"/>
            <w:vAlign w:val="center"/>
          </w:tcPr>
          <w:p>
            <w:pPr>
              <w:widowControl/>
              <w:jc w:val="center"/>
              <w:rPr>
                <w:rFonts w:eastAsia="宋体" w:cs="Times New Roman"/>
                <w:color w:val="00000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8" w:type="pct"/>
            <w:vMerge w:val="restart"/>
            <w:noWrap/>
            <w:vAlign w:val="center"/>
          </w:tcPr>
          <w:p>
            <w:pPr>
              <w:wordWrap w:val="0"/>
              <w:jc w:val="center"/>
              <w:rPr>
                <w:rFonts w:eastAsia="宋体" w:cs="Times New Roman"/>
                <w:color w:val="000000"/>
                <w:sz w:val="21"/>
              </w:rPr>
            </w:pPr>
            <w:r>
              <w:rPr>
                <w:rFonts w:eastAsia="宋体" w:cs="Times New Roman"/>
                <w:color w:val="000000"/>
                <w:sz w:val="21"/>
              </w:rPr>
              <w:t>大气环境</w:t>
            </w:r>
          </w:p>
        </w:tc>
        <w:tc>
          <w:tcPr>
            <w:tcW w:w="508" w:type="pct"/>
            <w:noWrap/>
            <w:vAlign w:val="center"/>
          </w:tcPr>
          <w:p>
            <w:pPr>
              <w:wordWrap w:val="0"/>
              <w:jc w:val="center"/>
              <w:rPr>
                <w:rFonts w:eastAsia="宋体" w:cs="Times New Roman"/>
                <w:color w:val="000000"/>
                <w:sz w:val="21"/>
              </w:rPr>
            </w:pPr>
            <w:r>
              <w:rPr>
                <w:rFonts w:eastAsia="宋体" w:cs="Times New Roman"/>
                <w:color w:val="000000"/>
                <w:sz w:val="21"/>
              </w:rPr>
              <w:t>金洛小区</w:t>
            </w:r>
          </w:p>
        </w:tc>
        <w:tc>
          <w:tcPr>
            <w:tcW w:w="656" w:type="pct"/>
            <w:noWrap/>
            <w:vAlign w:val="center"/>
          </w:tcPr>
          <w:p>
            <w:pPr>
              <w:pStyle w:val="22"/>
              <w:jc w:val="center"/>
              <w:rPr>
                <w:rFonts w:ascii="Times New Roman" w:hAnsi="Times New Roman"/>
                <w:color w:val="000000"/>
              </w:rPr>
            </w:pPr>
            <w:r>
              <w:rPr>
                <w:rFonts w:ascii="Times New Roman" w:hAnsi="Times New Roman"/>
                <w:color w:val="000000"/>
              </w:rPr>
              <w:t>1294369.459</w:t>
            </w:r>
          </w:p>
        </w:tc>
        <w:tc>
          <w:tcPr>
            <w:tcW w:w="726" w:type="pct"/>
            <w:noWrap/>
            <w:vAlign w:val="center"/>
          </w:tcPr>
          <w:p>
            <w:pPr>
              <w:pStyle w:val="22"/>
              <w:jc w:val="center"/>
              <w:rPr>
                <w:rFonts w:ascii="Times New Roman" w:hAnsi="Times New Roman"/>
                <w:color w:val="000000"/>
              </w:rPr>
            </w:pPr>
            <w:r>
              <w:rPr>
                <w:rFonts w:ascii="Times New Roman" w:hAnsi="Times New Roman"/>
                <w:color w:val="000000"/>
              </w:rPr>
              <w:t>3424609.718</w:t>
            </w:r>
          </w:p>
        </w:tc>
        <w:tc>
          <w:tcPr>
            <w:tcW w:w="947" w:type="pct"/>
            <w:noWrap/>
            <w:vAlign w:val="center"/>
          </w:tcPr>
          <w:p>
            <w:pPr>
              <w:pStyle w:val="22"/>
              <w:jc w:val="center"/>
              <w:rPr>
                <w:rFonts w:ascii="Times New Roman" w:hAnsi="Times New Roman"/>
                <w:color w:val="000000"/>
              </w:rPr>
            </w:pPr>
            <w:r>
              <w:rPr>
                <w:rFonts w:ascii="Times New Roman" w:hAnsi="Times New Roman"/>
                <w:color w:val="000000"/>
              </w:rPr>
              <w:t>金洛小区居民</w:t>
            </w:r>
          </w:p>
        </w:tc>
        <w:tc>
          <w:tcPr>
            <w:tcW w:w="861" w:type="pct"/>
            <w:vMerge w:val="restart"/>
            <w:noWrap/>
            <w:vAlign w:val="center"/>
          </w:tcPr>
          <w:p>
            <w:pPr>
              <w:pStyle w:val="73"/>
              <w:jc w:val="center"/>
              <w:rPr>
                <w:rFonts w:eastAsia="宋体"/>
                <w:sz w:val="21"/>
                <w:szCs w:val="21"/>
              </w:rPr>
            </w:pPr>
            <w:r>
              <w:rPr>
                <w:rFonts w:eastAsia="宋体"/>
                <w:sz w:val="21"/>
                <w:szCs w:val="21"/>
              </w:rPr>
              <w:t>执行</w:t>
            </w:r>
            <w:r>
              <w:rPr>
                <w:rFonts w:hint="eastAsia" w:eastAsia="宋体"/>
                <w:sz w:val="21"/>
                <w:szCs w:val="21"/>
              </w:rPr>
              <w:t>《环境空气质量标准》</w:t>
            </w:r>
            <w:r>
              <w:rPr>
                <w:rFonts w:eastAsia="宋体"/>
                <w:sz w:val="21"/>
                <w:szCs w:val="21"/>
              </w:rPr>
              <w:t>GB3095-2012二类标准</w:t>
            </w:r>
            <w:r>
              <w:rPr>
                <w:rFonts w:hint="eastAsia" w:eastAsia="宋体"/>
                <w:sz w:val="21"/>
                <w:szCs w:val="21"/>
              </w:rPr>
              <w:t>，</w:t>
            </w:r>
            <w:r>
              <w:rPr>
                <w:rFonts w:eastAsia="宋体"/>
                <w:sz w:val="21"/>
                <w:szCs w:val="21"/>
              </w:rPr>
              <w:t>其中NH</w:t>
            </w:r>
            <w:r>
              <w:rPr>
                <w:rFonts w:eastAsia="宋体"/>
                <w:sz w:val="21"/>
                <w:szCs w:val="21"/>
                <w:vertAlign w:val="subscript"/>
              </w:rPr>
              <w:t>3</w:t>
            </w:r>
            <w:r>
              <w:rPr>
                <w:rFonts w:eastAsia="宋体"/>
                <w:sz w:val="21"/>
                <w:szCs w:val="21"/>
              </w:rPr>
              <w:t>、H</w:t>
            </w:r>
            <w:r>
              <w:rPr>
                <w:rFonts w:eastAsia="宋体"/>
                <w:sz w:val="21"/>
                <w:szCs w:val="21"/>
                <w:vertAlign w:val="subscript"/>
              </w:rPr>
              <w:t>2</w:t>
            </w:r>
            <w:r>
              <w:rPr>
                <w:rFonts w:eastAsia="宋体"/>
                <w:sz w:val="21"/>
                <w:szCs w:val="21"/>
              </w:rPr>
              <w:t>S参照《建设项目环境影响评价技术导则—大气环境》（HJ2.2-2018）附录D参考限值</w:t>
            </w:r>
          </w:p>
        </w:tc>
        <w:tc>
          <w:tcPr>
            <w:tcW w:w="332" w:type="pct"/>
            <w:noWrap/>
            <w:vAlign w:val="center"/>
          </w:tcPr>
          <w:p>
            <w:pPr>
              <w:wordWrap w:val="0"/>
              <w:jc w:val="center"/>
              <w:rPr>
                <w:rFonts w:eastAsia="宋体" w:cs="Times New Roman"/>
                <w:color w:val="000000"/>
                <w:sz w:val="21"/>
              </w:rPr>
            </w:pPr>
            <w:r>
              <w:rPr>
                <w:rFonts w:eastAsia="宋体" w:cs="Times New Roman"/>
                <w:color w:val="000000"/>
                <w:sz w:val="21"/>
              </w:rPr>
              <w:t>东北</w:t>
            </w:r>
          </w:p>
        </w:tc>
        <w:tc>
          <w:tcPr>
            <w:tcW w:w="521" w:type="pct"/>
            <w:noWrap/>
            <w:vAlign w:val="center"/>
          </w:tcPr>
          <w:p>
            <w:pPr>
              <w:pStyle w:val="22"/>
              <w:jc w:val="center"/>
              <w:rPr>
                <w:rFonts w:ascii="Times New Roman" w:hAnsi="Times New Roman"/>
                <w:color w:val="000000"/>
              </w:rPr>
            </w:pPr>
            <w:r>
              <w:rPr>
                <w:rFonts w:ascii="Times New Roman" w:hAnsi="Times New Roman"/>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8" w:type="pct"/>
            <w:vMerge w:val="continue"/>
            <w:vAlign w:val="center"/>
          </w:tcPr>
          <w:p>
            <w:pPr>
              <w:widowControl/>
              <w:jc w:val="center"/>
              <w:rPr>
                <w:rFonts w:eastAsia="宋体" w:cs="Times New Roman"/>
                <w:color w:val="000000"/>
                <w:sz w:val="21"/>
              </w:rPr>
            </w:pPr>
          </w:p>
        </w:tc>
        <w:tc>
          <w:tcPr>
            <w:tcW w:w="508" w:type="pct"/>
            <w:noWrap/>
            <w:vAlign w:val="center"/>
          </w:tcPr>
          <w:p>
            <w:pPr>
              <w:pStyle w:val="38"/>
              <w:ind w:firstLine="0" w:firstLineChars="0"/>
              <w:jc w:val="center"/>
              <w:rPr>
                <w:rFonts w:eastAsia="宋体" w:cs="Times New Roman"/>
                <w:color w:val="000000"/>
                <w:sz w:val="21"/>
              </w:rPr>
            </w:pPr>
            <w:r>
              <w:rPr>
                <w:rFonts w:eastAsia="宋体" w:cs="Times New Roman"/>
                <w:color w:val="000000"/>
                <w:sz w:val="21"/>
              </w:rPr>
              <w:t>金电花园</w:t>
            </w:r>
          </w:p>
        </w:tc>
        <w:tc>
          <w:tcPr>
            <w:tcW w:w="656" w:type="pct"/>
            <w:noWrap/>
            <w:vAlign w:val="center"/>
          </w:tcPr>
          <w:p>
            <w:pPr>
              <w:pStyle w:val="22"/>
              <w:jc w:val="center"/>
              <w:rPr>
                <w:rFonts w:ascii="Times New Roman" w:hAnsi="Times New Roman"/>
                <w:color w:val="000000"/>
              </w:rPr>
            </w:pPr>
            <w:r>
              <w:rPr>
                <w:rFonts w:ascii="Times New Roman" w:hAnsi="Times New Roman"/>
                <w:color w:val="000000"/>
              </w:rPr>
              <w:t>1294663.264</w:t>
            </w:r>
          </w:p>
        </w:tc>
        <w:tc>
          <w:tcPr>
            <w:tcW w:w="726" w:type="pct"/>
            <w:noWrap/>
            <w:vAlign w:val="center"/>
          </w:tcPr>
          <w:p>
            <w:pPr>
              <w:pStyle w:val="22"/>
              <w:jc w:val="center"/>
              <w:rPr>
                <w:rFonts w:ascii="Times New Roman" w:hAnsi="Times New Roman"/>
                <w:color w:val="000000"/>
              </w:rPr>
            </w:pPr>
            <w:r>
              <w:rPr>
                <w:rFonts w:ascii="Times New Roman" w:hAnsi="Times New Roman"/>
                <w:color w:val="000000"/>
              </w:rPr>
              <w:t>3424716.630</w:t>
            </w:r>
          </w:p>
        </w:tc>
        <w:tc>
          <w:tcPr>
            <w:tcW w:w="947" w:type="pct"/>
            <w:noWrap/>
            <w:vAlign w:val="center"/>
          </w:tcPr>
          <w:p>
            <w:pPr>
              <w:pStyle w:val="22"/>
              <w:jc w:val="center"/>
              <w:rPr>
                <w:rFonts w:ascii="Times New Roman" w:hAnsi="Times New Roman"/>
                <w:color w:val="000000"/>
              </w:rPr>
            </w:pPr>
            <w:r>
              <w:rPr>
                <w:rFonts w:ascii="Times New Roman" w:hAnsi="Times New Roman"/>
                <w:color w:val="000000"/>
              </w:rPr>
              <w:t>金电花园居民</w:t>
            </w:r>
          </w:p>
        </w:tc>
        <w:tc>
          <w:tcPr>
            <w:tcW w:w="861" w:type="pct"/>
            <w:vMerge w:val="continue"/>
            <w:vAlign w:val="center"/>
          </w:tcPr>
          <w:p>
            <w:pPr>
              <w:widowControl/>
              <w:jc w:val="center"/>
              <w:rPr>
                <w:rFonts w:eastAsia="宋体" w:cs="Times New Roman"/>
                <w:color w:val="000000"/>
                <w:kern w:val="0"/>
                <w:sz w:val="21"/>
              </w:rPr>
            </w:pPr>
          </w:p>
        </w:tc>
        <w:tc>
          <w:tcPr>
            <w:tcW w:w="332" w:type="pct"/>
            <w:noWrap/>
            <w:vAlign w:val="center"/>
          </w:tcPr>
          <w:p>
            <w:pPr>
              <w:jc w:val="center"/>
              <w:rPr>
                <w:rFonts w:eastAsia="宋体" w:cs="Times New Roman"/>
              </w:rPr>
            </w:pPr>
            <w:r>
              <w:rPr>
                <w:rFonts w:eastAsia="宋体" w:cs="Times New Roman"/>
                <w:color w:val="000000"/>
                <w:sz w:val="21"/>
              </w:rPr>
              <w:t>东北</w:t>
            </w:r>
          </w:p>
        </w:tc>
        <w:tc>
          <w:tcPr>
            <w:tcW w:w="521" w:type="pct"/>
            <w:noWrap/>
            <w:vAlign w:val="center"/>
          </w:tcPr>
          <w:p>
            <w:pPr>
              <w:pStyle w:val="22"/>
              <w:jc w:val="center"/>
              <w:rPr>
                <w:rFonts w:ascii="Times New Roman" w:hAnsi="Times New Roman"/>
                <w:color w:val="000000"/>
              </w:rPr>
            </w:pPr>
            <w:r>
              <w:rPr>
                <w:rFonts w:ascii="Times New Roman" w:hAnsi="Times New Roman"/>
                <w:color w:val="000000"/>
              </w:rPr>
              <w:t>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8" w:type="pct"/>
            <w:vMerge w:val="continue"/>
            <w:vAlign w:val="center"/>
          </w:tcPr>
          <w:p>
            <w:pPr>
              <w:widowControl/>
              <w:jc w:val="center"/>
              <w:rPr>
                <w:rFonts w:eastAsia="宋体" w:cs="Times New Roman"/>
                <w:color w:val="000000"/>
                <w:sz w:val="21"/>
              </w:rPr>
            </w:pPr>
          </w:p>
        </w:tc>
        <w:tc>
          <w:tcPr>
            <w:tcW w:w="508" w:type="pct"/>
            <w:noWrap/>
            <w:vAlign w:val="center"/>
          </w:tcPr>
          <w:p>
            <w:pPr>
              <w:pStyle w:val="38"/>
              <w:ind w:firstLine="0" w:firstLineChars="0"/>
              <w:jc w:val="center"/>
              <w:rPr>
                <w:rFonts w:eastAsia="宋体" w:cs="Times New Roman"/>
                <w:color w:val="000000"/>
                <w:sz w:val="21"/>
              </w:rPr>
            </w:pPr>
            <w:r>
              <w:rPr>
                <w:rFonts w:eastAsia="宋体" w:cs="Times New Roman"/>
                <w:color w:val="000000"/>
                <w:sz w:val="21"/>
              </w:rPr>
              <w:t>润康小区</w:t>
            </w:r>
          </w:p>
        </w:tc>
        <w:tc>
          <w:tcPr>
            <w:tcW w:w="656" w:type="pct"/>
            <w:noWrap/>
            <w:vAlign w:val="center"/>
          </w:tcPr>
          <w:p>
            <w:pPr>
              <w:pStyle w:val="22"/>
              <w:jc w:val="center"/>
              <w:rPr>
                <w:rFonts w:ascii="Times New Roman" w:hAnsi="Times New Roman"/>
                <w:color w:val="000000"/>
              </w:rPr>
            </w:pPr>
            <w:r>
              <w:rPr>
                <w:rFonts w:ascii="Times New Roman" w:hAnsi="Times New Roman"/>
                <w:color w:val="000000"/>
              </w:rPr>
              <w:t>12594906.907</w:t>
            </w:r>
          </w:p>
        </w:tc>
        <w:tc>
          <w:tcPr>
            <w:tcW w:w="726" w:type="pct"/>
            <w:noWrap/>
            <w:vAlign w:val="center"/>
          </w:tcPr>
          <w:p>
            <w:pPr>
              <w:pStyle w:val="22"/>
              <w:jc w:val="center"/>
              <w:rPr>
                <w:rFonts w:ascii="Times New Roman" w:hAnsi="Times New Roman"/>
                <w:color w:val="000000"/>
              </w:rPr>
            </w:pPr>
            <w:r>
              <w:rPr>
                <w:rFonts w:ascii="Times New Roman" w:hAnsi="Times New Roman"/>
                <w:color w:val="000000"/>
              </w:rPr>
              <w:t>3424971.578</w:t>
            </w:r>
          </w:p>
        </w:tc>
        <w:tc>
          <w:tcPr>
            <w:tcW w:w="947" w:type="pct"/>
            <w:noWrap/>
            <w:vAlign w:val="center"/>
          </w:tcPr>
          <w:p>
            <w:pPr>
              <w:pStyle w:val="22"/>
              <w:jc w:val="center"/>
              <w:rPr>
                <w:rFonts w:ascii="Times New Roman" w:hAnsi="Times New Roman"/>
                <w:color w:val="000000"/>
              </w:rPr>
            </w:pPr>
            <w:r>
              <w:rPr>
                <w:rFonts w:ascii="Times New Roman" w:hAnsi="Times New Roman"/>
                <w:color w:val="000000"/>
              </w:rPr>
              <w:t>润康小区居民</w:t>
            </w:r>
          </w:p>
        </w:tc>
        <w:tc>
          <w:tcPr>
            <w:tcW w:w="861" w:type="pct"/>
            <w:vMerge w:val="continue"/>
            <w:vAlign w:val="center"/>
          </w:tcPr>
          <w:p>
            <w:pPr>
              <w:widowControl/>
              <w:jc w:val="center"/>
              <w:rPr>
                <w:rFonts w:eastAsia="宋体" w:cs="Times New Roman"/>
                <w:color w:val="000000"/>
                <w:kern w:val="0"/>
                <w:sz w:val="21"/>
              </w:rPr>
            </w:pPr>
          </w:p>
        </w:tc>
        <w:tc>
          <w:tcPr>
            <w:tcW w:w="332" w:type="pct"/>
            <w:noWrap/>
            <w:vAlign w:val="center"/>
          </w:tcPr>
          <w:p>
            <w:pPr>
              <w:jc w:val="center"/>
              <w:rPr>
                <w:rFonts w:eastAsia="宋体" w:cs="Times New Roman"/>
              </w:rPr>
            </w:pPr>
            <w:r>
              <w:rPr>
                <w:rFonts w:eastAsia="宋体" w:cs="Times New Roman"/>
                <w:color w:val="000000"/>
                <w:sz w:val="21"/>
              </w:rPr>
              <w:t>东北</w:t>
            </w:r>
          </w:p>
        </w:tc>
        <w:tc>
          <w:tcPr>
            <w:tcW w:w="521" w:type="pct"/>
            <w:noWrap/>
            <w:vAlign w:val="center"/>
          </w:tcPr>
          <w:p>
            <w:pPr>
              <w:pStyle w:val="22"/>
              <w:jc w:val="center"/>
              <w:rPr>
                <w:rFonts w:ascii="Times New Roman" w:hAnsi="Times New Roman"/>
                <w:color w:val="000000"/>
              </w:rPr>
            </w:pPr>
            <w:r>
              <w:rPr>
                <w:rFonts w:ascii="Times New Roman" w:hAnsi="Times New Roman"/>
                <w:color w:val="000000"/>
              </w:rPr>
              <w:t>846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8" w:type="pct"/>
            <w:vMerge w:val="continue"/>
            <w:vAlign w:val="center"/>
          </w:tcPr>
          <w:p>
            <w:pPr>
              <w:widowControl/>
              <w:jc w:val="center"/>
              <w:rPr>
                <w:rFonts w:eastAsia="宋体" w:cs="Times New Roman"/>
                <w:color w:val="000000"/>
                <w:sz w:val="21"/>
              </w:rPr>
            </w:pPr>
          </w:p>
        </w:tc>
        <w:tc>
          <w:tcPr>
            <w:tcW w:w="508" w:type="pct"/>
            <w:noWrap/>
            <w:vAlign w:val="center"/>
          </w:tcPr>
          <w:p>
            <w:pPr>
              <w:pStyle w:val="38"/>
              <w:ind w:firstLine="0" w:firstLineChars="0"/>
              <w:jc w:val="center"/>
              <w:rPr>
                <w:rFonts w:eastAsia="宋体" w:cs="Times New Roman"/>
                <w:color w:val="000000"/>
                <w:sz w:val="21"/>
              </w:rPr>
            </w:pPr>
            <w:r>
              <w:rPr>
                <w:rFonts w:eastAsia="宋体" w:cs="Times New Roman"/>
                <w:color w:val="000000"/>
                <w:sz w:val="21"/>
              </w:rPr>
              <w:t>岳密小区</w:t>
            </w:r>
          </w:p>
        </w:tc>
        <w:tc>
          <w:tcPr>
            <w:tcW w:w="656" w:type="pct"/>
            <w:noWrap/>
            <w:vAlign w:val="center"/>
          </w:tcPr>
          <w:p>
            <w:pPr>
              <w:pStyle w:val="22"/>
              <w:jc w:val="center"/>
              <w:rPr>
                <w:rFonts w:ascii="Times New Roman" w:hAnsi="Times New Roman"/>
                <w:color w:val="000000"/>
              </w:rPr>
            </w:pPr>
            <w:r>
              <w:rPr>
                <w:rFonts w:ascii="Times New Roman" w:hAnsi="Times New Roman"/>
                <w:color w:val="000000"/>
              </w:rPr>
              <w:t>12594075.654</w:t>
            </w:r>
          </w:p>
        </w:tc>
        <w:tc>
          <w:tcPr>
            <w:tcW w:w="726" w:type="pct"/>
            <w:noWrap/>
            <w:vAlign w:val="center"/>
          </w:tcPr>
          <w:p>
            <w:pPr>
              <w:pStyle w:val="22"/>
              <w:jc w:val="center"/>
              <w:rPr>
                <w:rFonts w:ascii="Times New Roman" w:hAnsi="Times New Roman"/>
                <w:color w:val="000000"/>
              </w:rPr>
            </w:pPr>
            <w:r>
              <w:rPr>
                <w:rFonts w:ascii="Times New Roman" w:hAnsi="Times New Roman"/>
                <w:color w:val="000000"/>
              </w:rPr>
              <w:t>3425037.371</w:t>
            </w:r>
          </w:p>
        </w:tc>
        <w:tc>
          <w:tcPr>
            <w:tcW w:w="947" w:type="pct"/>
            <w:noWrap/>
            <w:vAlign w:val="center"/>
          </w:tcPr>
          <w:p>
            <w:pPr>
              <w:pStyle w:val="22"/>
              <w:jc w:val="center"/>
              <w:rPr>
                <w:rFonts w:ascii="Times New Roman" w:hAnsi="Times New Roman"/>
                <w:color w:val="000000"/>
              </w:rPr>
            </w:pPr>
            <w:r>
              <w:rPr>
                <w:rFonts w:ascii="Times New Roman" w:hAnsi="Times New Roman"/>
                <w:color w:val="000000"/>
              </w:rPr>
              <w:t>岳密小区居民</w:t>
            </w:r>
          </w:p>
        </w:tc>
        <w:tc>
          <w:tcPr>
            <w:tcW w:w="861" w:type="pct"/>
            <w:vMerge w:val="continue"/>
            <w:vAlign w:val="center"/>
          </w:tcPr>
          <w:p>
            <w:pPr>
              <w:widowControl/>
              <w:jc w:val="center"/>
              <w:rPr>
                <w:rFonts w:eastAsia="宋体" w:cs="Times New Roman"/>
                <w:color w:val="000000"/>
                <w:kern w:val="0"/>
                <w:sz w:val="21"/>
              </w:rPr>
            </w:pPr>
          </w:p>
        </w:tc>
        <w:tc>
          <w:tcPr>
            <w:tcW w:w="332" w:type="pct"/>
            <w:noWrap/>
            <w:vAlign w:val="center"/>
          </w:tcPr>
          <w:p>
            <w:pPr>
              <w:jc w:val="center"/>
              <w:rPr>
                <w:rFonts w:eastAsia="宋体" w:cs="Times New Roman"/>
              </w:rPr>
            </w:pPr>
            <w:r>
              <w:rPr>
                <w:rFonts w:eastAsia="宋体" w:cs="Times New Roman"/>
                <w:color w:val="000000"/>
                <w:sz w:val="21"/>
              </w:rPr>
              <w:t>东北</w:t>
            </w:r>
          </w:p>
        </w:tc>
        <w:tc>
          <w:tcPr>
            <w:tcW w:w="521" w:type="pct"/>
            <w:noWrap/>
            <w:vAlign w:val="center"/>
          </w:tcPr>
          <w:p>
            <w:pPr>
              <w:pStyle w:val="22"/>
              <w:jc w:val="center"/>
              <w:rPr>
                <w:rFonts w:ascii="Times New Roman" w:hAnsi="Times New Roman"/>
                <w:color w:val="000000"/>
              </w:rPr>
            </w:pPr>
            <w:r>
              <w:rPr>
                <w:rFonts w:ascii="Times New Roman" w:hAnsi="Times New Roman"/>
                <w:color w:val="000000"/>
              </w:rPr>
              <w:t>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8" w:type="pct"/>
            <w:vMerge w:val="continue"/>
            <w:vAlign w:val="center"/>
          </w:tcPr>
          <w:p>
            <w:pPr>
              <w:widowControl/>
              <w:jc w:val="center"/>
              <w:rPr>
                <w:rFonts w:eastAsia="宋体" w:cs="Times New Roman"/>
                <w:color w:val="000000"/>
                <w:sz w:val="21"/>
              </w:rPr>
            </w:pPr>
          </w:p>
        </w:tc>
        <w:tc>
          <w:tcPr>
            <w:tcW w:w="508" w:type="pct"/>
            <w:noWrap/>
            <w:vAlign w:val="center"/>
          </w:tcPr>
          <w:p>
            <w:pPr>
              <w:jc w:val="center"/>
              <w:rPr>
                <w:rFonts w:eastAsia="宋体" w:cs="Times New Roman"/>
                <w:color w:val="000000" w:themeColor="text1"/>
                <w:sz w:val="21"/>
              </w:rPr>
            </w:pPr>
            <w:r>
              <w:rPr>
                <w:rFonts w:eastAsia="宋体" w:cs="Times New Roman"/>
                <w:color w:val="000000" w:themeColor="text1"/>
                <w:sz w:val="21"/>
              </w:rPr>
              <w:t>望岳小学</w:t>
            </w:r>
          </w:p>
        </w:tc>
        <w:tc>
          <w:tcPr>
            <w:tcW w:w="656" w:type="pct"/>
            <w:noWrap/>
            <w:vAlign w:val="center"/>
          </w:tcPr>
          <w:p>
            <w:pPr>
              <w:pStyle w:val="22"/>
              <w:jc w:val="center"/>
              <w:rPr>
                <w:rFonts w:ascii="Times New Roman" w:hAnsi="Times New Roman"/>
                <w:color w:val="000000"/>
              </w:rPr>
            </w:pPr>
            <w:r>
              <w:rPr>
                <w:rFonts w:hint="eastAsia" w:ascii="Times New Roman" w:hAnsi="Times New Roman"/>
                <w:color w:val="000000"/>
              </w:rPr>
              <w:t>12594398.123</w:t>
            </w:r>
          </w:p>
        </w:tc>
        <w:tc>
          <w:tcPr>
            <w:tcW w:w="726" w:type="pct"/>
            <w:noWrap/>
            <w:vAlign w:val="center"/>
          </w:tcPr>
          <w:p>
            <w:pPr>
              <w:pStyle w:val="22"/>
              <w:jc w:val="center"/>
              <w:rPr>
                <w:rFonts w:ascii="Times New Roman" w:hAnsi="Times New Roman"/>
                <w:color w:val="000000"/>
              </w:rPr>
            </w:pPr>
            <w:r>
              <w:rPr>
                <w:rFonts w:hint="eastAsia" w:ascii="Times New Roman" w:hAnsi="Times New Roman"/>
                <w:color w:val="000000"/>
              </w:rPr>
              <w:t>3425344.414</w:t>
            </w:r>
          </w:p>
        </w:tc>
        <w:tc>
          <w:tcPr>
            <w:tcW w:w="947" w:type="pct"/>
            <w:noWrap/>
            <w:vAlign w:val="center"/>
          </w:tcPr>
          <w:p>
            <w:pPr>
              <w:pStyle w:val="22"/>
              <w:jc w:val="center"/>
              <w:rPr>
                <w:rFonts w:ascii="Times New Roman" w:hAnsi="Times New Roman"/>
                <w:color w:val="000000"/>
              </w:rPr>
            </w:pPr>
            <w:r>
              <w:rPr>
                <w:rFonts w:ascii="Times New Roman" w:hAnsi="Times New Roman"/>
                <w:color w:val="000000"/>
              </w:rPr>
              <w:t>学生和老师和工作人员</w:t>
            </w:r>
          </w:p>
        </w:tc>
        <w:tc>
          <w:tcPr>
            <w:tcW w:w="861" w:type="pct"/>
            <w:vMerge w:val="continue"/>
            <w:vAlign w:val="center"/>
          </w:tcPr>
          <w:p>
            <w:pPr>
              <w:widowControl/>
              <w:jc w:val="center"/>
              <w:rPr>
                <w:rFonts w:eastAsia="宋体" w:cs="Times New Roman"/>
                <w:color w:val="000000"/>
                <w:kern w:val="0"/>
                <w:sz w:val="21"/>
              </w:rPr>
            </w:pPr>
          </w:p>
        </w:tc>
        <w:tc>
          <w:tcPr>
            <w:tcW w:w="332" w:type="pct"/>
            <w:noWrap/>
            <w:vAlign w:val="center"/>
          </w:tcPr>
          <w:p>
            <w:pPr>
              <w:wordWrap w:val="0"/>
              <w:jc w:val="center"/>
              <w:rPr>
                <w:rFonts w:eastAsia="宋体" w:cs="Times New Roman"/>
                <w:color w:val="000000"/>
                <w:sz w:val="21"/>
              </w:rPr>
            </w:pPr>
            <w:r>
              <w:rPr>
                <w:rFonts w:eastAsia="宋体" w:cs="Times New Roman"/>
                <w:color w:val="000000"/>
                <w:sz w:val="21"/>
              </w:rPr>
              <w:t>东北</w:t>
            </w:r>
          </w:p>
        </w:tc>
        <w:tc>
          <w:tcPr>
            <w:tcW w:w="521" w:type="pct"/>
            <w:noWrap/>
            <w:vAlign w:val="center"/>
          </w:tcPr>
          <w:p>
            <w:pPr>
              <w:pStyle w:val="22"/>
              <w:jc w:val="center"/>
              <w:rPr>
                <w:rFonts w:ascii="Times New Roman" w:hAnsi="Times New Roman"/>
                <w:color w:val="000000"/>
              </w:rPr>
            </w:pPr>
            <w:r>
              <w:rPr>
                <w:rFonts w:ascii="Times New Roman" w:hAnsi="Times New Roman"/>
                <w:color w:val="000000"/>
              </w:rPr>
              <w:t>751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8" w:type="pct"/>
            <w:vMerge w:val="continue"/>
            <w:vAlign w:val="center"/>
          </w:tcPr>
          <w:p>
            <w:pPr>
              <w:widowControl/>
              <w:jc w:val="center"/>
              <w:rPr>
                <w:rFonts w:eastAsia="宋体" w:cs="Times New Roman"/>
                <w:color w:val="000000"/>
                <w:sz w:val="21"/>
              </w:rPr>
            </w:pPr>
          </w:p>
        </w:tc>
        <w:tc>
          <w:tcPr>
            <w:tcW w:w="508" w:type="pct"/>
            <w:noWrap/>
            <w:vAlign w:val="center"/>
          </w:tcPr>
          <w:p>
            <w:pPr>
              <w:jc w:val="center"/>
              <w:rPr>
                <w:rFonts w:eastAsia="宋体" w:cs="Times New Roman"/>
                <w:color w:val="000000"/>
                <w:sz w:val="21"/>
              </w:rPr>
            </w:pPr>
            <w:r>
              <w:rPr>
                <w:rFonts w:eastAsia="宋体" w:cs="Times New Roman"/>
                <w:color w:val="000000"/>
                <w:sz w:val="21"/>
              </w:rPr>
              <w:t>新超人幼儿园</w:t>
            </w:r>
          </w:p>
        </w:tc>
        <w:tc>
          <w:tcPr>
            <w:tcW w:w="656" w:type="pct"/>
            <w:noWrap/>
            <w:vAlign w:val="center"/>
          </w:tcPr>
          <w:p>
            <w:pPr>
              <w:pStyle w:val="22"/>
              <w:jc w:val="center"/>
              <w:rPr>
                <w:rFonts w:ascii="Times New Roman" w:hAnsi="Times New Roman"/>
                <w:color w:val="000000"/>
              </w:rPr>
            </w:pPr>
            <w:r>
              <w:rPr>
                <w:rFonts w:ascii="Times New Roman" w:hAnsi="Times New Roman"/>
                <w:color w:val="000000"/>
              </w:rPr>
              <w:t>12593769.906</w:t>
            </w:r>
          </w:p>
        </w:tc>
        <w:tc>
          <w:tcPr>
            <w:tcW w:w="726" w:type="pct"/>
            <w:noWrap/>
            <w:vAlign w:val="center"/>
          </w:tcPr>
          <w:p>
            <w:pPr>
              <w:pStyle w:val="22"/>
              <w:jc w:val="center"/>
              <w:rPr>
                <w:rFonts w:ascii="Times New Roman" w:hAnsi="Times New Roman"/>
                <w:color w:val="000000"/>
              </w:rPr>
            </w:pPr>
            <w:r>
              <w:rPr>
                <w:rFonts w:ascii="Times New Roman" w:hAnsi="Times New Roman"/>
                <w:color w:val="000000"/>
              </w:rPr>
              <w:t>3424554.891</w:t>
            </w:r>
          </w:p>
        </w:tc>
        <w:tc>
          <w:tcPr>
            <w:tcW w:w="947" w:type="pct"/>
            <w:noWrap/>
            <w:vAlign w:val="center"/>
          </w:tcPr>
          <w:p>
            <w:pPr>
              <w:pStyle w:val="22"/>
              <w:jc w:val="center"/>
              <w:rPr>
                <w:rFonts w:ascii="Times New Roman" w:hAnsi="Times New Roman"/>
                <w:color w:val="000000"/>
              </w:rPr>
            </w:pPr>
            <w:r>
              <w:rPr>
                <w:rFonts w:ascii="Times New Roman" w:hAnsi="Times New Roman"/>
                <w:color w:val="000000"/>
              </w:rPr>
              <w:t>学生、老师</w:t>
            </w:r>
          </w:p>
        </w:tc>
        <w:tc>
          <w:tcPr>
            <w:tcW w:w="861" w:type="pct"/>
            <w:vMerge w:val="continue"/>
            <w:vAlign w:val="center"/>
          </w:tcPr>
          <w:p>
            <w:pPr>
              <w:widowControl/>
              <w:jc w:val="center"/>
              <w:rPr>
                <w:rFonts w:eastAsia="宋体" w:cs="Times New Roman"/>
                <w:color w:val="000000"/>
                <w:kern w:val="0"/>
                <w:sz w:val="21"/>
              </w:rPr>
            </w:pPr>
          </w:p>
        </w:tc>
        <w:tc>
          <w:tcPr>
            <w:tcW w:w="332" w:type="pct"/>
            <w:noWrap/>
            <w:vAlign w:val="center"/>
          </w:tcPr>
          <w:p>
            <w:pPr>
              <w:wordWrap w:val="0"/>
              <w:jc w:val="center"/>
              <w:rPr>
                <w:rFonts w:eastAsia="宋体" w:cs="Times New Roman"/>
                <w:color w:val="000000"/>
                <w:sz w:val="21"/>
              </w:rPr>
            </w:pPr>
            <w:r>
              <w:rPr>
                <w:rFonts w:eastAsia="宋体" w:cs="Times New Roman"/>
                <w:color w:val="000000"/>
                <w:sz w:val="21"/>
              </w:rPr>
              <w:t>西侧</w:t>
            </w:r>
          </w:p>
        </w:tc>
        <w:tc>
          <w:tcPr>
            <w:tcW w:w="521" w:type="pct"/>
            <w:noWrap/>
            <w:vAlign w:val="center"/>
          </w:tcPr>
          <w:p>
            <w:pPr>
              <w:pStyle w:val="22"/>
              <w:jc w:val="center"/>
              <w:rPr>
                <w:rFonts w:ascii="Times New Roman" w:hAnsi="Times New Roman"/>
                <w:color w:val="000000"/>
              </w:rPr>
            </w:pPr>
            <w:r>
              <w:rPr>
                <w:rFonts w:ascii="Times New Roman" w:hAnsi="Times New Roman"/>
                <w:color w:val="000000"/>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8" w:type="pct"/>
            <w:vMerge w:val="continue"/>
            <w:vAlign w:val="center"/>
          </w:tcPr>
          <w:p>
            <w:pPr>
              <w:widowControl/>
              <w:jc w:val="center"/>
              <w:rPr>
                <w:rFonts w:eastAsia="宋体" w:cs="Times New Roman"/>
                <w:color w:val="000000"/>
                <w:sz w:val="21"/>
              </w:rPr>
            </w:pPr>
          </w:p>
        </w:tc>
        <w:tc>
          <w:tcPr>
            <w:tcW w:w="508" w:type="pct"/>
            <w:noWrap/>
            <w:vAlign w:val="center"/>
          </w:tcPr>
          <w:p>
            <w:pPr>
              <w:jc w:val="center"/>
              <w:rPr>
                <w:rFonts w:eastAsia="宋体" w:cs="Times New Roman"/>
                <w:color w:val="000000"/>
                <w:sz w:val="21"/>
              </w:rPr>
            </w:pPr>
            <w:r>
              <w:rPr>
                <w:rFonts w:eastAsia="宋体" w:cs="Times New Roman"/>
                <w:color w:val="000000"/>
                <w:sz w:val="21"/>
              </w:rPr>
              <w:t>实圆小区</w:t>
            </w:r>
          </w:p>
        </w:tc>
        <w:tc>
          <w:tcPr>
            <w:tcW w:w="656" w:type="pct"/>
            <w:noWrap/>
            <w:vAlign w:val="center"/>
          </w:tcPr>
          <w:p>
            <w:pPr>
              <w:pStyle w:val="22"/>
              <w:jc w:val="center"/>
              <w:rPr>
                <w:rFonts w:ascii="Times New Roman" w:hAnsi="Times New Roman"/>
                <w:color w:val="000000"/>
              </w:rPr>
            </w:pPr>
            <w:r>
              <w:rPr>
                <w:rFonts w:ascii="Times New Roman" w:hAnsi="Times New Roman"/>
                <w:color w:val="000000"/>
              </w:rPr>
              <w:t>12593726.910</w:t>
            </w:r>
          </w:p>
        </w:tc>
        <w:tc>
          <w:tcPr>
            <w:tcW w:w="726" w:type="pct"/>
            <w:noWrap/>
            <w:vAlign w:val="center"/>
          </w:tcPr>
          <w:p>
            <w:pPr>
              <w:pStyle w:val="22"/>
              <w:jc w:val="center"/>
              <w:rPr>
                <w:rFonts w:ascii="Times New Roman" w:hAnsi="Times New Roman"/>
                <w:color w:val="000000"/>
              </w:rPr>
            </w:pPr>
            <w:r>
              <w:rPr>
                <w:rFonts w:ascii="Times New Roman" w:hAnsi="Times New Roman"/>
                <w:color w:val="000000"/>
              </w:rPr>
              <w:t>3424415.085</w:t>
            </w:r>
          </w:p>
        </w:tc>
        <w:tc>
          <w:tcPr>
            <w:tcW w:w="947" w:type="pct"/>
            <w:noWrap/>
            <w:vAlign w:val="center"/>
          </w:tcPr>
          <w:p>
            <w:pPr>
              <w:pStyle w:val="22"/>
              <w:jc w:val="center"/>
              <w:rPr>
                <w:rFonts w:ascii="Times New Roman" w:hAnsi="Times New Roman"/>
                <w:color w:val="000000"/>
              </w:rPr>
            </w:pPr>
            <w:r>
              <w:rPr>
                <w:rFonts w:ascii="Times New Roman" w:hAnsi="Times New Roman"/>
                <w:color w:val="000000"/>
              </w:rPr>
              <w:t>实圆小区居民</w:t>
            </w:r>
          </w:p>
        </w:tc>
        <w:tc>
          <w:tcPr>
            <w:tcW w:w="861" w:type="pct"/>
            <w:vMerge w:val="continue"/>
            <w:vAlign w:val="center"/>
          </w:tcPr>
          <w:p>
            <w:pPr>
              <w:widowControl/>
              <w:jc w:val="center"/>
              <w:rPr>
                <w:rFonts w:eastAsia="宋体" w:cs="Times New Roman"/>
                <w:color w:val="000000"/>
                <w:kern w:val="0"/>
                <w:sz w:val="21"/>
              </w:rPr>
            </w:pPr>
          </w:p>
        </w:tc>
        <w:tc>
          <w:tcPr>
            <w:tcW w:w="332" w:type="pct"/>
            <w:noWrap/>
            <w:vAlign w:val="center"/>
          </w:tcPr>
          <w:p>
            <w:pPr>
              <w:wordWrap w:val="0"/>
              <w:jc w:val="center"/>
              <w:rPr>
                <w:rFonts w:eastAsia="宋体" w:cs="Times New Roman"/>
                <w:color w:val="000000"/>
                <w:sz w:val="21"/>
              </w:rPr>
            </w:pPr>
            <w:r>
              <w:rPr>
                <w:rFonts w:eastAsia="宋体" w:cs="Times New Roman"/>
                <w:color w:val="000000"/>
                <w:sz w:val="21"/>
              </w:rPr>
              <w:t>西南</w:t>
            </w:r>
          </w:p>
        </w:tc>
        <w:tc>
          <w:tcPr>
            <w:tcW w:w="521" w:type="pct"/>
            <w:noWrap/>
            <w:vAlign w:val="center"/>
          </w:tcPr>
          <w:p>
            <w:pPr>
              <w:pStyle w:val="22"/>
              <w:jc w:val="center"/>
              <w:rPr>
                <w:rFonts w:ascii="Times New Roman" w:hAnsi="Times New Roman"/>
                <w:color w:val="000000"/>
              </w:rPr>
            </w:pPr>
            <w:r>
              <w:rPr>
                <w:rFonts w:ascii="Times New Roman" w:hAnsi="Times New Roman"/>
                <w:color w:val="000000"/>
              </w:rPr>
              <w:t>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8" w:type="pct"/>
            <w:vMerge w:val="continue"/>
            <w:vAlign w:val="center"/>
          </w:tcPr>
          <w:p>
            <w:pPr>
              <w:widowControl/>
              <w:jc w:val="center"/>
              <w:rPr>
                <w:rFonts w:eastAsia="宋体" w:cs="Times New Roman"/>
                <w:color w:val="000000"/>
                <w:sz w:val="21"/>
              </w:rPr>
            </w:pPr>
          </w:p>
        </w:tc>
        <w:tc>
          <w:tcPr>
            <w:tcW w:w="508" w:type="pct"/>
            <w:noWrap/>
            <w:vAlign w:val="center"/>
          </w:tcPr>
          <w:p>
            <w:pPr>
              <w:jc w:val="center"/>
              <w:rPr>
                <w:rFonts w:eastAsia="宋体" w:cs="Times New Roman"/>
                <w:color w:val="000000"/>
                <w:sz w:val="21"/>
              </w:rPr>
            </w:pPr>
            <w:r>
              <w:rPr>
                <w:rFonts w:eastAsia="宋体" w:cs="Times New Roman"/>
                <w:color w:val="000000"/>
                <w:sz w:val="21"/>
              </w:rPr>
              <w:t>怡禾丹桂佳苑</w:t>
            </w:r>
          </w:p>
        </w:tc>
        <w:tc>
          <w:tcPr>
            <w:tcW w:w="656" w:type="pct"/>
            <w:noWrap/>
            <w:vAlign w:val="center"/>
          </w:tcPr>
          <w:p>
            <w:pPr>
              <w:pStyle w:val="22"/>
              <w:jc w:val="center"/>
              <w:rPr>
                <w:rFonts w:ascii="Times New Roman" w:hAnsi="Times New Roman"/>
                <w:color w:val="000000"/>
              </w:rPr>
            </w:pPr>
            <w:r>
              <w:rPr>
                <w:rFonts w:ascii="Times New Roman" w:hAnsi="Times New Roman"/>
                <w:color w:val="000000"/>
              </w:rPr>
              <w:t>12593490.422</w:t>
            </w:r>
          </w:p>
        </w:tc>
        <w:tc>
          <w:tcPr>
            <w:tcW w:w="726" w:type="pct"/>
            <w:noWrap/>
            <w:vAlign w:val="center"/>
          </w:tcPr>
          <w:p>
            <w:pPr>
              <w:pStyle w:val="22"/>
              <w:jc w:val="center"/>
              <w:rPr>
                <w:rFonts w:ascii="Times New Roman" w:hAnsi="Times New Roman"/>
                <w:color w:val="000000"/>
              </w:rPr>
            </w:pPr>
            <w:r>
              <w:rPr>
                <w:rFonts w:ascii="Times New Roman" w:hAnsi="Times New Roman"/>
                <w:color w:val="000000"/>
              </w:rPr>
              <w:t>3424283.504</w:t>
            </w:r>
          </w:p>
        </w:tc>
        <w:tc>
          <w:tcPr>
            <w:tcW w:w="947" w:type="pct"/>
            <w:noWrap/>
            <w:vAlign w:val="center"/>
          </w:tcPr>
          <w:p>
            <w:pPr>
              <w:pStyle w:val="22"/>
              <w:jc w:val="center"/>
              <w:rPr>
                <w:rFonts w:ascii="Times New Roman" w:hAnsi="Times New Roman"/>
                <w:color w:val="000000"/>
              </w:rPr>
            </w:pPr>
            <w:r>
              <w:rPr>
                <w:rFonts w:ascii="Times New Roman" w:hAnsi="Times New Roman"/>
                <w:color w:val="000000"/>
              </w:rPr>
              <w:t>怡禾丹桂佳苑居民</w:t>
            </w:r>
          </w:p>
        </w:tc>
        <w:tc>
          <w:tcPr>
            <w:tcW w:w="861" w:type="pct"/>
            <w:vMerge w:val="continue"/>
            <w:vAlign w:val="center"/>
          </w:tcPr>
          <w:p>
            <w:pPr>
              <w:widowControl/>
              <w:jc w:val="center"/>
              <w:rPr>
                <w:rFonts w:eastAsia="宋体" w:cs="Times New Roman"/>
                <w:color w:val="000000"/>
                <w:kern w:val="0"/>
                <w:sz w:val="21"/>
              </w:rPr>
            </w:pPr>
          </w:p>
        </w:tc>
        <w:tc>
          <w:tcPr>
            <w:tcW w:w="332" w:type="pct"/>
            <w:noWrap/>
            <w:vAlign w:val="center"/>
          </w:tcPr>
          <w:p>
            <w:pPr>
              <w:wordWrap w:val="0"/>
              <w:jc w:val="center"/>
              <w:rPr>
                <w:rFonts w:eastAsia="宋体" w:cs="Times New Roman"/>
                <w:color w:val="000000"/>
                <w:sz w:val="21"/>
              </w:rPr>
            </w:pPr>
            <w:r>
              <w:rPr>
                <w:rFonts w:eastAsia="宋体" w:cs="Times New Roman"/>
                <w:color w:val="000000"/>
                <w:sz w:val="21"/>
              </w:rPr>
              <w:t>西南</w:t>
            </w:r>
          </w:p>
        </w:tc>
        <w:tc>
          <w:tcPr>
            <w:tcW w:w="521" w:type="pct"/>
            <w:noWrap/>
            <w:vAlign w:val="center"/>
          </w:tcPr>
          <w:p>
            <w:pPr>
              <w:pStyle w:val="22"/>
              <w:jc w:val="center"/>
              <w:rPr>
                <w:rFonts w:ascii="Times New Roman" w:hAnsi="Times New Roman"/>
                <w:color w:val="000000"/>
              </w:rPr>
            </w:pPr>
            <w:r>
              <w:rPr>
                <w:rFonts w:ascii="Times New Roman" w:hAnsi="Times New Roman"/>
                <w:color w:val="000000"/>
              </w:rPr>
              <w:t>461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8" w:type="pct"/>
            <w:vMerge w:val="continue"/>
            <w:vAlign w:val="center"/>
          </w:tcPr>
          <w:p>
            <w:pPr>
              <w:widowControl/>
              <w:jc w:val="center"/>
              <w:rPr>
                <w:rFonts w:eastAsia="宋体" w:cs="Times New Roman"/>
                <w:color w:val="000000"/>
                <w:sz w:val="21"/>
              </w:rPr>
            </w:pPr>
          </w:p>
        </w:tc>
        <w:tc>
          <w:tcPr>
            <w:tcW w:w="508" w:type="pct"/>
            <w:noWrap/>
            <w:vAlign w:val="center"/>
          </w:tcPr>
          <w:p>
            <w:pPr>
              <w:jc w:val="center"/>
              <w:rPr>
                <w:rFonts w:eastAsia="宋体" w:cs="Times New Roman"/>
                <w:color w:val="000000"/>
                <w:sz w:val="21"/>
              </w:rPr>
            </w:pPr>
            <w:r>
              <w:rPr>
                <w:rFonts w:eastAsia="宋体" w:cs="Times New Roman"/>
                <w:color w:val="000000"/>
                <w:sz w:val="21"/>
              </w:rPr>
              <w:t>锦园楼小区</w:t>
            </w:r>
          </w:p>
        </w:tc>
        <w:tc>
          <w:tcPr>
            <w:tcW w:w="656" w:type="pct"/>
            <w:noWrap/>
            <w:vAlign w:val="center"/>
          </w:tcPr>
          <w:p>
            <w:pPr>
              <w:pStyle w:val="22"/>
              <w:jc w:val="center"/>
              <w:rPr>
                <w:rFonts w:ascii="Times New Roman" w:hAnsi="Times New Roman"/>
                <w:color w:val="000000"/>
              </w:rPr>
            </w:pPr>
            <w:r>
              <w:rPr>
                <w:rFonts w:hint="eastAsia" w:ascii="Times New Roman" w:hAnsi="Times New Roman"/>
                <w:color w:val="000000"/>
              </w:rPr>
              <w:t>12594352.738</w:t>
            </w:r>
          </w:p>
        </w:tc>
        <w:tc>
          <w:tcPr>
            <w:tcW w:w="726" w:type="pct"/>
            <w:noWrap/>
            <w:vAlign w:val="center"/>
          </w:tcPr>
          <w:p>
            <w:pPr>
              <w:pStyle w:val="22"/>
              <w:jc w:val="center"/>
              <w:rPr>
                <w:rFonts w:ascii="Times New Roman" w:hAnsi="Times New Roman"/>
                <w:color w:val="000000"/>
              </w:rPr>
            </w:pPr>
            <w:r>
              <w:rPr>
                <w:rFonts w:hint="eastAsia" w:ascii="Times New Roman" w:hAnsi="Times New Roman"/>
                <w:color w:val="000000"/>
              </w:rPr>
              <w:t>3423966.893</w:t>
            </w:r>
          </w:p>
        </w:tc>
        <w:tc>
          <w:tcPr>
            <w:tcW w:w="947" w:type="pct"/>
            <w:noWrap/>
            <w:vAlign w:val="center"/>
          </w:tcPr>
          <w:p>
            <w:pPr>
              <w:pStyle w:val="22"/>
              <w:jc w:val="center"/>
              <w:rPr>
                <w:rFonts w:ascii="Times New Roman" w:hAnsi="Times New Roman"/>
                <w:color w:val="000000"/>
              </w:rPr>
            </w:pPr>
            <w:r>
              <w:rPr>
                <w:rFonts w:ascii="Times New Roman" w:hAnsi="Times New Roman"/>
                <w:color w:val="000000"/>
              </w:rPr>
              <w:t>锦园楼小区居民</w:t>
            </w:r>
          </w:p>
        </w:tc>
        <w:tc>
          <w:tcPr>
            <w:tcW w:w="861" w:type="pct"/>
            <w:vMerge w:val="continue"/>
            <w:vAlign w:val="center"/>
          </w:tcPr>
          <w:p>
            <w:pPr>
              <w:widowControl/>
              <w:jc w:val="center"/>
              <w:rPr>
                <w:rFonts w:eastAsia="宋体" w:cs="Times New Roman"/>
                <w:color w:val="000000"/>
                <w:kern w:val="0"/>
                <w:sz w:val="21"/>
              </w:rPr>
            </w:pPr>
          </w:p>
        </w:tc>
        <w:tc>
          <w:tcPr>
            <w:tcW w:w="332" w:type="pct"/>
            <w:noWrap/>
            <w:vAlign w:val="center"/>
          </w:tcPr>
          <w:p>
            <w:pPr>
              <w:wordWrap w:val="0"/>
              <w:jc w:val="center"/>
              <w:rPr>
                <w:rFonts w:eastAsia="宋体" w:cs="Times New Roman"/>
                <w:color w:val="000000"/>
                <w:sz w:val="21"/>
              </w:rPr>
            </w:pPr>
            <w:r>
              <w:rPr>
                <w:rFonts w:eastAsia="宋体" w:cs="Times New Roman"/>
                <w:color w:val="000000"/>
                <w:sz w:val="21"/>
              </w:rPr>
              <w:t>西南</w:t>
            </w:r>
          </w:p>
        </w:tc>
        <w:tc>
          <w:tcPr>
            <w:tcW w:w="521" w:type="pct"/>
            <w:noWrap/>
            <w:vAlign w:val="center"/>
          </w:tcPr>
          <w:p>
            <w:pPr>
              <w:pStyle w:val="22"/>
              <w:jc w:val="center"/>
              <w:rPr>
                <w:rFonts w:ascii="Times New Roman" w:hAnsi="Times New Roman"/>
                <w:color w:val="000000"/>
              </w:rPr>
            </w:pPr>
            <w:r>
              <w:rPr>
                <w:rFonts w:ascii="Times New Roman" w:hAnsi="Times New Roman"/>
                <w:color w:val="000000"/>
              </w:rPr>
              <w:t>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8" w:type="pct"/>
            <w:vMerge w:val="continue"/>
            <w:vAlign w:val="center"/>
          </w:tcPr>
          <w:p>
            <w:pPr>
              <w:widowControl/>
              <w:jc w:val="center"/>
              <w:rPr>
                <w:rFonts w:eastAsia="宋体" w:cs="Times New Roman"/>
                <w:color w:val="000000"/>
                <w:sz w:val="21"/>
              </w:rPr>
            </w:pPr>
          </w:p>
        </w:tc>
        <w:tc>
          <w:tcPr>
            <w:tcW w:w="508" w:type="pct"/>
            <w:noWrap/>
            <w:vAlign w:val="center"/>
          </w:tcPr>
          <w:p>
            <w:pPr>
              <w:jc w:val="center"/>
              <w:rPr>
                <w:rFonts w:eastAsia="宋体" w:cs="Times New Roman"/>
                <w:color w:val="000000"/>
                <w:sz w:val="21"/>
              </w:rPr>
            </w:pPr>
            <w:r>
              <w:rPr>
                <w:rFonts w:eastAsia="宋体" w:cs="Times New Roman"/>
                <w:color w:val="000000"/>
                <w:sz w:val="21"/>
              </w:rPr>
              <w:t>小杜鹃幼儿园</w:t>
            </w:r>
          </w:p>
        </w:tc>
        <w:tc>
          <w:tcPr>
            <w:tcW w:w="656" w:type="pct"/>
            <w:noWrap/>
            <w:vAlign w:val="center"/>
          </w:tcPr>
          <w:p>
            <w:pPr>
              <w:pStyle w:val="22"/>
              <w:jc w:val="center"/>
              <w:rPr>
                <w:rFonts w:ascii="Times New Roman" w:hAnsi="Times New Roman"/>
                <w:color w:val="000000"/>
              </w:rPr>
            </w:pPr>
            <w:r>
              <w:rPr>
                <w:rFonts w:ascii="Times New Roman" w:hAnsi="Times New Roman"/>
                <w:color w:val="000000"/>
              </w:rPr>
              <w:t>12593815.290</w:t>
            </w:r>
          </w:p>
        </w:tc>
        <w:tc>
          <w:tcPr>
            <w:tcW w:w="726" w:type="pct"/>
            <w:noWrap/>
            <w:vAlign w:val="center"/>
          </w:tcPr>
          <w:p>
            <w:pPr>
              <w:pStyle w:val="22"/>
              <w:jc w:val="center"/>
              <w:rPr>
                <w:rFonts w:ascii="Times New Roman" w:hAnsi="Times New Roman"/>
                <w:color w:val="000000"/>
              </w:rPr>
            </w:pPr>
            <w:r>
              <w:rPr>
                <w:rFonts w:ascii="Times New Roman" w:hAnsi="Times New Roman"/>
                <w:color w:val="000000"/>
              </w:rPr>
              <w:t>3424138.218</w:t>
            </w:r>
          </w:p>
        </w:tc>
        <w:tc>
          <w:tcPr>
            <w:tcW w:w="947" w:type="pct"/>
            <w:noWrap/>
            <w:vAlign w:val="center"/>
          </w:tcPr>
          <w:p>
            <w:pPr>
              <w:pStyle w:val="22"/>
              <w:jc w:val="center"/>
              <w:rPr>
                <w:rFonts w:ascii="Times New Roman" w:hAnsi="Times New Roman"/>
                <w:color w:val="000000"/>
              </w:rPr>
            </w:pPr>
            <w:r>
              <w:rPr>
                <w:rFonts w:ascii="Times New Roman" w:hAnsi="Times New Roman"/>
                <w:color w:val="000000"/>
              </w:rPr>
              <w:t>学生、老师</w:t>
            </w:r>
          </w:p>
        </w:tc>
        <w:tc>
          <w:tcPr>
            <w:tcW w:w="861" w:type="pct"/>
            <w:vMerge w:val="continue"/>
            <w:vAlign w:val="center"/>
          </w:tcPr>
          <w:p>
            <w:pPr>
              <w:widowControl/>
              <w:jc w:val="center"/>
              <w:rPr>
                <w:rFonts w:eastAsia="宋体" w:cs="Times New Roman"/>
                <w:color w:val="000000"/>
                <w:kern w:val="0"/>
                <w:sz w:val="21"/>
              </w:rPr>
            </w:pPr>
          </w:p>
        </w:tc>
        <w:tc>
          <w:tcPr>
            <w:tcW w:w="332" w:type="pct"/>
            <w:noWrap/>
            <w:vAlign w:val="center"/>
          </w:tcPr>
          <w:p>
            <w:pPr>
              <w:wordWrap w:val="0"/>
              <w:jc w:val="center"/>
              <w:rPr>
                <w:rFonts w:eastAsia="宋体" w:cs="Times New Roman"/>
                <w:color w:val="000000"/>
                <w:sz w:val="21"/>
              </w:rPr>
            </w:pPr>
            <w:r>
              <w:rPr>
                <w:rFonts w:eastAsia="宋体" w:cs="Times New Roman"/>
                <w:color w:val="000000"/>
                <w:sz w:val="21"/>
              </w:rPr>
              <w:t>西南</w:t>
            </w:r>
          </w:p>
        </w:tc>
        <w:tc>
          <w:tcPr>
            <w:tcW w:w="521" w:type="pct"/>
            <w:noWrap/>
            <w:vAlign w:val="center"/>
          </w:tcPr>
          <w:p>
            <w:pPr>
              <w:pStyle w:val="22"/>
              <w:jc w:val="center"/>
              <w:rPr>
                <w:rFonts w:ascii="Times New Roman" w:hAnsi="Times New Roman"/>
                <w:color w:val="000000"/>
              </w:rPr>
            </w:pPr>
            <w:r>
              <w:rPr>
                <w:rFonts w:ascii="Times New Roman" w:hAnsi="Times New Roman"/>
                <w:color w:val="000000"/>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8" w:type="pct"/>
            <w:vMerge w:val="continue"/>
            <w:vAlign w:val="center"/>
          </w:tcPr>
          <w:p>
            <w:pPr>
              <w:widowControl/>
              <w:jc w:val="center"/>
              <w:rPr>
                <w:rFonts w:eastAsia="宋体" w:cs="Times New Roman"/>
                <w:color w:val="000000"/>
                <w:sz w:val="21"/>
              </w:rPr>
            </w:pPr>
          </w:p>
        </w:tc>
        <w:tc>
          <w:tcPr>
            <w:tcW w:w="508" w:type="pct"/>
            <w:noWrap/>
            <w:vAlign w:val="center"/>
          </w:tcPr>
          <w:p>
            <w:pPr>
              <w:jc w:val="center"/>
              <w:rPr>
                <w:rFonts w:eastAsia="宋体" w:cs="Times New Roman"/>
                <w:color w:val="000000"/>
                <w:sz w:val="21"/>
              </w:rPr>
            </w:pPr>
            <w:r>
              <w:rPr>
                <w:rFonts w:eastAsia="宋体" w:cs="Times New Roman"/>
                <w:color w:val="000000"/>
                <w:sz w:val="21"/>
              </w:rPr>
              <w:t>康岳小学</w:t>
            </w:r>
          </w:p>
        </w:tc>
        <w:tc>
          <w:tcPr>
            <w:tcW w:w="656" w:type="pct"/>
            <w:noWrap/>
            <w:vAlign w:val="center"/>
          </w:tcPr>
          <w:p>
            <w:pPr>
              <w:pStyle w:val="22"/>
              <w:jc w:val="center"/>
              <w:rPr>
                <w:rFonts w:ascii="Times New Roman" w:hAnsi="Times New Roman"/>
                <w:color w:val="000000"/>
              </w:rPr>
            </w:pPr>
            <w:r>
              <w:rPr>
                <w:rFonts w:ascii="Times New Roman" w:hAnsi="Times New Roman"/>
                <w:color w:val="000000"/>
              </w:rPr>
              <w:t>12593982.496</w:t>
            </w:r>
          </w:p>
        </w:tc>
        <w:tc>
          <w:tcPr>
            <w:tcW w:w="726" w:type="pct"/>
            <w:noWrap/>
            <w:vAlign w:val="center"/>
          </w:tcPr>
          <w:p>
            <w:pPr>
              <w:pStyle w:val="22"/>
              <w:jc w:val="center"/>
              <w:rPr>
                <w:rFonts w:ascii="Times New Roman" w:hAnsi="Times New Roman"/>
                <w:color w:val="000000"/>
              </w:rPr>
            </w:pPr>
            <w:r>
              <w:rPr>
                <w:rFonts w:ascii="Times New Roman" w:hAnsi="Times New Roman"/>
                <w:color w:val="000000"/>
              </w:rPr>
              <w:t>3424165.630</w:t>
            </w:r>
          </w:p>
        </w:tc>
        <w:tc>
          <w:tcPr>
            <w:tcW w:w="947" w:type="pct"/>
            <w:noWrap/>
            <w:vAlign w:val="center"/>
          </w:tcPr>
          <w:p>
            <w:pPr>
              <w:pStyle w:val="22"/>
              <w:jc w:val="center"/>
              <w:rPr>
                <w:rFonts w:ascii="Times New Roman" w:hAnsi="Times New Roman"/>
                <w:color w:val="000000"/>
              </w:rPr>
            </w:pPr>
            <w:r>
              <w:rPr>
                <w:rFonts w:ascii="Times New Roman" w:hAnsi="Times New Roman"/>
                <w:color w:val="000000"/>
              </w:rPr>
              <w:t>学生、老师</w:t>
            </w:r>
          </w:p>
        </w:tc>
        <w:tc>
          <w:tcPr>
            <w:tcW w:w="861" w:type="pct"/>
            <w:vMerge w:val="continue"/>
            <w:vAlign w:val="center"/>
          </w:tcPr>
          <w:p>
            <w:pPr>
              <w:widowControl/>
              <w:jc w:val="center"/>
              <w:rPr>
                <w:rFonts w:eastAsia="宋体" w:cs="Times New Roman"/>
                <w:color w:val="000000"/>
                <w:kern w:val="0"/>
                <w:sz w:val="21"/>
              </w:rPr>
            </w:pPr>
          </w:p>
        </w:tc>
        <w:tc>
          <w:tcPr>
            <w:tcW w:w="332" w:type="pct"/>
            <w:noWrap/>
            <w:vAlign w:val="center"/>
          </w:tcPr>
          <w:p>
            <w:pPr>
              <w:wordWrap w:val="0"/>
              <w:jc w:val="center"/>
              <w:rPr>
                <w:rFonts w:eastAsia="宋体" w:cs="Times New Roman"/>
                <w:color w:val="000000"/>
                <w:sz w:val="21"/>
              </w:rPr>
            </w:pPr>
            <w:r>
              <w:rPr>
                <w:rFonts w:eastAsia="宋体" w:cs="Times New Roman"/>
                <w:color w:val="000000"/>
                <w:sz w:val="21"/>
              </w:rPr>
              <w:t>西南</w:t>
            </w:r>
          </w:p>
        </w:tc>
        <w:tc>
          <w:tcPr>
            <w:tcW w:w="521" w:type="pct"/>
            <w:noWrap/>
            <w:vAlign w:val="center"/>
          </w:tcPr>
          <w:p>
            <w:pPr>
              <w:pStyle w:val="22"/>
              <w:jc w:val="center"/>
              <w:rPr>
                <w:rFonts w:ascii="Times New Roman" w:hAnsi="Times New Roman"/>
                <w:color w:val="000000"/>
              </w:rPr>
            </w:pPr>
            <w:r>
              <w:rPr>
                <w:rFonts w:ascii="Times New Roman" w:hAnsi="Times New Roman"/>
                <w:color w:val="000000"/>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8" w:type="pct"/>
            <w:vMerge w:val="continue"/>
            <w:vAlign w:val="center"/>
          </w:tcPr>
          <w:p>
            <w:pPr>
              <w:widowControl/>
              <w:jc w:val="center"/>
              <w:rPr>
                <w:rFonts w:eastAsia="宋体" w:cs="Times New Roman"/>
                <w:color w:val="000000"/>
                <w:sz w:val="21"/>
              </w:rPr>
            </w:pPr>
          </w:p>
        </w:tc>
        <w:tc>
          <w:tcPr>
            <w:tcW w:w="508" w:type="pct"/>
            <w:noWrap/>
            <w:vAlign w:val="center"/>
          </w:tcPr>
          <w:p>
            <w:pPr>
              <w:jc w:val="center"/>
              <w:rPr>
                <w:rFonts w:eastAsia="宋体" w:cs="Times New Roman"/>
                <w:color w:val="000000"/>
                <w:sz w:val="21"/>
              </w:rPr>
            </w:pPr>
            <w:r>
              <w:rPr>
                <w:rFonts w:eastAsia="宋体" w:cs="Times New Roman"/>
                <w:color w:val="000000"/>
                <w:sz w:val="21"/>
              </w:rPr>
              <w:t>兴湘花园</w:t>
            </w:r>
          </w:p>
        </w:tc>
        <w:tc>
          <w:tcPr>
            <w:tcW w:w="656" w:type="pct"/>
            <w:noWrap/>
            <w:vAlign w:val="center"/>
          </w:tcPr>
          <w:p>
            <w:pPr>
              <w:pStyle w:val="22"/>
              <w:jc w:val="center"/>
              <w:rPr>
                <w:rFonts w:ascii="Times New Roman" w:hAnsi="Times New Roman"/>
                <w:color w:val="000000"/>
              </w:rPr>
            </w:pPr>
            <w:r>
              <w:rPr>
                <w:rFonts w:ascii="Times New Roman" w:hAnsi="Times New Roman"/>
                <w:color w:val="000000"/>
              </w:rPr>
              <w:t>12593435.494</w:t>
            </w:r>
          </w:p>
        </w:tc>
        <w:tc>
          <w:tcPr>
            <w:tcW w:w="726" w:type="pct"/>
            <w:noWrap/>
            <w:vAlign w:val="center"/>
          </w:tcPr>
          <w:p>
            <w:pPr>
              <w:pStyle w:val="22"/>
              <w:jc w:val="center"/>
              <w:rPr>
                <w:rFonts w:ascii="Times New Roman" w:hAnsi="Times New Roman"/>
                <w:color w:val="000000"/>
              </w:rPr>
            </w:pPr>
            <w:r>
              <w:rPr>
                <w:rFonts w:ascii="Times New Roman" w:hAnsi="Times New Roman"/>
                <w:color w:val="000000"/>
              </w:rPr>
              <w:t>3424225.938</w:t>
            </w:r>
          </w:p>
        </w:tc>
        <w:tc>
          <w:tcPr>
            <w:tcW w:w="947" w:type="pct"/>
            <w:noWrap/>
            <w:vAlign w:val="center"/>
          </w:tcPr>
          <w:p>
            <w:pPr>
              <w:pStyle w:val="22"/>
              <w:jc w:val="center"/>
              <w:rPr>
                <w:rFonts w:ascii="Times New Roman" w:hAnsi="Times New Roman"/>
                <w:color w:val="000000"/>
              </w:rPr>
            </w:pPr>
            <w:r>
              <w:rPr>
                <w:rFonts w:ascii="Times New Roman" w:hAnsi="Times New Roman"/>
                <w:color w:val="000000"/>
              </w:rPr>
              <w:t>兴湘花园居民</w:t>
            </w:r>
          </w:p>
        </w:tc>
        <w:tc>
          <w:tcPr>
            <w:tcW w:w="861" w:type="pct"/>
            <w:vMerge w:val="continue"/>
            <w:vAlign w:val="center"/>
          </w:tcPr>
          <w:p>
            <w:pPr>
              <w:widowControl/>
              <w:jc w:val="center"/>
              <w:rPr>
                <w:rFonts w:eastAsia="宋体" w:cs="Times New Roman"/>
                <w:color w:val="000000"/>
                <w:kern w:val="0"/>
                <w:sz w:val="21"/>
              </w:rPr>
            </w:pPr>
          </w:p>
        </w:tc>
        <w:tc>
          <w:tcPr>
            <w:tcW w:w="332" w:type="pct"/>
            <w:noWrap/>
            <w:vAlign w:val="center"/>
          </w:tcPr>
          <w:p>
            <w:pPr>
              <w:wordWrap w:val="0"/>
              <w:jc w:val="center"/>
              <w:rPr>
                <w:rFonts w:eastAsia="宋体" w:cs="Times New Roman"/>
                <w:color w:val="000000"/>
                <w:sz w:val="21"/>
              </w:rPr>
            </w:pPr>
            <w:r>
              <w:rPr>
                <w:rFonts w:eastAsia="宋体" w:cs="Times New Roman"/>
                <w:color w:val="000000"/>
                <w:sz w:val="21"/>
              </w:rPr>
              <w:t>西南</w:t>
            </w:r>
          </w:p>
        </w:tc>
        <w:tc>
          <w:tcPr>
            <w:tcW w:w="521" w:type="pct"/>
            <w:noWrap/>
            <w:vAlign w:val="center"/>
          </w:tcPr>
          <w:p>
            <w:pPr>
              <w:pStyle w:val="22"/>
              <w:jc w:val="center"/>
              <w:rPr>
                <w:rFonts w:ascii="Times New Roman" w:hAnsi="Times New Roman"/>
                <w:color w:val="000000"/>
              </w:rPr>
            </w:pPr>
            <w:r>
              <w:rPr>
                <w:rFonts w:ascii="Times New Roman" w:hAnsi="Times New Roman"/>
                <w:color w:val="000000"/>
              </w:rPr>
              <w:t>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8" w:type="pct"/>
            <w:vMerge w:val="continue"/>
            <w:vAlign w:val="center"/>
          </w:tcPr>
          <w:p>
            <w:pPr>
              <w:widowControl/>
              <w:jc w:val="center"/>
              <w:rPr>
                <w:rFonts w:eastAsia="宋体" w:cs="Times New Roman"/>
                <w:color w:val="000000"/>
                <w:sz w:val="21"/>
              </w:rPr>
            </w:pPr>
          </w:p>
        </w:tc>
        <w:tc>
          <w:tcPr>
            <w:tcW w:w="508" w:type="pct"/>
            <w:noWrap/>
            <w:vAlign w:val="center"/>
          </w:tcPr>
          <w:p>
            <w:pPr>
              <w:jc w:val="center"/>
              <w:rPr>
                <w:rFonts w:eastAsia="宋体" w:cs="Times New Roman"/>
                <w:color w:val="000000"/>
                <w:sz w:val="21"/>
              </w:rPr>
            </w:pPr>
            <w:r>
              <w:rPr>
                <w:rFonts w:eastAsia="宋体" w:cs="Times New Roman"/>
                <w:color w:val="000000"/>
                <w:sz w:val="21"/>
              </w:rPr>
              <w:t>海华住宅小区</w:t>
            </w:r>
          </w:p>
        </w:tc>
        <w:tc>
          <w:tcPr>
            <w:tcW w:w="656" w:type="pct"/>
            <w:noWrap/>
            <w:vAlign w:val="center"/>
          </w:tcPr>
          <w:p>
            <w:pPr>
              <w:pStyle w:val="22"/>
              <w:jc w:val="center"/>
              <w:rPr>
                <w:rFonts w:ascii="Times New Roman" w:hAnsi="Times New Roman"/>
                <w:color w:val="000000"/>
              </w:rPr>
            </w:pPr>
            <w:r>
              <w:rPr>
                <w:rFonts w:ascii="Times New Roman" w:hAnsi="Times New Roman"/>
                <w:color w:val="000000"/>
              </w:rPr>
              <w:t>12593509.542</w:t>
            </w:r>
          </w:p>
        </w:tc>
        <w:tc>
          <w:tcPr>
            <w:tcW w:w="726" w:type="pct"/>
            <w:noWrap/>
            <w:vAlign w:val="center"/>
          </w:tcPr>
          <w:p>
            <w:pPr>
              <w:pStyle w:val="22"/>
              <w:jc w:val="center"/>
              <w:rPr>
                <w:rFonts w:ascii="Times New Roman" w:hAnsi="Times New Roman"/>
                <w:color w:val="000000"/>
              </w:rPr>
            </w:pPr>
            <w:r>
              <w:rPr>
                <w:rFonts w:ascii="Times New Roman" w:hAnsi="Times New Roman"/>
                <w:color w:val="000000"/>
              </w:rPr>
              <w:t>3420417.605</w:t>
            </w:r>
          </w:p>
        </w:tc>
        <w:tc>
          <w:tcPr>
            <w:tcW w:w="947" w:type="pct"/>
            <w:noWrap/>
            <w:vAlign w:val="center"/>
          </w:tcPr>
          <w:p>
            <w:pPr>
              <w:pStyle w:val="22"/>
              <w:jc w:val="center"/>
              <w:rPr>
                <w:rFonts w:ascii="Times New Roman" w:hAnsi="Times New Roman"/>
                <w:color w:val="000000"/>
              </w:rPr>
            </w:pPr>
            <w:r>
              <w:rPr>
                <w:rFonts w:ascii="Times New Roman" w:hAnsi="Times New Roman"/>
                <w:color w:val="000000"/>
              </w:rPr>
              <w:t>海华住宅小区居民</w:t>
            </w:r>
          </w:p>
        </w:tc>
        <w:tc>
          <w:tcPr>
            <w:tcW w:w="861" w:type="pct"/>
            <w:vMerge w:val="continue"/>
            <w:vAlign w:val="center"/>
          </w:tcPr>
          <w:p>
            <w:pPr>
              <w:widowControl/>
              <w:jc w:val="center"/>
              <w:rPr>
                <w:rFonts w:eastAsia="宋体" w:cs="Times New Roman"/>
                <w:color w:val="000000"/>
                <w:kern w:val="0"/>
                <w:sz w:val="21"/>
              </w:rPr>
            </w:pPr>
          </w:p>
        </w:tc>
        <w:tc>
          <w:tcPr>
            <w:tcW w:w="332" w:type="pct"/>
            <w:noWrap/>
            <w:vAlign w:val="center"/>
          </w:tcPr>
          <w:p>
            <w:pPr>
              <w:jc w:val="center"/>
              <w:rPr>
                <w:rFonts w:cs="Times New Roman"/>
              </w:rPr>
            </w:pPr>
            <w:r>
              <w:rPr>
                <w:rFonts w:eastAsia="宋体" w:cs="Times New Roman"/>
                <w:color w:val="000000"/>
                <w:sz w:val="21"/>
              </w:rPr>
              <w:t>西南</w:t>
            </w:r>
          </w:p>
        </w:tc>
        <w:tc>
          <w:tcPr>
            <w:tcW w:w="521" w:type="pct"/>
            <w:noWrap/>
            <w:vAlign w:val="center"/>
          </w:tcPr>
          <w:p>
            <w:pPr>
              <w:pStyle w:val="22"/>
              <w:jc w:val="center"/>
              <w:rPr>
                <w:rFonts w:ascii="Times New Roman" w:hAnsi="Times New Roman"/>
                <w:color w:val="000000"/>
              </w:rPr>
            </w:pPr>
            <w:r>
              <w:rPr>
                <w:rFonts w:ascii="Times New Roman" w:hAnsi="Times New Roman"/>
                <w:color w:val="000000"/>
              </w:rPr>
              <w:t>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8" w:type="pct"/>
            <w:vMerge w:val="continue"/>
            <w:vAlign w:val="center"/>
          </w:tcPr>
          <w:p>
            <w:pPr>
              <w:widowControl/>
              <w:jc w:val="center"/>
              <w:rPr>
                <w:rFonts w:eastAsia="宋体" w:cs="Times New Roman"/>
                <w:color w:val="000000"/>
                <w:sz w:val="21"/>
              </w:rPr>
            </w:pPr>
          </w:p>
        </w:tc>
        <w:tc>
          <w:tcPr>
            <w:tcW w:w="508" w:type="pct"/>
            <w:noWrap/>
            <w:vAlign w:val="center"/>
          </w:tcPr>
          <w:p>
            <w:pPr>
              <w:jc w:val="center"/>
              <w:rPr>
                <w:rFonts w:eastAsia="宋体" w:cs="Times New Roman"/>
                <w:color w:val="000000"/>
                <w:sz w:val="21"/>
              </w:rPr>
            </w:pPr>
            <w:r>
              <w:rPr>
                <w:rFonts w:eastAsia="宋体" w:cs="Times New Roman"/>
                <w:color w:val="000000"/>
                <w:sz w:val="21"/>
              </w:rPr>
              <w:t>兴达小区</w:t>
            </w:r>
          </w:p>
        </w:tc>
        <w:tc>
          <w:tcPr>
            <w:tcW w:w="656" w:type="pct"/>
            <w:noWrap/>
            <w:vAlign w:val="center"/>
          </w:tcPr>
          <w:p>
            <w:pPr>
              <w:pStyle w:val="22"/>
              <w:jc w:val="center"/>
              <w:rPr>
                <w:rFonts w:ascii="Times New Roman" w:hAnsi="Times New Roman"/>
                <w:color w:val="000000"/>
              </w:rPr>
            </w:pPr>
            <w:r>
              <w:rPr>
                <w:rFonts w:ascii="Times New Roman" w:hAnsi="Times New Roman"/>
                <w:color w:val="000000"/>
              </w:rPr>
              <w:t>12593270.677</w:t>
            </w:r>
          </w:p>
        </w:tc>
        <w:tc>
          <w:tcPr>
            <w:tcW w:w="726" w:type="pct"/>
            <w:noWrap/>
            <w:vAlign w:val="center"/>
          </w:tcPr>
          <w:p>
            <w:pPr>
              <w:pStyle w:val="22"/>
              <w:jc w:val="center"/>
              <w:rPr>
                <w:rFonts w:ascii="Times New Roman" w:hAnsi="Times New Roman"/>
                <w:color w:val="000000"/>
              </w:rPr>
            </w:pPr>
            <w:r>
              <w:rPr>
                <w:rFonts w:ascii="Times New Roman" w:hAnsi="Times New Roman"/>
                <w:color w:val="000000"/>
              </w:rPr>
              <w:t>3423913.439</w:t>
            </w:r>
          </w:p>
        </w:tc>
        <w:tc>
          <w:tcPr>
            <w:tcW w:w="947" w:type="pct"/>
            <w:noWrap/>
            <w:vAlign w:val="center"/>
          </w:tcPr>
          <w:p>
            <w:pPr>
              <w:pStyle w:val="22"/>
              <w:jc w:val="center"/>
              <w:rPr>
                <w:rFonts w:ascii="Times New Roman" w:hAnsi="Times New Roman"/>
                <w:color w:val="000000"/>
              </w:rPr>
            </w:pPr>
            <w:r>
              <w:rPr>
                <w:rFonts w:ascii="Times New Roman" w:hAnsi="Times New Roman"/>
                <w:color w:val="000000"/>
              </w:rPr>
              <w:t>兴达小区居民</w:t>
            </w:r>
          </w:p>
        </w:tc>
        <w:tc>
          <w:tcPr>
            <w:tcW w:w="861" w:type="pct"/>
            <w:vMerge w:val="continue"/>
            <w:vAlign w:val="center"/>
          </w:tcPr>
          <w:p>
            <w:pPr>
              <w:widowControl/>
              <w:jc w:val="center"/>
              <w:rPr>
                <w:rFonts w:eastAsia="宋体" w:cs="Times New Roman"/>
                <w:color w:val="000000"/>
                <w:kern w:val="0"/>
                <w:sz w:val="21"/>
              </w:rPr>
            </w:pPr>
          </w:p>
        </w:tc>
        <w:tc>
          <w:tcPr>
            <w:tcW w:w="332" w:type="pct"/>
            <w:noWrap/>
            <w:vAlign w:val="center"/>
          </w:tcPr>
          <w:p>
            <w:pPr>
              <w:jc w:val="center"/>
              <w:rPr>
                <w:rFonts w:cs="Times New Roman"/>
              </w:rPr>
            </w:pPr>
            <w:r>
              <w:rPr>
                <w:rFonts w:eastAsia="宋体" w:cs="Times New Roman"/>
                <w:color w:val="000000"/>
                <w:sz w:val="21"/>
              </w:rPr>
              <w:t>西南</w:t>
            </w:r>
          </w:p>
        </w:tc>
        <w:tc>
          <w:tcPr>
            <w:tcW w:w="521" w:type="pct"/>
            <w:noWrap/>
            <w:vAlign w:val="center"/>
          </w:tcPr>
          <w:p>
            <w:pPr>
              <w:pStyle w:val="22"/>
              <w:jc w:val="center"/>
              <w:rPr>
                <w:rFonts w:ascii="Times New Roman" w:hAnsi="Times New Roman"/>
                <w:color w:val="000000"/>
              </w:rPr>
            </w:pPr>
            <w:r>
              <w:rPr>
                <w:rFonts w:ascii="Times New Roman" w:hAnsi="Times New Roman"/>
                <w:color w:val="000000"/>
              </w:rPr>
              <w:t>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8" w:type="pct"/>
            <w:vMerge w:val="continue"/>
            <w:vAlign w:val="center"/>
          </w:tcPr>
          <w:p>
            <w:pPr>
              <w:widowControl/>
              <w:jc w:val="center"/>
              <w:rPr>
                <w:rFonts w:eastAsia="宋体" w:cs="Times New Roman"/>
                <w:color w:val="000000"/>
                <w:sz w:val="21"/>
              </w:rPr>
            </w:pPr>
          </w:p>
        </w:tc>
        <w:tc>
          <w:tcPr>
            <w:tcW w:w="508" w:type="pct"/>
            <w:noWrap/>
            <w:vAlign w:val="center"/>
          </w:tcPr>
          <w:p>
            <w:pPr>
              <w:jc w:val="center"/>
              <w:rPr>
                <w:rFonts w:eastAsia="宋体" w:cs="Times New Roman"/>
                <w:color w:val="000000"/>
                <w:sz w:val="21"/>
              </w:rPr>
            </w:pPr>
            <w:r>
              <w:rPr>
                <w:rFonts w:eastAsia="宋体" w:cs="Times New Roman"/>
                <w:color w:val="000000"/>
                <w:sz w:val="21"/>
              </w:rPr>
              <w:t>兴舍家私</w:t>
            </w:r>
          </w:p>
        </w:tc>
        <w:tc>
          <w:tcPr>
            <w:tcW w:w="656" w:type="pct"/>
            <w:noWrap/>
            <w:vAlign w:val="center"/>
          </w:tcPr>
          <w:p>
            <w:pPr>
              <w:pStyle w:val="22"/>
              <w:jc w:val="center"/>
              <w:rPr>
                <w:rFonts w:ascii="Times New Roman" w:hAnsi="Times New Roman"/>
                <w:color w:val="000000"/>
              </w:rPr>
            </w:pPr>
            <w:r>
              <w:rPr>
                <w:rFonts w:ascii="Times New Roman" w:hAnsi="Times New Roman"/>
                <w:color w:val="000000"/>
              </w:rPr>
              <w:t>12593509.542</w:t>
            </w:r>
          </w:p>
        </w:tc>
        <w:tc>
          <w:tcPr>
            <w:tcW w:w="726" w:type="pct"/>
            <w:noWrap/>
            <w:vAlign w:val="center"/>
          </w:tcPr>
          <w:p>
            <w:pPr>
              <w:pStyle w:val="22"/>
              <w:jc w:val="center"/>
              <w:rPr>
                <w:rFonts w:ascii="Times New Roman" w:hAnsi="Times New Roman"/>
                <w:color w:val="000000"/>
              </w:rPr>
            </w:pPr>
            <w:r>
              <w:rPr>
                <w:rFonts w:ascii="Times New Roman" w:hAnsi="Times New Roman"/>
                <w:color w:val="000000"/>
              </w:rPr>
              <w:t>3420417.605</w:t>
            </w:r>
          </w:p>
        </w:tc>
        <w:tc>
          <w:tcPr>
            <w:tcW w:w="947" w:type="pct"/>
            <w:noWrap/>
            <w:vAlign w:val="center"/>
          </w:tcPr>
          <w:p>
            <w:pPr>
              <w:pStyle w:val="22"/>
              <w:jc w:val="center"/>
              <w:rPr>
                <w:rFonts w:ascii="Times New Roman" w:hAnsi="Times New Roman"/>
                <w:color w:val="000000"/>
              </w:rPr>
            </w:pPr>
            <w:r>
              <w:rPr>
                <w:rFonts w:ascii="Times New Roman" w:hAnsi="Times New Roman"/>
                <w:color w:val="000000"/>
              </w:rPr>
              <w:t>兴舍家私居民</w:t>
            </w:r>
          </w:p>
        </w:tc>
        <w:tc>
          <w:tcPr>
            <w:tcW w:w="861" w:type="pct"/>
            <w:vMerge w:val="continue"/>
            <w:vAlign w:val="center"/>
          </w:tcPr>
          <w:p>
            <w:pPr>
              <w:widowControl/>
              <w:jc w:val="center"/>
              <w:rPr>
                <w:rFonts w:eastAsia="宋体" w:cs="Times New Roman"/>
                <w:color w:val="000000"/>
                <w:kern w:val="0"/>
                <w:sz w:val="21"/>
              </w:rPr>
            </w:pPr>
          </w:p>
        </w:tc>
        <w:tc>
          <w:tcPr>
            <w:tcW w:w="332" w:type="pct"/>
            <w:noWrap/>
            <w:vAlign w:val="center"/>
          </w:tcPr>
          <w:p>
            <w:pPr>
              <w:wordWrap w:val="0"/>
              <w:jc w:val="center"/>
              <w:rPr>
                <w:rFonts w:eastAsia="宋体" w:cs="Times New Roman"/>
                <w:color w:val="000000"/>
                <w:sz w:val="21"/>
              </w:rPr>
            </w:pPr>
            <w:r>
              <w:rPr>
                <w:rFonts w:eastAsia="宋体" w:cs="Times New Roman"/>
                <w:color w:val="000000"/>
                <w:sz w:val="21"/>
              </w:rPr>
              <w:t>西南</w:t>
            </w:r>
          </w:p>
        </w:tc>
        <w:tc>
          <w:tcPr>
            <w:tcW w:w="521" w:type="pct"/>
            <w:noWrap/>
            <w:vAlign w:val="center"/>
          </w:tcPr>
          <w:p>
            <w:pPr>
              <w:pStyle w:val="22"/>
              <w:jc w:val="center"/>
              <w:rPr>
                <w:rFonts w:ascii="Times New Roman" w:hAnsi="Times New Roman"/>
                <w:color w:val="000000"/>
              </w:rPr>
            </w:pPr>
            <w:r>
              <w:rPr>
                <w:rFonts w:ascii="Times New Roman" w:hAnsi="Times New Roman"/>
                <w:color w:val="000000"/>
              </w:rPr>
              <w:t>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8" w:type="pct"/>
            <w:vMerge w:val="continue"/>
            <w:vAlign w:val="center"/>
          </w:tcPr>
          <w:p>
            <w:pPr>
              <w:widowControl/>
              <w:jc w:val="center"/>
              <w:rPr>
                <w:rFonts w:eastAsia="宋体" w:cs="Times New Roman"/>
                <w:color w:val="000000"/>
                <w:sz w:val="21"/>
              </w:rPr>
            </w:pPr>
          </w:p>
        </w:tc>
        <w:tc>
          <w:tcPr>
            <w:tcW w:w="508" w:type="pct"/>
            <w:noWrap/>
            <w:vAlign w:val="center"/>
          </w:tcPr>
          <w:p>
            <w:pPr>
              <w:jc w:val="center"/>
              <w:rPr>
                <w:rFonts w:eastAsia="宋体" w:cs="Times New Roman"/>
                <w:color w:val="000000"/>
                <w:sz w:val="21"/>
              </w:rPr>
            </w:pPr>
            <w:r>
              <w:rPr>
                <w:rFonts w:eastAsia="宋体" w:cs="Times New Roman"/>
                <w:color w:val="000000"/>
                <w:sz w:val="21"/>
              </w:rPr>
              <w:t>虹桥家园</w:t>
            </w:r>
          </w:p>
        </w:tc>
        <w:tc>
          <w:tcPr>
            <w:tcW w:w="656" w:type="pct"/>
            <w:noWrap/>
            <w:vAlign w:val="center"/>
          </w:tcPr>
          <w:p>
            <w:pPr>
              <w:pStyle w:val="22"/>
              <w:jc w:val="center"/>
              <w:rPr>
                <w:rFonts w:ascii="Times New Roman" w:hAnsi="Times New Roman"/>
                <w:color w:val="000000"/>
              </w:rPr>
            </w:pPr>
            <w:r>
              <w:rPr>
                <w:rFonts w:ascii="Times New Roman" w:hAnsi="Times New Roman"/>
                <w:color w:val="000000"/>
              </w:rPr>
              <w:t>12593734.076</w:t>
            </w:r>
          </w:p>
        </w:tc>
        <w:tc>
          <w:tcPr>
            <w:tcW w:w="726" w:type="pct"/>
            <w:noWrap/>
            <w:vAlign w:val="center"/>
          </w:tcPr>
          <w:p>
            <w:pPr>
              <w:pStyle w:val="22"/>
              <w:jc w:val="center"/>
              <w:rPr>
                <w:rFonts w:ascii="Times New Roman" w:hAnsi="Times New Roman"/>
                <w:color w:val="000000"/>
              </w:rPr>
            </w:pPr>
            <w:r>
              <w:rPr>
                <w:rFonts w:ascii="Times New Roman" w:hAnsi="Times New Roman"/>
                <w:color w:val="000000"/>
              </w:rPr>
              <w:t>3423888.769</w:t>
            </w:r>
          </w:p>
        </w:tc>
        <w:tc>
          <w:tcPr>
            <w:tcW w:w="947" w:type="pct"/>
            <w:noWrap/>
            <w:vAlign w:val="center"/>
          </w:tcPr>
          <w:p>
            <w:pPr>
              <w:pStyle w:val="22"/>
              <w:jc w:val="center"/>
              <w:rPr>
                <w:rFonts w:ascii="Times New Roman" w:hAnsi="Times New Roman"/>
                <w:color w:val="000000"/>
              </w:rPr>
            </w:pPr>
            <w:r>
              <w:rPr>
                <w:rFonts w:ascii="Times New Roman" w:hAnsi="Times New Roman"/>
                <w:color w:val="000000"/>
              </w:rPr>
              <w:t>虹桥家园居民</w:t>
            </w:r>
          </w:p>
        </w:tc>
        <w:tc>
          <w:tcPr>
            <w:tcW w:w="861" w:type="pct"/>
            <w:vMerge w:val="continue"/>
            <w:vAlign w:val="center"/>
          </w:tcPr>
          <w:p>
            <w:pPr>
              <w:widowControl/>
              <w:jc w:val="center"/>
              <w:rPr>
                <w:rFonts w:eastAsia="宋体" w:cs="Times New Roman"/>
                <w:color w:val="000000"/>
                <w:kern w:val="0"/>
                <w:sz w:val="21"/>
              </w:rPr>
            </w:pPr>
          </w:p>
        </w:tc>
        <w:tc>
          <w:tcPr>
            <w:tcW w:w="332" w:type="pct"/>
            <w:noWrap/>
            <w:vAlign w:val="center"/>
          </w:tcPr>
          <w:p>
            <w:pPr>
              <w:jc w:val="center"/>
              <w:rPr>
                <w:rFonts w:cs="Times New Roman"/>
              </w:rPr>
            </w:pPr>
            <w:r>
              <w:rPr>
                <w:rFonts w:eastAsia="宋体" w:cs="Times New Roman"/>
                <w:color w:val="000000"/>
                <w:sz w:val="21"/>
              </w:rPr>
              <w:t>西南</w:t>
            </w:r>
          </w:p>
        </w:tc>
        <w:tc>
          <w:tcPr>
            <w:tcW w:w="521" w:type="pct"/>
            <w:noWrap/>
            <w:vAlign w:val="center"/>
          </w:tcPr>
          <w:p>
            <w:pPr>
              <w:pStyle w:val="22"/>
              <w:jc w:val="center"/>
              <w:rPr>
                <w:rFonts w:ascii="Times New Roman" w:hAnsi="Times New Roman"/>
                <w:color w:val="000000"/>
              </w:rPr>
            </w:pPr>
            <w:r>
              <w:rPr>
                <w:rFonts w:ascii="Times New Roman" w:hAnsi="Times New Roman"/>
                <w:color w:val="000000"/>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8" w:type="pct"/>
            <w:vMerge w:val="continue"/>
            <w:vAlign w:val="center"/>
          </w:tcPr>
          <w:p>
            <w:pPr>
              <w:widowControl/>
              <w:jc w:val="center"/>
              <w:rPr>
                <w:rFonts w:eastAsia="宋体" w:cs="Times New Roman"/>
                <w:color w:val="000000"/>
                <w:sz w:val="21"/>
              </w:rPr>
            </w:pPr>
          </w:p>
        </w:tc>
        <w:tc>
          <w:tcPr>
            <w:tcW w:w="508" w:type="pct"/>
            <w:noWrap/>
            <w:vAlign w:val="center"/>
          </w:tcPr>
          <w:p>
            <w:pPr>
              <w:jc w:val="center"/>
              <w:rPr>
                <w:rFonts w:eastAsia="宋体" w:cs="Times New Roman"/>
                <w:color w:val="000000"/>
                <w:sz w:val="21"/>
              </w:rPr>
            </w:pPr>
            <w:r>
              <w:rPr>
                <w:rFonts w:eastAsia="宋体" w:cs="Times New Roman"/>
                <w:color w:val="000000"/>
                <w:sz w:val="21"/>
              </w:rPr>
              <w:t>财源小区</w:t>
            </w:r>
          </w:p>
        </w:tc>
        <w:tc>
          <w:tcPr>
            <w:tcW w:w="656" w:type="pct"/>
            <w:noWrap/>
            <w:vAlign w:val="center"/>
          </w:tcPr>
          <w:p>
            <w:pPr>
              <w:pStyle w:val="22"/>
              <w:jc w:val="center"/>
              <w:rPr>
                <w:rFonts w:ascii="Times New Roman" w:hAnsi="Times New Roman"/>
                <w:color w:val="000000"/>
              </w:rPr>
            </w:pPr>
            <w:r>
              <w:rPr>
                <w:rFonts w:ascii="Times New Roman" w:hAnsi="Times New Roman"/>
                <w:color w:val="000000"/>
              </w:rPr>
              <w:t>12593595.534</w:t>
            </w:r>
          </w:p>
        </w:tc>
        <w:tc>
          <w:tcPr>
            <w:tcW w:w="726" w:type="pct"/>
            <w:noWrap/>
            <w:vAlign w:val="center"/>
          </w:tcPr>
          <w:p>
            <w:pPr>
              <w:pStyle w:val="22"/>
              <w:jc w:val="center"/>
              <w:rPr>
                <w:rFonts w:ascii="Times New Roman" w:hAnsi="Times New Roman"/>
                <w:color w:val="000000"/>
              </w:rPr>
            </w:pPr>
            <w:r>
              <w:rPr>
                <w:rFonts w:ascii="Times New Roman" w:hAnsi="Times New Roman"/>
                <w:color w:val="000000"/>
              </w:rPr>
              <w:t>3423792.828</w:t>
            </w:r>
          </w:p>
        </w:tc>
        <w:tc>
          <w:tcPr>
            <w:tcW w:w="947" w:type="pct"/>
            <w:noWrap/>
            <w:vAlign w:val="center"/>
          </w:tcPr>
          <w:p>
            <w:pPr>
              <w:pStyle w:val="22"/>
              <w:jc w:val="center"/>
              <w:rPr>
                <w:rFonts w:ascii="Times New Roman" w:hAnsi="Times New Roman"/>
                <w:color w:val="000000"/>
              </w:rPr>
            </w:pPr>
            <w:r>
              <w:rPr>
                <w:rFonts w:ascii="Times New Roman" w:hAnsi="Times New Roman"/>
                <w:color w:val="000000"/>
              </w:rPr>
              <w:t>财源小区居民</w:t>
            </w:r>
          </w:p>
        </w:tc>
        <w:tc>
          <w:tcPr>
            <w:tcW w:w="861" w:type="pct"/>
            <w:vMerge w:val="continue"/>
            <w:vAlign w:val="center"/>
          </w:tcPr>
          <w:p>
            <w:pPr>
              <w:widowControl/>
              <w:jc w:val="center"/>
              <w:rPr>
                <w:rFonts w:eastAsia="宋体" w:cs="Times New Roman"/>
                <w:color w:val="000000"/>
                <w:kern w:val="0"/>
                <w:sz w:val="21"/>
              </w:rPr>
            </w:pPr>
          </w:p>
        </w:tc>
        <w:tc>
          <w:tcPr>
            <w:tcW w:w="332" w:type="pct"/>
            <w:noWrap/>
            <w:vAlign w:val="center"/>
          </w:tcPr>
          <w:p>
            <w:pPr>
              <w:jc w:val="center"/>
              <w:rPr>
                <w:rFonts w:cs="Times New Roman"/>
              </w:rPr>
            </w:pPr>
            <w:r>
              <w:rPr>
                <w:rFonts w:eastAsia="宋体" w:cs="Times New Roman"/>
                <w:color w:val="000000"/>
                <w:sz w:val="21"/>
              </w:rPr>
              <w:t>西南</w:t>
            </w:r>
          </w:p>
        </w:tc>
        <w:tc>
          <w:tcPr>
            <w:tcW w:w="521" w:type="pct"/>
            <w:noWrap/>
            <w:vAlign w:val="center"/>
          </w:tcPr>
          <w:p>
            <w:pPr>
              <w:pStyle w:val="22"/>
              <w:jc w:val="center"/>
              <w:rPr>
                <w:rFonts w:ascii="Times New Roman" w:hAnsi="Times New Roman"/>
                <w:color w:val="000000"/>
              </w:rPr>
            </w:pPr>
            <w:r>
              <w:rPr>
                <w:rFonts w:ascii="Times New Roman" w:hAnsi="Times New Roman"/>
                <w:color w:val="000000"/>
              </w:rPr>
              <w:t>751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8" w:type="pct"/>
            <w:vMerge w:val="continue"/>
            <w:vAlign w:val="center"/>
          </w:tcPr>
          <w:p>
            <w:pPr>
              <w:widowControl/>
              <w:jc w:val="center"/>
              <w:rPr>
                <w:rFonts w:eastAsia="宋体" w:cs="Times New Roman"/>
                <w:color w:val="000000"/>
                <w:sz w:val="21"/>
              </w:rPr>
            </w:pPr>
          </w:p>
        </w:tc>
        <w:tc>
          <w:tcPr>
            <w:tcW w:w="508" w:type="pct"/>
            <w:noWrap/>
            <w:vAlign w:val="center"/>
          </w:tcPr>
          <w:p>
            <w:pPr>
              <w:jc w:val="center"/>
              <w:rPr>
                <w:rFonts w:eastAsia="宋体" w:cs="Times New Roman"/>
                <w:color w:val="000000"/>
                <w:sz w:val="21"/>
              </w:rPr>
            </w:pPr>
            <w:r>
              <w:rPr>
                <w:rFonts w:eastAsia="宋体" w:cs="Times New Roman"/>
                <w:color w:val="000000"/>
                <w:sz w:val="21"/>
              </w:rPr>
              <w:t>东升华苑</w:t>
            </w:r>
          </w:p>
        </w:tc>
        <w:tc>
          <w:tcPr>
            <w:tcW w:w="656" w:type="pct"/>
            <w:noWrap/>
            <w:vAlign w:val="center"/>
          </w:tcPr>
          <w:p>
            <w:pPr>
              <w:pStyle w:val="22"/>
              <w:jc w:val="center"/>
              <w:rPr>
                <w:rFonts w:ascii="Times New Roman" w:hAnsi="Times New Roman"/>
                <w:color w:val="000000"/>
              </w:rPr>
            </w:pPr>
            <w:r>
              <w:rPr>
                <w:rFonts w:ascii="Times New Roman" w:hAnsi="Times New Roman"/>
                <w:color w:val="000000"/>
              </w:rPr>
              <w:t>12593755.574</w:t>
            </w:r>
          </w:p>
        </w:tc>
        <w:tc>
          <w:tcPr>
            <w:tcW w:w="726" w:type="pct"/>
            <w:noWrap/>
            <w:vAlign w:val="center"/>
          </w:tcPr>
          <w:p>
            <w:pPr>
              <w:pStyle w:val="22"/>
              <w:jc w:val="center"/>
              <w:rPr>
                <w:rFonts w:ascii="Times New Roman" w:hAnsi="Times New Roman"/>
                <w:color w:val="000000"/>
              </w:rPr>
            </w:pPr>
            <w:r>
              <w:rPr>
                <w:rFonts w:ascii="Times New Roman" w:hAnsi="Times New Roman"/>
                <w:color w:val="000000"/>
              </w:rPr>
              <w:t>3423625.619</w:t>
            </w:r>
          </w:p>
        </w:tc>
        <w:tc>
          <w:tcPr>
            <w:tcW w:w="947" w:type="pct"/>
            <w:noWrap/>
            <w:vAlign w:val="center"/>
          </w:tcPr>
          <w:p>
            <w:pPr>
              <w:pStyle w:val="22"/>
              <w:jc w:val="center"/>
              <w:rPr>
                <w:rFonts w:ascii="Times New Roman" w:hAnsi="Times New Roman"/>
                <w:color w:val="000000"/>
              </w:rPr>
            </w:pPr>
            <w:r>
              <w:rPr>
                <w:rFonts w:ascii="Times New Roman" w:hAnsi="Times New Roman"/>
                <w:color w:val="000000"/>
              </w:rPr>
              <w:t>东升华苑居民</w:t>
            </w:r>
          </w:p>
        </w:tc>
        <w:tc>
          <w:tcPr>
            <w:tcW w:w="861" w:type="pct"/>
            <w:vMerge w:val="continue"/>
            <w:vAlign w:val="center"/>
          </w:tcPr>
          <w:p>
            <w:pPr>
              <w:widowControl/>
              <w:jc w:val="center"/>
              <w:rPr>
                <w:rFonts w:eastAsia="宋体" w:cs="Times New Roman"/>
                <w:color w:val="000000"/>
                <w:kern w:val="0"/>
                <w:sz w:val="21"/>
              </w:rPr>
            </w:pPr>
          </w:p>
        </w:tc>
        <w:tc>
          <w:tcPr>
            <w:tcW w:w="332" w:type="pct"/>
            <w:noWrap/>
            <w:vAlign w:val="center"/>
          </w:tcPr>
          <w:p>
            <w:pPr>
              <w:jc w:val="center"/>
              <w:rPr>
                <w:rFonts w:cs="Times New Roman"/>
              </w:rPr>
            </w:pPr>
            <w:r>
              <w:rPr>
                <w:rFonts w:eastAsia="宋体" w:cs="Times New Roman"/>
                <w:color w:val="000000"/>
                <w:sz w:val="21"/>
              </w:rPr>
              <w:t>西南</w:t>
            </w:r>
          </w:p>
        </w:tc>
        <w:tc>
          <w:tcPr>
            <w:tcW w:w="521" w:type="pct"/>
            <w:noWrap/>
            <w:vAlign w:val="center"/>
          </w:tcPr>
          <w:p>
            <w:pPr>
              <w:pStyle w:val="22"/>
              <w:jc w:val="center"/>
              <w:rPr>
                <w:rFonts w:ascii="Times New Roman" w:hAnsi="Times New Roman"/>
                <w:color w:val="000000"/>
              </w:rPr>
            </w:pPr>
            <w:r>
              <w:rPr>
                <w:rFonts w:ascii="Times New Roman" w:hAnsi="Times New Roman"/>
                <w:color w:val="000000"/>
              </w:rPr>
              <w:t>832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8" w:type="pct"/>
            <w:vMerge w:val="continue"/>
            <w:vAlign w:val="center"/>
          </w:tcPr>
          <w:p>
            <w:pPr>
              <w:widowControl/>
              <w:jc w:val="center"/>
              <w:rPr>
                <w:rFonts w:eastAsia="宋体" w:cs="Times New Roman"/>
                <w:color w:val="000000"/>
                <w:sz w:val="21"/>
              </w:rPr>
            </w:pPr>
          </w:p>
        </w:tc>
        <w:tc>
          <w:tcPr>
            <w:tcW w:w="508" w:type="pct"/>
            <w:noWrap/>
            <w:vAlign w:val="center"/>
          </w:tcPr>
          <w:p>
            <w:pPr>
              <w:jc w:val="center"/>
              <w:rPr>
                <w:rFonts w:eastAsia="宋体" w:cs="Times New Roman"/>
                <w:color w:val="000000"/>
                <w:sz w:val="21"/>
              </w:rPr>
            </w:pPr>
            <w:r>
              <w:rPr>
                <w:rFonts w:eastAsia="宋体" w:cs="Times New Roman"/>
                <w:color w:val="000000"/>
                <w:sz w:val="21"/>
              </w:rPr>
              <w:t>锦玉家园</w:t>
            </w:r>
          </w:p>
        </w:tc>
        <w:tc>
          <w:tcPr>
            <w:tcW w:w="656" w:type="pct"/>
            <w:noWrap/>
            <w:vAlign w:val="center"/>
          </w:tcPr>
          <w:p>
            <w:pPr>
              <w:pStyle w:val="22"/>
              <w:jc w:val="center"/>
              <w:rPr>
                <w:rFonts w:ascii="Times New Roman" w:hAnsi="Times New Roman"/>
                <w:color w:val="000000"/>
              </w:rPr>
            </w:pPr>
            <w:r>
              <w:rPr>
                <w:rFonts w:ascii="Times New Roman" w:hAnsi="Times New Roman"/>
                <w:color w:val="000000"/>
              </w:rPr>
              <w:t>12594367.070</w:t>
            </w:r>
          </w:p>
        </w:tc>
        <w:tc>
          <w:tcPr>
            <w:tcW w:w="726" w:type="pct"/>
            <w:noWrap/>
            <w:vAlign w:val="center"/>
          </w:tcPr>
          <w:p>
            <w:pPr>
              <w:pStyle w:val="22"/>
              <w:jc w:val="center"/>
              <w:rPr>
                <w:rFonts w:ascii="Times New Roman" w:hAnsi="Times New Roman"/>
                <w:color w:val="000000"/>
              </w:rPr>
            </w:pPr>
            <w:r>
              <w:rPr>
                <w:rFonts w:ascii="Times New Roman" w:hAnsi="Times New Roman"/>
                <w:color w:val="000000"/>
              </w:rPr>
              <w:t>3423960.040</w:t>
            </w:r>
          </w:p>
        </w:tc>
        <w:tc>
          <w:tcPr>
            <w:tcW w:w="947" w:type="pct"/>
            <w:noWrap/>
            <w:vAlign w:val="center"/>
          </w:tcPr>
          <w:p>
            <w:pPr>
              <w:pStyle w:val="22"/>
              <w:jc w:val="center"/>
              <w:rPr>
                <w:rFonts w:ascii="Times New Roman" w:hAnsi="Times New Roman"/>
                <w:color w:val="000000"/>
              </w:rPr>
            </w:pPr>
            <w:r>
              <w:rPr>
                <w:rFonts w:ascii="Times New Roman" w:hAnsi="Times New Roman"/>
                <w:color w:val="000000"/>
              </w:rPr>
              <w:t>锦玉家园居民</w:t>
            </w:r>
          </w:p>
        </w:tc>
        <w:tc>
          <w:tcPr>
            <w:tcW w:w="861" w:type="pct"/>
            <w:vMerge w:val="continue"/>
            <w:vAlign w:val="center"/>
          </w:tcPr>
          <w:p>
            <w:pPr>
              <w:widowControl/>
              <w:jc w:val="center"/>
              <w:rPr>
                <w:rFonts w:eastAsia="宋体" w:cs="Times New Roman"/>
                <w:color w:val="000000"/>
                <w:kern w:val="0"/>
                <w:sz w:val="21"/>
              </w:rPr>
            </w:pPr>
          </w:p>
        </w:tc>
        <w:tc>
          <w:tcPr>
            <w:tcW w:w="332" w:type="pct"/>
            <w:noWrap/>
            <w:vAlign w:val="center"/>
          </w:tcPr>
          <w:p>
            <w:pPr>
              <w:wordWrap w:val="0"/>
              <w:jc w:val="center"/>
              <w:rPr>
                <w:rFonts w:eastAsia="宋体" w:cs="Times New Roman"/>
                <w:color w:val="000000"/>
                <w:sz w:val="21"/>
              </w:rPr>
            </w:pPr>
            <w:r>
              <w:rPr>
                <w:rFonts w:eastAsia="宋体" w:cs="Times New Roman"/>
                <w:color w:val="000000"/>
                <w:sz w:val="21"/>
              </w:rPr>
              <w:t>东南</w:t>
            </w:r>
          </w:p>
        </w:tc>
        <w:tc>
          <w:tcPr>
            <w:tcW w:w="521" w:type="pct"/>
            <w:noWrap/>
            <w:vAlign w:val="center"/>
          </w:tcPr>
          <w:p>
            <w:pPr>
              <w:pStyle w:val="22"/>
              <w:jc w:val="center"/>
              <w:rPr>
                <w:rFonts w:ascii="Times New Roman" w:hAnsi="Times New Roman"/>
                <w:color w:val="000000"/>
              </w:rPr>
            </w:pPr>
            <w:r>
              <w:rPr>
                <w:rFonts w:ascii="Times New Roman" w:hAnsi="Times New Roman"/>
                <w:color w:val="000000"/>
              </w:rPr>
              <w:t>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8" w:type="pct"/>
            <w:vMerge w:val="continue"/>
            <w:vAlign w:val="center"/>
          </w:tcPr>
          <w:p>
            <w:pPr>
              <w:widowControl/>
              <w:jc w:val="center"/>
              <w:rPr>
                <w:rFonts w:eastAsia="宋体" w:cs="Times New Roman"/>
                <w:color w:val="000000"/>
                <w:sz w:val="21"/>
              </w:rPr>
            </w:pPr>
          </w:p>
        </w:tc>
        <w:tc>
          <w:tcPr>
            <w:tcW w:w="508" w:type="pct"/>
            <w:noWrap/>
            <w:vAlign w:val="center"/>
          </w:tcPr>
          <w:p>
            <w:pPr>
              <w:jc w:val="center"/>
              <w:rPr>
                <w:rFonts w:eastAsia="宋体" w:cs="Times New Roman"/>
                <w:color w:val="000000"/>
                <w:sz w:val="21"/>
              </w:rPr>
            </w:pPr>
            <w:r>
              <w:rPr>
                <w:rFonts w:eastAsia="宋体" w:cs="Times New Roman"/>
                <w:color w:val="000000"/>
                <w:sz w:val="21"/>
              </w:rPr>
              <w:t>和乐园廉租房小区</w:t>
            </w:r>
          </w:p>
        </w:tc>
        <w:tc>
          <w:tcPr>
            <w:tcW w:w="656" w:type="pct"/>
            <w:noWrap/>
            <w:vAlign w:val="center"/>
          </w:tcPr>
          <w:p>
            <w:pPr>
              <w:pStyle w:val="22"/>
              <w:jc w:val="center"/>
              <w:rPr>
                <w:rFonts w:ascii="Times New Roman" w:hAnsi="Times New Roman"/>
                <w:color w:val="000000"/>
              </w:rPr>
            </w:pPr>
            <w:r>
              <w:rPr>
                <w:rFonts w:ascii="Times New Roman" w:hAnsi="Times New Roman"/>
                <w:color w:val="000000"/>
              </w:rPr>
              <w:t>12594899.741</w:t>
            </w:r>
          </w:p>
        </w:tc>
        <w:tc>
          <w:tcPr>
            <w:tcW w:w="726" w:type="pct"/>
            <w:noWrap/>
            <w:vAlign w:val="center"/>
          </w:tcPr>
          <w:p>
            <w:pPr>
              <w:pStyle w:val="22"/>
              <w:jc w:val="center"/>
              <w:rPr>
                <w:rFonts w:ascii="Times New Roman" w:hAnsi="Times New Roman"/>
                <w:color w:val="000000"/>
              </w:rPr>
            </w:pPr>
            <w:r>
              <w:rPr>
                <w:rFonts w:ascii="Times New Roman" w:hAnsi="Times New Roman"/>
                <w:color w:val="000000"/>
              </w:rPr>
              <w:t>3424193.043</w:t>
            </w:r>
          </w:p>
        </w:tc>
        <w:tc>
          <w:tcPr>
            <w:tcW w:w="947" w:type="pct"/>
            <w:noWrap/>
            <w:vAlign w:val="center"/>
          </w:tcPr>
          <w:p>
            <w:pPr>
              <w:pStyle w:val="22"/>
              <w:jc w:val="center"/>
              <w:rPr>
                <w:rFonts w:ascii="Times New Roman" w:hAnsi="Times New Roman"/>
                <w:color w:val="000000"/>
              </w:rPr>
            </w:pPr>
            <w:r>
              <w:rPr>
                <w:rFonts w:ascii="Times New Roman" w:hAnsi="Times New Roman"/>
                <w:color w:val="000000"/>
              </w:rPr>
              <w:t>和乐园廉租房小区居民</w:t>
            </w:r>
          </w:p>
        </w:tc>
        <w:tc>
          <w:tcPr>
            <w:tcW w:w="861" w:type="pct"/>
            <w:vMerge w:val="continue"/>
            <w:vAlign w:val="center"/>
          </w:tcPr>
          <w:p>
            <w:pPr>
              <w:widowControl/>
              <w:jc w:val="center"/>
              <w:rPr>
                <w:rFonts w:eastAsia="宋体" w:cs="Times New Roman"/>
                <w:color w:val="000000"/>
                <w:kern w:val="0"/>
                <w:sz w:val="21"/>
              </w:rPr>
            </w:pPr>
          </w:p>
        </w:tc>
        <w:tc>
          <w:tcPr>
            <w:tcW w:w="332" w:type="pct"/>
            <w:noWrap/>
            <w:vAlign w:val="center"/>
          </w:tcPr>
          <w:p>
            <w:pPr>
              <w:jc w:val="center"/>
              <w:rPr>
                <w:rFonts w:cs="Times New Roman"/>
              </w:rPr>
            </w:pPr>
            <w:r>
              <w:rPr>
                <w:rFonts w:eastAsia="宋体" w:cs="Times New Roman"/>
                <w:color w:val="000000"/>
                <w:sz w:val="21"/>
              </w:rPr>
              <w:t>东南</w:t>
            </w:r>
          </w:p>
        </w:tc>
        <w:tc>
          <w:tcPr>
            <w:tcW w:w="521" w:type="pct"/>
            <w:noWrap/>
            <w:vAlign w:val="center"/>
          </w:tcPr>
          <w:p>
            <w:pPr>
              <w:pStyle w:val="22"/>
              <w:jc w:val="center"/>
              <w:rPr>
                <w:rFonts w:ascii="Times New Roman" w:hAnsi="Times New Roman"/>
                <w:color w:val="000000"/>
              </w:rPr>
            </w:pPr>
            <w:r>
              <w:rPr>
                <w:rFonts w:ascii="Times New Roman" w:hAnsi="Times New Roman"/>
                <w:color w:val="000000"/>
              </w:rPr>
              <w:t>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8" w:type="pct"/>
            <w:vMerge w:val="continue"/>
            <w:vAlign w:val="center"/>
          </w:tcPr>
          <w:p>
            <w:pPr>
              <w:widowControl/>
              <w:jc w:val="center"/>
              <w:rPr>
                <w:rFonts w:eastAsia="宋体" w:cs="Times New Roman"/>
                <w:color w:val="000000"/>
                <w:sz w:val="21"/>
              </w:rPr>
            </w:pPr>
          </w:p>
        </w:tc>
        <w:tc>
          <w:tcPr>
            <w:tcW w:w="508" w:type="pct"/>
            <w:noWrap/>
            <w:vAlign w:val="center"/>
          </w:tcPr>
          <w:p>
            <w:pPr>
              <w:jc w:val="center"/>
              <w:rPr>
                <w:rFonts w:eastAsia="宋体" w:cs="Times New Roman"/>
                <w:color w:val="000000"/>
                <w:sz w:val="21"/>
              </w:rPr>
            </w:pPr>
            <w:r>
              <w:rPr>
                <w:rFonts w:eastAsia="宋体" w:cs="Times New Roman"/>
                <w:color w:val="000000"/>
                <w:sz w:val="21"/>
              </w:rPr>
              <w:t>栋梁屋幼儿教育中心</w:t>
            </w:r>
          </w:p>
        </w:tc>
        <w:tc>
          <w:tcPr>
            <w:tcW w:w="656" w:type="pct"/>
            <w:noWrap/>
            <w:vAlign w:val="center"/>
          </w:tcPr>
          <w:p>
            <w:pPr>
              <w:pStyle w:val="22"/>
              <w:jc w:val="center"/>
              <w:rPr>
                <w:rFonts w:ascii="Times New Roman" w:hAnsi="Times New Roman"/>
                <w:color w:val="000000"/>
              </w:rPr>
            </w:pPr>
            <w:r>
              <w:rPr>
                <w:rFonts w:hint="eastAsia" w:ascii="Times New Roman" w:hAnsi="Times New Roman"/>
                <w:color w:val="000000"/>
              </w:rPr>
              <w:t>12595148.161</w:t>
            </w:r>
          </w:p>
        </w:tc>
        <w:tc>
          <w:tcPr>
            <w:tcW w:w="726" w:type="pct"/>
            <w:noWrap/>
            <w:vAlign w:val="center"/>
          </w:tcPr>
          <w:p>
            <w:pPr>
              <w:pStyle w:val="22"/>
              <w:jc w:val="center"/>
              <w:rPr>
                <w:rFonts w:ascii="Times New Roman" w:hAnsi="Times New Roman"/>
                <w:color w:val="000000"/>
              </w:rPr>
            </w:pPr>
            <w:r>
              <w:rPr>
                <w:rFonts w:hint="eastAsia" w:ascii="Times New Roman" w:hAnsi="Times New Roman"/>
                <w:color w:val="000000"/>
              </w:rPr>
              <w:t>3423513.233</w:t>
            </w:r>
          </w:p>
        </w:tc>
        <w:tc>
          <w:tcPr>
            <w:tcW w:w="947" w:type="pct"/>
            <w:noWrap/>
            <w:vAlign w:val="center"/>
          </w:tcPr>
          <w:p>
            <w:pPr>
              <w:pStyle w:val="22"/>
              <w:jc w:val="center"/>
              <w:rPr>
                <w:rFonts w:ascii="Times New Roman" w:hAnsi="Times New Roman"/>
                <w:color w:val="000000"/>
              </w:rPr>
            </w:pPr>
            <w:r>
              <w:rPr>
                <w:rFonts w:ascii="Times New Roman" w:hAnsi="Times New Roman"/>
                <w:color w:val="000000"/>
              </w:rPr>
              <w:t>学生，老师</w:t>
            </w:r>
          </w:p>
        </w:tc>
        <w:tc>
          <w:tcPr>
            <w:tcW w:w="861" w:type="pct"/>
            <w:vMerge w:val="continue"/>
            <w:vAlign w:val="center"/>
          </w:tcPr>
          <w:p>
            <w:pPr>
              <w:widowControl/>
              <w:jc w:val="center"/>
              <w:rPr>
                <w:rFonts w:eastAsia="宋体" w:cs="Times New Roman"/>
                <w:color w:val="000000"/>
                <w:kern w:val="0"/>
                <w:sz w:val="21"/>
              </w:rPr>
            </w:pPr>
          </w:p>
        </w:tc>
        <w:tc>
          <w:tcPr>
            <w:tcW w:w="332" w:type="pct"/>
            <w:noWrap/>
            <w:vAlign w:val="center"/>
          </w:tcPr>
          <w:p>
            <w:pPr>
              <w:jc w:val="center"/>
              <w:rPr>
                <w:rFonts w:cs="Times New Roman"/>
              </w:rPr>
            </w:pPr>
            <w:r>
              <w:rPr>
                <w:rFonts w:eastAsia="宋体" w:cs="Times New Roman"/>
                <w:color w:val="000000"/>
                <w:sz w:val="21"/>
              </w:rPr>
              <w:t>东南</w:t>
            </w:r>
          </w:p>
        </w:tc>
        <w:tc>
          <w:tcPr>
            <w:tcW w:w="521" w:type="pct"/>
            <w:noWrap/>
            <w:vAlign w:val="center"/>
          </w:tcPr>
          <w:p>
            <w:pPr>
              <w:pStyle w:val="22"/>
              <w:jc w:val="center"/>
              <w:rPr>
                <w:rFonts w:ascii="Times New Roman" w:hAnsi="Times New Roman"/>
                <w:color w:val="000000"/>
              </w:rPr>
            </w:pPr>
            <w:r>
              <w:rPr>
                <w:rFonts w:ascii="Times New Roman" w:hAnsi="Times New Roman"/>
                <w:color w:val="000000"/>
              </w:rPr>
              <w:t>1161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8" w:type="pct"/>
            <w:vMerge w:val="continue"/>
            <w:vAlign w:val="center"/>
          </w:tcPr>
          <w:p>
            <w:pPr>
              <w:widowControl/>
              <w:jc w:val="center"/>
              <w:rPr>
                <w:rFonts w:eastAsia="宋体" w:cs="Times New Roman"/>
                <w:color w:val="000000"/>
                <w:sz w:val="21"/>
              </w:rPr>
            </w:pPr>
          </w:p>
        </w:tc>
        <w:tc>
          <w:tcPr>
            <w:tcW w:w="508" w:type="pct"/>
            <w:noWrap/>
            <w:vAlign w:val="center"/>
          </w:tcPr>
          <w:p>
            <w:pPr>
              <w:jc w:val="center"/>
              <w:rPr>
                <w:rFonts w:eastAsia="宋体" w:cs="Times New Roman"/>
                <w:color w:val="000000"/>
                <w:sz w:val="21"/>
              </w:rPr>
            </w:pPr>
            <w:r>
              <w:rPr>
                <w:rFonts w:eastAsia="宋体" w:cs="Times New Roman"/>
                <w:color w:val="000000"/>
                <w:sz w:val="21"/>
              </w:rPr>
              <w:t>雷锋山紫园小区</w:t>
            </w:r>
          </w:p>
        </w:tc>
        <w:tc>
          <w:tcPr>
            <w:tcW w:w="656" w:type="pct"/>
            <w:noWrap/>
            <w:vAlign w:val="center"/>
          </w:tcPr>
          <w:p>
            <w:pPr>
              <w:pStyle w:val="22"/>
              <w:jc w:val="center"/>
              <w:rPr>
                <w:rFonts w:ascii="Times New Roman" w:hAnsi="Times New Roman"/>
                <w:color w:val="000000"/>
              </w:rPr>
            </w:pPr>
            <w:r>
              <w:rPr>
                <w:rFonts w:hint="eastAsia" w:ascii="Times New Roman" w:hAnsi="Times New Roman"/>
                <w:color w:val="000000"/>
              </w:rPr>
              <w:t>12595248.485</w:t>
            </w:r>
          </w:p>
        </w:tc>
        <w:tc>
          <w:tcPr>
            <w:tcW w:w="726" w:type="pct"/>
            <w:noWrap/>
            <w:vAlign w:val="center"/>
          </w:tcPr>
          <w:p>
            <w:pPr>
              <w:pStyle w:val="22"/>
              <w:jc w:val="center"/>
              <w:rPr>
                <w:rFonts w:ascii="Times New Roman" w:hAnsi="Times New Roman"/>
                <w:color w:val="000000"/>
              </w:rPr>
            </w:pPr>
            <w:r>
              <w:rPr>
                <w:rFonts w:hint="eastAsia" w:ascii="Times New Roman" w:hAnsi="Times New Roman"/>
                <w:color w:val="000000"/>
              </w:rPr>
              <w:t>3423872.322</w:t>
            </w:r>
          </w:p>
        </w:tc>
        <w:tc>
          <w:tcPr>
            <w:tcW w:w="947" w:type="pct"/>
            <w:noWrap/>
            <w:vAlign w:val="center"/>
          </w:tcPr>
          <w:p>
            <w:pPr>
              <w:pStyle w:val="22"/>
              <w:jc w:val="center"/>
              <w:rPr>
                <w:rFonts w:ascii="Times New Roman" w:hAnsi="Times New Roman"/>
                <w:color w:val="000000"/>
              </w:rPr>
            </w:pPr>
            <w:r>
              <w:rPr>
                <w:rFonts w:ascii="Times New Roman" w:hAnsi="Times New Roman"/>
                <w:color w:val="000000"/>
              </w:rPr>
              <w:t>雷锋山紫园小区居民</w:t>
            </w:r>
          </w:p>
        </w:tc>
        <w:tc>
          <w:tcPr>
            <w:tcW w:w="861" w:type="pct"/>
            <w:vMerge w:val="continue"/>
            <w:vAlign w:val="center"/>
          </w:tcPr>
          <w:p>
            <w:pPr>
              <w:widowControl/>
              <w:jc w:val="center"/>
              <w:rPr>
                <w:rFonts w:eastAsia="宋体" w:cs="Times New Roman"/>
                <w:color w:val="000000"/>
                <w:kern w:val="0"/>
                <w:sz w:val="21"/>
              </w:rPr>
            </w:pPr>
          </w:p>
        </w:tc>
        <w:tc>
          <w:tcPr>
            <w:tcW w:w="332" w:type="pct"/>
            <w:noWrap/>
            <w:vAlign w:val="center"/>
          </w:tcPr>
          <w:p>
            <w:pPr>
              <w:jc w:val="center"/>
              <w:rPr>
                <w:rFonts w:cs="Times New Roman"/>
              </w:rPr>
            </w:pPr>
            <w:r>
              <w:rPr>
                <w:rFonts w:eastAsia="宋体" w:cs="Times New Roman"/>
                <w:color w:val="000000"/>
                <w:sz w:val="21"/>
              </w:rPr>
              <w:t>东南</w:t>
            </w:r>
          </w:p>
        </w:tc>
        <w:tc>
          <w:tcPr>
            <w:tcW w:w="521" w:type="pct"/>
            <w:noWrap/>
            <w:vAlign w:val="center"/>
          </w:tcPr>
          <w:p>
            <w:pPr>
              <w:pStyle w:val="22"/>
              <w:jc w:val="center"/>
              <w:rPr>
                <w:rFonts w:ascii="Times New Roman" w:hAnsi="Times New Roman"/>
                <w:color w:val="000000"/>
              </w:rPr>
            </w:pPr>
            <w:r>
              <w:rPr>
                <w:rFonts w:ascii="Times New Roman" w:hAnsi="Times New Roman"/>
                <w:color w:val="000000"/>
              </w:rPr>
              <w:t>1186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8" w:type="pct"/>
            <w:vMerge w:val="continue"/>
            <w:vAlign w:val="center"/>
          </w:tcPr>
          <w:p>
            <w:pPr>
              <w:widowControl/>
              <w:jc w:val="center"/>
              <w:rPr>
                <w:rFonts w:eastAsia="宋体" w:cs="Times New Roman"/>
                <w:color w:val="000000"/>
                <w:sz w:val="21"/>
              </w:rPr>
            </w:pPr>
          </w:p>
        </w:tc>
        <w:tc>
          <w:tcPr>
            <w:tcW w:w="508" w:type="pct"/>
            <w:noWrap/>
            <w:vAlign w:val="center"/>
          </w:tcPr>
          <w:p>
            <w:pPr>
              <w:jc w:val="center"/>
              <w:rPr>
                <w:rFonts w:eastAsia="宋体" w:cs="Times New Roman"/>
                <w:color w:val="000000"/>
                <w:sz w:val="21"/>
              </w:rPr>
            </w:pPr>
            <w:r>
              <w:rPr>
                <w:rFonts w:eastAsia="宋体" w:cs="Times New Roman"/>
                <w:color w:val="000000"/>
                <w:sz w:val="21"/>
              </w:rPr>
              <w:t>和悦小区</w:t>
            </w:r>
          </w:p>
        </w:tc>
        <w:tc>
          <w:tcPr>
            <w:tcW w:w="656" w:type="pct"/>
            <w:noWrap/>
            <w:vAlign w:val="center"/>
          </w:tcPr>
          <w:p>
            <w:pPr>
              <w:pStyle w:val="22"/>
              <w:jc w:val="center"/>
              <w:rPr>
                <w:rFonts w:ascii="Times New Roman" w:hAnsi="Times New Roman"/>
                <w:color w:val="000000"/>
              </w:rPr>
            </w:pPr>
            <w:r>
              <w:rPr>
                <w:rFonts w:hint="eastAsia" w:ascii="Times New Roman" w:hAnsi="Times New Roman"/>
                <w:color w:val="000000"/>
              </w:rPr>
              <w:t>12595121.886</w:t>
            </w:r>
          </w:p>
        </w:tc>
        <w:tc>
          <w:tcPr>
            <w:tcW w:w="726" w:type="pct"/>
            <w:noWrap/>
            <w:vAlign w:val="center"/>
          </w:tcPr>
          <w:p>
            <w:pPr>
              <w:pStyle w:val="22"/>
              <w:jc w:val="center"/>
              <w:rPr>
                <w:rFonts w:ascii="Times New Roman" w:hAnsi="Times New Roman"/>
                <w:color w:val="000000"/>
              </w:rPr>
            </w:pPr>
            <w:r>
              <w:rPr>
                <w:rFonts w:hint="eastAsia" w:ascii="Times New Roman" w:hAnsi="Times New Roman"/>
                <w:color w:val="000000"/>
              </w:rPr>
              <w:t>3423515.975</w:t>
            </w:r>
          </w:p>
        </w:tc>
        <w:tc>
          <w:tcPr>
            <w:tcW w:w="947" w:type="pct"/>
            <w:noWrap/>
            <w:vAlign w:val="center"/>
          </w:tcPr>
          <w:p>
            <w:pPr>
              <w:pStyle w:val="22"/>
              <w:jc w:val="center"/>
              <w:rPr>
                <w:rFonts w:ascii="Times New Roman" w:hAnsi="Times New Roman"/>
                <w:color w:val="000000"/>
              </w:rPr>
            </w:pPr>
            <w:r>
              <w:rPr>
                <w:rFonts w:ascii="Times New Roman" w:hAnsi="Times New Roman"/>
                <w:color w:val="000000"/>
              </w:rPr>
              <w:t>和悦小区居民</w:t>
            </w:r>
          </w:p>
        </w:tc>
        <w:tc>
          <w:tcPr>
            <w:tcW w:w="861" w:type="pct"/>
            <w:vMerge w:val="continue"/>
            <w:vAlign w:val="center"/>
          </w:tcPr>
          <w:p>
            <w:pPr>
              <w:widowControl/>
              <w:jc w:val="center"/>
              <w:rPr>
                <w:rFonts w:eastAsia="宋体" w:cs="Times New Roman"/>
                <w:color w:val="000000"/>
                <w:kern w:val="0"/>
                <w:sz w:val="21"/>
              </w:rPr>
            </w:pPr>
          </w:p>
        </w:tc>
        <w:tc>
          <w:tcPr>
            <w:tcW w:w="332" w:type="pct"/>
            <w:noWrap/>
            <w:vAlign w:val="center"/>
          </w:tcPr>
          <w:p>
            <w:pPr>
              <w:jc w:val="center"/>
              <w:rPr>
                <w:rFonts w:cs="Times New Roman"/>
              </w:rPr>
            </w:pPr>
            <w:r>
              <w:rPr>
                <w:rFonts w:eastAsia="宋体" w:cs="Times New Roman"/>
                <w:color w:val="000000"/>
                <w:sz w:val="21"/>
              </w:rPr>
              <w:t>东南</w:t>
            </w:r>
          </w:p>
        </w:tc>
        <w:tc>
          <w:tcPr>
            <w:tcW w:w="521" w:type="pct"/>
            <w:noWrap/>
            <w:vAlign w:val="center"/>
          </w:tcPr>
          <w:p>
            <w:pPr>
              <w:pStyle w:val="22"/>
              <w:jc w:val="center"/>
              <w:rPr>
                <w:rFonts w:ascii="Times New Roman" w:hAnsi="Times New Roman"/>
                <w:color w:val="000000"/>
              </w:rPr>
            </w:pPr>
            <w:r>
              <w:rPr>
                <w:rFonts w:ascii="Times New Roman" w:hAnsi="Times New Roman"/>
                <w:color w:val="000000"/>
              </w:rPr>
              <w:t>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8" w:type="pct"/>
            <w:vMerge w:val="continue"/>
            <w:vAlign w:val="center"/>
          </w:tcPr>
          <w:p>
            <w:pPr>
              <w:widowControl/>
              <w:jc w:val="center"/>
              <w:rPr>
                <w:rFonts w:eastAsia="宋体" w:cs="Times New Roman"/>
                <w:color w:val="000000"/>
                <w:sz w:val="21"/>
              </w:rPr>
            </w:pPr>
          </w:p>
        </w:tc>
        <w:tc>
          <w:tcPr>
            <w:tcW w:w="508" w:type="pct"/>
            <w:noWrap/>
            <w:vAlign w:val="center"/>
          </w:tcPr>
          <w:p>
            <w:pPr>
              <w:jc w:val="center"/>
              <w:rPr>
                <w:rFonts w:eastAsia="宋体" w:cs="Times New Roman"/>
                <w:color w:val="000000"/>
                <w:sz w:val="21"/>
              </w:rPr>
            </w:pPr>
            <w:r>
              <w:rPr>
                <w:rFonts w:eastAsia="宋体" w:cs="Times New Roman"/>
                <w:color w:val="000000"/>
                <w:sz w:val="21"/>
              </w:rPr>
              <w:t>岳阳楼区洛王小学</w:t>
            </w:r>
          </w:p>
        </w:tc>
        <w:tc>
          <w:tcPr>
            <w:tcW w:w="656" w:type="pct"/>
            <w:noWrap/>
            <w:vAlign w:val="center"/>
          </w:tcPr>
          <w:p>
            <w:pPr>
              <w:pStyle w:val="22"/>
              <w:jc w:val="center"/>
              <w:rPr>
                <w:rFonts w:ascii="Times New Roman" w:hAnsi="Times New Roman"/>
                <w:color w:val="000000"/>
              </w:rPr>
            </w:pPr>
            <w:r>
              <w:rPr>
                <w:rFonts w:hint="eastAsia" w:ascii="Times New Roman" w:hAnsi="Times New Roman"/>
                <w:color w:val="000000"/>
              </w:rPr>
              <w:t>12594880.632</w:t>
            </w:r>
          </w:p>
        </w:tc>
        <w:tc>
          <w:tcPr>
            <w:tcW w:w="726" w:type="pct"/>
            <w:noWrap/>
            <w:vAlign w:val="center"/>
          </w:tcPr>
          <w:p>
            <w:pPr>
              <w:pStyle w:val="22"/>
              <w:jc w:val="center"/>
              <w:rPr>
                <w:rFonts w:ascii="Times New Roman" w:hAnsi="Times New Roman"/>
                <w:color w:val="000000"/>
              </w:rPr>
            </w:pPr>
            <w:r>
              <w:rPr>
                <w:rFonts w:hint="eastAsia" w:ascii="Times New Roman" w:hAnsi="Times New Roman"/>
                <w:color w:val="000000"/>
              </w:rPr>
              <w:t>3424349.294</w:t>
            </w:r>
          </w:p>
        </w:tc>
        <w:tc>
          <w:tcPr>
            <w:tcW w:w="947" w:type="pct"/>
            <w:noWrap/>
            <w:vAlign w:val="center"/>
          </w:tcPr>
          <w:p>
            <w:pPr>
              <w:pStyle w:val="22"/>
              <w:jc w:val="center"/>
              <w:rPr>
                <w:rFonts w:ascii="Times New Roman" w:hAnsi="Times New Roman"/>
                <w:color w:val="000000"/>
              </w:rPr>
            </w:pPr>
            <w:r>
              <w:rPr>
                <w:rFonts w:ascii="Times New Roman" w:hAnsi="Times New Roman"/>
                <w:color w:val="000000"/>
              </w:rPr>
              <w:t>学生，老师</w:t>
            </w:r>
          </w:p>
        </w:tc>
        <w:tc>
          <w:tcPr>
            <w:tcW w:w="861" w:type="pct"/>
            <w:vMerge w:val="continue"/>
            <w:vAlign w:val="center"/>
          </w:tcPr>
          <w:p>
            <w:pPr>
              <w:widowControl/>
              <w:jc w:val="center"/>
              <w:rPr>
                <w:rFonts w:eastAsia="宋体" w:cs="Times New Roman"/>
                <w:color w:val="000000"/>
                <w:kern w:val="0"/>
                <w:sz w:val="21"/>
              </w:rPr>
            </w:pPr>
          </w:p>
        </w:tc>
        <w:tc>
          <w:tcPr>
            <w:tcW w:w="332" w:type="pct"/>
            <w:noWrap/>
            <w:vAlign w:val="center"/>
          </w:tcPr>
          <w:p>
            <w:pPr>
              <w:jc w:val="center"/>
              <w:rPr>
                <w:rFonts w:cs="Times New Roman"/>
              </w:rPr>
            </w:pPr>
            <w:r>
              <w:rPr>
                <w:rFonts w:eastAsia="宋体" w:cs="Times New Roman"/>
                <w:color w:val="000000"/>
                <w:sz w:val="21"/>
              </w:rPr>
              <w:t>西南</w:t>
            </w:r>
          </w:p>
        </w:tc>
        <w:tc>
          <w:tcPr>
            <w:tcW w:w="521" w:type="pct"/>
            <w:noWrap/>
            <w:vAlign w:val="center"/>
          </w:tcPr>
          <w:p>
            <w:pPr>
              <w:pStyle w:val="22"/>
              <w:jc w:val="center"/>
              <w:rPr>
                <w:rFonts w:ascii="Times New Roman" w:hAnsi="Times New Roman"/>
                <w:color w:val="000000"/>
              </w:rPr>
            </w:pPr>
            <w:r>
              <w:rPr>
                <w:rFonts w:ascii="Times New Roman" w:hAnsi="Times New Roman"/>
                <w:color w:val="000000"/>
              </w:rPr>
              <w:t>766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8" w:type="pct"/>
            <w:vMerge w:val="continue"/>
            <w:vAlign w:val="center"/>
          </w:tcPr>
          <w:p>
            <w:pPr>
              <w:widowControl/>
              <w:jc w:val="center"/>
              <w:rPr>
                <w:rFonts w:eastAsia="宋体" w:cs="Times New Roman"/>
                <w:color w:val="000000"/>
                <w:sz w:val="21"/>
              </w:rPr>
            </w:pPr>
          </w:p>
        </w:tc>
        <w:tc>
          <w:tcPr>
            <w:tcW w:w="508" w:type="pct"/>
            <w:noWrap/>
            <w:vAlign w:val="center"/>
          </w:tcPr>
          <w:p>
            <w:pPr>
              <w:jc w:val="center"/>
              <w:rPr>
                <w:rFonts w:eastAsia="宋体" w:cs="Times New Roman"/>
                <w:color w:val="000000"/>
                <w:sz w:val="21"/>
              </w:rPr>
            </w:pPr>
            <w:r>
              <w:rPr>
                <w:rFonts w:eastAsia="宋体" w:cs="Times New Roman"/>
                <w:color w:val="000000"/>
                <w:sz w:val="21"/>
              </w:rPr>
              <w:t>金庭小区</w:t>
            </w:r>
          </w:p>
        </w:tc>
        <w:tc>
          <w:tcPr>
            <w:tcW w:w="656" w:type="pct"/>
            <w:noWrap/>
            <w:vAlign w:val="center"/>
          </w:tcPr>
          <w:p>
            <w:pPr>
              <w:pStyle w:val="22"/>
              <w:jc w:val="center"/>
              <w:rPr>
                <w:rFonts w:ascii="Times New Roman" w:hAnsi="Times New Roman"/>
                <w:color w:val="000000"/>
              </w:rPr>
            </w:pPr>
            <w:r>
              <w:rPr>
                <w:rFonts w:hint="eastAsia" w:ascii="Times New Roman" w:hAnsi="Times New Roman"/>
                <w:color w:val="000000"/>
              </w:rPr>
              <w:t>12593492.822</w:t>
            </w:r>
          </w:p>
        </w:tc>
        <w:tc>
          <w:tcPr>
            <w:tcW w:w="726" w:type="pct"/>
            <w:noWrap/>
            <w:vAlign w:val="center"/>
          </w:tcPr>
          <w:p>
            <w:pPr>
              <w:pStyle w:val="22"/>
              <w:jc w:val="center"/>
              <w:rPr>
                <w:rFonts w:ascii="Times New Roman" w:hAnsi="Times New Roman"/>
                <w:color w:val="000000"/>
              </w:rPr>
            </w:pPr>
            <w:r>
              <w:rPr>
                <w:rFonts w:hint="eastAsia" w:ascii="Times New Roman" w:hAnsi="Times New Roman"/>
                <w:color w:val="000000"/>
              </w:rPr>
              <w:t>3424482.247</w:t>
            </w:r>
          </w:p>
        </w:tc>
        <w:tc>
          <w:tcPr>
            <w:tcW w:w="947" w:type="pct"/>
            <w:noWrap/>
            <w:vAlign w:val="center"/>
          </w:tcPr>
          <w:p>
            <w:pPr>
              <w:jc w:val="center"/>
              <w:rPr>
                <w:rFonts w:eastAsia="宋体" w:cs="Times New Roman"/>
                <w:color w:val="000000"/>
                <w:sz w:val="21"/>
              </w:rPr>
            </w:pPr>
            <w:r>
              <w:rPr>
                <w:rFonts w:eastAsia="宋体" w:cs="Times New Roman"/>
                <w:color w:val="000000"/>
                <w:sz w:val="21"/>
              </w:rPr>
              <w:t>金庭小区居民</w:t>
            </w:r>
          </w:p>
        </w:tc>
        <w:tc>
          <w:tcPr>
            <w:tcW w:w="861" w:type="pct"/>
            <w:vMerge w:val="continue"/>
            <w:vAlign w:val="center"/>
          </w:tcPr>
          <w:p>
            <w:pPr>
              <w:widowControl/>
              <w:jc w:val="center"/>
              <w:rPr>
                <w:rFonts w:eastAsia="宋体" w:cs="Times New Roman"/>
                <w:color w:val="000000"/>
                <w:kern w:val="0"/>
                <w:sz w:val="21"/>
              </w:rPr>
            </w:pPr>
          </w:p>
        </w:tc>
        <w:tc>
          <w:tcPr>
            <w:tcW w:w="332" w:type="pct"/>
            <w:noWrap/>
            <w:vAlign w:val="center"/>
          </w:tcPr>
          <w:p>
            <w:pPr>
              <w:jc w:val="center"/>
              <w:rPr>
                <w:rFonts w:cs="Times New Roman"/>
              </w:rPr>
            </w:pPr>
            <w:r>
              <w:rPr>
                <w:rFonts w:eastAsia="宋体" w:cs="Times New Roman"/>
                <w:color w:val="000000"/>
                <w:sz w:val="21"/>
              </w:rPr>
              <w:t>西南</w:t>
            </w:r>
          </w:p>
        </w:tc>
        <w:tc>
          <w:tcPr>
            <w:tcW w:w="521" w:type="pct"/>
            <w:noWrap/>
            <w:vAlign w:val="center"/>
          </w:tcPr>
          <w:p>
            <w:pPr>
              <w:pStyle w:val="22"/>
              <w:jc w:val="center"/>
              <w:rPr>
                <w:rFonts w:ascii="Times New Roman" w:hAnsi="Times New Roman"/>
                <w:color w:val="000000"/>
              </w:rPr>
            </w:pPr>
            <w:r>
              <w:rPr>
                <w:rFonts w:ascii="Times New Roman" w:hAnsi="Times New Roman"/>
                <w:color w:val="000000"/>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8" w:type="pct"/>
            <w:vMerge w:val="continue"/>
            <w:vAlign w:val="center"/>
          </w:tcPr>
          <w:p>
            <w:pPr>
              <w:widowControl/>
              <w:jc w:val="center"/>
              <w:rPr>
                <w:rFonts w:eastAsia="宋体" w:cs="Times New Roman"/>
                <w:color w:val="000000"/>
                <w:sz w:val="21"/>
              </w:rPr>
            </w:pPr>
          </w:p>
        </w:tc>
        <w:tc>
          <w:tcPr>
            <w:tcW w:w="508" w:type="pct"/>
            <w:noWrap/>
            <w:vAlign w:val="center"/>
          </w:tcPr>
          <w:p>
            <w:pPr>
              <w:jc w:val="center"/>
              <w:rPr>
                <w:rFonts w:eastAsia="宋体" w:cs="Times New Roman"/>
                <w:color w:val="000000"/>
                <w:sz w:val="21"/>
              </w:rPr>
            </w:pPr>
            <w:r>
              <w:rPr>
                <w:rFonts w:eastAsia="宋体" w:cs="Times New Roman"/>
                <w:color w:val="000000"/>
                <w:sz w:val="21"/>
              </w:rPr>
              <w:t>海华小区</w:t>
            </w:r>
          </w:p>
        </w:tc>
        <w:tc>
          <w:tcPr>
            <w:tcW w:w="656" w:type="pct"/>
            <w:noWrap/>
            <w:vAlign w:val="center"/>
          </w:tcPr>
          <w:p>
            <w:pPr>
              <w:pStyle w:val="22"/>
              <w:jc w:val="center"/>
              <w:rPr>
                <w:rFonts w:ascii="Times New Roman" w:hAnsi="Times New Roman"/>
                <w:color w:val="000000"/>
              </w:rPr>
            </w:pPr>
            <w:r>
              <w:rPr>
                <w:rFonts w:hint="eastAsia" w:ascii="Times New Roman" w:hAnsi="Times New Roman"/>
                <w:color w:val="000000"/>
              </w:rPr>
              <w:t>12593554.927</w:t>
            </w:r>
          </w:p>
        </w:tc>
        <w:tc>
          <w:tcPr>
            <w:tcW w:w="726" w:type="pct"/>
            <w:noWrap/>
            <w:vAlign w:val="center"/>
          </w:tcPr>
          <w:p>
            <w:pPr>
              <w:pStyle w:val="22"/>
              <w:jc w:val="center"/>
              <w:rPr>
                <w:rFonts w:ascii="Times New Roman" w:hAnsi="Times New Roman"/>
                <w:color w:val="000000"/>
              </w:rPr>
            </w:pPr>
            <w:r>
              <w:rPr>
                <w:rFonts w:hint="eastAsia" w:ascii="Times New Roman" w:hAnsi="Times New Roman"/>
                <w:color w:val="000000"/>
              </w:rPr>
              <w:t>3424021.716</w:t>
            </w:r>
          </w:p>
        </w:tc>
        <w:tc>
          <w:tcPr>
            <w:tcW w:w="947" w:type="pct"/>
            <w:noWrap/>
            <w:vAlign w:val="center"/>
          </w:tcPr>
          <w:p>
            <w:pPr>
              <w:jc w:val="center"/>
              <w:rPr>
                <w:rFonts w:eastAsia="宋体" w:cs="Times New Roman"/>
                <w:color w:val="000000"/>
                <w:sz w:val="21"/>
              </w:rPr>
            </w:pPr>
            <w:r>
              <w:rPr>
                <w:rFonts w:eastAsia="宋体" w:cs="Times New Roman"/>
                <w:color w:val="000000"/>
                <w:sz w:val="21"/>
              </w:rPr>
              <w:t>海华小区居民</w:t>
            </w:r>
          </w:p>
        </w:tc>
        <w:tc>
          <w:tcPr>
            <w:tcW w:w="861" w:type="pct"/>
            <w:vMerge w:val="continue"/>
            <w:vAlign w:val="center"/>
          </w:tcPr>
          <w:p>
            <w:pPr>
              <w:widowControl/>
              <w:jc w:val="center"/>
              <w:rPr>
                <w:rFonts w:eastAsia="宋体" w:cs="Times New Roman"/>
                <w:color w:val="000000"/>
                <w:kern w:val="0"/>
                <w:sz w:val="21"/>
              </w:rPr>
            </w:pPr>
          </w:p>
        </w:tc>
        <w:tc>
          <w:tcPr>
            <w:tcW w:w="332" w:type="pct"/>
            <w:noWrap/>
            <w:vAlign w:val="center"/>
          </w:tcPr>
          <w:p>
            <w:pPr>
              <w:jc w:val="center"/>
              <w:rPr>
                <w:rFonts w:cs="Times New Roman"/>
              </w:rPr>
            </w:pPr>
            <w:r>
              <w:rPr>
                <w:rFonts w:eastAsia="宋体" w:cs="Times New Roman"/>
                <w:color w:val="000000"/>
                <w:sz w:val="21"/>
              </w:rPr>
              <w:t>西南</w:t>
            </w:r>
          </w:p>
        </w:tc>
        <w:tc>
          <w:tcPr>
            <w:tcW w:w="521" w:type="pct"/>
            <w:noWrap/>
            <w:vAlign w:val="center"/>
          </w:tcPr>
          <w:p>
            <w:pPr>
              <w:pStyle w:val="22"/>
              <w:jc w:val="center"/>
              <w:rPr>
                <w:rFonts w:ascii="Times New Roman" w:hAnsi="Times New Roman"/>
                <w:color w:val="000000"/>
              </w:rPr>
            </w:pPr>
            <w:r>
              <w:rPr>
                <w:rFonts w:ascii="Times New Roman" w:hAnsi="Times New Roman"/>
                <w:color w:val="000000"/>
              </w:rPr>
              <w:t>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8" w:type="pct"/>
            <w:vMerge w:val="continue"/>
            <w:vAlign w:val="center"/>
          </w:tcPr>
          <w:p>
            <w:pPr>
              <w:widowControl/>
              <w:jc w:val="center"/>
              <w:rPr>
                <w:rFonts w:eastAsia="宋体" w:cs="Times New Roman"/>
                <w:color w:val="000000"/>
                <w:sz w:val="21"/>
              </w:rPr>
            </w:pPr>
          </w:p>
        </w:tc>
        <w:tc>
          <w:tcPr>
            <w:tcW w:w="508" w:type="pct"/>
            <w:noWrap/>
            <w:vAlign w:val="center"/>
          </w:tcPr>
          <w:p>
            <w:pPr>
              <w:jc w:val="center"/>
              <w:rPr>
                <w:rFonts w:eastAsia="宋体" w:cs="Times New Roman"/>
                <w:color w:val="000000"/>
                <w:sz w:val="21"/>
              </w:rPr>
            </w:pPr>
            <w:r>
              <w:rPr>
                <w:rFonts w:eastAsia="宋体" w:cs="Times New Roman"/>
                <w:color w:val="000000"/>
                <w:sz w:val="21"/>
              </w:rPr>
              <w:t>金岳小区</w:t>
            </w:r>
          </w:p>
        </w:tc>
        <w:tc>
          <w:tcPr>
            <w:tcW w:w="656" w:type="pct"/>
            <w:noWrap/>
            <w:vAlign w:val="center"/>
          </w:tcPr>
          <w:p>
            <w:pPr>
              <w:pStyle w:val="22"/>
              <w:jc w:val="center"/>
              <w:rPr>
                <w:rFonts w:ascii="Times New Roman" w:hAnsi="Times New Roman"/>
                <w:color w:val="000000"/>
              </w:rPr>
            </w:pPr>
            <w:r>
              <w:rPr>
                <w:rFonts w:hint="eastAsia" w:ascii="Times New Roman" w:hAnsi="Times New Roman"/>
                <w:color w:val="000000"/>
              </w:rPr>
              <w:t>12593588.368</w:t>
            </w:r>
          </w:p>
        </w:tc>
        <w:tc>
          <w:tcPr>
            <w:tcW w:w="726" w:type="pct"/>
            <w:noWrap/>
            <w:vAlign w:val="center"/>
          </w:tcPr>
          <w:p>
            <w:pPr>
              <w:pStyle w:val="22"/>
              <w:jc w:val="center"/>
              <w:rPr>
                <w:rFonts w:ascii="Times New Roman" w:hAnsi="Times New Roman"/>
                <w:color w:val="000000"/>
              </w:rPr>
            </w:pPr>
            <w:r>
              <w:rPr>
                <w:rFonts w:hint="eastAsia" w:ascii="Times New Roman" w:hAnsi="Times New Roman"/>
                <w:color w:val="000000"/>
              </w:rPr>
              <w:t>3423681.812</w:t>
            </w:r>
          </w:p>
        </w:tc>
        <w:tc>
          <w:tcPr>
            <w:tcW w:w="947" w:type="pct"/>
            <w:noWrap/>
            <w:vAlign w:val="center"/>
          </w:tcPr>
          <w:p>
            <w:pPr>
              <w:jc w:val="center"/>
              <w:rPr>
                <w:rFonts w:eastAsia="宋体" w:cs="Times New Roman"/>
                <w:color w:val="000000"/>
                <w:sz w:val="21"/>
              </w:rPr>
            </w:pPr>
            <w:r>
              <w:rPr>
                <w:rFonts w:eastAsia="宋体" w:cs="Times New Roman"/>
                <w:color w:val="000000"/>
                <w:sz w:val="21"/>
              </w:rPr>
              <w:t>金岳小区居民</w:t>
            </w:r>
          </w:p>
        </w:tc>
        <w:tc>
          <w:tcPr>
            <w:tcW w:w="861" w:type="pct"/>
            <w:vMerge w:val="continue"/>
            <w:vAlign w:val="center"/>
          </w:tcPr>
          <w:p>
            <w:pPr>
              <w:widowControl/>
              <w:jc w:val="center"/>
              <w:rPr>
                <w:rFonts w:eastAsia="宋体" w:cs="Times New Roman"/>
                <w:color w:val="000000"/>
                <w:kern w:val="0"/>
                <w:sz w:val="21"/>
              </w:rPr>
            </w:pPr>
          </w:p>
        </w:tc>
        <w:tc>
          <w:tcPr>
            <w:tcW w:w="332" w:type="pct"/>
            <w:noWrap/>
            <w:vAlign w:val="center"/>
          </w:tcPr>
          <w:p>
            <w:pPr>
              <w:jc w:val="center"/>
              <w:rPr>
                <w:rFonts w:cs="Times New Roman"/>
              </w:rPr>
            </w:pPr>
            <w:r>
              <w:rPr>
                <w:rFonts w:eastAsia="宋体" w:cs="Times New Roman"/>
                <w:color w:val="000000"/>
                <w:sz w:val="21"/>
              </w:rPr>
              <w:t>西南</w:t>
            </w:r>
          </w:p>
        </w:tc>
        <w:tc>
          <w:tcPr>
            <w:tcW w:w="521" w:type="pct"/>
            <w:noWrap/>
            <w:vAlign w:val="center"/>
          </w:tcPr>
          <w:p>
            <w:pPr>
              <w:pStyle w:val="22"/>
              <w:jc w:val="center"/>
              <w:rPr>
                <w:rFonts w:ascii="Times New Roman" w:hAnsi="Times New Roman"/>
                <w:color w:val="000000"/>
              </w:rPr>
            </w:pPr>
            <w:r>
              <w:rPr>
                <w:rFonts w:ascii="Times New Roman" w:hAnsi="Times New Roman"/>
                <w:color w:val="000000"/>
              </w:rPr>
              <w:t>847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37" w:hRule="atLeast"/>
          <w:jc w:val="center"/>
        </w:trPr>
        <w:tc>
          <w:tcPr>
            <w:tcW w:w="448" w:type="pct"/>
            <w:vMerge w:val="continue"/>
            <w:vAlign w:val="center"/>
          </w:tcPr>
          <w:p>
            <w:pPr>
              <w:widowControl/>
              <w:jc w:val="center"/>
              <w:rPr>
                <w:rFonts w:eastAsia="宋体" w:cs="Times New Roman"/>
                <w:color w:val="000000"/>
                <w:sz w:val="21"/>
              </w:rPr>
            </w:pPr>
          </w:p>
        </w:tc>
        <w:tc>
          <w:tcPr>
            <w:tcW w:w="508" w:type="pct"/>
            <w:noWrap/>
            <w:vAlign w:val="center"/>
          </w:tcPr>
          <w:p>
            <w:pPr>
              <w:jc w:val="center"/>
              <w:rPr>
                <w:rFonts w:eastAsia="宋体" w:cs="Times New Roman"/>
                <w:color w:val="000000"/>
                <w:sz w:val="21"/>
              </w:rPr>
            </w:pPr>
            <w:r>
              <w:rPr>
                <w:rFonts w:eastAsia="宋体" w:cs="Times New Roman"/>
                <w:color w:val="000000"/>
                <w:sz w:val="21"/>
              </w:rPr>
              <w:t>岳阳市残疾人康复中心</w:t>
            </w:r>
          </w:p>
        </w:tc>
        <w:tc>
          <w:tcPr>
            <w:tcW w:w="656" w:type="pct"/>
            <w:noWrap/>
            <w:vAlign w:val="center"/>
          </w:tcPr>
          <w:p>
            <w:pPr>
              <w:pStyle w:val="22"/>
              <w:jc w:val="center"/>
              <w:rPr>
                <w:rFonts w:ascii="Times New Roman" w:hAnsi="Times New Roman"/>
                <w:color w:val="000000"/>
              </w:rPr>
            </w:pPr>
            <w:r>
              <w:rPr>
                <w:rFonts w:hint="eastAsia" w:ascii="Times New Roman" w:hAnsi="Times New Roman"/>
                <w:color w:val="000000"/>
              </w:rPr>
              <w:t>12593800.959</w:t>
            </w:r>
          </w:p>
        </w:tc>
        <w:tc>
          <w:tcPr>
            <w:tcW w:w="726" w:type="pct"/>
            <w:noWrap/>
            <w:vAlign w:val="center"/>
          </w:tcPr>
          <w:p>
            <w:pPr>
              <w:pStyle w:val="22"/>
              <w:jc w:val="center"/>
              <w:rPr>
                <w:rFonts w:ascii="Times New Roman" w:hAnsi="Times New Roman"/>
                <w:color w:val="000000"/>
              </w:rPr>
            </w:pPr>
            <w:r>
              <w:rPr>
                <w:rFonts w:hint="eastAsia" w:ascii="Times New Roman" w:hAnsi="Times New Roman"/>
                <w:color w:val="000000"/>
              </w:rPr>
              <w:t>3424480.876</w:t>
            </w:r>
          </w:p>
        </w:tc>
        <w:tc>
          <w:tcPr>
            <w:tcW w:w="947" w:type="pct"/>
            <w:noWrap/>
            <w:vAlign w:val="center"/>
          </w:tcPr>
          <w:p>
            <w:pPr>
              <w:jc w:val="center"/>
              <w:rPr>
                <w:rFonts w:eastAsia="宋体" w:cs="Times New Roman"/>
                <w:color w:val="000000"/>
                <w:sz w:val="21"/>
              </w:rPr>
            </w:pPr>
            <w:r>
              <w:rPr>
                <w:rFonts w:eastAsia="宋体" w:cs="Times New Roman"/>
                <w:color w:val="000000"/>
                <w:sz w:val="21"/>
              </w:rPr>
              <w:t>医护人员和病人</w:t>
            </w:r>
          </w:p>
        </w:tc>
        <w:tc>
          <w:tcPr>
            <w:tcW w:w="861" w:type="pct"/>
            <w:vMerge w:val="continue"/>
            <w:vAlign w:val="center"/>
          </w:tcPr>
          <w:p>
            <w:pPr>
              <w:widowControl/>
              <w:jc w:val="center"/>
              <w:rPr>
                <w:rFonts w:eastAsia="宋体" w:cs="Times New Roman"/>
                <w:color w:val="000000"/>
                <w:kern w:val="0"/>
                <w:sz w:val="21"/>
              </w:rPr>
            </w:pPr>
          </w:p>
        </w:tc>
        <w:tc>
          <w:tcPr>
            <w:tcW w:w="332" w:type="pct"/>
            <w:noWrap/>
            <w:vAlign w:val="center"/>
          </w:tcPr>
          <w:p>
            <w:pPr>
              <w:jc w:val="center"/>
            </w:pPr>
            <w:r>
              <w:rPr>
                <w:rFonts w:eastAsia="宋体" w:cs="Times New Roman"/>
                <w:color w:val="000000"/>
                <w:sz w:val="21"/>
              </w:rPr>
              <w:t>西南</w:t>
            </w:r>
          </w:p>
        </w:tc>
        <w:tc>
          <w:tcPr>
            <w:tcW w:w="521" w:type="pct"/>
            <w:noWrap/>
            <w:vAlign w:val="center"/>
          </w:tcPr>
          <w:p>
            <w:pPr>
              <w:pStyle w:val="22"/>
              <w:jc w:val="center"/>
              <w:rPr>
                <w:rFonts w:ascii="Times New Roman" w:hAnsi="Times New Roman"/>
                <w:color w:val="000000"/>
              </w:rPr>
            </w:pPr>
            <w:r>
              <w:rPr>
                <w:rFonts w:hint="eastAsia" w:ascii="Times New Roman" w:hAnsi="Times New Roman"/>
                <w:color w:val="000000"/>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8" w:type="pct"/>
            <w:vMerge w:val="continue"/>
            <w:vAlign w:val="center"/>
          </w:tcPr>
          <w:p>
            <w:pPr>
              <w:widowControl/>
              <w:jc w:val="center"/>
              <w:rPr>
                <w:rFonts w:eastAsia="宋体" w:cs="Times New Roman"/>
                <w:color w:val="000000"/>
                <w:sz w:val="21"/>
              </w:rPr>
            </w:pPr>
          </w:p>
        </w:tc>
        <w:tc>
          <w:tcPr>
            <w:tcW w:w="508" w:type="pct"/>
            <w:noWrap/>
            <w:vAlign w:val="center"/>
          </w:tcPr>
          <w:p>
            <w:pPr>
              <w:jc w:val="center"/>
              <w:rPr>
                <w:rFonts w:eastAsia="宋体" w:cs="Times New Roman"/>
                <w:color w:val="000000"/>
                <w:sz w:val="21"/>
              </w:rPr>
            </w:pPr>
            <w:r>
              <w:rPr>
                <w:rFonts w:eastAsia="宋体" w:cs="Times New Roman"/>
                <w:color w:val="000000"/>
                <w:sz w:val="21"/>
              </w:rPr>
              <w:t>福颐爱心护理院</w:t>
            </w:r>
          </w:p>
        </w:tc>
        <w:tc>
          <w:tcPr>
            <w:tcW w:w="656" w:type="pct"/>
            <w:noWrap/>
            <w:vAlign w:val="center"/>
          </w:tcPr>
          <w:p>
            <w:pPr>
              <w:pStyle w:val="22"/>
              <w:jc w:val="center"/>
              <w:rPr>
                <w:rFonts w:ascii="Times New Roman" w:hAnsi="Times New Roman"/>
                <w:color w:val="000000"/>
              </w:rPr>
            </w:pPr>
            <w:r>
              <w:rPr>
                <w:rFonts w:hint="eastAsia" w:ascii="Times New Roman" w:hAnsi="Times New Roman"/>
                <w:color w:val="000000"/>
              </w:rPr>
              <w:t>12593732.882</w:t>
            </w:r>
          </w:p>
        </w:tc>
        <w:tc>
          <w:tcPr>
            <w:tcW w:w="726" w:type="pct"/>
            <w:noWrap/>
            <w:vAlign w:val="center"/>
          </w:tcPr>
          <w:p>
            <w:pPr>
              <w:pStyle w:val="22"/>
              <w:jc w:val="center"/>
              <w:rPr>
                <w:rFonts w:ascii="Times New Roman" w:hAnsi="Times New Roman"/>
                <w:color w:val="000000"/>
              </w:rPr>
            </w:pPr>
            <w:r>
              <w:rPr>
                <w:rFonts w:hint="eastAsia" w:ascii="Times New Roman" w:hAnsi="Times New Roman"/>
                <w:color w:val="000000"/>
              </w:rPr>
              <w:t>3424463.057</w:t>
            </w:r>
          </w:p>
        </w:tc>
        <w:tc>
          <w:tcPr>
            <w:tcW w:w="947" w:type="pct"/>
            <w:noWrap/>
            <w:vAlign w:val="center"/>
          </w:tcPr>
          <w:p>
            <w:pPr>
              <w:jc w:val="center"/>
              <w:rPr>
                <w:rFonts w:eastAsia="宋体" w:cs="Times New Roman"/>
                <w:color w:val="000000"/>
                <w:sz w:val="21"/>
              </w:rPr>
            </w:pPr>
            <w:r>
              <w:rPr>
                <w:rFonts w:eastAsia="宋体" w:cs="Times New Roman"/>
                <w:color w:val="000000"/>
                <w:sz w:val="21"/>
              </w:rPr>
              <w:t>医护人员和病人</w:t>
            </w:r>
          </w:p>
        </w:tc>
        <w:tc>
          <w:tcPr>
            <w:tcW w:w="861" w:type="pct"/>
            <w:vMerge w:val="continue"/>
            <w:vAlign w:val="center"/>
          </w:tcPr>
          <w:p>
            <w:pPr>
              <w:widowControl/>
              <w:jc w:val="center"/>
              <w:rPr>
                <w:rFonts w:eastAsia="宋体" w:cs="Times New Roman"/>
                <w:color w:val="000000"/>
                <w:kern w:val="0"/>
                <w:sz w:val="21"/>
              </w:rPr>
            </w:pPr>
          </w:p>
        </w:tc>
        <w:tc>
          <w:tcPr>
            <w:tcW w:w="332" w:type="pct"/>
            <w:noWrap/>
            <w:vAlign w:val="center"/>
          </w:tcPr>
          <w:p>
            <w:pPr>
              <w:jc w:val="center"/>
            </w:pPr>
            <w:r>
              <w:rPr>
                <w:rFonts w:eastAsia="宋体" w:cs="Times New Roman"/>
                <w:color w:val="000000"/>
                <w:sz w:val="21"/>
              </w:rPr>
              <w:t>西南</w:t>
            </w:r>
          </w:p>
        </w:tc>
        <w:tc>
          <w:tcPr>
            <w:tcW w:w="521" w:type="pct"/>
            <w:noWrap/>
            <w:vAlign w:val="center"/>
          </w:tcPr>
          <w:p>
            <w:pPr>
              <w:pStyle w:val="22"/>
              <w:jc w:val="center"/>
              <w:rPr>
                <w:rFonts w:ascii="Times New Roman" w:hAnsi="Times New Roman"/>
                <w:color w:val="000000"/>
              </w:rPr>
            </w:pPr>
            <w:r>
              <w:rPr>
                <w:rFonts w:hint="eastAsia" w:ascii="Times New Roman" w:hAnsi="Times New Roman"/>
                <w:color w:val="000000"/>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8" w:type="pct"/>
            <w:vMerge w:val="continue"/>
            <w:vAlign w:val="center"/>
          </w:tcPr>
          <w:p>
            <w:pPr>
              <w:widowControl/>
              <w:jc w:val="center"/>
              <w:rPr>
                <w:rFonts w:eastAsia="宋体" w:cs="Times New Roman"/>
                <w:color w:val="000000"/>
                <w:sz w:val="21"/>
              </w:rPr>
            </w:pPr>
          </w:p>
        </w:tc>
        <w:tc>
          <w:tcPr>
            <w:tcW w:w="508" w:type="pct"/>
            <w:noWrap/>
            <w:vAlign w:val="center"/>
          </w:tcPr>
          <w:p>
            <w:pPr>
              <w:jc w:val="center"/>
              <w:rPr>
                <w:rFonts w:eastAsia="宋体" w:cs="Times New Roman"/>
                <w:color w:val="000000"/>
                <w:sz w:val="21"/>
              </w:rPr>
            </w:pPr>
            <w:r>
              <w:rPr>
                <w:rFonts w:eastAsia="宋体" w:cs="Times New Roman"/>
                <w:color w:val="000000"/>
                <w:sz w:val="21"/>
              </w:rPr>
              <w:t>爱儿医院</w:t>
            </w:r>
          </w:p>
        </w:tc>
        <w:tc>
          <w:tcPr>
            <w:tcW w:w="656" w:type="pct"/>
            <w:noWrap/>
            <w:vAlign w:val="center"/>
          </w:tcPr>
          <w:p>
            <w:pPr>
              <w:pStyle w:val="22"/>
              <w:jc w:val="center"/>
              <w:rPr>
                <w:rFonts w:ascii="Times New Roman" w:hAnsi="Times New Roman"/>
                <w:color w:val="000000"/>
              </w:rPr>
            </w:pPr>
            <w:r>
              <w:rPr>
                <w:rFonts w:hint="eastAsia" w:ascii="Times New Roman" w:hAnsi="Times New Roman"/>
                <w:color w:val="000000"/>
              </w:rPr>
              <w:t>12593613.748</w:t>
            </w:r>
          </w:p>
        </w:tc>
        <w:tc>
          <w:tcPr>
            <w:tcW w:w="726" w:type="pct"/>
            <w:noWrap/>
            <w:vAlign w:val="center"/>
          </w:tcPr>
          <w:p>
            <w:pPr>
              <w:pStyle w:val="22"/>
              <w:jc w:val="center"/>
              <w:rPr>
                <w:rFonts w:ascii="Times New Roman" w:hAnsi="Times New Roman"/>
                <w:color w:val="000000"/>
              </w:rPr>
            </w:pPr>
            <w:r>
              <w:rPr>
                <w:rFonts w:hint="eastAsia" w:ascii="Times New Roman" w:hAnsi="Times New Roman"/>
                <w:color w:val="000000"/>
              </w:rPr>
              <w:t>3424523.023</w:t>
            </w:r>
          </w:p>
        </w:tc>
        <w:tc>
          <w:tcPr>
            <w:tcW w:w="947" w:type="pct"/>
            <w:noWrap/>
            <w:vAlign w:val="center"/>
          </w:tcPr>
          <w:p>
            <w:pPr>
              <w:jc w:val="center"/>
              <w:rPr>
                <w:rFonts w:eastAsia="宋体" w:cs="Times New Roman"/>
                <w:color w:val="000000"/>
                <w:sz w:val="21"/>
              </w:rPr>
            </w:pPr>
            <w:r>
              <w:rPr>
                <w:rFonts w:eastAsia="宋体" w:cs="Times New Roman"/>
                <w:color w:val="000000"/>
                <w:sz w:val="21"/>
              </w:rPr>
              <w:t>医护人员和病人</w:t>
            </w:r>
          </w:p>
        </w:tc>
        <w:tc>
          <w:tcPr>
            <w:tcW w:w="861" w:type="pct"/>
            <w:vMerge w:val="continue"/>
            <w:vAlign w:val="center"/>
          </w:tcPr>
          <w:p>
            <w:pPr>
              <w:widowControl/>
              <w:jc w:val="center"/>
              <w:rPr>
                <w:rFonts w:eastAsia="宋体" w:cs="Times New Roman"/>
                <w:color w:val="000000"/>
                <w:kern w:val="0"/>
                <w:sz w:val="21"/>
              </w:rPr>
            </w:pPr>
          </w:p>
        </w:tc>
        <w:tc>
          <w:tcPr>
            <w:tcW w:w="332" w:type="pct"/>
            <w:noWrap/>
            <w:vAlign w:val="center"/>
          </w:tcPr>
          <w:p>
            <w:pPr>
              <w:jc w:val="center"/>
            </w:pPr>
            <w:r>
              <w:rPr>
                <w:rFonts w:eastAsia="宋体" w:cs="Times New Roman"/>
                <w:color w:val="000000"/>
                <w:sz w:val="21"/>
              </w:rPr>
              <w:t>西</w:t>
            </w:r>
            <w:r>
              <w:rPr>
                <w:rFonts w:hint="eastAsia" w:eastAsia="宋体" w:cs="Times New Roman"/>
                <w:color w:val="000000"/>
                <w:sz w:val="21"/>
              </w:rPr>
              <w:t>侧</w:t>
            </w:r>
          </w:p>
        </w:tc>
        <w:tc>
          <w:tcPr>
            <w:tcW w:w="521" w:type="pct"/>
            <w:noWrap/>
            <w:vAlign w:val="center"/>
          </w:tcPr>
          <w:p>
            <w:pPr>
              <w:pStyle w:val="22"/>
              <w:jc w:val="center"/>
              <w:rPr>
                <w:rFonts w:ascii="Times New Roman" w:hAnsi="Times New Roman"/>
                <w:color w:val="000000"/>
              </w:rPr>
            </w:pPr>
            <w:r>
              <w:rPr>
                <w:rFonts w:hint="eastAsia" w:ascii="Times New Roman" w:hAnsi="Times New Roman"/>
                <w:color w:val="000000"/>
              </w:rPr>
              <w:t>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8" w:type="pct"/>
            <w:vMerge w:val="continue"/>
            <w:vAlign w:val="center"/>
          </w:tcPr>
          <w:p>
            <w:pPr>
              <w:widowControl/>
              <w:jc w:val="center"/>
              <w:rPr>
                <w:rFonts w:eastAsia="宋体" w:cs="Times New Roman"/>
                <w:color w:val="000000"/>
                <w:sz w:val="21"/>
              </w:rPr>
            </w:pPr>
          </w:p>
        </w:tc>
        <w:tc>
          <w:tcPr>
            <w:tcW w:w="508" w:type="pct"/>
            <w:noWrap/>
            <w:vAlign w:val="center"/>
          </w:tcPr>
          <w:p>
            <w:pPr>
              <w:jc w:val="center"/>
              <w:rPr>
                <w:rFonts w:eastAsia="宋体" w:cs="Times New Roman"/>
                <w:color w:val="000000"/>
                <w:sz w:val="21"/>
                <w:u w:val="single"/>
              </w:rPr>
            </w:pPr>
            <w:r>
              <w:rPr>
                <w:rFonts w:eastAsia="宋体" w:cs="Times New Roman"/>
                <w:color w:val="000000"/>
                <w:sz w:val="21"/>
                <w:u w:val="single"/>
              </w:rPr>
              <w:t>老年呵护大楼</w:t>
            </w:r>
          </w:p>
        </w:tc>
        <w:tc>
          <w:tcPr>
            <w:tcW w:w="656" w:type="pct"/>
            <w:noWrap/>
            <w:vAlign w:val="center"/>
          </w:tcPr>
          <w:p>
            <w:pPr>
              <w:pStyle w:val="22"/>
              <w:jc w:val="center"/>
              <w:rPr>
                <w:rFonts w:ascii="Times New Roman" w:hAnsi="Times New Roman"/>
                <w:color w:val="000000"/>
              </w:rPr>
            </w:pPr>
            <w:r>
              <w:rPr>
                <w:rFonts w:hint="eastAsia" w:ascii="Times New Roman" w:hAnsi="Times New Roman"/>
                <w:color w:val="000000"/>
              </w:rPr>
              <w:t>12594057.438</w:t>
            </w:r>
          </w:p>
        </w:tc>
        <w:tc>
          <w:tcPr>
            <w:tcW w:w="726" w:type="pct"/>
            <w:noWrap/>
            <w:vAlign w:val="center"/>
          </w:tcPr>
          <w:p>
            <w:pPr>
              <w:pStyle w:val="22"/>
              <w:jc w:val="center"/>
              <w:rPr>
                <w:rFonts w:ascii="Times New Roman" w:hAnsi="Times New Roman"/>
                <w:color w:val="000000"/>
              </w:rPr>
            </w:pPr>
            <w:r>
              <w:rPr>
                <w:rFonts w:hint="eastAsia" w:ascii="Times New Roman" w:hAnsi="Times New Roman"/>
                <w:color w:val="000000"/>
              </w:rPr>
              <w:t>3424592.262</w:t>
            </w:r>
          </w:p>
        </w:tc>
        <w:tc>
          <w:tcPr>
            <w:tcW w:w="947" w:type="pct"/>
            <w:noWrap/>
            <w:vAlign w:val="center"/>
          </w:tcPr>
          <w:p>
            <w:pPr>
              <w:jc w:val="center"/>
              <w:rPr>
                <w:u w:val="single"/>
              </w:rPr>
            </w:pPr>
            <w:r>
              <w:rPr>
                <w:rFonts w:eastAsia="宋体" w:cs="Times New Roman"/>
                <w:color w:val="000000"/>
                <w:sz w:val="21"/>
                <w:u w:val="single"/>
              </w:rPr>
              <w:t>医护人员和病人</w:t>
            </w:r>
          </w:p>
        </w:tc>
        <w:tc>
          <w:tcPr>
            <w:tcW w:w="861" w:type="pct"/>
            <w:vMerge w:val="continue"/>
            <w:vAlign w:val="center"/>
          </w:tcPr>
          <w:p>
            <w:pPr>
              <w:widowControl/>
              <w:jc w:val="center"/>
              <w:rPr>
                <w:rFonts w:eastAsia="宋体" w:cs="Times New Roman"/>
                <w:color w:val="000000"/>
                <w:kern w:val="0"/>
                <w:sz w:val="21"/>
                <w:u w:val="single"/>
              </w:rPr>
            </w:pPr>
          </w:p>
        </w:tc>
        <w:tc>
          <w:tcPr>
            <w:tcW w:w="853" w:type="pct"/>
            <w:gridSpan w:val="2"/>
            <w:noWrap/>
            <w:vAlign w:val="center"/>
          </w:tcPr>
          <w:p>
            <w:pPr>
              <w:pStyle w:val="22"/>
              <w:jc w:val="center"/>
              <w:rPr>
                <w:rFonts w:ascii="Times New Roman" w:hAnsi="Times New Roman"/>
                <w:color w:val="000000"/>
                <w:u w:val="single"/>
              </w:rPr>
            </w:pPr>
            <w:r>
              <w:rPr>
                <w:rFonts w:hint="eastAsia" w:ascii="Times New Roman" w:hAnsi="Times New Roman"/>
                <w:color w:val="000000"/>
                <w:u w:val="single"/>
              </w:rPr>
              <w:t>院内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8" w:type="pct"/>
            <w:vMerge w:val="continue"/>
            <w:vAlign w:val="center"/>
          </w:tcPr>
          <w:p>
            <w:pPr>
              <w:widowControl/>
              <w:jc w:val="center"/>
              <w:rPr>
                <w:rFonts w:eastAsia="宋体" w:cs="Times New Roman"/>
                <w:color w:val="000000"/>
                <w:sz w:val="21"/>
              </w:rPr>
            </w:pPr>
          </w:p>
        </w:tc>
        <w:tc>
          <w:tcPr>
            <w:tcW w:w="508" w:type="pct"/>
            <w:noWrap/>
            <w:vAlign w:val="center"/>
          </w:tcPr>
          <w:p>
            <w:pPr>
              <w:jc w:val="center"/>
              <w:rPr>
                <w:rFonts w:eastAsia="宋体" w:cs="Times New Roman"/>
                <w:color w:val="000000"/>
                <w:sz w:val="21"/>
                <w:u w:val="single"/>
              </w:rPr>
            </w:pPr>
            <w:r>
              <w:rPr>
                <w:rFonts w:eastAsia="宋体" w:cs="Times New Roman"/>
                <w:color w:val="000000"/>
                <w:sz w:val="21"/>
                <w:u w:val="single"/>
              </w:rPr>
              <w:t>精神科大楼</w:t>
            </w:r>
          </w:p>
        </w:tc>
        <w:tc>
          <w:tcPr>
            <w:tcW w:w="656" w:type="pct"/>
            <w:noWrap/>
            <w:vAlign w:val="center"/>
          </w:tcPr>
          <w:p>
            <w:pPr>
              <w:pStyle w:val="22"/>
              <w:jc w:val="center"/>
              <w:rPr>
                <w:rFonts w:ascii="Times New Roman" w:hAnsi="Times New Roman"/>
                <w:color w:val="000000"/>
              </w:rPr>
            </w:pPr>
            <w:r>
              <w:rPr>
                <w:rFonts w:hint="eastAsia" w:ascii="Times New Roman" w:hAnsi="Times New Roman"/>
                <w:color w:val="000000"/>
              </w:rPr>
              <w:t>12594101.031</w:t>
            </w:r>
          </w:p>
        </w:tc>
        <w:tc>
          <w:tcPr>
            <w:tcW w:w="726" w:type="pct"/>
            <w:noWrap/>
            <w:vAlign w:val="center"/>
          </w:tcPr>
          <w:p>
            <w:pPr>
              <w:pStyle w:val="22"/>
              <w:jc w:val="center"/>
              <w:rPr>
                <w:rFonts w:ascii="Times New Roman" w:hAnsi="Times New Roman"/>
                <w:color w:val="000000"/>
              </w:rPr>
            </w:pPr>
            <w:r>
              <w:rPr>
                <w:rFonts w:hint="eastAsia" w:ascii="Times New Roman" w:hAnsi="Times New Roman"/>
                <w:color w:val="000000"/>
              </w:rPr>
              <w:t>3424562.108</w:t>
            </w:r>
          </w:p>
        </w:tc>
        <w:tc>
          <w:tcPr>
            <w:tcW w:w="947" w:type="pct"/>
            <w:noWrap/>
            <w:vAlign w:val="center"/>
          </w:tcPr>
          <w:p>
            <w:pPr>
              <w:jc w:val="center"/>
              <w:rPr>
                <w:u w:val="single"/>
              </w:rPr>
            </w:pPr>
            <w:r>
              <w:rPr>
                <w:rFonts w:eastAsia="宋体" w:cs="Times New Roman"/>
                <w:color w:val="000000"/>
                <w:sz w:val="21"/>
                <w:u w:val="single"/>
              </w:rPr>
              <w:t>医护人员和病人</w:t>
            </w:r>
          </w:p>
        </w:tc>
        <w:tc>
          <w:tcPr>
            <w:tcW w:w="861" w:type="pct"/>
            <w:vMerge w:val="continue"/>
            <w:vAlign w:val="center"/>
          </w:tcPr>
          <w:p>
            <w:pPr>
              <w:widowControl/>
              <w:jc w:val="center"/>
              <w:rPr>
                <w:rFonts w:eastAsia="宋体" w:cs="Times New Roman"/>
                <w:color w:val="000000"/>
                <w:kern w:val="0"/>
                <w:sz w:val="21"/>
                <w:u w:val="single"/>
              </w:rPr>
            </w:pPr>
          </w:p>
        </w:tc>
        <w:tc>
          <w:tcPr>
            <w:tcW w:w="853" w:type="pct"/>
            <w:gridSpan w:val="2"/>
            <w:noWrap/>
            <w:vAlign w:val="center"/>
          </w:tcPr>
          <w:p>
            <w:pPr>
              <w:pStyle w:val="22"/>
              <w:jc w:val="center"/>
              <w:rPr>
                <w:rFonts w:ascii="Times New Roman" w:hAnsi="Times New Roman"/>
                <w:color w:val="000000"/>
                <w:u w:val="single"/>
              </w:rPr>
            </w:pPr>
            <w:r>
              <w:rPr>
                <w:rFonts w:hint="eastAsia" w:ascii="Times New Roman" w:hAnsi="Times New Roman"/>
                <w:color w:val="000000"/>
                <w:u w:val="single"/>
              </w:rPr>
              <w:t>院内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8" w:type="pct"/>
            <w:vMerge w:val="continue"/>
            <w:vAlign w:val="center"/>
          </w:tcPr>
          <w:p>
            <w:pPr>
              <w:widowControl/>
              <w:jc w:val="center"/>
              <w:rPr>
                <w:rFonts w:eastAsia="宋体" w:cs="Times New Roman"/>
                <w:color w:val="000000"/>
                <w:sz w:val="21"/>
              </w:rPr>
            </w:pPr>
          </w:p>
        </w:tc>
        <w:tc>
          <w:tcPr>
            <w:tcW w:w="508" w:type="pct"/>
            <w:noWrap/>
            <w:vAlign w:val="center"/>
          </w:tcPr>
          <w:p>
            <w:pPr>
              <w:jc w:val="center"/>
              <w:rPr>
                <w:rFonts w:eastAsia="宋体" w:cs="Times New Roman"/>
                <w:color w:val="000000"/>
                <w:sz w:val="21"/>
                <w:u w:val="single"/>
              </w:rPr>
            </w:pPr>
            <w:r>
              <w:rPr>
                <w:sz w:val="21"/>
                <w:u w:val="single"/>
              </w:rPr>
              <w:t>职工</w:t>
            </w:r>
            <w:r>
              <w:rPr>
                <w:rFonts w:hint="eastAsia"/>
                <w:sz w:val="21"/>
                <w:u w:val="single"/>
              </w:rPr>
              <w:t>公寓（1）</w:t>
            </w:r>
          </w:p>
        </w:tc>
        <w:tc>
          <w:tcPr>
            <w:tcW w:w="656" w:type="pct"/>
            <w:noWrap/>
            <w:vAlign w:val="center"/>
          </w:tcPr>
          <w:p>
            <w:pPr>
              <w:pStyle w:val="22"/>
              <w:jc w:val="center"/>
              <w:rPr>
                <w:rFonts w:ascii="Times New Roman" w:hAnsi="Times New Roman"/>
                <w:color w:val="000000"/>
              </w:rPr>
            </w:pPr>
            <w:r>
              <w:rPr>
                <w:rFonts w:hint="eastAsia" w:ascii="Times New Roman" w:hAnsi="Times New Roman"/>
                <w:color w:val="000000"/>
              </w:rPr>
              <w:t>12593952.337</w:t>
            </w:r>
          </w:p>
        </w:tc>
        <w:tc>
          <w:tcPr>
            <w:tcW w:w="726" w:type="pct"/>
            <w:noWrap/>
            <w:vAlign w:val="center"/>
          </w:tcPr>
          <w:p>
            <w:pPr>
              <w:pStyle w:val="22"/>
              <w:jc w:val="center"/>
              <w:rPr>
                <w:rFonts w:ascii="Times New Roman" w:hAnsi="Times New Roman"/>
                <w:color w:val="000000"/>
              </w:rPr>
            </w:pPr>
            <w:r>
              <w:rPr>
                <w:rFonts w:hint="eastAsia" w:ascii="Times New Roman" w:hAnsi="Times New Roman"/>
                <w:color w:val="000000"/>
              </w:rPr>
              <w:t>3424547.716</w:t>
            </w:r>
          </w:p>
        </w:tc>
        <w:tc>
          <w:tcPr>
            <w:tcW w:w="947" w:type="pct"/>
            <w:noWrap/>
            <w:vAlign w:val="center"/>
          </w:tcPr>
          <w:p>
            <w:pPr>
              <w:jc w:val="center"/>
              <w:rPr>
                <w:rFonts w:eastAsia="宋体" w:cs="Times New Roman"/>
                <w:color w:val="000000"/>
                <w:sz w:val="21"/>
                <w:u w:val="single"/>
              </w:rPr>
            </w:pPr>
            <w:r>
              <w:rPr>
                <w:rFonts w:eastAsia="宋体" w:cs="Times New Roman"/>
                <w:color w:val="000000"/>
                <w:sz w:val="21"/>
                <w:u w:val="single"/>
              </w:rPr>
              <w:t>职工人员</w:t>
            </w:r>
          </w:p>
        </w:tc>
        <w:tc>
          <w:tcPr>
            <w:tcW w:w="861" w:type="pct"/>
            <w:vMerge w:val="continue"/>
            <w:vAlign w:val="center"/>
          </w:tcPr>
          <w:p>
            <w:pPr>
              <w:widowControl/>
              <w:jc w:val="center"/>
              <w:rPr>
                <w:rFonts w:eastAsia="宋体" w:cs="Times New Roman"/>
                <w:color w:val="000000"/>
                <w:kern w:val="0"/>
                <w:sz w:val="21"/>
                <w:u w:val="single"/>
              </w:rPr>
            </w:pPr>
          </w:p>
        </w:tc>
        <w:tc>
          <w:tcPr>
            <w:tcW w:w="853" w:type="pct"/>
            <w:gridSpan w:val="2"/>
            <w:noWrap/>
            <w:vAlign w:val="center"/>
          </w:tcPr>
          <w:p>
            <w:pPr>
              <w:pStyle w:val="22"/>
              <w:jc w:val="center"/>
              <w:rPr>
                <w:rFonts w:ascii="Times New Roman" w:hAnsi="Times New Roman"/>
                <w:color w:val="000000"/>
                <w:u w:val="single"/>
              </w:rPr>
            </w:pPr>
            <w:r>
              <w:rPr>
                <w:rFonts w:hint="eastAsia" w:ascii="Times New Roman" w:hAnsi="Times New Roman"/>
                <w:color w:val="000000"/>
                <w:u w:val="single"/>
              </w:rPr>
              <w:t>院内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8" w:type="pct"/>
            <w:vMerge w:val="continue"/>
            <w:vAlign w:val="center"/>
          </w:tcPr>
          <w:p>
            <w:pPr>
              <w:widowControl/>
              <w:jc w:val="center"/>
              <w:rPr>
                <w:rFonts w:eastAsia="宋体" w:cs="Times New Roman"/>
                <w:color w:val="000000"/>
                <w:sz w:val="21"/>
              </w:rPr>
            </w:pPr>
          </w:p>
        </w:tc>
        <w:tc>
          <w:tcPr>
            <w:tcW w:w="508" w:type="pct"/>
            <w:noWrap/>
            <w:vAlign w:val="center"/>
          </w:tcPr>
          <w:p>
            <w:pPr>
              <w:jc w:val="center"/>
              <w:rPr>
                <w:sz w:val="21"/>
                <w:u w:val="single"/>
              </w:rPr>
            </w:pPr>
            <w:r>
              <w:rPr>
                <w:sz w:val="21"/>
                <w:u w:val="single"/>
              </w:rPr>
              <w:t>职工</w:t>
            </w:r>
            <w:r>
              <w:rPr>
                <w:rFonts w:hint="eastAsia"/>
                <w:sz w:val="21"/>
                <w:u w:val="single"/>
              </w:rPr>
              <w:t>公寓（2）</w:t>
            </w:r>
          </w:p>
        </w:tc>
        <w:tc>
          <w:tcPr>
            <w:tcW w:w="656" w:type="pct"/>
            <w:noWrap/>
            <w:vAlign w:val="center"/>
          </w:tcPr>
          <w:p>
            <w:pPr>
              <w:pStyle w:val="22"/>
              <w:jc w:val="center"/>
              <w:rPr>
                <w:rFonts w:ascii="Times New Roman" w:hAnsi="Times New Roman"/>
                <w:color w:val="000000"/>
              </w:rPr>
            </w:pPr>
            <w:r>
              <w:rPr>
                <w:rFonts w:hint="eastAsia" w:ascii="Times New Roman" w:hAnsi="Times New Roman"/>
                <w:color w:val="000000"/>
              </w:rPr>
              <w:t>12593972.044</w:t>
            </w:r>
          </w:p>
        </w:tc>
        <w:tc>
          <w:tcPr>
            <w:tcW w:w="726" w:type="pct"/>
            <w:noWrap/>
            <w:vAlign w:val="center"/>
          </w:tcPr>
          <w:p>
            <w:pPr>
              <w:pStyle w:val="22"/>
              <w:jc w:val="center"/>
              <w:rPr>
                <w:rFonts w:ascii="Times New Roman" w:hAnsi="Times New Roman"/>
                <w:color w:val="000000"/>
              </w:rPr>
            </w:pPr>
            <w:r>
              <w:rPr>
                <w:rFonts w:hint="eastAsia" w:ascii="Times New Roman" w:hAnsi="Times New Roman"/>
                <w:color w:val="000000"/>
              </w:rPr>
              <w:t>3424605.284</w:t>
            </w:r>
          </w:p>
        </w:tc>
        <w:tc>
          <w:tcPr>
            <w:tcW w:w="947" w:type="pct"/>
            <w:noWrap/>
            <w:vAlign w:val="center"/>
          </w:tcPr>
          <w:p>
            <w:pPr>
              <w:jc w:val="center"/>
              <w:rPr>
                <w:rFonts w:eastAsia="宋体" w:cs="Times New Roman"/>
                <w:color w:val="000000"/>
                <w:sz w:val="21"/>
                <w:u w:val="single"/>
              </w:rPr>
            </w:pPr>
            <w:r>
              <w:rPr>
                <w:rFonts w:eastAsia="宋体" w:cs="Times New Roman"/>
                <w:color w:val="000000"/>
                <w:sz w:val="21"/>
                <w:u w:val="single"/>
              </w:rPr>
              <w:t>职工人员</w:t>
            </w:r>
          </w:p>
        </w:tc>
        <w:tc>
          <w:tcPr>
            <w:tcW w:w="861" w:type="pct"/>
            <w:vMerge w:val="continue"/>
            <w:vAlign w:val="center"/>
          </w:tcPr>
          <w:p>
            <w:pPr>
              <w:widowControl/>
              <w:jc w:val="center"/>
              <w:rPr>
                <w:rFonts w:eastAsia="宋体" w:cs="Times New Roman"/>
                <w:color w:val="000000"/>
                <w:kern w:val="0"/>
                <w:sz w:val="21"/>
                <w:u w:val="single"/>
              </w:rPr>
            </w:pPr>
          </w:p>
        </w:tc>
        <w:tc>
          <w:tcPr>
            <w:tcW w:w="853" w:type="pct"/>
            <w:gridSpan w:val="2"/>
            <w:noWrap/>
            <w:vAlign w:val="center"/>
          </w:tcPr>
          <w:p>
            <w:pPr>
              <w:pStyle w:val="22"/>
              <w:jc w:val="center"/>
              <w:rPr>
                <w:rFonts w:ascii="Times New Roman" w:hAnsi="Times New Roman"/>
                <w:color w:val="000000"/>
                <w:u w:val="single"/>
              </w:rPr>
            </w:pPr>
            <w:r>
              <w:rPr>
                <w:rFonts w:hint="eastAsia" w:ascii="Times New Roman" w:hAnsi="Times New Roman"/>
                <w:color w:val="000000"/>
                <w:u w:val="single"/>
              </w:rPr>
              <w:t>院内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8" w:type="pct"/>
            <w:vMerge w:val="restart"/>
            <w:noWrap/>
            <w:vAlign w:val="center"/>
          </w:tcPr>
          <w:p>
            <w:pPr>
              <w:wordWrap w:val="0"/>
              <w:jc w:val="center"/>
              <w:rPr>
                <w:rFonts w:eastAsia="宋体" w:cs="Times New Roman"/>
                <w:color w:val="000000"/>
                <w:sz w:val="21"/>
              </w:rPr>
            </w:pPr>
            <w:r>
              <w:rPr>
                <w:rFonts w:eastAsia="宋体" w:cs="Times New Roman"/>
                <w:color w:val="000000"/>
                <w:sz w:val="21"/>
              </w:rPr>
              <w:t>声环境</w:t>
            </w:r>
          </w:p>
        </w:tc>
        <w:tc>
          <w:tcPr>
            <w:tcW w:w="508" w:type="pct"/>
            <w:noWrap/>
            <w:vAlign w:val="center"/>
          </w:tcPr>
          <w:p>
            <w:pPr>
              <w:jc w:val="center"/>
              <w:rPr>
                <w:rFonts w:eastAsia="宋体" w:cs="Times New Roman"/>
                <w:color w:val="000000"/>
                <w:sz w:val="21"/>
              </w:rPr>
            </w:pPr>
            <w:r>
              <w:rPr>
                <w:rFonts w:eastAsia="宋体" w:cs="Times New Roman"/>
                <w:color w:val="000000"/>
                <w:sz w:val="21"/>
              </w:rPr>
              <w:t>实圆小区</w:t>
            </w:r>
          </w:p>
        </w:tc>
        <w:tc>
          <w:tcPr>
            <w:tcW w:w="656" w:type="pct"/>
            <w:noWrap/>
            <w:vAlign w:val="center"/>
          </w:tcPr>
          <w:p>
            <w:pPr>
              <w:pStyle w:val="22"/>
              <w:jc w:val="center"/>
              <w:rPr>
                <w:rFonts w:ascii="Times New Roman" w:hAnsi="Times New Roman"/>
                <w:color w:val="000000"/>
              </w:rPr>
            </w:pPr>
            <w:r>
              <w:rPr>
                <w:rFonts w:ascii="Times New Roman" w:hAnsi="Times New Roman"/>
                <w:color w:val="000000"/>
              </w:rPr>
              <w:t>12593726.910</w:t>
            </w:r>
          </w:p>
        </w:tc>
        <w:tc>
          <w:tcPr>
            <w:tcW w:w="726" w:type="pct"/>
            <w:noWrap/>
            <w:vAlign w:val="center"/>
          </w:tcPr>
          <w:p>
            <w:pPr>
              <w:pStyle w:val="22"/>
              <w:jc w:val="center"/>
              <w:rPr>
                <w:rFonts w:ascii="Times New Roman" w:hAnsi="Times New Roman"/>
                <w:color w:val="000000"/>
              </w:rPr>
            </w:pPr>
            <w:r>
              <w:rPr>
                <w:rFonts w:ascii="Times New Roman" w:hAnsi="Times New Roman"/>
                <w:color w:val="000000"/>
              </w:rPr>
              <w:t>3424415.085</w:t>
            </w:r>
          </w:p>
        </w:tc>
        <w:tc>
          <w:tcPr>
            <w:tcW w:w="947" w:type="pct"/>
            <w:noWrap/>
            <w:vAlign w:val="center"/>
          </w:tcPr>
          <w:p>
            <w:pPr>
              <w:pStyle w:val="22"/>
              <w:jc w:val="center"/>
              <w:rPr>
                <w:rFonts w:ascii="Times New Roman" w:hAnsi="Times New Roman"/>
                <w:color w:val="000000"/>
              </w:rPr>
            </w:pPr>
            <w:r>
              <w:rPr>
                <w:rFonts w:ascii="Times New Roman" w:hAnsi="Times New Roman"/>
                <w:color w:val="000000"/>
              </w:rPr>
              <w:t>实圆小区居民</w:t>
            </w:r>
          </w:p>
        </w:tc>
        <w:tc>
          <w:tcPr>
            <w:tcW w:w="861" w:type="pct"/>
            <w:vMerge w:val="restart"/>
            <w:noWrap/>
            <w:vAlign w:val="center"/>
          </w:tcPr>
          <w:p>
            <w:pPr>
              <w:widowControl/>
              <w:jc w:val="center"/>
              <w:rPr>
                <w:rFonts w:eastAsia="宋体" w:cs="Times New Roman"/>
                <w:color w:val="000000"/>
                <w:kern w:val="0"/>
                <w:sz w:val="21"/>
              </w:rPr>
            </w:pPr>
            <w:r>
              <w:rPr>
                <w:rFonts w:eastAsia="宋体" w:cs="Times New Roman"/>
                <w:color w:val="000000"/>
                <w:kern w:val="0"/>
                <w:sz w:val="21"/>
              </w:rPr>
              <w:t>执行《声环境质量标准》（GB3096-2008）中的2类标准</w:t>
            </w:r>
          </w:p>
        </w:tc>
        <w:tc>
          <w:tcPr>
            <w:tcW w:w="332" w:type="pct"/>
            <w:noWrap/>
            <w:vAlign w:val="center"/>
          </w:tcPr>
          <w:p>
            <w:pPr>
              <w:wordWrap w:val="0"/>
              <w:jc w:val="center"/>
              <w:rPr>
                <w:rFonts w:eastAsia="宋体" w:cs="Times New Roman"/>
                <w:color w:val="000000"/>
                <w:sz w:val="21"/>
              </w:rPr>
            </w:pPr>
            <w:r>
              <w:rPr>
                <w:rFonts w:eastAsia="宋体" w:cs="Times New Roman"/>
                <w:color w:val="000000"/>
                <w:sz w:val="21"/>
              </w:rPr>
              <w:t>西南</w:t>
            </w:r>
          </w:p>
        </w:tc>
        <w:tc>
          <w:tcPr>
            <w:tcW w:w="521" w:type="pct"/>
            <w:noWrap/>
            <w:vAlign w:val="center"/>
          </w:tcPr>
          <w:p>
            <w:pPr>
              <w:pStyle w:val="22"/>
              <w:jc w:val="center"/>
              <w:rPr>
                <w:rFonts w:ascii="Times New Roman" w:hAnsi="Times New Roman"/>
                <w:color w:val="000000"/>
              </w:rPr>
            </w:pPr>
            <w:r>
              <w:rPr>
                <w:rFonts w:ascii="Times New Roman" w:hAnsi="Times New Roman"/>
                <w:color w:val="000000"/>
              </w:rPr>
              <w:t>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8" w:type="pct"/>
            <w:vMerge w:val="continue"/>
            <w:noWrap/>
            <w:vAlign w:val="center"/>
          </w:tcPr>
          <w:p>
            <w:pPr>
              <w:wordWrap w:val="0"/>
              <w:jc w:val="center"/>
              <w:rPr>
                <w:rFonts w:eastAsia="宋体" w:cs="Times New Roman"/>
                <w:color w:val="000000"/>
                <w:sz w:val="21"/>
              </w:rPr>
            </w:pPr>
          </w:p>
        </w:tc>
        <w:tc>
          <w:tcPr>
            <w:tcW w:w="508" w:type="pct"/>
            <w:noWrap/>
            <w:vAlign w:val="center"/>
          </w:tcPr>
          <w:p>
            <w:pPr>
              <w:jc w:val="center"/>
              <w:rPr>
                <w:rFonts w:eastAsia="宋体" w:cs="Times New Roman"/>
                <w:color w:val="000000"/>
                <w:sz w:val="21"/>
              </w:rPr>
            </w:pPr>
            <w:r>
              <w:rPr>
                <w:rFonts w:eastAsia="宋体" w:cs="Times New Roman"/>
                <w:color w:val="000000"/>
                <w:sz w:val="21"/>
              </w:rPr>
              <w:t>新超人幼儿园</w:t>
            </w:r>
          </w:p>
        </w:tc>
        <w:tc>
          <w:tcPr>
            <w:tcW w:w="656" w:type="pct"/>
            <w:noWrap/>
            <w:vAlign w:val="center"/>
          </w:tcPr>
          <w:p>
            <w:pPr>
              <w:pStyle w:val="22"/>
              <w:jc w:val="center"/>
              <w:rPr>
                <w:rFonts w:ascii="Times New Roman" w:hAnsi="Times New Roman"/>
                <w:color w:val="000000"/>
              </w:rPr>
            </w:pPr>
            <w:r>
              <w:rPr>
                <w:rFonts w:ascii="Times New Roman" w:hAnsi="Times New Roman"/>
                <w:color w:val="000000"/>
              </w:rPr>
              <w:t>12593769.906</w:t>
            </w:r>
          </w:p>
        </w:tc>
        <w:tc>
          <w:tcPr>
            <w:tcW w:w="726" w:type="pct"/>
            <w:noWrap/>
            <w:vAlign w:val="center"/>
          </w:tcPr>
          <w:p>
            <w:pPr>
              <w:pStyle w:val="22"/>
              <w:jc w:val="center"/>
              <w:rPr>
                <w:rFonts w:ascii="Times New Roman" w:hAnsi="Times New Roman"/>
                <w:color w:val="000000"/>
              </w:rPr>
            </w:pPr>
            <w:r>
              <w:rPr>
                <w:rFonts w:ascii="Times New Roman" w:hAnsi="Times New Roman"/>
                <w:color w:val="000000"/>
              </w:rPr>
              <w:t>3424554.891</w:t>
            </w:r>
          </w:p>
        </w:tc>
        <w:tc>
          <w:tcPr>
            <w:tcW w:w="947" w:type="pct"/>
            <w:noWrap/>
            <w:vAlign w:val="center"/>
          </w:tcPr>
          <w:p>
            <w:pPr>
              <w:pStyle w:val="22"/>
              <w:jc w:val="center"/>
              <w:rPr>
                <w:rFonts w:ascii="Times New Roman" w:hAnsi="Times New Roman"/>
                <w:color w:val="000000"/>
              </w:rPr>
            </w:pPr>
            <w:r>
              <w:rPr>
                <w:rFonts w:ascii="Times New Roman" w:hAnsi="Times New Roman"/>
                <w:color w:val="000000"/>
              </w:rPr>
              <w:t>学生、老师</w:t>
            </w:r>
          </w:p>
        </w:tc>
        <w:tc>
          <w:tcPr>
            <w:tcW w:w="861" w:type="pct"/>
            <w:vMerge w:val="continue"/>
            <w:noWrap/>
            <w:vAlign w:val="center"/>
          </w:tcPr>
          <w:p>
            <w:pPr>
              <w:widowControl/>
              <w:jc w:val="center"/>
              <w:rPr>
                <w:rFonts w:eastAsia="宋体" w:cs="Times New Roman"/>
                <w:color w:val="000000"/>
                <w:kern w:val="0"/>
                <w:sz w:val="21"/>
              </w:rPr>
            </w:pPr>
          </w:p>
        </w:tc>
        <w:tc>
          <w:tcPr>
            <w:tcW w:w="332" w:type="pct"/>
            <w:noWrap/>
            <w:vAlign w:val="center"/>
          </w:tcPr>
          <w:p>
            <w:pPr>
              <w:wordWrap w:val="0"/>
              <w:jc w:val="center"/>
              <w:rPr>
                <w:rFonts w:eastAsia="宋体" w:cs="Times New Roman"/>
                <w:color w:val="000000"/>
                <w:sz w:val="21"/>
              </w:rPr>
            </w:pPr>
            <w:r>
              <w:rPr>
                <w:rFonts w:eastAsia="宋体" w:cs="Times New Roman"/>
                <w:color w:val="000000"/>
                <w:sz w:val="21"/>
              </w:rPr>
              <w:t>西侧</w:t>
            </w:r>
          </w:p>
        </w:tc>
        <w:tc>
          <w:tcPr>
            <w:tcW w:w="521" w:type="pct"/>
            <w:noWrap/>
            <w:vAlign w:val="center"/>
          </w:tcPr>
          <w:p>
            <w:pPr>
              <w:pStyle w:val="22"/>
              <w:jc w:val="center"/>
              <w:rPr>
                <w:rFonts w:ascii="Times New Roman" w:hAnsi="Times New Roman"/>
                <w:color w:val="000000"/>
              </w:rPr>
            </w:pPr>
            <w:r>
              <w:rPr>
                <w:rFonts w:ascii="Times New Roman" w:hAnsi="Times New Roman"/>
                <w:color w:val="000000"/>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37" w:hRule="atLeast"/>
          <w:jc w:val="center"/>
        </w:trPr>
        <w:tc>
          <w:tcPr>
            <w:tcW w:w="448" w:type="pct"/>
            <w:vMerge w:val="continue"/>
            <w:noWrap/>
            <w:vAlign w:val="center"/>
          </w:tcPr>
          <w:p>
            <w:pPr>
              <w:wordWrap w:val="0"/>
              <w:jc w:val="center"/>
              <w:rPr>
                <w:rFonts w:eastAsia="宋体" w:cs="Times New Roman"/>
                <w:color w:val="000000"/>
                <w:sz w:val="21"/>
              </w:rPr>
            </w:pPr>
          </w:p>
        </w:tc>
        <w:tc>
          <w:tcPr>
            <w:tcW w:w="508" w:type="pct"/>
            <w:noWrap/>
            <w:vAlign w:val="center"/>
          </w:tcPr>
          <w:p>
            <w:pPr>
              <w:jc w:val="center"/>
              <w:rPr>
                <w:rFonts w:eastAsia="宋体" w:cs="Times New Roman"/>
                <w:color w:val="000000"/>
                <w:sz w:val="21"/>
              </w:rPr>
            </w:pPr>
            <w:r>
              <w:rPr>
                <w:rFonts w:eastAsia="宋体" w:cs="Times New Roman"/>
                <w:color w:val="000000"/>
                <w:sz w:val="21"/>
              </w:rPr>
              <w:t>岳阳市残疾人康复中心</w:t>
            </w:r>
          </w:p>
        </w:tc>
        <w:tc>
          <w:tcPr>
            <w:tcW w:w="656" w:type="pct"/>
            <w:noWrap/>
            <w:vAlign w:val="center"/>
          </w:tcPr>
          <w:p>
            <w:pPr>
              <w:pStyle w:val="22"/>
              <w:jc w:val="center"/>
              <w:rPr>
                <w:rFonts w:ascii="Times New Roman" w:hAnsi="Times New Roman"/>
                <w:color w:val="000000"/>
              </w:rPr>
            </w:pPr>
            <w:r>
              <w:rPr>
                <w:rFonts w:hint="eastAsia" w:ascii="Times New Roman" w:hAnsi="Times New Roman"/>
                <w:color w:val="000000"/>
              </w:rPr>
              <w:t>12593800.959</w:t>
            </w:r>
          </w:p>
        </w:tc>
        <w:tc>
          <w:tcPr>
            <w:tcW w:w="726" w:type="pct"/>
            <w:noWrap/>
            <w:vAlign w:val="center"/>
          </w:tcPr>
          <w:p>
            <w:pPr>
              <w:pStyle w:val="22"/>
              <w:jc w:val="center"/>
              <w:rPr>
                <w:rFonts w:ascii="Times New Roman" w:hAnsi="Times New Roman"/>
                <w:color w:val="000000"/>
              </w:rPr>
            </w:pPr>
            <w:r>
              <w:rPr>
                <w:rFonts w:hint="eastAsia" w:ascii="Times New Roman" w:hAnsi="Times New Roman"/>
                <w:color w:val="000000"/>
              </w:rPr>
              <w:t>3424480.876</w:t>
            </w:r>
          </w:p>
        </w:tc>
        <w:tc>
          <w:tcPr>
            <w:tcW w:w="947" w:type="pct"/>
            <w:noWrap/>
            <w:vAlign w:val="center"/>
          </w:tcPr>
          <w:p>
            <w:pPr>
              <w:jc w:val="center"/>
              <w:rPr>
                <w:rFonts w:eastAsia="宋体" w:cs="Times New Roman"/>
                <w:color w:val="000000"/>
                <w:sz w:val="21"/>
              </w:rPr>
            </w:pPr>
            <w:r>
              <w:rPr>
                <w:rFonts w:eastAsia="宋体" w:cs="Times New Roman"/>
                <w:color w:val="000000"/>
                <w:sz w:val="21"/>
              </w:rPr>
              <w:t>医护人员和病人</w:t>
            </w:r>
          </w:p>
        </w:tc>
        <w:tc>
          <w:tcPr>
            <w:tcW w:w="861" w:type="pct"/>
            <w:vMerge w:val="continue"/>
            <w:noWrap/>
            <w:vAlign w:val="center"/>
          </w:tcPr>
          <w:p>
            <w:pPr>
              <w:widowControl/>
              <w:jc w:val="center"/>
              <w:rPr>
                <w:rFonts w:eastAsia="宋体" w:cs="Times New Roman"/>
                <w:color w:val="000000"/>
                <w:kern w:val="0"/>
                <w:sz w:val="21"/>
              </w:rPr>
            </w:pPr>
          </w:p>
        </w:tc>
        <w:tc>
          <w:tcPr>
            <w:tcW w:w="332" w:type="pct"/>
            <w:noWrap/>
            <w:vAlign w:val="center"/>
          </w:tcPr>
          <w:p>
            <w:pPr>
              <w:jc w:val="center"/>
            </w:pPr>
            <w:r>
              <w:rPr>
                <w:rFonts w:eastAsia="宋体" w:cs="Times New Roman"/>
                <w:color w:val="000000"/>
                <w:sz w:val="21"/>
              </w:rPr>
              <w:t>西南</w:t>
            </w:r>
          </w:p>
        </w:tc>
        <w:tc>
          <w:tcPr>
            <w:tcW w:w="521" w:type="pct"/>
            <w:noWrap/>
            <w:vAlign w:val="center"/>
          </w:tcPr>
          <w:p>
            <w:pPr>
              <w:pStyle w:val="22"/>
              <w:jc w:val="center"/>
              <w:rPr>
                <w:rFonts w:ascii="Times New Roman" w:hAnsi="Times New Roman"/>
                <w:color w:val="000000"/>
              </w:rPr>
            </w:pPr>
            <w:r>
              <w:rPr>
                <w:rFonts w:hint="eastAsia" w:ascii="Times New Roman" w:hAnsi="Times New Roman"/>
                <w:color w:val="000000"/>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8" w:type="pct"/>
            <w:vMerge w:val="continue"/>
            <w:noWrap/>
            <w:vAlign w:val="center"/>
          </w:tcPr>
          <w:p>
            <w:pPr>
              <w:wordWrap w:val="0"/>
              <w:jc w:val="center"/>
              <w:rPr>
                <w:rFonts w:eastAsia="宋体" w:cs="Times New Roman"/>
                <w:color w:val="000000"/>
                <w:sz w:val="21"/>
              </w:rPr>
            </w:pPr>
          </w:p>
        </w:tc>
        <w:tc>
          <w:tcPr>
            <w:tcW w:w="508" w:type="pct"/>
            <w:noWrap/>
            <w:vAlign w:val="center"/>
          </w:tcPr>
          <w:p>
            <w:pPr>
              <w:jc w:val="center"/>
              <w:rPr>
                <w:rFonts w:eastAsia="宋体" w:cs="Times New Roman"/>
                <w:color w:val="000000"/>
                <w:sz w:val="21"/>
              </w:rPr>
            </w:pPr>
            <w:r>
              <w:rPr>
                <w:rFonts w:eastAsia="宋体" w:cs="Times New Roman"/>
                <w:color w:val="000000"/>
                <w:sz w:val="21"/>
              </w:rPr>
              <w:t>福颐爱心护理院</w:t>
            </w:r>
          </w:p>
        </w:tc>
        <w:tc>
          <w:tcPr>
            <w:tcW w:w="656" w:type="pct"/>
            <w:noWrap/>
            <w:vAlign w:val="center"/>
          </w:tcPr>
          <w:p>
            <w:pPr>
              <w:pStyle w:val="22"/>
              <w:jc w:val="center"/>
              <w:rPr>
                <w:rFonts w:ascii="Times New Roman" w:hAnsi="Times New Roman"/>
                <w:color w:val="000000"/>
              </w:rPr>
            </w:pPr>
            <w:r>
              <w:rPr>
                <w:rFonts w:hint="eastAsia" w:ascii="Times New Roman" w:hAnsi="Times New Roman"/>
                <w:color w:val="000000"/>
              </w:rPr>
              <w:t>12593732.882</w:t>
            </w:r>
          </w:p>
        </w:tc>
        <w:tc>
          <w:tcPr>
            <w:tcW w:w="726" w:type="pct"/>
            <w:noWrap/>
            <w:vAlign w:val="center"/>
          </w:tcPr>
          <w:p>
            <w:pPr>
              <w:pStyle w:val="22"/>
              <w:jc w:val="center"/>
              <w:rPr>
                <w:rFonts w:ascii="Times New Roman" w:hAnsi="Times New Roman"/>
                <w:color w:val="000000"/>
              </w:rPr>
            </w:pPr>
            <w:r>
              <w:rPr>
                <w:rFonts w:hint="eastAsia" w:ascii="Times New Roman" w:hAnsi="Times New Roman"/>
                <w:color w:val="000000"/>
              </w:rPr>
              <w:t>3424463.057</w:t>
            </w:r>
          </w:p>
        </w:tc>
        <w:tc>
          <w:tcPr>
            <w:tcW w:w="947" w:type="pct"/>
            <w:noWrap/>
            <w:vAlign w:val="center"/>
          </w:tcPr>
          <w:p>
            <w:pPr>
              <w:jc w:val="center"/>
              <w:rPr>
                <w:rFonts w:eastAsia="宋体" w:cs="Times New Roman"/>
                <w:color w:val="000000"/>
                <w:sz w:val="21"/>
              </w:rPr>
            </w:pPr>
            <w:r>
              <w:rPr>
                <w:rFonts w:eastAsia="宋体" w:cs="Times New Roman"/>
                <w:color w:val="000000"/>
                <w:sz w:val="21"/>
              </w:rPr>
              <w:t>医护人员和病人</w:t>
            </w:r>
          </w:p>
        </w:tc>
        <w:tc>
          <w:tcPr>
            <w:tcW w:w="861" w:type="pct"/>
            <w:vMerge w:val="restart"/>
            <w:noWrap/>
            <w:vAlign w:val="center"/>
          </w:tcPr>
          <w:p>
            <w:pPr>
              <w:jc w:val="center"/>
              <w:rPr>
                <w:rFonts w:eastAsia="宋体" w:cs="Times New Roman"/>
                <w:color w:val="000000"/>
                <w:kern w:val="0"/>
                <w:sz w:val="21"/>
              </w:rPr>
            </w:pPr>
            <w:r>
              <w:rPr>
                <w:rFonts w:eastAsia="宋体" w:cs="Times New Roman"/>
                <w:color w:val="000000"/>
                <w:kern w:val="0"/>
                <w:sz w:val="21"/>
              </w:rPr>
              <w:t>执行《声环境质量标准》（GB3096-2008）中的</w:t>
            </w:r>
            <w:r>
              <w:rPr>
                <w:rFonts w:hint="eastAsia" w:eastAsia="宋体" w:cs="Times New Roman"/>
                <w:color w:val="000000"/>
                <w:kern w:val="0"/>
                <w:sz w:val="21"/>
              </w:rPr>
              <w:t>1</w:t>
            </w:r>
            <w:r>
              <w:rPr>
                <w:rFonts w:eastAsia="宋体" w:cs="Times New Roman"/>
                <w:color w:val="000000"/>
                <w:kern w:val="0"/>
                <w:sz w:val="21"/>
              </w:rPr>
              <w:t>类标准</w:t>
            </w:r>
          </w:p>
        </w:tc>
        <w:tc>
          <w:tcPr>
            <w:tcW w:w="332" w:type="pct"/>
            <w:noWrap/>
            <w:vAlign w:val="center"/>
          </w:tcPr>
          <w:p>
            <w:pPr>
              <w:jc w:val="center"/>
            </w:pPr>
            <w:r>
              <w:rPr>
                <w:rFonts w:eastAsia="宋体" w:cs="Times New Roman"/>
                <w:color w:val="000000"/>
                <w:sz w:val="21"/>
              </w:rPr>
              <w:t>西南</w:t>
            </w:r>
          </w:p>
        </w:tc>
        <w:tc>
          <w:tcPr>
            <w:tcW w:w="521" w:type="pct"/>
            <w:noWrap/>
            <w:vAlign w:val="center"/>
          </w:tcPr>
          <w:p>
            <w:pPr>
              <w:pStyle w:val="22"/>
              <w:jc w:val="center"/>
              <w:rPr>
                <w:rFonts w:ascii="Times New Roman" w:hAnsi="Times New Roman"/>
                <w:color w:val="000000"/>
              </w:rPr>
            </w:pPr>
            <w:r>
              <w:rPr>
                <w:rFonts w:hint="eastAsia" w:ascii="Times New Roman" w:hAnsi="Times New Roman"/>
                <w:color w:val="000000"/>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8" w:type="pct"/>
            <w:vMerge w:val="continue"/>
            <w:noWrap/>
            <w:vAlign w:val="center"/>
          </w:tcPr>
          <w:p>
            <w:pPr>
              <w:wordWrap w:val="0"/>
              <w:jc w:val="center"/>
              <w:rPr>
                <w:rFonts w:eastAsia="宋体" w:cs="Times New Roman"/>
                <w:color w:val="000000"/>
                <w:sz w:val="21"/>
              </w:rPr>
            </w:pPr>
          </w:p>
        </w:tc>
        <w:tc>
          <w:tcPr>
            <w:tcW w:w="508" w:type="pct"/>
            <w:noWrap/>
            <w:vAlign w:val="center"/>
          </w:tcPr>
          <w:p>
            <w:pPr>
              <w:jc w:val="center"/>
              <w:rPr>
                <w:rFonts w:eastAsia="宋体" w:cs="Times New Roman"/>
                <w:color w:val="000000"/>
                <w:sz w:val="21"/>
              </w:rPr>
            </w:pPr>
            <w:r>
              <w:rPr>
                <w:rFonts w:eastAsia="宋体" w:cs="Times New Roman"/>
                <w:color w:val="000000"/>
                <w:sz w:val="21"/>
              </w:rPr>
              <w:t>爱儿医院</w:t>
            </w:r>
          </w:p>
        </w:tc>
        <w:tc>
          <w:tcPr>
            <w:tcW w:w="656" w:type="pct"/>
            <w:noWrap/>
            <w:vAlign w:val="center"/>
          </w:tcPr>
          <w:p>
            <w:pPr>
              <w:pStyle w:val="22"/>
              <w:jc w:val="center"/>
              <w:rPr>
                <w:rFonts w:ascii="Times New Roman" w:hAnsi="Times New Roman"/>
                <w:color w:val="000000"/>
              </w:rPr>
            </w:pPr>
            <w:r>
              <w:rPr>
                <w:rFonts w:hint="eastAsia" w:ascii="Times New Roman" w:hAnsi="Times New Roman"/>
                <w:color w:val="000000"/>
              </w:rPr>
              <w:t>12593613.748</w:t>
            </w:r>
          </w:p>
        </w:tc>
        <w:tc>
          <w:tcPr>
            <w:tcW w:w="726" w:type="pct"/>
            <w:noWrap/>
            <w:vAlign w:val="center"/>
          </w:tcPr>
          <w:p>
            <w:pPr>
              <w:pStyle w:val="22"/>
              <w:jc w:val="center"/>
              <w:rPr>
                <w:rFonts w:ascii="Times New Roman" w:hAnsi="Times New Roman"/>
                <w:color w:val="000000"/>
              </w:rPr>
            </w:pPr>
            <w:r>
              <w:rPr>
                <w:rFonts w:hint="eastAsia" w:ascii="Times New Roman" w:hAnsi="Times New Roman"/>
                <w:color w:val="000000"/>
              </w:rPr>
              <w:t>3424523.023</w:t>
            </w:r>
          </w:p>
        </w:tc>
        <w:tc>
          <w:tcPr>
            <w:tcW w:w="947" w:type="pct"/>
            <w:noWrap/>
            <w:vAlign w:val="center"/>
          </w:tcPr>
          <w:p>
            <w:pPr>
              <w:jc w:val="center"/>
              <w:rPr>
                <w:rFonts w:eastAsia="宋体" w:cs="Times New Roman"/>
                <w:color w:val="000000"/>
                <w:sz w:val="21"/>
              </w:rPr>
            </w:pPr>
            <w:r>
              <w:rPr>
                <w:rFonts w:eastAsia="宋体" w:cs="Times New Roman"/>
                <w:color w:val="000000"/>
                <w:sz w:val="21"/>
              </w:rPr>
              <w:t>医护人员和病人</w:t>
            </w:r>
          </w:p>
        </w:tc>
        <w:tc>
          <w:tcPr>
            <w:tcW w:w="861" w:type="pct"/>
            <w:vMerge w:val="continue"/>
            <w:noWrap/>
            <w:vAlign w:val="center"/>
          </w:tcPr>
          <w:p>
            <w:pPr>
              <w:widowControl/>
              <w:jc w:val="center"/>
              <w:rPr>
                <w:rFonts w:eastAsia="宋体" w:cs="Times New Roman"/>
                <w:color w:val="000000"/>
                <w:kern w:val="0"/>
                <w:sz w:val="21"/>
              </w:rPr>
            </w:pPr>
          </w:p>
        </w:tc>
        <w:tc>
          <w:tcPr>
            <w:tcW w:w="332" w:type="pct"/>
            <w:noWrap/>
            <w:vAlign w:val="center"/>
          </w:tcPr>
          <w:p>
            <w:pPr>
              <w:jc w:val="center"/>
            </w:pPr>
            <w:r>
              <w:rPr>
                <w:rFonts w:eastAsia="宋体" w:cs="Times New Roman"/>
                <w:color w:val="000000"/>
                <w:sz w:val="21"/>
              </w:rPr>
              <w:t>西</w:t>
            </w:r>
            <w:r>
              <w:rPr>
                <w:rFonts w:hint="eastAsia" w:eastAsia="宋体" w:cs="Times New Roman"/>
                <w:color w:val="000000"/>
                <w:sz w:val="21"/>
              </w:rPr>
              <w:t>侧</w:t>
            </w:r>
          </w:p>
        </w:tc>
        <w:tc>
          <w:tcPr>
            <w:tcW w:w="521" w:type="pct"/>
            <w:noWrap/>
            <w:vAlign w:val="center"/>
          </w:tcPr>
          <w:p>
            <w:pPr>
              <w:pStyle w:val="22"/>
              <w:jc w:val="center"/>
              <w:rPr>
                <w:rFonts w:ascii="Times New Roman" w:hAnsi="Times New Roman"/>
                <w:color w:val="000000"/>
              </w:rPr>
            </w:pPr>
            <w:r>
              <w:rPr>
                <w:rFonts w:hint="eastAsia" w:ascii="Times New Roman" w:hAnsi="Times New Roman"/>
                <w:color w:val="000000"/>
              </w:rPr>
              <w:t>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8" w:type="pct"/>
            <w:vMerge w:val="continue"/>
            <w:noWrap/>
            <w:vAlign w:val="center"/>
          </w:tcPr>
          <w:p>
            <w:pPr>
              <w:wordWrap w:val="0"/>
              <w:jc w:val="center"/>
              <w:rPr>
                <w:rFonts w:eastAsia="宋体" w:cs="Times New Roman"/>
                <w:color w:val="000000"/>
                <w:sz w:val="21"/>
              </w:rPr>
            </w:pPr>
          </w:p>
        </w:tc>
        <w:tc>
          <w:tcPr>
            <w:tcW w:w="508" w:type="pct"/>
            <w:noWrap/>
            <w:vAlign w:val="center"/>
          </w:tcPr>
          <w:p>
            <w:pPr>
              <w:jc w:val="center"/>
              <w:rPr>
                <w:rFonts w:eastAsia="宋体" w:cs="Times New Roman"/>
                <w:color w:val="000000"/>
                <w:sz w:val="21"/>
                <w:u w:val="single"/>
              </w:rPr>
            </w:pPr>
            <w:r>
              <w:rPr>
                <w:rFonts w:eastAsia="宋体" w:cs="Times New Roman"/>
                <w:color w:val="000000"/>
                <w:sz w:val="21"/>
                <w:u w:val="single"/>
              </w:rPr>
              <w:t>老年呵护大楼</w:t>
            </w:r>
          </w:p>
        </w:tc>
        <w:tc>
          <w:tcPr>
            <w:tcW w:w="656" w:type="pct"/>
            <w:noWrap/>
            <w:vAlign w:val="center"/>
          </w:tcPr>
          <w:p>
            <w:pPr>
              <w:pStyle w:val="22"/>
              <w:jc w:val="center"/>
              <w:rPr>
                <w:rFonts w:ascii="Times New Roman" w:hAnsi="Times New Roman"/>
                <w:color w:val="000000"/>
              </w:rPr>
            </w:pPr>
            <w:r>
              <w:rPr>
                <w:rFonts w:hint="eastAsia" w:ascii="Times New Roman" w:hAnsi="Times New Roman"/>
                <w:color w:val="000000"/>
              </w:rPr>
              <w:t>12594057.438</w:t>
            </w:r>
          </w:p>
        </w:tc>
        <w:tc>
          <w:tcPr>
            <w:tcW w:w="726" w:type="pct"/>
            <w:noWrap/>
            <w:vAlign w:val="center"/>
          </w:tcPr>
          <w:p>
            <w:pPr>
              <w:pStyle w:val="22"/>
              <w:jc w:val="center"/>
              <w:rPr>
                <w:rFonts w:ascii="Times New Roman" w:hAnsi="Times New Roman"/>
                <w:color w:val="000000"/>
              </w:rPr>
            </w:pPr>
            <w:r>
              <w:rPr>
                <w:rFonts w:hint="eastAsia" w:ascii="Times New Roman" w:hAnsi="Times New Roman"/>
                <w:color w:val="000000"/>
              </w:rPr>
              <w:t>3424592.262</w:t>
            </w:r>
          </w:p>
        </w:tc>
        <w:tc>
          <w:tcPr>
            <w:tcW w:w="947" w:type="pct"/>
            <w:noWrap/>
            <w:vAlign w:val="center"/>
          </w:tcPr>
          <w:p>
            <w:pPr>
              <w:jc w:val="center"/>
              <w:rPr>
                <w:u w:val="single"/>
              </w:rPr>
            </w:pPr>
            <w:r>
              <w:rPr>
                <w:rFonts w:eastAsia="宋体" w:cs="Times New Roman"/>
                <w:color w:val="000000"/>
                <w:sz w:val="21"/>
                <w:u w:val="single"/>
              </w:rPr>
              <w:t>医护人员和病人</w:t>
            </w:r>
          </w:p>
        </w:tc>
        <w:tc>
          <w:tcPr>
            <w:tcW w:w="861" w:type="pct"/>
            <w:vMerge w:val="continue"/>
            <w:noWrap/>
            <w:vAlign w:val="center"/>
          </w:tcPr>
          <w:p>
            <w:pPr>
              <w:widowControl/>
              <w:jc w:val="center"/>
              <w:rPr>
                <w:rFonts w:eastAsia="宋体" w:cs="Times New Roman"/>
                <w:color w:val="000000"/>
                <w:kern w:val="0"/>
                <w:sz w:val="21"/>
              </w:rPr>
            </w:pPr>
          </w:p>
        </w:tc>
        <w:tc>
          <w:tcPr>
            <w:tcW w:w="853" w:type="pct"/>
            <w:gridSpan w:val="2"/>
            <w:noWrap/>
            <w:vAlign w:val="center"/>
          </w:tcPr>
          <w:p>
            <w:pPr>
              <w:pStyle w:val="22"/>
              <w:jc w:val="center"/>
              <w:rPr>
                <w:rFonts w:ascii="Times New Roman" w:hAnsi="Times New Roman"/>
                <w:color w:val="000000"/>
              </w:rPr>
            </w:pPr>
            <w:r>
              <w:rPr>
                <w:rFonts w:hint="eastAsia" w:ascii="Times New Roman" w:hAnsi="Times New Roman"/>
                <w:color w:val="000000"/>
              </w:rPr>
              <w:t>医院内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8" w:type="pct"/>
            <w:vMerge w:val="continue"/>
            <w:noWrap/>
            <w:vAlign w:val="center"/>
          </w:tcPr>
          <w:p>
            <w:pPr>
              <w:wordWrap w:val="0"/>
              <w:jc w:val="center"/>
              <w:rPr>
                <w:rFonts w:eastAsia="宋体" w:cs="Times New Roman"/>
                <w:color w:val="000000"/>
                <w:sz w:val="21"/>
              </w:rPr>
            </w:pPr>
          </w:p>
        </w:tc>
        <w:tc>
          <w:tcPr>
            <w:tcW w:w="508" w:type="pct"/>
            <w:noWrap/>
            <w:vAlign w:val="center"/>
          </w:tcPr>
          <w:p>
            <w:pPr>
              <w:jc w:val="center"/>
              <w:rPr>
                <w:rFonts w:eastAsia="宋体" w:cs="Times New Roman"/>
                <w:color w:val="000000"/>
                <w:sz w:val="21"/>
                <w:u w:val="single"/>
              </w:rPr>
            </w:pPr>
            <w:r>
              <w:rPr>
                <w:rFonts w:eastAsia="宋体" w:cs="Times New Roman"/>
                <w:color w:val="000000"/>
                <w:sz w:val="21"/>
                <w:u w:val="single"/>
              </w:rPr>
              <w:t>精神科大楼</w:t>
            </w:r>
          </w:p>
        </w:tc>
        <w:tc>
          <w:tcPr>
            <w:tcW w:w="656" w:type="pct"/>
            <w:noWrap/>
            <w:vAlign w:val="center"/>
          </w:tcPr>
          <w:p>
            <w:pPr>
              <w:pStyle w:val="22"/>
              <w:jc w:val="center"/>
              <w:rPr>
                <w:rFonts w:ascii="Times New Roman" w:hAnsi="Times New Roman"/>
                <w:color w:val="000000"/>
              </w:rPr>
            </w:pPr>
            <w:r>
              <w:rPr>
                <w:rFonts w:hint="eastAsia" w:ascii="Times New Roman" w:hAnsi="Times New Roman"/>
                <w:color w:val="000000"/>
              </w:rPr>
              <w:t>12594101.031</w:t>
            </w:r>
          </w:p>
        </w:tc>
        <w:tc>
          <w:tcPr>
            <w:tcW w:w="726" w:type="pct"/>
            <w:noWrap/>
            <w:vAlign w:val="center"/>
          </w:tcPr>
          <w:p>
            <w:pPr>
              <w:pStyle w:val="22"/>
              <w:jc w:val="center"/>
              <w:rPr>
                <w:rFonts w:ascii="Times New Roman" w:hAnsi="Times New Roman"/>
                <w:color w:val="000000"/>
              </w:rPr>
            </w:pPr>
            <w:r>
              <w:rPr>
                <w:rFonts w:hint="eastAsia" w:ascii="Times New Roman" w:hAnsi="Times New Roman"/>
                <w:color w:val="000000"/>
              </w:rPr>
              <w:t>3424562.108</w:t>
            </w:r>
          </w:p>
        </w:tc>
        <w:tc>
          <w:tcPr>
            <w:tcW w:w="947" w:type="pct"/>
            <w:noWrap/>
            <w:vAlign w:val="center"/>
          </w:tcPr>
          <w:p>
            <w:pPr>
              <w:jc w:val="center"/>
              <w:rPr>
                <w:u w:val="single"/>
              </w:rPr>
            </w:pPr>
            <w:r>
              <w:rPr>
                <w:rFonts w:eastAsia="宋体" w:cs="Times New Roman"/>
                <w:color w:val="000000"/>
                <w:sz w:val="21"/>
                <w:u w:val="single"/>
              </w:rPr>
              <w:t>医护人员和病人</w:t>
            </w:r>
          </w:p>
        </w:tc>
        <w:tc>
          <w:tcPr>
            <w:tcW w:w="861" w:type="pct"/>
            <w:vMerge w:val="continue"/>
            <w:noWrap/>
            <w:vAlign w:val="center"/>
          </w:tcPr>
          <w:p>
            <w:pPr>
              <w:widowControl/>
              <w:jc w:val="center"/>
              <w:rPr>
                <w:rFonts w:eastAsia="宋体" w:cs="Times New Roman"/>
                <w:color w:val="000000"/>
                <w:kern w:val="0"/>
                <w:sz w:val="21"/>
              </w:rPr>
            </w:pPr>
          </w:p>
        </w:tc>
        <w:tc>
          <w:tcPr>
            <w:tcW w:w="853" w:type="pct"/>
            <w:gridSpan w:val="2"/>
            <w:noWrap/>
            <w:vAlign w:val="center"/>
          </w:tcPr>
          <w:p>
            <w:pPr>
              <w:pStyle w:val="22"/>
              <w:jc w:val="center"/>
              <w:rPr>
                <w:rFonts w:ascii="Times New Roman" w:hAnsi="Times New Roman"/>
                <w:color w:val="000000"/>
              </w:rPr>
            </w:pPr>
            <w:r>
              <w:rPr>
                <w:rFonts w:hint="eastAsia" w:ascii="Times New Roman" w:hAnsi="Times New Roman"/>
                <w:color w:val="000000"/>
              </w:rPr>
              <w:t>医院内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8" w:type="pct"/>
            <w:vMerge w:val="continue"/>
            <w:noWrap/>
            <w:vAlign w:val="center"/>
          </w:tcPr>
          <w:p>
            <w:pPr>
              <w:wordWrap w:val="0"/>
              <w:jc w:val="center"/>
              <w:rPr>
                <w:rFonts w:eastAsia="宋体" w:cs="Times New Roman"/>
                <w:color w:val="000000"/>
                <w:sz w:val="21"/>
              </w:rPr>
            </w:pPr>
          </w:p>
        </w:tc>
        <w:tc>
          <w:tcPr>
            <w:tcW w:w="508" w:type="pct"/>
            <w:noWrap/>
            <w:vAlign w:val="center"/>
          </w:tcPr>
          <w:p>
            <w:pPr>
              <w:jc w:val="center"/>
              <w:rPr>
                <w:rFonts w:eastAsia="宋体" w:cs="Times New Roman"/>
                <w:color w:val="000000"/>
                <w:sz w:val="21"/>
                <w:u w:val="single"/>
              </w:rPr>
            </w:pPr>
            <w:r>
              <w:rPr>
                <w:sz w:val="21"/>
                <w:u w:val="single"/>
              </w:rPr>
              <w:t>职工</w:t>
            </w:r>
            <w:r>
              <w:rPr>
                <w:rFonts w:hint="eastAsia"/>
                <w:sz w:val="21"/>
                <w:u w:val="single"/>
              </w:rPr>
              <w:t>公寓（1）</w:t>
            </w:r>
          </w:p>
        </w:tc>
        <w:tc>
          <w:tcPr>
            <w:tcW w:w="656" w:type="pct"/>
            <w:noWrap/>
            <w:vAlign w:val="center"/>
          </w:tcPr>
          <w:p>
            <w:pPr>
              <w:pStyle w:val="22"/>
              <w:jc w:val="center"/>
              <w:rPr>
                <w:rFonts w:ascii="Times New Roman" w:hAnsi="Times New Roman"/>
                <w:color w:val="000000"/>
              </w:rPr>
            </w:pPr>
            <w:r>
              <w:rPr>
                <w:rFonts w:hint="eastAsia" w:ascii="Times New Roman" w:hAnsi="Times New Roman"/>
                <w:color w:val="000000"/>
              </w:rPr>
              <w:t>12593952.337</w:t>
            </w:r>
          </w:p>
        </w:tc>
        <w:tc>
          <w:tcPr>
            <w:tcW w:w="726" w:type="pct"/>
            <w:noWrap/>
            <w:vAlign w:val="center"/>
          </w:tcPr>
          <w:p>
            <w:pPr>
              <w:pStyle w:val="22"/>
              <w:jc w:val="center"/>
              <w:rPr>
                <w:rFonts w:ascii="Times New Roman" w:hAnsi="Times New Roman"/>
                <w:color w:val="000000"/>
              </w:rPr>
            </w:pPr>
            <w:r>
              <w:rPr>
                <w:rFonts w:hint="eastAsia" w:ascii="Times New Roman" w:hAnsi="Times New Roman"/>
                <w:color w:val="000000"/>
              </w:rPr>
              <w:t>3424547.716</w:t>
            </w:r>
          </w:p>
        </w:tc>
        <w:tc>
          <w:tcPr>
            <w:tcW w:w="947" w:type="pct"/>
            <w:noWrap/>
            <w:vAlign w:val="center"/>
          </w:tcPr>
          <w:p>
            <w:pPr>
              <w:jc w:val="center"/>
              <w:rPr>
                <w:rFonts w:eastAsia="宋体" w:cs="Times New Roman"/>
                <w:color w:val="000000"/>
                <w:sz w:val="21"/>
                <w:u w:val="single"/>
              </w:rPr>
            </w:pPr>
            <w:r>
              <w:rPr>
                <w:rFonts w:eastAsia="宋体" w:cs="Times New Roman"/>
                <w:color w:val="000000"/>
                <w:sz w:val="21"/>
                <w:u w:val="single"/>
              </w:rPr>
              <w:t>职工人员</w:t>
            </w:r>
          </w:p>
        </w:tc>
        <w:tc>
          <w:tcPr>
            <w:tcW w:w="861" w:type="pct"/>
            <w:vMerge w:val="continue"/>
            <w:noWrap/>
            <w:vAlign w:val="center"/>
          </w:tcPr>
          <w:p>
            <w:pPr>
              <w:widowControl/>
              <w:jc w:val="center"/>
              <w:rPr>
                <w:rFonts w:eastAsia="宋体" w:cs="Times New Roman"/>
                <w:color w:val="000000"/>
                <w:kern w:val="0"/>
                <w:sz w:val="21"/>
              </w:rPr>
            </w:pPr>
          </w:p>
        </w:tc>
        <w:tc>
          <w:tcPr>
            <w:tcW w:w="853" w:type="pct"/>
            <w:gridSpan w:val="2"/>
            <w:noWrap/>
            <w:vAlign w:val="center"/>
          </w:tcPr>
          <w:p>
            <w:pPr>
              <w:pStyle w:val="22"/>
              <w:jc w:val="center"/>
              <w:rPr>
                <w:rFonts w:ascii="Times New Roman" w:hAnsi="Times New Roman"/>
                <w:color w:val="000000"/>
              </w:rPr>
            </w:pPr>
            <w:r>
              <w:rPr>
                <w:rFonts w:hint="eastAsia" w:ascii="Times New Roman" w:hAnsi="Times New Roman"/>
                <w:color w:val="000000"/>
              </w:rPr>
              <w:t>医院内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8" w:type="pct"/>
            <w:vMerge w:val="continue"/>
            <w:noWrap/>
            <w:vAlign w:val="center"/>
          </w:tcPr>
          <w:p>
            <w:pPr>
              <w:wordWrap w:val="0"/>
              <w:jc w:val="center"/>
              <w:rPr>
                <w:rFonts w:eastAsia="宋体" w:cs="Times New Roman"/>
                <w:color w:val="000000"/>
                <w:sz w:val="21"/>
              </w:rPr>
            </w:pPr>
          </w:p>
        </w:tc>
        <w:tc>
          <w:tcPr>
            <w:tcW w:w="508" w:type="pct"/>
            <w:noWrap/>
            <w:vAlign w:val="center"/>
          </w:tcPr>
          <w:p>
            <w:pPr>
              <w:jc w:val="center"/>
              <w:rPr>
                <w:sz w:val="21"/>
                <w:u w:val="single"/>
              </w:rPr>
            </w:pPr>
            <w:r>
              <w:rPr>
                <w:sz w:val="21"/>
                <w:u w:val="single"/>
              </w:rPr>
              <w:t>职工</w:t>
            </w:r>
            <w:r>
              <w:rPr>
                <w:rFonts w:hint="eastAsia"/>
                <w:sz w:val="21"/>
                <w:u w:val="single"/>
              </w:rPr>
              <w:t>公寓（2）</w:t>
            </w:r>
          </w:p>
        </w:tc>
        <w:tc>
          <w:tcPr>
            <w:tcW w:w="656" w:type="pct"/>
            <w:noWrap/>
            <w:vAlign w:val="center"/>
          </w:tcPr>
          <w:p>
            <w:pPr>
              <w:pStyle w:val="22"/>
              <w:jc w:val="center"/>
              <w:rPr>
                <w:rFonts w:ascii="Times New Roman" w:hAnsi="Times New Roman"/>
                <w:color w:val="000000"/>
              </w:rPr>
            </w:pPr>
            <w:r>
              <w:rPr>
                <w:rFonts w:hint="eastAsia" w:ascii="Times New Roman" w:hAnsi="Times New Roman"/>
                <w:color w:val="000000"/>
              </w:rPr>
              <w:t>12593972.044</w:t>
            </w:r>
          </w:p>
        </w:tc>
        <w:tc>
          <w:tcPr>
            <w:tcW w:w="726" w:type="pct"/>
            <w:noWrap/>
            <w:vAlign w:val="center"/>
          </w:tcPr>
          <w:p>
            <w:pPr>
              <w:pStyle w:val="22"/>
              <w:jc w:val="center"/>
              <w:rPr>
                <w:rFonts w:ascii="Times New Roman" w:hAnsi="Times New Roman"/>
                <w:color w:val="000000"/>
              </w:rPr>
            </w:pPr>
            <w:r>
              <w:rPr>
                <w:rFonts w:hint="eastAsia" w:ascii="Times New Roman" w:hAnsi="Times New Roman"/>
                <w:color w:val="000000"/>
              </w:rPr>
              <w:t>3424605.284</w:t>
            </w:r>
          </w:p>
        </w:tc>
        <w:tc>
          <w:tcPr>
            <w:tcW w:w="947" w:type="pct"/>
            <w:noWrap/>
            <w:vAlign w:val="center"/>
          </w:tcPr>
          <w:p>
            <w:pPr>
              <w:jc w:val="center"/>
              <w:rPr>
                <w:rFonts w:eastAsia="宋体" w:cs="Times New Roman"/>
                <w:color w:val="000000"/>
                <w:sz w:val="21"/>
                <w:u w:val="single"/>
              </w:rPr>
            </w:pPr>
            <w:r>
              <w:rPr>
                <w:rFonts w:eastAsia="宋体" w:cs="Times New Roman"/>
                <w:color w:val="000000"/>
                <w:sz w:val="21"/>
                <w:u w:val="single"/>
              </w:rPr>
              <w:t>职工人员</w:t>
            </w:r>
          </w:p>
        </w:tc>
        <w:tc>
          <w:tcPr>
            <w:tcW w:w="861" w:type="pct"/>
            <w:vMerge w:val="continue"/>
            <w:noWrap/>
            <w:vAlign w:val="center"/>
          </w:tcPr>
          <w:p>
            <w:pPr>
              <w:widowControl/>
              <w:jc w:val="center"/>
              <w:rPr>
                <w:rFonts w:eastAsia="宋体" w:cs="Times New Roman"/>
                <w:color w:val="000000"/>
                <w:kern w:val="0"/>
                <w:sz w:val="21"/>
              </w:rPr>
            </w:pPr>
          </w:p>
        </w:tc>
        <w:tc>
          <w:tcPr>
            <w:tcW w:w="853" w:type="pct"/>
            <w:gridSpan w:val="2"/>
            <w:noWrap/>
            <w:vAlign w:val="center"/>
          </w:tcPr>
          <w:p>
            <w:pPr>
              <w:pStyle w:val="22"/>
              <w:jc w:val="center"/>
              <w:rPr>
                <w:rFonts w:ascii="Times New Roman" w:hAnsi="Times New Roman"/>
                <w:color w:val="000000"/>
              </w:rPr>
            </w:pPr>
            <w:r>
              <w:rPr>
                <w:rFonts w:hint="eastAsia" w:ascii="Times New Roman" w:hAnsi="Times New Roman"/>
                <w:color w:val="000000"/>
              </w:rPr>
              <w:t>医院内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8" w:type="pct"/>
            <w:noWrap/>
            <w:vAlign w:val="center"/>
          </w:tcPr>
          <w:p>
            <w:pPr>
              <w:wordWrap w:val="0"/>
              <w:jc w:val="center"/>
              <w:rPr>
                <w:rFonts w:eastAsia="宋体" w:cs="Times New Roman"/>
                <w:color w:val="000000" w:themeColor="text1"/>
                <w:sz w:val="21"/>
              </w:rPr>
            </w:pPr>
            <w:r>
              <w:rPr>
                <w:rFonts w:eastAsia="宋体" w:cs="Times New Roman"/>
                <w:color w:val="000000" w:themeColor="text1"/>
                <w:sz w:val="21"/>
              </w:rPr>
              <w:t>地表水</w:t>
            </w:r>
          </w:p>
        </w:tc>
        <w:tc>
          <w:tcPr>
            <w:tcW w:w="508" w:type="pct"/>
            <w:noWrap/>
            <w:vAlign w:val="center"/>
          </w:tcPr>
          <w:p>
            <w:pPr>
              <w:wordWrap w:val="0"/>
              <w:jc w:val="center"/>
              <w:rPr>
                <w:rFonts w:eastAsia="宋体" w:cs="Times New Roman"/>
                <w:color w:val="000000" w:themeColor="text1"/>
                <w:sz w:val="21"/>
              </w:rPr>
            </w:pPr>
            <w:r>
              <w:rPr>
                <w:rFonts w:eastAsia="宋体" w:cs="Times New Roman"/>
                <w:color w:val="000000" w:themeColor="text1"/>
                <w:sz w:val="21"/>
              </w:rPr>
              <w:t>东风河</w:t>
            </w:r>
          </w:p>
        </w:tc>
        <w:tc>
          <w:tcPr>
            <w:tcW w:w="656" w:type="pct"/>
            <w:noWrap/>
            <w:vAlign w:val="center"/>
          </w:tcPr>
          <w:p>
            <w:pPr>
              <w:pStyle w:val="22"/>
              <w:jc w:val="center"/>
              <w:rPr>
                <w:rFonts w:ascii="Times New Roman" w:hAnsi="Times New Roman"/>
                <w:color w:val="000000" w:themeColor="text1"/>
              </w:rPr>
            </w:pPr>
            <w:r>
              <w:rPr>
                <w:rFonts w:ascii="Times New Roman" w:hAnsi="Times New Roman"/>
                <w:color w:val="000000" w:themeColor="text1"/>
              </w:rPr>
              <w:t>/</w:t>
            </w:r>
          </w:p>
        </w:tc>
        <w:tc>
          <w:tcPr>
            <w:tcW w:w="726" w:type="pct"/>
            <w:noWrap/>
            <w:vAlign w:val="center"/>
          </w:tcPr>
          <w:p>
            <w:pPr>
              <w:pStyle w:val="22"/>
              <w:jc w:val="center"/>
              <w:rPr>
                <w:rFonts w:ascii="Times New Roman" w:hAnsi="Times New Roman"/>
                <w:color w:val="000000" w:themeColor="text1"/>
              </w:rPr>
            </w:pPr>
            <w:r>
              <w:rPr>
                <w:rFonts w:ascii="Times New Roman" w:hAnsi="Times New Roman"/>
                <w:color w:val="000000" w:themeColor="text1"/>
              </w:rPr>
              <w:t>/</w:t>
            </w:r>
          </w:p>
        </w:tc>
        <w:tc>
          <w:tcPr>
            <w:tcW w:w="947" w:type="pct"/>
            <w:noWrap/>
            <w:vAlign w:val="center"/>
          </w:tcPr>
          <w:p>
            <w:pPr>
              <w:jc w:val="center"/>
              <w:rPr>
                <w:rFonts w:eastAsia="宋体" w:cs="Times New Roman"/>
                <w:color w:val="000000" w:themeColor="text1"/>
                <w:sz w:val="21"/>
              </w:rPr>
            </w:pPr>
            <w:r>
              <w:rPr>
                <w:rFonts w:eastAsia="宋体" w:cs="Times New Roman"/>
                <w:color w:val="000000"/>
                <w:sz w:val="21"/>
              </w:rPr>
              <w:t>东风河</w:t>
            </w:r>
          </w:p>
        </w:tc>
        <w:tc>
          <w:tcPr>
            <w:tcW w:w="861" w:type="pct"/>
            <w:noWrap/>
            <w:vAlign w:val="center"/>
          </w:tcPr>
          <w:p>
            <w:pPr>
              <w:spacing w:line="400" w:lineRule="exact"/>
              <w:jc w:val="center"/>
              <w:rPr>
                <w:rFonts w:eastAsia="宋体" w:cs="Times New Roman"/>
                <w:color w:val="000000" w:themeColor="text1"/>
                <w:sz w:val="21"/>
              </w:rPr>
            </w:pPr>
            <w:r>
              <w:rPr>
                <w:rFonts w:eastAsia="宋体" w:cs="Times New Roman"/>
                <w:color w:val="000000" w:themeColor="text1"/>
                <w:sz w:val="21"/>
              </w:rPr>
              <w:t>Ⅲ类，渔业用水区</w:t>
            </w:r>
          </w:p>
        </w:tc>
        <w:tc>
          <w:tcPr>
            <w:tcW w:w="332" w:type="pct"/>
            <w:noWrap/>
            <w:vAlign w:val="center"/>
          </w:tcPr>
          <w:p>
            <w:pPr>
              <w:spacing w:line="400" w:lineRule="exact"/>
              <w:jc w:val="center"/>
              <w:rPr>
                <w:rFonts w:eastAsia="宋体" w:cs="Times New Roman"/>
                <w:color w:val="000000" w:themeColor="text1"/>
                <w:sz w:val="21"/>
              </w:rPr>
            </w:pPr>
            <w:r>
              <w:rPr>
                <w:rFonts w:eastAsia="宋体" w:cs="Times New Roman"/>
                <w:color w:val="000000" w:themeColor="text1"/>
                <w:sz w:val="21"/>
              </w:rPr>
              <w:t>西北</w:t>
            </w:r>
          </w:p>
        </w:tc>
        <w:tc>
          <w:tcPr>
            <w:tcW w:w="521" w:type="pct"/>
            <w:noWrap/>
            <w:vAlign w:val="center"/>
          </w:tcPr>
          <w:p>
            <w:pPr>
              <w:spacing w:line="400" w:lineRule="exact"/>
              <w:jc w:val="center"/>
              <w:rPr>
                <w:rFonts w:eastAsia="宋体" w:cs="Times New Roman"/>
                <w:color w:val="000000" w:themeColor="text1"/>
                <w:sz w:val="21"/>
              </w:rPr>
            </w:pPr>
            <w:r>
              <w:rPr>
                <w:rFonts w:eastAsia="宋体" w:cs="Times New Roman"/>
                <w:color w:val="000000" w:themeColor="text1"/>
                <w:sz w:val="21"/>
              </w:rPr>
              <w:t>1500m</w:t>
            </w:r>
          </w:p>
        </w:tc>
      </w:tr>
    </w:tbl>
    <w:p>
      <w:pPr>
        <w:rPr>
          <w:rFonts w:eastAsia="宋体" w:cstheme="majorBidi"/>
          <w:kern w:val="44"/>
          <w:sz w:val="30"/>
          <w:szCs w:val="44"/>
        </w:rPr>
      </w:pPr>
      <w:bookmarkStart w:id="115" w:name="_Toc532376139"/>
      <w:bookmarkStart w:id="116" w:name="_Toc25826482"/>
      <w:bookmarkStart w:id="117" w:name="_Toc532497619"/>
      <w:bookmarkStart w:id="118" w:name="_Toc532763196"/>
      <w:bookmarkStart w:id="119" w:name="_Toc532498732"/>
      <w:r>
        <w:br w:type="page"/>
      </w:r>
    </w:p>
    <w:p>
      <w:pPr>
        <w:pStyle w:val="2"/>
        <w:adjustRightInd w:val="0"/>
        <w:snapToGrid w:val="0"/>
        <w:spacing w:line="360" w:lineRule="auto"/>
        <w:rPr>
          <w:color w:val="000000" w:themeColor="text1"/>
        </w:rPr>
      </w:pPr>
      <w:r>
        <w:rPr>
          <w:rFonts w:hint="eastAsia"/>
          <w:color w:val="000000" w:themeColor="text1"/>
        </w:rPr>
        <w:t>项目概况</w:t>
      </w:r>
      <w:bookmarkEnd w:id="115"/>
      <w:bookmarkEnd w:id="116"/>
      <w:bookmarkEnd w:id="117"/>
      <w:bookmarkEnd w:id="118"/>
      <w:bookmarkEnd w:id="119"/>
    </w:p>
    <w:p>
      <w:pPr>
        <w:pStyle w:val="4"/>
        <w:adjustRightInd w:val="0"/>
        <w:snapToGrid w:val="0"/>
        <w:rPr>
          <w:color w:val="000000" w:themeColor="text1"/>
        </w:rPr>
      </w:pPr>
      <w:bookmarkStart w:id="120" w:name="_Toc25826483"/>
      <w:bookmarkStart w:id="121" w:name="_Toc532498733"/>
      <w:bookmarkStart w:id="122" w:name="_Toc532763197"/>
      <w:bookmarkStart w:id="123" w:name="_Toc532376140"/>
      <w:bookmarkStart w:id="124" w:name="_Toc532497620"/>
      <w:r>
        <w:rPr>
          <w:rFonts w:hint="eastAsia"/>
          <w:color w:val="000000" w:themeColor="text1"/>
        </w:rPr>
        <w:t>项目基本情况</w:t>
      </w:r>
      <w:bookmarkEnd w:id="120"/>
      <w:bookmarkEnd w:id="121"/>
      <w:bookmarkEnd w:id="122"/>
      <w:bookmarkEnd w:id="123"/>
      <w:bookmarkEnd w:id="124"/>
    </w:p>
    <w:p>
      <w:pPr>
        <w:adjustRightInd w:val="0"/>
        <w:snapToGrid w:val="0"/>
        <w:spacing w:line="360" w:lineRule="auto"/>
        <w:ind w:firstLine="480" w:firstLineChars="200"/>
        <w:rPr>
          <w:rFonts w:eastAsia="宋体" w:cs="Times New Roman"/>
          <w:kern w:val="0"/>
          <w:szCs w:val="24"/>
        </w:rPr>
      </w:pPr>
      <w:r>
        <w:rPr>
          <w:rFonts w:hint="eastAsia" w:cs="Times New Roman"/>
          <w:color w:val="000000" w:themeColor="text1"/>
        </w:rPr>
        <w:t>（1）</w:t>
      </w:r>
      <w:r>
        <w:rPr>
          <w:rFonts w:cs="Times New Roman"/>
          <w:color w:val="000000" w:themeColor="text1"/>
        </w:rPr>
        <w:t>项目名称：岳阳市康复医院建设项目</w:t>
      </w:r>
    </w:p>
    <w:p>
      <w:pPr>
        <w:adjustRightInd w:val="0"/>
        <w:snapToGrid w:val="0"/>
        <w:spacing w:line="360" w:lineRule="auto"/>
        <w:ind w:firstLine="480" w:firstLineChars="200"/>
        <w:rPr>
          <w:rFonts w:cs="Times New Roman"/>
        </w:rPr>
      </w:pPr>
      <w:r>
        <w:rPr>
          <w:rFonts w:hint="eastAsia" w:cs="Times New Roman"/>
          <w:color w:val="000000" w:themeColor="text1"/>
        </w:rPr>
        <w:t>（2）</w:t>
      </w:r>
      <w:r>
        <w:rPr>
          <w:rFonts w:cs="Times New Roman"/>
          <w:color w:val="000000" w:themeColor="text1"/>
        </w:rPr>
        <w:t>建设地点：</w:t>
      </w:r>
      <w:r>
        <w:rPr>
          <w:rFonts w:cs="Times New Roman"/>
        </w:rPr>
        <w:t>岳阳市岳阳楼区福颐路48号</w:t>
      </w:r>
      <w:r>
        <w:rPr>
          <w:rFonts w:hint="eastAsia" w:cs="Times New Roman"/>
          <w:szCs w:val="24"/>
        </w:rPr>
        <w:t>（经度：</w:t>
      </w:r>
      <w:r>
        <w:rPr>
          <w:szCs w:val="24"/>
        </w:rPr>
        <w:t>113°08'24.5"</w:t>
      </w:r>
      <w:r>
        <w:rPr>
          <w:rFonts w:hint="eastAsia" w:cs="Times New Roman"/>
          <w:szCs w:val="24"/>
        </w:rPr>
        <w:t xml:space="preserve">  纬度：</w:t>
      </w:r>
      <w:r>
        <w:rPr>
          <w:szCs w:val="24"/>
        </w:rPr>
        <w:t>29°22'49.4"</w:t>
      </w:r>
      <w:r>
        <w:rPr>
          <w:rFonts w:hint="eastAsia" w:cs="Times New Roman"/>
          <w:szCs w:val="24"/>
        </w:rPr>
        <w:t>）</w:t>
      </w:r>
    </w:p>
    <w:p>
      <w:pPr>
        <w:adjustRightInd w:val="0"/>
        <w:snapToGrid w:val="0"/>
        <w:spacing w:line="360" w:lineRule="auto"/>
        <w:ind w:firstLine="480" w:firstLineChars="200"/>
        <w:rPr>
          <w:rFonts w:cs="Times New Roman"/>
        </w:rPr>
      </w:pPr>
      <w:r>
        <w:rPr>
          <w:rFonts w:hint="eastAsia" w:cs="Times New Roman"/>
          <w:color w:val="000000" w:themeColor="text1"/>
        </w:rPr>
        <w:t>（3）</w:t>
      </w:r>
      <w:r>
        <w:rPr>
          <w:rFonts w:cs="Times New Roman"/>
          <w:color w:val="000000" w:themeColor="text1"/>
        </w:rPr>
        <w:t>建设单位：岳阳市康复医院</w:t>
      </w:r>
    </w:p>
    <w:p>
      <w:pPr>
        <w:adjustRightInd w:val="0"/>
        <w:snapToGrid w:val="0"/>
        <w:spacing w:line="360" w:lineRule="auto"/>
        <w:ind w:firstLine="480" w:firstLineChars="200"/>
        <w:rPr>
          <w:rFonts w:cs="Times New Roman"/>
        </w:rPr>
      </w:pPr>
      <w:r>
        <w:rPr>
          <w:rFonts w:hint="eastAsia" w:cs="Times New Roman"/>
        </w:rPr>
        <w:t>（4）</w:t>
      </w:r>
      <w:r>
        <w:rPr>
          <w:rFonts w:cs="Times New Roman"/>
        </w:rPr>
        <w:t>建设性质</w:t>
      </w:r>
      <w:r>
        <w:rPr>
          <w:rFonts w:cs="Times New Roman" w:hAnsiTheme="minorEastAsia"/>
        </w:rPr>
        <w:t>：新建（补办）</w:t>
      </w:r>
    </w:p>
    <w:p>
      <w:pPr>
        <w:adjustRightInd w:val="0"/>
        <w:snapToGrid w:val="0"/>
        <w:spacing w:line="360" w:lineRule="auto"/>
        <w:ind w:firstLine="480" w:firstLineChars="200"/>
        <w:rPr>
          <w:rFonts w:cs="Times New Roman"/>
        </w:rPr>
      </w:pPr>
      <w:r>
        <w:rPr>
          <w:rFonts w:hint="eastAsia" w:eastAsia="宋体" w:cs="Times New Roman"/>
        </w:rPr>
        <w:t>（5）</w:t>
      </w:r>
      <w:r>
        <w:rPr>
          <w:rFonts w:eastAsia="宋体" w:cs="Times New Roman"/>
          <w:color w:val="000000" w:themeColor="text1"/>
        </w:rPr>
        <w:t>建设规模：</w:t>
      </w:r>
      <w:r>
        <w:rPr>
          <w:rFonts w:cs="Times New Roman" w:hAnsiTheme="minorEastAsia"/>
          <w:color w:val="000000" w:themeColor="text1"/>
        </w:rPr>
        <w:t>总用地面积为</w:t>
      </w:r>
      <w:r>
        <w:rPr>
          <w:rFonts w:hint="eastAsia" w:cs="Times New Roman" w:hAnsiTheme="minorEastAsia"/>
          <w:color w:val="000000" w:themeColor="text1"/>
        </w:rPr>
        <w:t>25164.5m</w:t>
      </w:r>
      <w:r>
        <w:rPr>
          <w:rFonts w:hint="eastAsia" w:cs="Times New Roman" w:hAnsiTheme="minorEastAsia"/>
          <w:color w:val="000000" w:themeColor="text1"/>
          <w:vertAlign w:val="superscript"/>
        </w:rPr>
        <w:t>2</w:t>
      </w:r>
    </w:p>
    <w:p>
      <w:pPr>
        <w:adjustRightInd w:val="0"/>
        <w:snapToGrid w:val="0"/>
        <w:spacing w:line="360" w:lineRule="auto"/>
        <w:ind w:firstLine="480" w:firstLineChars="200"/>
        <w:rPr>
          <w:rFonts w:cs="Times New Roman" w:hAnsiTheme="minorEastAsia"/>
        </w:rPr>
      </w:pPr>
      <w:r>
        <w:rPr>
          <w:rFonts w:hint="eastAsia" w:cs="Times New Roman" w:hAnsiTheme="minorEastAsia"/>
        </w:rPr>
        <w:t>（6）</w:t>
      </w:r>
      <w:r>
        <w:rPr>
          <w:rFonts w:cs="Times New Roman" w:hAnsiTheme="minorEastAsia"/>
        </w:rPr>
        <w:t>工程规模：床位</w:t>
      </w:r>
      <w:r>
        <w:rPr>
          <w:rFonts w:cs="Times New Roman"/>
        </w:rPr>
        <w:t>768</w:t>
      </w:r>
      <w:r>
        <w:rPr>
          <w:rFonts w:cs="Times New Roman" w:hAnsiTheme="minorEastAsia"/>
        </w:rPr>
        <w:t>张</w:t>
      </w:r>
    </w:p>
    <w:p>
      <w:pPr>
        <w:adjustRightInd w:val="0"/>
        <w:snapToGrid w:val="0"/>
        <w:spacing w:line="360" w:lineRule="auto"/>
        <w:ind w:firstLine="480" w:firstLineChars="200"/>
        <w:rPr>
          <w:rFonts w:cs="Times New Roman" w:hAnsiTheme="minorEastAsia"/>
        </w:rPr>
      </w:pPr>
      <w:r>
        <w:rPr>
          <w:rFonts w:hint="eastAsia" w:cs="Times New Roman" w:hAnsiTheme="minorEastAsia"/>
        </w:rPr>
        <w:t>（7）科室设置情况：根据建设单位提供的资料，院内主要为老年医疗呵护大楼和精神大楼，各科室设置情况见下表所示。</w:t>
      </w:r>
    </w:p>
    <w:p>
      <w:pPr>
        <w:pStyle w:val="14"/>
        <w:spacing w:line="240" w:lineRule="auto"/>
        <w:rPr>
          <w:rFonts w:cs="Times New Roman"/>
        </w:rPr>
      </w:pPr>
      <w:r>
        <w:rPr>
          <w:rFonts w:hint="eastAsia" w:cs="Times New Roman" w:hAnsiTheme="minorEastAsia"/>
        </w:rPr>
        <w:t>表</w:t>
      </w:r>
      <w:r>
        <w:rPr>
          <w:rFonts w:cs="Times New Roman" w:hAnsiTheme="minorEastAsia"/>
        </w:rPr>
        <w:fldChar w:fldCharType="begin"/>
      </w:r>
      <w:r>
        <w:rPr>
          <w:rFonts w:cs="Times New Roman" w:hAnsiTheme="minorEastAsia"/>
        </w:rPr>
        <w:instrText xml:space="preserve"> </w:instrText>
      </w:r>
      <w:r>
        <w:rPr>
          <w:rFonts w:hint="eastAsia" w:cs="Times New Roman" w:hAnsiTheme="minorEastAsia"/>
        </w:rPr>
        <w:instrText xml:space="preserve">STYLEREF 2 \s</w:instrText>
      </w:r>
      <w:r>
        <w:rPr>
          <w:rFonts w:cs="Times New Roman" w:hAnsiTheme="minorEastAsia"/>
        </w:rPr>
        <w:instrText xml:space="preserve"> </w:instrText>
      </w:r>
      <w:r>
        <w:rPr>
          <w:rFonts w:cs="Times New Roman" w:hAnsiTheme="minorEastAsia"/>
        </w:rPr>
        <w:fldChar w:fldCharType="separate"/>
      </w:r>
      <w:r>
        <w:rPr>
          <w:rFonts w:cs="Times New Roman" w:hAnsiTheme="minorEastAsia"/>
        </w:rPr>
        <w:t>2.1</w:t>
      </w:r>
      <w:r>
        <w:rPr>
          <w:rFonts w:cs="Times New Roman" w:hAnsiTheme="minorEastAsia"/>
        </w:rPr>
        <w:fldChar w:fldCharType="end"/>
      </w:r>
      <w:r>
        <w:rPr>
          <w:rFonts w:cs="Times New Roman" w:hAnsiTheme="minorEastAsia"/>
        </w:rPr>
        <w:noBreakHyphen/>
      </w:r>
      <w:r>
        <w:rPr>
          <w:rFonts w:cs="Times New Roman" w:hAnsiTheme="minorEastAsia"/>
        </w:rPr>
        <w:fldChar w:fldCharType="begin"/>
      </w:r>
      <w:r>
        <w:rPr>
          <w:rFonts w:cs="Times New Roman" w:hAnsiTheme="minorEastAsia"/>
        </w:rPr>
        <w:instrText xml:space="preserve"> </w:instrText>
      </w:r>
      <w:r>
        <w:rPr>
          <w:rFonts w:hint="eastAsia" w:cs="Times New Roman" w:hAnsiTheme="minorEastAsia"/>
        </w:rPr>
        <w:instrText xml:space="preserve">SEQ 表 \* ARABIC \s 2</w:instrText>
      </w:r>
      <w:r>
        <w:rPr>
          <w:rFonts w:cs="Times New Roman" w:hAnsiTheme="minorEastAsia"/>
        </w:rPr>
        <w:instrText xml:space="preserve"> </w:instrText>
      </w:r>
      <w:r>
        <w:rPr>
          <w:rFonts w:cs="Times New Roman" w:hAnsiTheme="minorEastAsia"/>
        </w:rPr>
        <w:fldChar w:fldCharType="separate"/>
      </w:r>
      <w:r>
        <w:rPr>
          <w:rFonts w:cs="Times New Roman" w:hAnsiTheme="minorEastAsia"/>
        </w:rPr>
        <w:t>1</w:t>
      </w:r>
      <w:r>
        <w:rPr>
          <w:rFonts w:cs="Times New Roman" w:hAnsiTheme="minorEastAsia"/>
        </w:rPr>
        <w:fldChar w:fldCharType="end"/>
      </w:r>
      <w:r>
        <w:rPr>
          <w:rFonts w:hint="eastAsia" w:cs="Times New Roman" w:hAnsiTheme="minorEastAsia"/>
        </w:rPr>
        <w:t xml:space="preserve">  医院各科室分布情况</w:t>
      </w:r>
    </w:p>
    <w:tbl>
      <w:tblPr>
        <w:tblStyle w:val="39"/>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894"/>
        <w:gridCol w:w="67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6" w:hRule="atLeast"/>
        </w:trPr>
        <w:tc>
          <w:tcPr>
            <w:tcW w:w="1500" w:type="pct"/>
            <w:vAlign w:val="center"/>
          </w:tcPr>
          <w:p>
            <w:pPr>
              <w:pStyle w:val="64"/>
              <w:adjustRightInd w:val="0"/>
              <w:snapToGrid w:val="0"/>
              <w:spacing w:line="240" w:lineRule="atLeast"/>
              <w:ind w:firstLine="0" w:firstLineChars="0"/>
              <w:jc w:val="center"/>
              <w:rPr>
                <w:sz w:val="21"/>
              </w:rPr>
            </w:pPr>
            <w:r>
              <w:rPr>
                <w:sz w:val="21"/>
              </w:rPr>
              <w:t>建筑</w:t>
            </w:r>
          </w:p>
        </w:tc>
        <w:tc>
          <w:tcPr>
            <w:tcW w:w="3500" w:type="pct"/>
            <w:vAlign w:val="center"/>
          </w:tcPr>
          <w:p>
            <w:pPr>
              <w:pStyle w:val="64"/>
              <w:adjustRightInd w:val="0"/>
              <w:snapToGrid w:val="0"/>
              <w:spacing w:line="240" w:lineRule="atLeast"/>
              <w:ind w:firstLine="0" w:firstLineChars="0"/>
              <w:jc w:val="center"/>
              <w:rPr>
                <w:sz w:val="21"/>
              </w:rPr>
            </w:pPr>
            <w:r>
              <w:rPr>
                <w:sz w:val="21"/>
              </w:rPr>
              <w:t>主要内容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6" w:hRule="atLeast"/>
        </w:trPr>
        <w:tc>
          <w:tcPr>
            <w:tcW w:w="1500" w:type="pct"/>
            <w:vAlign w:val="center"/>
          </w:tcPr>
          <w:p>
            <w:pPr>
              <w:pStyle w:val="64"/>
              <w:adjustRightInd w:val="0"/>
              <w:snapToGrid w:val="0"/>
              <w:spacing w:line="240" w:lineRule="atLeast"/>
              <w:ind w:firstLine="0" w:firstLineChars="0"/>
              <w:jc w:val="center"/>
              <w:rPr>
                <w:rFonts w:ascii="宋体" w:hAnsi="宋体"/>
                <w:sz w:val="21"/>
              </w:rPr>
            </w:pPr>
            <w:r>
              <w:rPr>
                <w:sz w:val="21"/>
              </w:rPr>
              <w:t>老年医疗呵护大楼</w:t>
            </w:r>
          </w:p>
        </w:tc>
        <w:tc>
          <w:tcPr>
            <w:tcW w:w="3500" w:type="pct"/>
            <w:vAlign w:val="center"/>
          </w:tcPr>
          <w:p>
            <w:pPr>
              <w:pStyle w:val="64"/>
              <w:adjustRightInd w:val="0"/>
              <w:snapToGrid w:val="0"/>
              <w:spacing w:line="240" w:lineRule="atLeast"/>
              <w:ind w:firstLine="0" w:firstLineChars="0"/>
              <w:rPr>
                <w:rFonts w:hAnsi="宋体" w:cs="Times New Roman"/>
                <w:sz w:val="21"/>
              </w:rPr>
            </w:pPr>
            <w:r>
              <w:rPr>
                <w:rFonts w:cs="Times New Roman"/>
                <w:sz w:val="21"/>
              </w:rPr>
              <w:t>1F</w:t>
            </w:r>
            <w:r>
              <w:rPr>
                <w:rFonts w:hAnsi="宋体" w:cs="Times New Roman"/>
                <w:sz w:val="21"/>
              </w:rPr>
              <w:t>：中心药房</w:t>
            </w:r>
            <w:r>
              <w:rPr>
                <w:rFonts w:hint="eastAsia" w:hAnsi="宋体" w:cs="Times New Roman"/>
                <w:sz w:val="21"/>
              </w:rPr>
              <w:t>、</w:t>
            </w:r>
            <w:r>
              <w:rPr>
                <w:rFonts w:hAnsi="宋体" w:cs="Times New Roman"/>
                <w:sz w:val="21"/>
              </w:rPr>
              <w:t>康复训练室</w:t>
            </w:r>
            <w:r>
              <w:rPr>
                <w:rFonts w:hint="eastAsia" w:hAnsi="宋体" w:cs="Times New Roman"/>
                <w:sz w:val="21"/>
              </w:rPr>
              <w:t>、</w:t>
            </w:r>
            <w:r>
              <w:rPr>
                <w:rFonts w:hAnsi="宋体" w:cs="Times New Roman"/>
                <w:sz w:val="21"/>
              </w:rPr>
              <w:t>理疗室</w:t>
            </w:r>
            <w:r>
              <w:rPr>
                <w:rFonts w:hint="eastAsia" w:hAnsi="宋体" w:cs="Times New Roman"/>
                <w:sz w:val="21"/>
              </w:rPr>
              <w:t>、</w:t>
            </w:r>
            <w:r>
              <w:rPr>
                <w:rFonts w:hAnsi="宋体" w:cs="Times New Roman"/>
                <w:sz w:val="21"/>
              </w:rPr>
              <w:t>健身室</w:t>
            </w:r>
            <w:r>
              <w:rPr>
                <w:rFonts w:hint="eastAsia" w:hAnsi="宋体" w:cs="Times New Roman"/>
                <w:sz w:val="21"/>
              </w:rPr>
              <w:t>、</w:t>
            </w:r>
            <w:r>
              <w:rPr>
                <w:rFonts w:hAnsi="宋体" w:cs="Times New Roman"/>
                <w:sz w:val="21"/>
              </w:rPr>
              <w:t>棋牌室</w:t>
            </w:r>
            <w:r>
              <w:rPr>
                <w:rFonts w:hint="eastAsia" w:hAnsi="宋体" w:cs="Times New Roman"/>
                <w:sz w:val="21"/>
              </w:rPr>
              <w:t>、</w:t>
            </w:r>
            <w:r>
              <w:rPr>
                <w:rFonts w:hAnsi="宋体" w:cs="Times New Roman"/>
                <w:sz w:val="21"/>
              </w:rPr>
              <w:t>阅览室</w:t>
            </w:r>
            <w:r>
              <w:rPr>
                <w:rFonts w:hint="eastAsia" w:hAnsi="宋体" w:cs="Times New Roman"/>
                <w:sz w:val="21"/>
              </w:rPr>
              <w:t>、</w:t>
            </w:r>
            <w:r>
              <w:rPr>
                <w:rFonts w:hAnsi="宋体" w:cs="Times New Roman"/>
                <w:sz w:val="21"/>
              </w:rPr>
              <w:t>乒乓球室</w:t>
            </w:r>
          </w:p>
          <w:p>
            <w:pPr>
              <w:pStyle w:val="64"/>
              <w:adjustRightInd w:val="0"/>
              <w:snapToGrid w:val="0"/>
              <w:spacing w:line="240" w:lineRule="atLeast"/>
              <w:ind w:firstLine="0" w:firstLineChars="0"/>
              <w:rPr>
                <w:rFonts w:hAnsi="宋体" w:cs="Times New Roman"/>
                <w:sz w:val="21"/>
              </w:rPr>
            </w:pPr>
            <w:r>
              <w:rPr>
                <w:rFonts w:cs="Times New Roman"/>
                <w:sz w:val="21"/>
              </w:rPr>
              <w:t>2F</w:t>
            </w:r>
            <w:r>
              <w:rPr>
                <w:rFonts w:hAnsi="宋体" w:cs="Times New Roman"/>
                <w:sz w:val="21"/>
              </w:rPr>
              <w:t>：老年医疗呵护一科</w:t>
            </w:r>
            <w:r>
              <w:rPr>
                <w:rFonts w:hint="eastAsia" w:hAnsi="宋体" w:cs="Times New Roman"/>
                <w:sz w:val="21"/>
              </w:rPr>
              <w:t>、医师办公室、护士站、治疗室、抢救室</w:t>
            </w:r>
          </w:p>
          <w:p>
            <w:pPr>
              <w:pStyle w:val="64"/>
              <w:adjustRightInd w:val="0"/>
              <w:snapToGrid w:val="0"/>
              <w:spacing w:line="240" w:lineRule="atLeast"/>
              <w:ind w:firstLine="0" w:firstLineChars="0"/>
              <w:rPr>
                <w:rFonts w:hAnsi="宋体" w:cs="Times New Roman"/>
                <w:sz w:val="21"/>
              </w:rPr>
            </w:pPr>
            <w:r>
              <w:rPr>
                <w:rFonts w:hint="eastAsia" w:cs="Times New Roman"/>
                <w:sz w:val="21"/>
              </w:rPr>
              <w:t>3</w:t>
            </w:r>
            <w:r>
              <w:rPr>
                <w:rFonts w:cs="Times New Roman"/>
                <w:sz w:val="21"/>
              </w:rPr>
              <w:t>F</w:t>
            </w:r>
            <w:r>
              <w:rPr>
                <w:rFonts w:hAnsi="宋体" w:cs="Times New Roman"/>
                <w:sz w:val="21"/>
              </w:rPr>
              <w:t>：老年医疗呵护一科</w:t>
            </w:r>
            <w:r>
              <w:rPr>
                <w:rFonts w:hint="eastAsia" w:hAnsi="宋体" w:cs="Times New Roman"/>
                <w:sz w:val="21"/>
              </w:rPr>
              <w:t>、</w:t>
            </w:r>
            <w:r>
              <w:rPr>
                <w:rFonts w:hAnsi="宋体" w:cs="Times New Roman"/>
                <w:sz w:val="21"/>
              </w:rPr>
              <w:t>治疗室</w:t>
            </w:r>
          </w:p>
          <w:p>
            <w:pPr>
              <w:pStyle w:val="64"/>
              <w:adjustRightInd w:val="0"/>
              <w:snapToGrid w:val="0"/>
              <w:spacing w:line="240" w:lineRule="atLeast"/>
              <w:ind w:firstLine="0" w:firstLineChars="0"/>
              <w:rPr>
                <w:rFonts w:hAnsi="宋体" w:cs="Times New Roman"/>
                <w:sz w:val="21"/>
              </w:rPr>
            </w:pPr>
            <w:r>
              <w:rPr>
                <w:rFonts w:hint="eastAsia" w:cs="Times New Roman"/>
                <w:sz w:val="21"/>
              </w:rPr>
              <w:t>4</w:t>
            </w:r>
            <w:r>
              <w:rPr>
                <w:rFonts w:cs="Times New Roman"/>
                <w:sz w:val="21"/>
              </w:rPr>
              <w:t>F</w:t>
            </w:r>
            <w:r>
              <w:rPr>
                <w:rFonts w:hAnsi="宋体" w:cs="Times New Roman"/>
                <w:sz w:val="21"/>
              </w:rPr>
              <w:t>：老年精神科</w:t>
            </w:r>
          </w:p>
          <w:p>
            <w:pPr>
              <w:pStyle w:val="64"/>
              <w:adjustRightInd w:val="0"/>
              <w:snapToGrid w:val="0"/>
              <w:spacing w:line="240" w:lineRule="atLeast"/>
              <w:ind w:firstLine="0" w:firstLineChars="0"/>
              <w:rPr>
                <w:rFonts w:hAnsi="宋体" w:cs="Times New Roman"/>
                <w:sz w:val="21"/>
              </w:rPr>
            </w:pPr>
            <w:r>
              <w:rPr>
                <w:rFonts w:hint="eastAsia" w:cs="Times New Roman"/>
                <w:sz w:val="21"/>
              </w:rPr>
              <w:t>5</w:t>
            </w:r>
            <w:r>
              <w:rPr>
                <w:rFonts w:cs="Times New Roman"/>
                <w:sz w:val="21"/>
              </w:rPr>
              <w:t>F</w:t>
            </w:r>
            <w:r>
              <w:rPr>
                <w:rFonts w:hAnsi="宋体" w:cs="Times New Roman"/>
                <w:sz w:val="21"/>
              </w:rPr>
              <w:t>：老年医疗呵护二科</w:t>
            </w:r>
            <w:r>
              <w:rPr>
                <w:rFonts w:hint="eastAsia" w:hAnsi="宋体" w:cs="Times New Roman"/>
                <w:sz w:val="21"/>
              </w:rPr>
              <w:t>、</w:t>
            </w:r>
            <w:r>
              <w:rPr>
                <w:rFonts w:hAnsi="宋体" w:cs="Times New Roman"/>
                <w:sz w:val="21"/>
              </w:rPr>
              <w:t>治疗室</w:t>
            </w:r>
          </w:p>
          <w:p>
            <w:pPr>
              <w:pStyle w:val="64"/>
              <w:adjustRightInd w:val="0"/>
              <w:snapToGrid w:val="0"/>
              <w:spacing w:line="240" w:lineRule="atLeast"/>
              <w:ind w:firstLine="0" w:firstLineChars="0"/>
              <w:rPr>
                <w:rFonts w:hAnsi="宋体" w:cs="Times New Roman"/>
                <w:sz w:val="21"/>
              </w:rPr>
            </w:pPr>
            <w:r>
              <w:rPr>
                <w:rFonts w:hint="eastAsia" w:cs="Times New Roman"/>
                <w:sz w:val="21"/>
              </w:rPr>
              <w:t>6</w:t>
            </w:r>
            <w:r>
              <w:rPr>
                <w:rFonts w:cs="Times New Roman"/>
                <w:sz w:val="21"/>
              </w:rPr>
              <w:t>F</w:t>
            </w:r>
            <w:r>
              <w:rPr>
                <w:rFonts w:hAnsi="宋体" w:cs="Times New Roman"/>
                <w:sz w:val="21"/>
              </w:rPr>
              <w:t>：老年医疗呵护三科</w:t>
            </w:r>
            <w:r>
              <w:rPr>
                <w:rFonts w:hint="eastAsia" w:hAnsi="宋体" w:cs="Times New Roman"/>
                <w:sz w:val="21"/>
              </w:rPr>
              <w:t>、</w:t>
            </w:r>
            <w:r>
              <w:rPr>
                <w:rFonts w:hAnsi="宋体" w:cs="Times New Roman"/>
                <w:sz w:val="21"/>
              </w:rPr>
              <w:t>医师办公室</w:t>
            </w:r>
            <w:r>
              <w:rPr>
                <w:rFonts w:hint="eastAsia" w:hAnsi="宋体" w:cs="Times New Roman"/>
                <w:sz w:val="21"/>
              </w:rPr>
              <w:t>、</w:t>
            </w:r>
            <w:r>
              <w:rPr>
                <w:rFonts w:hAnsi="宋体" w:cs="Times New Roman"/>
                <w:sz w:val="21"/>
              </w:rPr>
              <w:t>护士站</w:t>
            </w:r>
            <w:r>
              <w:rPr>
                <w:rFonts w:hint="eastAsia" w:hAnsi="宋体" w:cs="Times New Roman"/>
                <w:sz w:val="21"/>
              </w:rPr>
              <w:t>、</w:t>
            </w:r>
            <w:r>
              <w:rPr>
                <w:rFonts w:hAnsi="宋体" w:cs="Times New Roman"/>
                <w:sz w:val="21"/>
              </w:rPr>
              <w:t>治疗室</w:t>
            </w:r>
          </w:p>
          <w:p>
            <w:pPr>
              <w:pStyle w:val="64"/>
              <w:adjustRightInd w:val="0"/>
              <w:snapToGrid w:val="0"/>
              <w:spacing w:line="240" w:lineRule="atLeast"/>
              <w:ind w:firstLine="0" w:firstLineChars="0"/>
              <w:rPr>
                <w:rFonts w:hAnsi="宋体" w:cs="Times New Roman"/>
                <w:sz w:val="21"/>
              </w:rPr>
            </w:pPr>
            <w:r>
              <w:rPr>
                <w:rFonts w:hint="eastAsia" w:cs="Times New Roman"/>
                <w:sz w:val="21"/>
              </w:rPr>
              <w:t>7</w:t>
            </w:r>
            <w:r>
              <w:rPr>
                <w:rFonts w:cs="Times New Roman"/>
                <w:sz w:val="21"/>
              </w:rPr>
              <w:t>F</w:t>
            </w:r>
            <w:r>
              <w:rPr>
                <w:rFonts w:hAnsi="宋体" w:cs="Times New Roman"/>
                <w:sz w:val="21"/>
              </w:rPr>
              <w:t>：老年医疗呵护三科</w:t>
            </w:r>
          </w:p>
          <w:p>
            <w:pPr>
              <w:pStyle w:val="64"/>
              <w:adjustRightInd w:val="0"/>
              <w:snapToGrid w:val="0"/>
              <w:spacing w:line="240" w:lineRule="atLeast"/>
              <w:ind w:firstLine="0" w:firstLineChars="0"/>
              <w:rPr>
                <w:rFonts w:hAnsi="宋体" w:cs="Times New Roman"/>
                <w:sz w:val="21"/>
              </w:rPr>
            </w:pPr>
            <w:r>
              <w:rPr>
                <w:rFonts w:hint="eastAsia" w:cs="Times New Roman"/>
                <w:sz w:val="21"/>
              </w:rPr>
              <w:t>8</w:t>
            </w:r>
            <w:r>
              <w:rPr>
                <w:rFonts w:cs="Times New Roman"/>
                <w:sz w:val="21"/>
              </w:rPr>
              <w:t>F</w:t>
            </w:r>
            <w:r>
              <w:rPr>
                <w:rFonts w:hAnsi="宋体" w:cs="Times New Roman"/>
                <w:sz w:val="21"/>
              </w:rPr>
              <w:t>：优抚医疗科</w:t>
            </w:r>
          </w:p>
          <w:p>
            <w:pPr>
              <w:pStyle w:val="64"/>
              <w:adjustRightInd w:val="0"/>
              <w:snapToGrid w:val="0"/>
              <w:spacing w:line="240" w:lineRule="atLeast"/>
              <w:ind w:firstLine="0" w:firstLineChars="0"/>
              <w:rPr>
                <w:rFonts w:hAnsi="宋体" w:cs="Times New Roman"/>
                <w:sz w:val="21"/>
              </w:rPr>
            </w:pPr>
            <w:r>
              <w:rPr>
                <w:rFonts w:hint="eastAsia" w:cs="Times New Roman"/>
                <w:sz w:val="21"/>
              </w:rPr>
              <w:t>9</w:t>
            </w:r>
            <w:r>
              <w:rPr>
                <w:rFonts w:cs="Times New Roman"/>
                <w:sz w:val="21"/>
              </w:rPr>
              <w:t>F</w:t>
            </w:r>
            <w:r>
              <w:rPr>
                <w:rFonts w:hAnsi="宋体" w:cs="Times New Roman"/>
                <w:sz w:val="21"/>
              </w:rPr>
              <w:t>：多功能会议室</w:t>
            </w:r>
            <w:r>
              <w:rPr>
                <w:rFonts w:hint="eastAsia" w:hAnsi="宋体" w:cs="Times New Roman"/>
                <w:sz w:val="21"/>
              </w:rPr>
              <w:t>、</w:t>
            </w:r>
            <w:r>
              <w:rPr>
                <w:rFonts w:hAnsi="宋体" w:cs="Times New Roman"/>
                <w:sz w:val="21"/>
              </w:rPr>
              <w:t>屋顶花园</w:t>
            </w:r>
            <w:r>
              <w:rPr>
                <w:rFonts w:hint="eastAsia" w:hAnsi="宋体" w:cs="Times New Roman"/>
                <w:sz w:val="21"/>
              </w:rPr>
              <w:t>、</w:t>
            </w:r>
            <w:r>
              <w:rPr>
                <w:rFonts w:hAnsi="宋体" w:cs="Times New Roman"/>
                <w:sz w:val="21"/>
              </w:rPr>
              <w:t>训练房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6" w:hRule="atLeast"/>
        </w:trPr>
        <w:tc>
          <w:tcPr>
            <w:tcW w:w="1500" w:type="pct"/>
            <w:vAlign w:val="center"/>
          </w:tcPr>
          <w:p>
            <w:pPr>
              <w:pStyle w:val="64"/>
              <w:adjustRightInd w:val="0"/>
              <w:snapToGrid w:val="0"/>
              <w:spacing w:line="240" w:lineRule="atLeast"/>
              <w:ind w:firstLine="0" w:firstLineChars="0"/>
              <w:jc w:val="center"/>
              <w:rPr>
                <w:rFonts w:ascii="宋体" w:hAnsi="宋体"/>
                <w:sz w:val="21"/>
              </w:rPr>
            </w:pPr>
            <w:r>
              <w:rPr>
                <w:rFonts w:hint="eastAsia"/>
                <w:sz w:val="21"/>
              </w:rPr>
              <w:t>精神</w:t>
            </w:r>
            <w:r>
              <w:rPr>
                <w:sz w:val="21"/>
              </w:rPr>
              <w:t>大楼</w:t>
            </w:r>
          </w:p>
        </w:tc>
        <w:tc>
          <w:tcPr>
            <w:tcW w:w="3500" w:type="pct"/>
            <w:vAlign w:val="center"/>
          </w:tcPr>
          <w:p>
            <w:pPr>
              <w:pStyle w:val="64"/>
              <w:adjustRightInd w:val="0"/>
              <w:snapToGrid w:val="0"/>
              <w:spacing w:line="240" w:lineRule="atLeast"/>
              <w:ind w:firstLine="0" w:firstLineChars="0"/>
              <w:rPr>
                <w:rFonts w:cs="Times New Roman"/>
                <w:sz w:val="21"/>
              </w:rPr>
            </w:pPr>
            <w:r>
              <w:rPr>
                <w:rFonts w:cs="Times New Roman"/>
                <w:sz w:val="21"/>
              </w:rPr>
              <w:t>1F</w:t>
            </w:r>
            <w:r>
              <w:rPr>
                <w:rFonts w:hAnsi="宋体" w:cs="Times New Roman"/>
                <w:sz w:val="21"/>
              </w:rPr>
              <w:t>：保安室、功能科综合检查室、放射科（照片、</w:t>
            </w:r>
            <w:r>
              <w:rPr>
                <w:rFonts w:cs="Times New Roman"/>
                <w:sz w:val="21"/>
              </w:rPr>
              <w:t>CT</w:t>
            </w:r>
            <w:r>
              <w:rPr>
                <w:rFonts w:hAnsi="宋体" w:cs="Times New Roman"/>
                <w:sz w:val="21"/>
              </w:rPr>
              <w:t>扫描）、精神科专家诊室、门诊药房、收费挂号室、精神科综合诊室、检验科</w:t>
            </w:r>
            <w:r>
              <w:rPr>
                <w:rFonts w:hint="eastAsia" w:hAnsi="宋体" w:cs="Times New Roman"/>
                <w:sz w:val="21"/>
              </w:rPr>
              <w:t>、</w:t>
            </w:r>
            <w:r>
              <w:rPr>
                <w:rFonts w:cs="Times New Roman"/>
                <w:sz w:val="21"/>
              </w:rPr>
              <w:t>METC</w:t>
            </w:r>
            <w:r>
              <w:rPr>
                <w:rFonts w:hAnsi="宋体" w:cs="Times New Roman"/>
                <w:sz w:val="21"/>
              </w:rPr>
              <w:t>室</w:t>
            </w:r>
          </w:p>
          <w:p>
            <w:pPr>
              <w:pStyle w:val="64"/>
              <w:adjustRightInd w:val="0"/>
              <w:snapToGrid w:val="0"/>
              <w:spacing w:line="240" w:lineRule="atLeast"/>
              <w:ind w:firstLine="0" w:firstLineChars="0"/>
              <w:rPr>
                <w:rFonts w:cs="Times New Roman"/>
                <w:sz w:val="21"/>
              </w:rPr>
            </w:pPr>
            <w:r>
              <w:rPr>
                <w:rFonts w:cs="Times New Roman"/>
                <w:sz w:val="21"/>
              </w:rPr>
              <w:t>2F</w:t>
            </w:r>
            <w:r>
              <w:rPr>
                <w:rFonts w:hAnsi="宋体" w:cs="Times New Roman"/>
                <w:sz w:val="21"/>
              </w:rPr>
              <w:t>：精神一科、护士站、医护办公室、病区</w:t>
            </w:r>
          </w:p>
          <w:p>
            <w:pPr>
              <w:pStyle w:val="64"/>
              <w:adjustRightInd w:val="0"/>
              <w:snapToGrid w:val="0"/>
              <w:spacing w:line="240" w:lineRule="atLeast"/>
              <w:ind w:firstLine="0" w:firstLineChars="0"/>
              <w:rPr>
                <w:rFonts w:cs="Times New Roman"/>
                <w:sz w:val="21"/>
              </w:rPr>
            </w:pPr>
            <w:r>
              <w:rPr>
                <w:rFonts w:cs="Times New Roman"/>
                <w:sz w:val="21"/>
              </w:rPr>
              <w:t>3F</w:t>
            </w:r>
            <w:r>
              <w:rPr>
                <w:rFonts w:hAnsi="宋体" w:cs="Times New Roman"/>
                <w:sz w:val="21"/>
              </w:rPr>
              <w:t>：精神一科、病区</w:t>
            </w:r>
          </w:p>
          <w:p>
            <w:pPr>
              <w:pStyle w:val="64"/>
              <w:adjustRightInd w:val="0"/>
              <w:snapToGrid w:val="0"/>
              <w:spacing w:line="240" w:lineRule="atLeast"/>
              <w:ind w:firstLine="0" w:firstLineChars="0"/>
              <w:rPr>
                <w:rFonts w:cs="Times New Roman"/>
                <w:sz w:val="21"/>
              </w:rPr>
            </w:pPr>
            <w:r>
              <w:rPr>
                <w:rFonts w:cs="Times New Roman"/>
                <w:sz w:val="21"/>
              </w:rPr>
              <w:t>4F</w:t>
            </w:r>
            <w:r>
              <w:rPr>
                <w:rFonts w:hAnsi="宋体" w:cs="Times New Roman"/>
                <w:sz w:val="21"/>
              </w:rPr>
              <w:t>：精神二科、护士站、医护办公室、病区</w:t>
            </w:r>
          </w:p>
          <w:p>
            <w:pPr>
              <w:pStyle w:val="64"/>
              <w:adjustRightInd w:val="0"/>
              <w:snapToGrid w:val="0"/>
              <w:spacing w:line="240" w:lineRule="atLeast"/>
              <w:ind w:firstLine="0" w:firstLineChars="0"/>
              <w:rPr>
                <w:rFonts w:cs="Times New Roman"/>
                <w:sz w:val="21"/>
              </w:rPr>
            </w:pPr>
            <w:r>
              <w:rPr>
                <w:rFonts w:cs="Times New Roman"/>
                <w:sz w:val="21"/>
              </w:rPr>
              <w:t>5F</w:t>
            </w:r>
            <w:r>
              <w:rPr>
                <w:rFonts w:hAnsi="宋体" w:cs="Times New Roman"/>
                <w:sz w:val="21"/>
              </w:rPr>
              <w:t>：精神二科、病区</w:t>
            </w:r>
          </w:p>
          <w:p>
            <w:pPr>
              <w:pStyle w:val="64"/>
              <w:adjustRightInd w:val="0"/>
              <w:snapToGrid w:val="0"/>
              <w:spacing w:line="240" w:lineRule="atLeast"/>
              <w:ind w:firstLine="0" w:firstLineChars="0"/>
              <w:rPr>
                <w:rFonts w:cs="Times New Roman"/>
                <w:sz w:val="21"/>
              </w:rPr>
            </w:pPr>
            <w:r>
              <w:rPr>
                <w:rFonts w:cs="Times New Roman"/>
                <w:sz w:val="21"/>
              </w:rPr>
              <w:t>6F</w:t>
            </w:r>
            <w:r>
              <w:rPr>
                <w:rFonts w:hAnsi="宋体" w:cs="Times New Roman"/>
                <w:sz w:val="21"/>
              </w:rPr>
              <w:t>：精神三科、护士站、医护办公室、病区</w:t>
            </w:r>
          </w:p>
          <w:p>
            <w:pPr>
              <w:pStyle w:val="64"/>
              <w:adjustRightInd w:val="0"/>
              <w:snapToGrid w:val="0"/>
              <w:spacing w:line="240" w:lineRule="atLeast"/>
              <w:ind w:firstLine="0" w:firstLineChars="0"/>
              <w:rPr>
                <w:rFonts w:hAnsi="宋体" w:cs="Times New Roman"/>
                <w:sz w:val="21"/>
              </w:rPr>
            </w:pPr>
            <w:r>
              <w:rPr>
                <w:rFonts w:cs="Times New Roman"/>
                <w:sz w:val="21"/>
              </w:rPr>
              <w:t>7F</w:t>
            </w:r>
            <w:r>
              <w:rPr>
                <w:rFonts w:hAnsi="宋体" w:cs="Times New Roman"/>
                <w:sz w:val="21"/>
              </w:rPr>
              <w:t>：精神三科</w:t>
            </w:r>
            <w:r>
              <w:rPr>
                <w:rFonts w:hint="eastAsia" w:hAnsi="宋体" w:cs="Times New Roman"/>
                <w:sz w:val="21"/>
              </w:rPr>
              <w:t>、</w:t>
            </w:r>
            <w:r>
              <w:rPr>
                <w:rFonts w:hAnsi="宋体" w:cs="Times New Roman"/>
                <w:sz w:val="21"/>
              </w:rPr>
              <w:t>病区</w:t>
            </w:r>
          </w:p>
          <w:p>
            <w:pPr>
              <w:pStyle w:val="64"/>
              <w:adjustRightInd w:val="0"/>
              <w:snapToGrid w:val="0"/>
              <w:spacing w:line="240" w:lineRule="atLeast"/>
              <w:ind w:firstLine="0" w:firstLineChars="0"/>
              <w:rPr>
                <w:rFonts w:hAnsi="宋体" w:cs="Times New Roman"/>
                <w:sz w:val="21"/>
              </w:rPr>
            </w:pPr>
            <w:r>
              <w:rPr>
                <w:rFonts w:hint="eastAsia" w:hAnsi="宋体" w:cs="Times New Roman"/>
                <w:sz w:val="21"/>
              </w:rPr>
              <w:t>8F</w:t>
            </w:r>
            <w:r>
              <w:rPr>
                <w:rFonts w:hAnsi="宋体" w:cs="Times New Roman"/>
                <w:sz w:val="21"/>
              </w:rPr>
              <w:t>：病区</w:t>
            </w:r>
          </w:p>
          <w:p>
            <w:pPr>
              <w:pStyle w:val="64"/>
              <w:adjustRightInd w:val="0"/>
              <w:snapToGrid w:val="0"/>
              <w:spacing w:line="240" w:lineRule="atLeast"/>
              <w:ind w:firstLine="0" w:firstLineChars="0"/>
              <w:rPr>
                <w:rFonts w:ascii="宋体" w:hAnsi="宋体"/>
                <w:sz w:val="21"/>
              </w:rPr>
            </w:pPr>
            <w:r>
              <w:rPr>
                <w:rFonts w:hint="eastAsia" w:hAnsi="宋体" w:cs="Times New Roman"/>
                <w:sz w:val="21"/>
              </w:rPr>
              <w:t>9 F</w:t>
            </w:r>
            <w:r>
              <w:rPr>
                <w:rFonts w:hAnsi="宋体" w:cs="Times New Roman"/>
                <w:sz w:val="21"/>
              </w:rPr>
              <w:t>：病区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6" w:hRule="atLeast"/>
        </w:trPr>
        <w:tc>
          <w:tcPr>
            <w:tcW w:w="1500" w:type="pct"/>
            <w:vAlign w:val="center"/>
          </w:tcPr>
          <w:p>
            <w:pPr>
              <w:pStyle w:val="64"/>
              <w:adjustRightInd w:val="0"/>
              <w:snapToGrid w:val="0"/>
              <w:spacing w:line="240" w:lineRule="atLeast"/>
              <w:ind w:firstLine="0" w:firstLineChars="0"/>
              <w:jc w:val="center"/>
              <w:rPr>
                <w:rFonts w:ascii="宋体" w:hAnsi="宋体"/>
                <w:sz w:val="21"/>
              </w:rPr>
            </w:pPr>
            <w:r>
              <w:rPr>
                <w:rFonts w:hint="eastAsia"/>
                <w:sz w:val="21"/>
              </w:rPr>
              <w:t>办公楼</w:t>
            </w:r>
          </w:p>
        </w:tc>
        <w:tc>
          <w:tcPr>
            <w:tcW w:w="3500" w:type="pct"/>
            <w:vAlign w:val="center"/>
          </w:tcPr>
          <w:p>
            <w:pPr>
              <w:pStyle w:val="64"/>
              <w:adjustRightInd w:val="0"/>
              <w:snapToGrid w:val="0"/>
              <w:spacing w:line="240" w:lineRule="atLeast"/>
              <w:ind w:firstLine="0" w:firstLineChars="0"/>
              <w:rPr>
                <w:rFonts w:hAnsi="宋体" w:cs="Times New Roman"/>
                <w:sz w:val="21"/>
              </w:rPr>
            </w:pPr>
            <w:r>
              <w:rPr>
                <w:rFonts w:cs="Times New Roman"/>
                <w:sz w:val="21"/>
              </w:rPr>
              <w:t>1F</w:t>
            </w:r>
            <w:r>
              <w:rPr>
                <w:rFonts w:hAnsi="宋体" w:cs="Times New Roman"/>
                <w:sz w:val="21"/>
              </w:rPr>
              <w:t>：保卫室</w:t>
            </w:r>
          </w:p>
          <w:p>
            <w:pPr>
              <w:pStyle w:val="64"/>
              <w:adjustRightInd w:val="0"/>
              <w:snapToGrid w:val="0"/>
              <w:spacing w:line="240" w:lineRule="atLeast"/>
              <w:ind w:firstLine="0" w:firstLineChars="0"/>
              <w:rPr>
                <w:rFonts w:hAnsi="宋体" w:cs="Times New Roman"/>
                <w:sz w:val="21"/>
              </w:rPr>
            </w:pPr>
            <w:r>
              <w:rPr>
                <w:rFonts w:hint="eastAsia" w:cs="Times New Roman"/>
                <w:sz w:val="21"/>
              </w:rPr>
              <w:t>2</w:t>
            </w:r>
            <w:r>
              <w:rPr>
                <w:rFonts w:cs="Times New Roman"/>
                <w:sz w:val="21"/>
              </w:rPr>
              <w:t>F</w:t>
            </w:r>
            <w:r>
              <w:rPr>
                <w:rFonts w:hAnsi="宋体" w:cs="Times New Roman"/>
                <w:sz w:val="21"/>
              </w:rPr>
              <w:t>：药械科</w:t>
            </w:r>
            <w:r>
              <w:rPr>
                <w:rFonts w:hint="eastAsia" w:hAnsi="宋体" w:cs="Times New Roman"/>
                <w:sz w:val="21"/>
              </w:rPr>
              <w:t>、</w:t>
            </w:r>
            <w:r>
              <w:rPr>
                <w:rFonts w:hAnsi="宋体" w:cs="Times New Roman"/>
                <w:sz w:val="21"/>
              </w:rPr>
              <w:t>药品仓库</w:t>
            </w:r>
            <w:r>
              <w:rPr>
                <w:rFonts w:hint="eastAsia" w:hAnsi="宋体" w:cs="Times New Roman"/>
                <w:sz w:val="21"/>
              </w:rPr>
              <w:t>、</w:t>
            </w:r>
            <w:r>
              <w:rPr>
                <w:rFonts w:hAnsi="宋体" w:cs="Times New Roman"/>
                <w:sz w:val="21"/>
              </w:rPr>
              <w:t>医保科</w:t>
            </w:r>
            <w:r>
              <w:rPr>
                <w:rFonts w:hint="eastAsia" w:hAnsi="宋体" w:cs="Times New Roman"/>
                <w:sz w:val="21"/>
              </w:rPr>
              <w:t>、</w:t>
            </w:r>
            <w:r>
              <w:rPr>
                <w:rFonts w:hAnsi="宋体" w:cs="Times New Roman"/>
                <w:sz w:val="21"/>
              </w:rPr>
              <w:t>科教科</w:t>
            </w:r>
            <w:r>
              <w:rPr>
                <w:rFonts w:hint="eastAsia" w:hAnsi="宋体" w:cs="Times New Roman"/>
                <w:sz w:val="21"/>
              </w:rPr>
              <w:t>、</w:t>
            </w:r>
            <w:r>
              <w:rPr>
                <w:rFonts w:hAnsi="宋体" w:cs="Times New Roman"/>
                <w:sz w:val="21"/>
              </w:rPr>
              <w:t>院感办</w:t>
            </w:r>
            <w:r>
              <w:rPr>
                <w:rFonts w:hint="eastAsia" w:hAnsi="宋体" w:cs="Times New Roman"/>
                <w:sz w:val="21"/>
              </w:rPr>
              <w:t>、</w:t>
            </w:r>
            <w:r>
              <w:rPr>
                <w:rFonts w:hAnsi="宋体" w:cs="Times New Roman"/>
                <w:sz w:val="21"/>
              </w:rPr>
              <w:t>信息外联办</w:t>
            </w:r>
            <w:r>
              <w:rPr>
                <w:rFonts w:hint="eastAsia" w:hAnsi="宋体" w:cs="Times New Roman"/>
                <w:sz w:val="21"/>
              </w:rPr>
              <w:t>、</w:t>
            </w:r>
            <w:r>
              <w:rPr>
                <w:rFonts w:hAnsi="宋体" w:cs="Times New Roman"/>
                <w:sz w:val="21"/>
              </w:rPr>
              <w:t>优抚巡诊</w:t>
            </w:r>
            <w:r>
              <w:rPr>
                <w:rFonts w:hint="eastAsia" w:hAnsi="宋体" w:cs="Times New Roman"/>
                <w:sz w:val="21"/>
              </w:rPr>
              <w:t>、</w:t>
            </w:r>
            <w:r>
              <w:rPr>
                <w:rFonts w:hAnsi="宋体" w:cs="Times New Roman"/>
                <w:sz w:val="21"/>
              </w:rPr>
              <w:t>护工部</w:t>
            </w:r>
            <w:r>
              <w:rPr>
                <w:rFonts w:hint="eastAsia" w:hAnsi="宋体" w:cs="Times New Roman"/>
                <w:sz w:val="21"/>
              </w:rPr>
              <w:t>、</w:t>
            </w:r>
            <w:r>
              <w:rPr>
                <w:rFonts w:hAnsi="宋体" w:cs="Times New Roman"/>
                <w:sz w:val="21"/>
              </w:rPr>
              <w:t>三基考试中心</w:t>
            </w:r>
          </w:p>
          <w:p>
            <w:pPr>
              <w:pStyle w:val="64"/>
              <w:adjustRightInd w:val="0"/>
              <w:snapToGrid w:val="0"/>
              <w:spacing w:line="240" w:lineRule="atLeast"/>
              <w:ind w:firstLine="0" w:firstLineChars="0"/>
              <w:rPr>
                <w:rFonts w:ascii="宋体" w:hAnsi="宋体"/>
                <w:sz w:val="21"/>
              </w:rPr>
            </w:pPr>
            <w:r>
              <w:rPr>
                <w:rFonts w:hint="eastAsia" w:cs="Times New Roman"/>
                <w:sz w:val="21"/>
              </w:rPr>
              <w:t>3</w:t>
            </w:r>
            <w:r>
              <w:rPr>
                <w:rFonts w:cs="Times New Roman"/>
                <w:sz w:val="21"/>
              </w:rPr>
              <w:t>F</w:t>
            </w:r>
            <w:r>
              <w:rPr>
                <w:rFonts w:hAnsi="宋体" w:cs="Times New Roman"/>
                <w:sz w:val="21"/>
              </w:rPr>
              <w:t>：院长室</w:t>
            </w:r>
            <w:r>
              <w:rPr>
                <w:rFonts w:hint="eastAsia" w:hAnsi="宋体" w:cs="Times New Roman"/>
                <w:sz w:val="21"/>
              </w:rPr>
              <w:t>、</w:t>
            </w:r>
            <w:r>
              <w:rPr>
                <w:rFonts w:hAnsi="宋体" w:cs="Times New Roman"/>
                <w:sz w:val="21"/>
              </w:rPr>
              <w:t>书记室</w:t>
            </w:r>
            <w:r>
              <w:rPr>
                <w:rFonts w:hint="eastAsia" w:hAnsi="宋体" w:cs="Times New Roman"/>
                <w:sz w:val="21"/>
              </w:rPr>
              <w:t>、</w:t>
            </w:r>
            <w:r>
              <w:rPr>
                <w:rFonts w:hAnsi="宋体" w:cs="Times New Roman"/>
                <w:sz w:val="21"/>
              </w:rPr>
              <w:t>副院长室</w:t>
            </w:r>
            <w:r>
              <w:rPr>
                <w:rFonts w:hint="eastAsia" w:hAnsi="宋体" w:cs="Times New Roman"/>
                <w:sz w:val="21"/>
              </w:rPr>
              <w:t>、</w:t>
            </w:r>
            <w:r>
              <w:rPr>
                <w:rFonts w:hAnsi="宋体" w:cs="Times New Roman"/>
                <w:sz w:val="21"/>
              </w:rPr>
              <w:t>工会</w:t>
            </w:r>
            <w:r>
              <w:rPr>
                <w:rFonts w:hint="eastAsia" w:hAnsi="宋体" w:cs="Times New Roman"/>
                <w:sz w:val="21"/>
              </w:rPr>
              <w:t>、</w:t>
            </w:r>
            <w:r>
              <w:rPr>
                <w:rFonts w:hAnsi="宋体" w:cs="Times New Roman"/>
                <w:sz w:val="21"/>
              </w:rPr>
              <w:t>办公室</w:t>
            </w:r>
            <w:r>
              <w:rPr>
                <w:rFonts w:hint="eastAsia" w:hAnsi="宋体" w:cs="Times New Roman"/>
                <w:sz w:val="21"/>
              </w:rPr>
              <w:t>、</w:t>
            </w:r>
            <w:r>
              <w:rPr>
                <w:rFonts w:hAnsi="宋体" w:cs="Times New Roman"/>
                <w:sz w:val="21"/>
              </w:rPr>
              <w:t>党办</w:t>
            </w:r>
            <w:r>
              <w:rPr>
                <w:rFonts w:hint="eastAsia" w:hAnsi="宋体" w:cs="Times New Roman"/>
                <w:sz w:val="21"/>
              </w:rPr>
              <w:t>、</w:t>
            </w:r>
            <w:r>
              <w:rPr>
                <w:rFonts w:hAnsi="宋体" w:cs="Times New Roman"/>
                <w:sz w:val="21"/>
              </w:rPr>
              <w:t>财务科</w:t>
            </w:r>
            <w:r>
              <w:rPr>
                <w:rFonts w:hint="eastAsia" w:hAnsi="宋体" w:cs="Times New Roman"/>
                <w:sz w:val="21"/>
              </w:rPr>
              <w:t>、</w:t>
            </w:r>
            <w:r>
              <w:rPr>
                <w:rFonts w:hAnsi="宋体" w:cs="Times New Roman"/>
                <w:sz w:val="21"/>
              </w:rPr>
              <w:t>医务室</w:t>
            </w:r>
            <w:r>
              <w:rPr>
                <w:rFonts w:hint="eastAsia" w:hAnsi="宋体" w:cs="Times New Roman"/>
                <w:sz w:val="21"/>
              </w:rPr>
              <w:t>、</w:t>
            </w:r>
            <w:r>
              <w:rPr>
                <w:rFonts w:hAnsi="宋体" w:cs="Times New Roman"/>
                <w:sz w:val="21"/>
              </w:rPr>
              <w:t>护理部</w:t>
            </w:r>
            <w:r>
              <w:rPr>
                <w:rFonts w:hint="eastAsia" w:hAnsi="宋体" w:cs="Times New Roman"/>
                <w:sz w:val="21"/>
              </w:rPr>
              <w:t>、</w:t>
            </w:r>
            <w:r>
              <w:rPr>
                <w:rFonts w:hAnsi="宋体" w:cs="Times New Roman"/>
                <w:sz w:val="21"/>
              </w:rPr>
              <w:t>保卫科</w:t>
            </w:r>
            <w:r>
              <w:rPr>
                <w:rFonts w:hint="eastAsia" w:hAnsi="宋体" w:cs="Times New Roman"/>
                <w:sz w:val="21"/>
              </w:rPr>
              <w:t>、</w:t>
            </w:r>
            <w:r>
              <w:rPr>
                <w:rFonts w:hAnsi="宋体" w:cs="Times New Roman"/>
                <w:sz w:val="21"/>
              </w:rPr>
              <w:t>病案室</w:t>
            </w:r>
            <w:r>
              <w:rPr>
                <w:rFonts w:hint="eastAsia" w:hAnsi="宋体" w:cs="Times New Roman"/>
                <w:sz w:val="21"/>
              </w:rPr>
              <w:t>、</w:t>
            </w:r>
            <w:r>
              <w:rPr>
                <w:rFonts w:hAnsi="宋体" w:cs="Times New Roman"/>
                <w:sz w:val="21"/>
              </w:rPr>
              <w:t>会议室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6" w:hRule="atLeast"/>
        </w:trPr>
        <w:tc>
          <w:tcPr>
            <w:tcW w:w="1500" w:type="pct"/>
            <w:vAlign w:val="center"/>
          </w:tcPr>
          <w:p>
            <w:pPr>
              <w:pStyle w:val="64"/>
              <w:adjustRightInd w:val="0"/>
              <w:snapToGrid w:val="0"/>
              <w:spacing w:line="240" w:lineRule="atLeast"/>
              <w:ind w:firstLine="0" w:firstLineChars="0"/>
              <w:jc w:val="center"/>
              <w:rPr>
                <w:rFonts w:ascii="宋体" w:hAnsi="宋体"/>
                <w:sz w:val="21"/>
              </w:rPr>
            </w:pPr>
            <w:r>
              <w:rPr>
                <w:rFonts w:hint="eastAsia"/>
                <w:sz w:val="21"/>
              </w:rPr>
              <w:t>流浪</w:t>
            </w:r>
            <w:r>
              <w:rPr>
                <w:sz w:val="21"/>
              </w:rPr>
              <w:t>精神病人专用住院楼</w:t>
            </w:r>
          </w:p>
        </w:tc>
        <w:tc>
          <w:tcPr>
            <w:tcW w:w="3500" w:type="pct"/>
            <w:vAlign w:val="center"/>
          </w:tcPr>
          <w:p>
            <w:pPr>
              <w:pStyle w:val="64"/>
              <w:adjustRightInd w:val="0"/>
              <w:snapToGrid w:val="0"/>
              <w:spacing w:line="240" w:lineRule="atLeast"/>
              <w:ind w:firstLine="0" w:firstLineChars="0"/>
              <w:rPr>
                <w:rFonts w:hAnsi="宋体" w:cs="Times New Roman"/>
                <w:sz w:val="21"/>
              </w:rPr>
            </w:pPr>
            <w:r>
              <w:rPr>
                <w:rFonts w:cs="Times New Roman"/>
                <w:sz w:val="21"/>
              </w:rPr>
              <w:t>1F</w:t>
            </w:r>
            <w:r>
              <w:rPr>
                <w:rFonts w:hAnsi="宋体" w:cs="Times New Roman"/>
                <w:sz w:val="21"/>
              </w:rPr>
              <w:t>：</w:t>
            </w:r>
            <w:r>
              <w:rPr>
                <w:rFonts w:hint="eastAsia" w:hAnsi="宋体" w:cs="Times New Roman"/>
                <w:sz w:val="21"/>
              </w:rPr>
              <w:t>病房</w:t>
            </w:r>
          </w:p>
          <w:p>
            <w:pPr>
              <w:pStyle w:val="64"/>
              <w:adjustRightInd w:val="0"/>
              <w:snapToGrid w:val="0"/>
              <w:spacing w:line="240" w:lineRule="atLeast"/>
              <w:ind w:firstLine="0" w:firstLineChars="0"/>
              <w:rPr>
                <w:rFonts w:ascii="宋体" w:hAnsi="宋体"/>
                <w:sz w:val="21"/>
              </w:rPr>
            </w:pPr>
            <w:r>
              <w:rPr>
                <w:rFonts w:hint="eastAsia" w:cs="Times New Roman"/>
                <w:sz w:val="21"/>
              </w:rPr>
              <w:t>2</w:t>
            </w:r>
            <w:r>
              <w:rPr>
                <w:rFonts w:cs="Times New Roman"/>
                <w:sz w:val="21"/>
              </w:rPr>
              <w:t>F</w:t>
            </w:r>
            <w:r>
              <w:rPr>
                <w:rFonts w:hAnsi="宋体" w:cs="Times New Roman"/>
                <w:sz w:val="21"/>
              </w:rPr>
              <w:t>：</w:t>
            </w:r>
            <w:r>
              <w:rPr>
                <w:rFonts w:hint="eastAsia" w:hAnsi="宋体" w:cs="Times New Roman"/>
                <w:sz w:val="21"/>
              </w:rPr>
              <w:t>病房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6" w:hRule="atLeast"/>
        </w:trPr>
        <w:tc>
          <w:tcPr>
            <w:tcW w:w="1500" w:type="pct"/>
            <w:vAlign w:val="center"/>
          </w:tcPr>
          <w:p>
            <w:pPr>
              <w:pStyle w:val="64"/>
              <w:adjustRightInd w:val="0"/>
              <w:snapToGrid w:val="0"/>
              <w:spacing w:line="240" w:lineRule="atLeast"/>
              <w:ind w:firstLine="0" w:firstLineChars="0"/>
              <w:jc w:val="center"/>
              <w:rPr>
                <w:rFonts w:ascii="宋体" w:hAnsi="宋体"/>
                <w:sz w:val="21"/>
              </w:rPr>
            </w:pPr>
            <w:r>
              <w:rPr>
                <w:sz w:val="21"/>
              </w:rPr>
              <w:t>岳阳市康复医院美沙酮维持治疗门诊</w:t>
            </w:r>
          </w:p>
        </w:tc>
        <w:tc>
          <w:tcPr>
            <w:tcW w:w="3500" w:type="pct"/>
            <w:vAlign w:val="center"/>
          </w:tcPr>
          <w:p>
            <w:pPr>
              <w:pStyle w:val="64"/>
              <w:adjustRightInd w:val="0"/>
              <w:snapToGrid w:val="0"/>
              <w:spacing w:line="240" w:lineRule="atLeast"/>
              <w:ind w:firstLine="0" w:firstLineChars="0"/>
              <w:rPr>
                <w:rFonts w:hAnsi="宋体" w:cs="Times New Roman"/>
                <w:sz w:val="21"/>
              </w:rPr>
            </w:pPr>
            <w:r>
              <w:rPr>
                <w:rFonts w:cs="Times New Roman"/>
                <w:sz w:val="21"/>
              </w:rPr>
              <w:t>1F</w:t>
            </w:r>
            <w:r>
              <w:rPr>
                <w:rFonts w:hAnsi="宋体" w:cs="Times New Roman"/>
                <w:sz w:val="21"/>
              </w:rPr>
              <w:t>：</w:t>
            </w:r>
            <w:r>
              <w:rPr>
                <w:rFonts w:hint="eastAsia" w:hAnsi="宋体" w:cs="Times New Roman"/>
                <w:sz w:val="21"/>
              </w:rPr>
              <w:t>门诊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6" w:hRule="atLeast"/>
        </w:trPr>
        <w:tc>
          <w:tcPr>
            <w:tcW w:w="1500" w:type="pct"/>
            <w:vAlign w:val="center"/>
          </w:tcPr>
          <w:p>
            <w:pPr>
              <w:pStyle w:val="64"/>
              <w:adjustRightInd w:val="0"/>
              <w:snapToGrid w:val="0"/>
              <w:spacing w:line="240" w:lineRule="atLeast"/>
              <w:ind w:firstLine="0" w:firstLineChars="0"/>
              <w:jc w:val="center"/>
              <w:rPr>
                <w:sz w:val="21"/>
              </w:rPr>
            </w:pPr>
            <w:r>
              <w:rPr>
                <w:sz w:val="21"/>
              </w:rPr>
              <w:t>职工</w:t>
            </w:r>
            <w:r>
              <w:rPr>
                <w:rFonts w:hint="eastAsia"/>
                <w:sz w:val="21"/>
              </w:rPr>
              <w:t>公寓</w:t>
            </w:r>
          </w:p>
        </w:tc>
        <w:tc>
          <w:tcPr>
            <w:tcW w:w="3500" w:type="pct"/>
            <w:vAlign w:val="center"/>
          </w:tcPr>
          <w:p>
            <w:pPr>
              <w:pStyle w:val="64"/>
              <w:adjustRightInd w:val="0"/>
              <w:snapToGrid w:val="0"/>
              <w:spacing w:line="240" w:lineRule="atLeast"/>
              <w:ind w:firstLine="0" w:firstLineChars="0"/>
              <w:rPr>
                <w:rFonts w:cs="Times New Roman"/>
                <w:sz w:val="21"/>
              </w:rPr>
            </w:pPr>
            <w:r>
              <w:rPr>
                <w:rFonts w:cs="Times New Roman"/>
                <w:sz w:val="21"/>
              </w:rPr>
              <w:t>两栋</w:t>
            </w:r>
            <w:r>
              <w:rPr>
                <w:rFonts w:hint="eastAsia" w:cs="Times New Roman"/>
                <w:sz w:val="21"/>
              </w:rPr>
              <w:t>（位于项目西侧）</w:t>
            </w:r>
          </w:p>
        </w:tc>
      </w:tr>
    </w:tbl>
    <w:p>
      <w:pPr>
        <w:pStyle w:val="14"/>
        <w:adjustRightInd w:val="0"/>
        <w:snapToGrid w:val="0"/>
        <w:ind w:firstLine="480" w:firstLineChars="200"/>
        <w:jc w:val="both"/>
        <w:rPr>
          <w:rFonts w:cs="Times New Roman"/>
          <w:b w:val="0"/>
          <w:color w:val="000000" w:themeColor="text1"/>
        </w:rPr>
      </w:pPr>
      <w:r>
        <w:rPr>
          <w:rFonts w:hint="eastAsia" w:cs="Times New Roman"/>
          <w:b w:val="0"/>
          <w:color w:val="000000" w:themeColor="text1"/>
        </w:rPr>
        <w:t>（8）劳动定员及工作制度：本项目医务人员为174人。</w:t>
      </w:r>
    </w:p>
    <w:p>
      <w:pPr>
        <w:adjustRightInd w:val="0"/>
        <w:snapToGrid w:val="0"/>
        <w:spacing w:line="360" w:lineRule="auto"/>
        <w:ind w:firstLine="480" w:firstLineChars="200"/>
        <w:rPr>
          <w:rFonts w:ascii="宋体" w:hAnsi="宋体"/>
          <w:szCs w:val="24"/>
        </w:rPr>
      </w:pPr>
      <w:r>
        <w:rPr>
          <w:rFonts w:hint="eastAsia"/>
        </w:rPr>
        <w:t>（9）服务方式及时间：门诊、</w:t>
      </w:r>
      <w:r>
        <w:rPr>
          <w:rFonts w:ascii="宋体" w:hAnsi="宋体"/>
          <w:szCs w:val="24"/>
        </w:rPr>
        <w:t>住院、预防、康复、保健等服务方式。服务时间安排如下。</w:t>
      </w:r>
    </w:p>
    <w:p>
      <w:pPr>
        <w:adjustRightInd w:val="0"/>
        <w:snapToGrid w:val="0"/>
        <w:spacing w:line="360" w:lineRule="auto"/>
        <w:ind w:firstLine="480" w:firstLineChars="200"/>
        <w:rPr>
          <w:szCs w:val="24"/>
        </w:rPr>
      </w:pPr>
      <w:r>
        <w:rPr>
          <w:rFonts w:hint="eastAsia" w:ascii="宋体" w:hAnsi="宋体"/>
          <w:szCs w:val="24"/>
        </w:rPr>
        <w:t>门诊服务：</w:t>
      </w:r>
      <w:r>
        <w:rPr>
          <w:rFonts w:ascii="宋体" w:hAnsi="宋体"/>
          <w:szCs w:val="24"/>
        </w:rPr>
        <w:t>白天八小时，上午</w:t>
      </w:r>
      <w:r>
        <w:rPr>
          <w:szCs w:val="24"/>
        </w:rPr>
        <w:t>8:00</w:t>
      </w:r>
      <w:r>
        <w:rPr>
          <w:rFonts w:ascii="宋体" w:hAnsi="宋体"/>
          <w:szCs w:val="24"/>
        </w:rPr>
        <w:t>至</w:t>
      </w:r>
      <w:r>
        <w:rPr>
          <w:szCs w:val="24"/>
        </w:rPr>
        <w:t>12:00</w:t>
      </w:r>
      <w:r>
        <w:rPr>
          <w:rFonts w:ascii="宋体" w:hAnsi="宋体"/>
          <w:szCs w:val="24"/>
        </w:rPr>
        <w:t>；下午</w:t>
      </w:r>
      <w:r>
        <w:rPr>
          <w:szCs w:val="24"/>
        </w:rPr>
        <w:t>2:00</w:t>
      </w:r>
      <w:r>
        <w:rPr>
          <w:rFonts w:ascii="宋体" w:hAnsi="宋体"/>
          <w:szCs w:val="24"/>
        </w:rPr>
        <w:t>至</w:t>
      </w:r>
      <w:r>
        <w:rPr>
          <w:szCs w:val="24"/>
        </w:rPr>
        <w:t>5:00</w:t>
      </w:r>
      <w:r>
        <w:rPr>
          <w:rFonts w:ascii="宋体" w:hAnsi="宋体"/>
          <w:szCs w:val="24"/>
        </w:rPr>
        <w:t>；住院及康复医疗服务：星期一至星期日，</w:t>
      </w:r>
      <w:r>
        <w:rPr>
          <w:szCs w:val="24"/>
        </w:rPr>
        <w:t>24</w:t>
      </w:r>
      <w:r>
        <w:rPr>
          <w:rFonts w:ascii="宋体" w:hAnsi="宋体"/>
          <w:szCs w:val="24"/>
        </w:rPr>
        <w:t>小时连续服务</w:t>
      </w:r>
      <w:r>
        <w:rPr>
          <w:rFonts w:hint="eastAsia" w:ascii="宋体" w:hAnsi="宋体"/>
          <w:szCs w:val="24"/>
        </w:rPr>
        <w:t>。</w:t>
      </w:r>
    </w:p>
    <w:p>
      <w:pPr>
        <w:pStyle w:val="4"/>
      </w:pPr>
      <w:bookmarkStart w:id="125" w:name="_Toc25826484"/>
      <w:r>
        <w:rPr>
          <w:rFonts w:hint="eastAsia"/>
        </w:rPr>
        <w:t>工程基本情况</w:t>
      </w:r>
      <w:bookmarkEnd w:id="125"/>
    </w:p>
    <w:p>
      <w:pPr>
        <w:spacing w:line="360" w:lineRule="auto"/>
        <w:ind w:firstLine="480" w:firstLineChars="200"/>
      </w:pPr>
      <w:r>
        <w:t>本项目已建成</w:t>
      </w:r>
      <w:r>
        <w:rPr>
          <w:rFonts w:hint="eastAsia"/>
        </w:rPr>
        <w:t>，</w:t>
      </w:r>
      <w:r>
        <w:t>本项目主要的基础建筑设施情况见下表所示</w:t>
      </w:r>
      <w:r>
        <w:rPr>
          <w:rFonts w:hint="eastAsia"/>
        </w:rPr>
        <w:t>。</w:t>
      </w:r>
    </w:p>
    <w:p>
      <w:pPr>
        <w:pStyle w:val="14"/>
        <w:spacing w:line="240" w:lineRule="auto"/>
      </w:pPr>
      <w:r>
        <w:rPr>
          <w:rFonts w:hint="eastAsia"/>
        </w:rPr>
        <w:t>表</w:t>
      </w:r>
      <w:r>
        <w:fldChar w:fldCharType="begin"/>
      </w:r>
      <w:r>
        <w:instrText xml:space="preserve"> STYLEREF 2 \s </w:instrText>
      </w:r>
      <w:r>
        <w:fldChar w:fldCharType="separate"/>
      </w:r>
      <w:r>
        <w:t>2.2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rPr>
          <w:rFonts w:hint="eastAsia"/>
        </w:rPr>
        <w:t xml:space="preserve">  医院现有建筑设施基本情况一览表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28"/>
        <w:gridCol w:w="1701"/>
        <w:gridCol w:w="5103"/>
        <w:gridCol w:w="1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360" w:lineRule="exact"/>
              <w:jc w:val="center"/>
              <w:rPr>
                <w:sz w:val="21"/>
              </w:rPr>
            </w:pPr>
            <w:r>
              <w:rPr>
                <w:sz w:val="21"/>
              </w:rPr>
              <w:t>序号</w:t>
            </w:r>
          </w:p>
        </w:tc>
        <w:tc>
          <w:tcPr>
            <w:tcW w:w="928" w:type="dxa"/>
            <w:vAlign w:val="center"/>
          </w:tcPr>
          <w:p>
            <w:pPr>
              <w:spacing w:line="360" w:lineRule="exact"/>
              <w:jc w:val="center"/>
              <w:rPr>
                <w:sz w:val="21"/>
              </w:rPr>
            </w:pPr>
            <w:r>
              <w:rPr>
                <w:sz w:val="21"/>
              </w:rPr>
              <w:t>工程类别</w:t>
            </w:r>
          </w:p>
        </w:tc>
        <w:tc>
          <w:tcPr>
            <w:tcW w:w="1701" w:type="dxa"/>
            <w:vAlign w:val="center"/>
          </w:tcPr>
          <w:p>
            <w:pPr>
              <w:spacing w:line="360" w:lineRule="exact"/>
              <w:jc w:val="center"/>
              <w:rPr>
                <w:sz w:val="21"/>
              </w:rPr>
            </w:pPr>
            <w:r>
              <w:rPr>
                <w:sz w:val="21"/>
              </w:rPr>
              <w:t>名称</w:t>
            </w:r>
          </w:p>
        </w:tc>
        <w:tc>
          <w:tcPr>
            <w:tcW w:w="5103" w:type="dxa"/>
            <w:vAlign w:val="center"/>
          </w:tcPr>
          <w:p>
            <w:pPr>
              <w:spacing w:line="360" w:lineRule="exact"/>
              <w:jc w:val="center"/>
              <w:rPr>
                <w:sz w:val="21"/>
              </w:rPr>
            </w:pPr>
            <w:r>
              <w:rPr>
                <w:sz w:val="21"/>
              </w:rPr>
              <w:t>现有工程</w:t>
            </w:r>
          </w:p>
        </w:tc>
        <w:tc>
          <w:tcPr>
            <w:tcW w:w="1458" w:type="dxa"/>
            <w:vAlign w:val="center"/>
          </w:tcPr>
          <w:p>
            <w:pPr>
              <w:spacing w:line="360" w:lineRule="exact"/>
              <w:jc w:val="center"/>
              <w:rPr>
                <w:sz w:val="21"/>
              </w:rPr>
            </w:pPr>
            <w:r>
              <w:rPr>
                <w:rFonts w:hint="eastAsia"/>
                <w:sz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spacing w:line="360" w:lineRule="exact"/>
              <w:jc w:val="center"/>
              <w:rPr>
                <w:sz w:val="21"/>
              </w:rPr>
            </w:pPr>
            <w:r>
              <w:rPr>
                <w:sz w:val="21"/>
              </w:rPr>
              <w:t>1</w:t>
            </w:r>
          </w:p>
        </w:tc>
        <w:tc>
          <w:tcPr>
            <w:tcW w:w="928" w:type="dxa"/>
            <w:vMerge w:val="restart"/>
            <w:vAlign w:val="center"/>
          </w:tcPr>
          <w:p>
            <w:pPr>
              <w:spacing w:line="360" w:lineRule="exact"/>
              <w:jc w:val="center"/>
              <w:rPr>
                <w:sz w:val="21"/>
              </w:rPr>
            </w:pPr>
            <w:r>
              <w:rPr>
                <w:sz w:val="21"/>
              </w:rPr>
              <w:t>主体工程</w:t>
            </w:r>
          </w:p>
        </w:tc>
        <w:tc>
          <w:tcPr>
            <w:tcW w:w="1701" w:type="dxa"/>
            <w:vAlign w:val="center"/>
          </w:tcPr>
          <w:p>
            <w:pPr>
              <w:spacing w:line="360" w:lineRule="exact"/>
              <w:jc w:val="center"/>
              <w:rPr>
                <w:sz w:val="21"/>
              </w:rPr>
            </w:pPr>
            <w:r>
              <w:rPr>
                <w:sz w:val="21"/>
              </w:rPr>
              <w:t>老年医疗呵护大楼</w:t>
            </w:r>
          </w:p>
        </w:tc>
        <w:tc>
          <w:tcPr>
            <w:tcW w:w="5103" w:type="dxa"/>
            <w:vAlign w:val="center"/>
          </w:tcPr>
          <w:p>
            <w:pPr>
              <w:spacing w:line="360" w:lineRule="exact"/>
              <w:jc w:val="center"/>
              <w:rPr>
                <w:color w:val="000000" w:themeColor="text1"/>
                <w:sz w:val="21"/>
              </w:rPr>
            </w:pPr>
            <w:r>
              <w:rPr>
                <w:rFonts w:hint="eastAsia"/>
                <w:color w:val="000000" w:themeColor="text1"/>
                <w:sz w:val="21"/>
              </w:rPr>
              <w:t>位于院内部北侧，为8层建筑</w:t>
            </w:r>
          </w:p>
        </w:tc>
        <w:tc>
          <w:tcPr>
            <w:tcW w:w="1458" w:type="dxa"/>
            <w:vAlign w:val="center"/>
          </w:tcPr>
          <w:p>
            <w:pPr>
              <w:spacing w:line="360" w:lineRule="exact"/>
              <w:jc w:val="center"/>
              <w:rPr>
                <w:sz w:val="21"/>
              </w:rPr>
            </w:pPr>
            <w:r>
              <w:rPr>
                <w:rFonts w:hint="eastAsia"/>
                <w:sz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spacing w:line="360" w:lineRule="exact"/>
              <w:jc w:val="center"/>
              <w:rPr>
                <w:sz w:val="21"/>
              </w:rPr>
            </w:pPr>
          </w:p>
        </w:tc>
        <w:tc>
          <w:tcPr>
            <w:tcW w:w="928" w:type="dxa"/>
            <w:vMerge w:val="continue"/>
            <w:vAlign w:val="center"/>
          </w:tcPr>
          <w:p>
            <w:pPr>
              <w:spacing w:line="360" w:lineRule="exact"/>
              <w:jc w:val="center"/>
              <w:rPr>
                <w:sz w:val="21"/>
              </w:rPr>
            </w:pPr>
          </w:p>
        </w:tc>
        <w:tc>
          <w:tcPr>
            <w:tcW w:w="1701" w:type="dxa"/>
            <w:vAlign w:val="center"/>
          </w:tcPr>
          <w:p>
            <w:pPr>
              <w:spacing w:line="360" w:lineRule="exact"/>
              <w:jc w:val="center"/>
              <w:rPr>
                <w:sz w:val="21"/>
              </w:rPr>
            </w:pPr>
            <w:r>
              <w:rPr>
                <w:rFonts w:hint="eastAsia"/>
                <w:sz w:val="21"/>
              </w:rPr>
              <w:t>精神</w:t>
            </w:r>
            <w:r>
              <w:rPr>
                <w:sz w:val="21"/>
              </w:rPr>
              <w:t>大楼</w:t>
            </w:r>
          </w:p>
        </w:tc>
        <w:tc>
          <w:tcPr>
            <w:tcW w:w="5103" w:type="dxa"/>
            <w:vAlign w:val="center"/>
          </w:tcPr>
          <w:p>
            <w:pPr>
              <w:spacing w:line="360" w:lineRule="exact"/>
              <w:jc w:val="center"/>
              <w:rPr>
                <w:sz w:val="21"/>
              </w:rPr>
            </w:pPr>
            <w:r>
              <w:rPr>
                <w:rFonts w:hint="eastAsia"/>
                <w:sz w:val="21"/>
              </w:rPr>
              <w:t>位于院内部东北侧，为9层建筑，总建筑面积19200m</w:t>
            </w:r>
            <w:r>
              <w:rPr>
                <w:rFonts w:hint="eastAsia"/>
                <w:sz w:val="21"/>
                <w:vertAlign w:val="superscript"/>
              </w:rPr>
              <w:t>2</w:t>
            </w:r>
          </w:p>
        </w:tc>
        <w:tc>
          <w:tcPr>
            <w:tcW w:w="1458" w:type="dxa"/>
            <w:vAlign w:val="center"/>
          </w:tcPr>
          <w:p>
            <w:pPr>
              <w:spacing w:line="360" w:lineRule="exact"/>
              <w:jc w:val="center"/>
              <w:rPr>
                <w:sz w:val="21"/>
              </w:rPr>
            </w:pPr>
            <w:r>
              <w:rPr>
                <w:rFonts w:hint="eastAsia"/>
                <w:sz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spacing w:line="360" w:lineRule="exact"/>
              <w:jc w:val="center"/>
              <w:rPr>
                <w:sz w:val="21"/>
              </w:rPr>
            </w:pPr>
          </w:p>
        </w:tc>
        <w:tc>
          <w:tcPr>
            <w:tcW w:w="928" w:type="dxa"/>
            <w:vMerge w:val="continue"/>
            <w:vAlign w:val="center"/>
          </w:tcPr>
          <w:p>
            <w:pPr>
              <w:spacing w:line="360" w:lineRule="exact"/>
              <w:jc w:val="center"/>
              <w:rPr>
                <w:sz w:val="21"/>
              </w:rPr>
            </w:pPr>
          </w:p>
        </w:tc>
        <w:tc>
          <w:tcPr>
            <w:tcW w:w="1701" w:type="dxa"/>
            <w:vAlign w:val="center"/>
          </w:tcPr>
          <w:p>
            <w:pPr>
              <w:spacing w:line="360" w:lineRule="exact"/>
              <w:jc w:val="center"/>
              <w:rPr>
                <w:sz w:val="21"/>
              </w:rPr>
            </w:pPr>
            <w:r>
              <w:rPr>
                <w:rFonts w:hint="eastAsia"/>
                <w:sz w:val="21"/>
              </w:rPr>
              <w:t>流浪</w:t>
            </w:r>
            <w:r>
              <w:rPr>
                <w:sz w:val="21"/>
              </w:rPr>
              <w:t>精神病人专用住院楼</w:t>
            </w:r>
          </w:p>
        </w:tc>
        <w:tc>
          <w:tcPr>
            <w:tcW w:w="5103" w:type="dxa"/>
            <w:vAlign w:val="center"/>
          </w:tcPr>
          <w:p>
            <w:pPr>
              <w:spacing w:line="360" w:lineRule="exact"/>
              <w:jc w:val="center"/>
              <w:rPr>
                <w:sz w:val="21"/>
              </w:rPr>
            </w:pPr>
            <w:r>
              <w:rPr>
                <w:rFonts w:hint="eastAsia"/>
                <w:sz w:val="21"/>
              </w:rPr>
              <w:t>位于院内部西南侧，为2层建筑</w:t>
            </w:r>
          </w:p>
        </w:tc>
        <w:tc>
          <w:tcPr>
            <w:tcW w:w="1458" w:type="dxa"/>
            <w:vAlign w:val="center"/>
          </w:tcPr>
          <w:p>
            <w:pPr>
              <w:spacing w:line="360" w:lineRule="exact"/>
              <w:jc w:val="center"/>
              <w:rPr>
                <w:sz w:val="21"/>
              </w:rPr>
            </w:pPr>
            <w:r>
              <w:rPr>
                <w:rFonts w:hint="eastAsia"/>
                <w:sz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0" w:type="auto"/>
            <w:vMerge w:val="continue"/>
            <w:vAlign w:val="center"/>
          </w:tcPr>
          <w:p>
            <w:pPr>
              <w:spacing w:line="360" w:lineRule="exact"/>
              <w:jc w:val="center"/>
              <w:rPr>
                <w:sz w:val="21"/>
              </w:rPr>
            </w:pPr>
          </w:p>
        </w:tc>
        <w:tc>
          <w:tcPr>
            <w:tcW w:w="928" w:type="dxa"/>
            <w:vMerge w:val="continue"/>
            <w:vAlign w:val="center"/>
          </w:tcPr>
          <w:p>
            <w:pPr>
              <w:spacing w:line="360" w:lineRule="exact"/>
              <w:jc w:val="center"/>
              <w:rPr>
                <w:sz w:val="21"/>
              </w:rPr>
            </w:pPr>
          </w:p>
        </w:tc>
        <w:tc>
          <w:tcPr>
            <w:tcW w:w="1701" w:type="dxa"/>
            <w:vAlign w:val="center"/>
          </w:tcPr>
          <w:p>
            <w:pPr>
              <w:spacing w:line="360" w:lineRule="exact"/>
              <w:jc w:val="center"/>
              <w:rPr>
                <w:sz w:val="21"/>
              </w:rPr>
            </w:pPr>
            <w:r>
              <w:rPr>
                <w:sz w:val="21"/>
              </w:rPr>
              <w:t>岳阳市康复医院美沙酮维持治疗门诊</w:t>
            </w:r>
          </w:p>
        </w:tc>
        <w:tc>
          <w:tcPr>
            <w:tcW w:w="5103" w:type="dxa"/>
            <w:vAlign w:val="center"/>
          </w:tcPr>
          <w:p>
            <w:pPr>
              <w:spacing w:line="360" w:lineRule="exact"/>
              <w:jc w:val="center"/>
              <w:rPr>
                <w:color w:val="000000" w:themeColor="text1"/>
                <w:sz w:val="21"/>
              </w:rPr>
            </w:pPr>
            <w:r>
              <w:rPr>
                <w:rFonts w:hint="eastAsia"/>
                <w:color w:val="000000" w:themeColor="text1"/>
                <w:sz w:val="21"/>
              </w:rPr>
              <w:t>位于医院正门的右侧，为1层建筑</w:t>
            </w:r>
          </w:p>
        </w:tc>
        <w:tc>
          <w:tcPr>
            <w:tcW w:w="1458" w:type="dxa"/>
            <w:vAlign w:val="center"/>
          </w:tcPr>
          <w:p>
            <w:pPr>
              <w:spacing w:line="360" w:lineRule="exact"/>
              <w:jc w:val="center"/>
              <w:rPr>
                <w:color w:val="000000" w:themeColor="text1"/>
                <w:sz w:val="21"/>
              </w:rPr>
            </w:pPr>
            <w:r>
              <w:rPr>
                <w:rFonts w:hint="eastAsia"/>
                <w:sz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spacing w:line="360" w:lineRule="exact"/>
              <w:jc w:val="center"/>
              <w:rPr>
                <w:sz w:val="21"/>
              </w:rPr>
            </w:pPr>
            <w:r>
              <w:rPr>
                <w:rFonts w:hint="eastAsia"/>
                <w:sz w:val="21"/>
              </w:rPr>
              <w:t>2</w:t>
            </w:r>
          </w:p>
        </w:tc>
        <w:tc>
          <w:tcPr>
            <w:tcW w:w="928" w:type="dxa"/>
            <w:vMerge w:val="restart"/>
            <w:vAlign w:val="center"/>
          </w:tcPr>
          <w:p>
            <w:pPr>
              <w:spacing w:line="360" w:lineRule="exact"/>
              <w:jc w:val="center"/>
              <w:rPr>
                <w:sz w:val="21"/>
              </w:rPr>
            </w:pPr>
            <w:r>
              <w:rPr>
                <w:sz w:val="21"/>
              </w:rPr>
              <w:t>辅助工程</w:t>
            </w:r>
          </w:p>
        </w:tc>
        <w:tc>
          <w:tcPr>
            <w:tcW w:w="1701" w:type="dxa"/>
            <w:vAlign w:val="center"/>
          </w:tcPr>
          <w:p>
            <w:pPr>
              <w:spacing w:line="360" w:lineRule="exact"/>
              <w:jc w:val="center"/>
              <w:rPr>
                <w:sz w:val="21"/>
              </w:rPr>
            </w:pPr>
            <w:r>
              <w:rPr>
                <w:rFonts w:hint="eastAsia"/>
                <w:sz w:val="21"/>
              </w:rPr>
              <w:t>办公楼</w:t>
            </w:r>
          </w:p>
        </w:tc>
        <w:tc>
          <w:tcPr>
            <w:tcW w:w="5103" w:type="dxa"/>
            <w:vAlign w:val="center"/>
          </w:tcPr>
          <w:p>
            <w:pPr>
              <w:spacing w:line="360" w:lineRule="exact"/>
              <w:jc w:val="center"/>
              <w:rPr>
                <w:sz w:val="21"/>
              </w:rPr>
            </w:pPr>
            <w:r>
              <w:rPr>
                <w:rFonts w:hint="eastAsia"/>
                <w:sz w:val="21"/>
              </w:rPr>
              <w:t>位于院内中心位置，为3层建筑</w:t>
            </w:r>
          </w:p>
        </w:tc>
        <w:tc>
          <w:tcPr>
            <w:tcW w:w="1458" w:type="dxa"/>
            <w:vAlign w:val="center"/>
          </w:tcPr>
          <w:p>
            <w:pPr>
              <w:spacing w:line="360" w:lineRule="exact"/>
              <w:jc w:val="center"/>
              <w:rPr>
                <w:sz w:val="21"/>
              </w:rPr>
            </w:pPr>
            <w:r>
              <w:rPr>
                <w:rFonts w:hint="eastAsia"/>
                <w:sz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spacing w:line="360" w:lineRule="exact"/>
              <w:jc w:val="center"/>
              <w:rPr>
                <w:sz w:val="21"/>
              </w:rPr>
            </w:pPr>
          </w:p>
        </w:tc>
        <w:tc>
          <w:tcPr>
            <w:tcW w:w="928" w:type="dxa"/>
            <w:vMerge w:val="continue"/>
            <w:vAlign w:val="center"/>
          </w:tcPr>
          <w:p>
            <w:pPr>
              <w:spacing w:line="360" w:lineRule="exact"/>
              <w:jc w:val="center"/>
              <w:rPr>
                <w:sz w:val="21"/>
              </w:rPr>
            </w:pPr>
          </w:p>
        </w:tc>
        <w:tc>
          <w:tcPr>
            <w:tcW w:w="1701" w:type="dxa"/>
            <w:vAlign w:val="center"/>
          </w:tcPr>
          <w:p>
            <w:pPr>
              <w:spacing w:line="360" w:lineRule="exact"/>
              <w:jc w:val="center"/>
              <w:rPr>
                <w:sz w:val="21"/>
              </w:rPr>
            </w:pPr>
            <w:r>
              <w:rPr>
                <w:sz w:val="21"/>
              </w:rPr>
              <w:t>食堂</w:t>
            </w:r>
          </w:p>
        </w:tc>
        <w:tc>
          <w:tcPr>
            <w:tcW w:w="5103" w:type="dxa"/>
            <w:vAlign w:val="center"/>
          </w:tcPr>
          <w:p>
            <w:pPr>
              <w:spacing w:line="360" w:lineRule="exact"/>
              <w:jc w:val="center"/>
              <w:rPr>
                <w:sz w:val="21"/>
              </w:rPr>
            </w:pPr>
            <w:r>
              <w:rPr>
                <w:rFonts w:hint="eastAsia"/>
                <w:sz w:val="21"/>
              </w:rPr>
              <w:t>位于精神大楼的后面，院内部的东北侧，为1层建筑</w:t>
            </w:r>
          </w:p>
        </w:tc>
        <w:tc>
          <w:tcPr>
            <w:tcW w:w="1458" w:type="dxa"/>
            <w:vAlign w:val="center"/>
          </w:tcPr>
          <w:p>
            <w:pPr>
              <w:spacing w:line="360" w:lineRule="exact"/>
              <w:jc w:val="center"/>
              <w:rPr>
                <w:sz w:val="21"/>
              </w:rPr>
            </w:pPr>
            <w:r>
              <w:rPr>
                <w:rFonts w:hint="eastAsia"/>
                <w:sz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spacing w:line="360" w:lineRule="exact"/>
              <w:jc w:val="center"/>
              <w:rPr>
                <w:sz w:val="21"/>
              </w:rPr>
            </w:pPr>
          </w:p>
        </w:tc>
        <w:tc>
          <w:tcPr>
            <w:tcW w:w="928" w:type="dxa"/>
            <w:vMerge w:val="continue"/>
            <w:vAlign w:val="center"/>
          </w:tcPr>
          <w:p>
            <w:pPr>
              <w:spacing w:line="360" w:lineRule="exact"/>
              <w:jc w:val="center"/>
              <w:rPr>
                <w:sz w:val="21"/>
              </w:rPr>
            </w:pPr>
          </w:p>
        </w:tc>
        <w:tc>
          <w:tcPr>
            <w:tcW w:w="1701" w:type="dxa"/>
            <w:vAlign w:val="center"/>
          </w:tcPr>
          <w:p>
            <w:pPr>
              <w:spacing w:line="360" w:lineRule="exact"/>
              <w:jc w:val="center"/>
              <w:rPr>
                <w:sz w:val="21"/>
              </w:rPr>
            </w:pPr>
            <w:r>
              <w:rPr>
                <w:sz w:val="21"/>
              </w:rPr>
              <w:t>营养食堂</w:t>
            </w:r>
          </w:p>
        </w:tc>
        <w:tc>
          <w:tcPr>
            <w:tcW w:w="5103" w:type="dxa"/>
            <w:vAlign w:val="center"/>
          </w:tcPr>
          <w:p>
            <w:pPr>
              <w:spacing w:line="360" w:lineRule="exact"/>
              <w:jc w:val="center"/>
              <w:rPr>
                <w:sz w:val="21"/>
              </w:rPr>
            </w:pPr>
            <w:r>
              <w:rPr>
                <w:rFonts w:hint="eastAsia"/>
                <w:sz w:val="21"/>
              </w:rPr>
              <w:t>位于精神大楼的后面，院内部的东北侧，为1层建筑</w:t>
            </w:r>
          </w:p>
        </w:tc>
        <w:tc>
          <w:tcPr>
            <w:tcW w:w="1458" w:type="dxa"/>
            <w:vAlign w:val="center"/>
          </w:tcPr>
          <w:p>
            <w:pPr>
              <w:spacing w:line="360" w:lineRule="exact"/>
              <w:jc w:val="center"/>
              <w:rPr>
                <w:sz w:val="21"/>
              </w:rPr>
            </w:pPr>
            <w:r>
              <w:rPr>
                <w:rFonts w:hint="eastAsia"/>
                <w:sz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spacing w:line="360" w:lineRule="exact"/>
              <w:jc w:val="center"/>
              <w:rPr>
                <w:sz w:val="21"/>
              </w:rPr>
            </w:pPr>
          </w:p>
        </w:tc>
        <w:tc>
          <w:tcPr>
            <w:tcW w:w="928" w:type="dxa"/>
            <w:vMerge w:val="continue"/>
            <w:vAlign w:val="center"/>
          </w:tcPr>
          <w:p>
            <w:pPr>
              <w:spacing w:line="360" w:lineRule="exact"/>
              <w:jc w:val="center"/>
              <w:rPr>
                <w:sz w:val="21"/>
              </w:rPr>
            </w:pPr>
          </w:p>
        </w:tc>
        <w:tc>
          <w:tcPr>
            <w:tcW w:w="1701" w:type="dxa"/>
            <w:vAlign w:val="center"/>
          </w:tcPr>
          <w:p>
            <w:pPr>
              <w:spacing w:line="360" w:lineRule="exact"/>
              <w:jc w:val="center"/>
              <w:rPr>
                <w:sz w:val="21"/>
              </w:rPr>
            </w:pPr>
            <w:r>
              <w:rPr>
                <w:sz w:val="21"/>
              </w:rPr>
              <w:t>停车场</w:t>
            </w:r>
          </w:p>
        </w:tc>
        <w:tc>
          <w:tcPr>
            <w:tcW w:w="5103" w:type="dxa"/>
            <w:vAlign w:val="center"/>
          </w:tcPr>
          <w:p>
            <w:pPr>
              <w:spacing w:line="360" w:lineRule="exact"/>
              <w:jc w:val="center"/>
              <w:rPr>
                <w:sz w:val="21"/>
              </w:rPr>
            </w:pPr>
            <w:r>
              <w:rPr>
                <w:rFonts w:hint="eastAsia"/>
                <w:sz w:val="21"/>
              </w:rPr>
              <w:t>位于精神大楼的前面，医院内部的东侧</w:t>
            </w:r>
          </w:p>
        </w:tc>
        <w:tc>
          <w:tcPr>
            <w:tcW w:w="1458" w:type="dxa"/>
            <w:vAlign w:val="center"/>
          </w:tcPr>
          <w:p>
            <w:pPr>
              <w:spacing w:line="360" w:lineRule="exact"/>
              <w:jc w:val="center"/>
              <w:rPr>
                <w:sz w:val="21"/>
              </w:rPr>
            </w:pPr>
            <w:r>
              <w:rPr>
                <w:rFonts w:hint="eastAsia"/>
                <w:sz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spacing w:line="360" w:lineRule="exact"/>
              <w:jc w:val="center"/>
              <w:rPr>
                <w:sz w:val="21"/>
              </w:rPr>
            </w:pPr>
          </w:p>
        </w:tc>
        <w:tc>
          <w:tcPr>
            <w:tcW w:w="928" w:type="dxa"/>
            <w:vMerge w:val="continue"/>
            <w:vAlign w:val="center"/>
          </w:tcPr>
          <w:p>
            <w:pPr>
              <w:spacing w:line="360" w:lineRule="exact"/>
              <w:jc w:val="center"/>
              <w:rPr>
                <w:sz w:val="21"/>
              </w:rPr>
            </w:pPr>
          </w:p>
        </w:tc>
        <w:tc>
          <w:tcPr>
            <w:tcW w:w="1701" w:type="dxa"/>
            <w:vAlign w:val="center"/>
          </w:tcPr>
          <w:p>
            <w:pPr>
              <w:spacing w:line="360" w:lineRule="exact"/>
              <w:jc w:val="center"/>
              <w:rPr>
                <w:sz w:val="21"/>
              </w:rPr>
            </w:pPr>
            <w:r>
              <w:rPr>
                <w:sz w:val="21"/>
              </w:rPr>
              <w:t>洗衣房</w:t>
            </w:r>
          </w:p>
        </w:tc>
        <w:tc>
          <w:tcPr>
            <w:tcW w:w="5103" w:type="dxa"/>
            <w:vAlign w:val="center"/>
          </w:tcPr>
          <w:p>
            <w:pPr>
              <w:spacing w:line="360" w:lineRule="exact"/>
              <w:jc w:val="center"/>
              <w:rPr>
                <w:sz w:val="21"/>
              </w:rPr>
            </w:pPr>
            <w:r>
              <w:rPr>
                <w:rFonts w:hint="eastAsia"/>
                <w:sz w:val="21"/>
              </w:rPr>
              <w:t>位于精神大楼的负一楼</w:t>
            </w:r>
          </w:p>
        </w:tc>
        <w:tc>
          <w:tcPr>
            <w:tcW w:w="1458" w:type="dxa"/>
            <w:vAlign w:val="center"/>
          </w:tcPr>
          <w:p>
            <w:pPr>
              <w:spacing w:line="360" w:lineRule="exact"/>
              <w:jc w:val="center"/>
              <w:rPr>
                <w:sz w:val="21"/>
              </w:rPr>
            </w:pPr>
            <w:r>
              <w:rPr>
                <w:rFonts w:hint="eastAsia"/>
                <w:sz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spacing w:line="360" w:lineRule="exact"/>
              <w:jc w:val="center"/>
              <w:rPr>
                <w:sz w:val="21"/>
              </w:rPr>
            </w:pPr>
            <w:r>
              <w:rPr>
                <w:rFonts w:hint="eastAsia"/>
                <w:sz w:val="21"/>
              </w:rPr>
              <w:t>3</w:t>
            </w:r>
          </w:p>
        </w:tc>
        <w:tc>
          <w:tcPr>
            <w:tcW w:w="928" w:type="dxa"/>
            <w:vMerge w:val="restart"/>
            <w:vAlign w:val="center"/>
          </w:tcPr>
          <w:p>
            <w:pPr>
              <w:spacing w:line="360" w:lineRule="exact"/>
              <w:jc w:val="center"/>
              <w:rPr>
                <w:sz w:val="21"/>
              </w:rPr>
            </w:pPr>
            <w:r>
              <w:rPr>
                <w:sz w:val="21"/>
              </w:rPr>
              <w:t>公用工程</w:t>
            </w:r>
          </w:p>
        </w:tc>
        <w:tc>
          <w:tcPr>
            <w:tcW w:w="1701" w:type="dxa"/>
            <w:vAlign w:val="center"/>
          </w:tcPr>
          <w:p>
            <w:pPr>
              <w:spacing w:line="360" w:lineRule="exact"/>
              <w:jc w:val="center"/>
              <w:rPr>
                <w:sz w:val="21"/>
              </w:rPr>
            </w:pPr>
            <w:r>
              <w:rPr>
                <w:rFonts w:hint="eastAsia"/>
                <w:sz w:val="21"/>
              </w:rPr>
              <w:t>供水系统</w:t>
            </w:r>
          </w:p>
        </w:tc>
        <w:tc>
          <w:tcPr>
            <w:tcW w:w="5103" w:type="dxa"/>
            <w:vAlign w:val="center"/>
          </w:tcPr>
          <w:p>
            <w:pPr>
              <w:spacing w:line="360" w:lineRule="exact"/>
              <w:jc w:val="center"/>
              <w:rPr>
                <w:sz w:val="21"/>
              </w:rPr>
            </w:pPr>
            <w:r>
              <w:rPr>
                <w:rFonts w:hint="eastAsia" w:hAnsi="宋体"/>
                <w:snapToGrid w:val="0"/>
                <w:kern w:val="0"/>
                <w:sz w:val="21"/>
              </w:rPr>
              <w:t>供水从市政供水</w:t>
            </w:r>
          </w:p>
        </w:tc>
        <w:tc>
          <w:tcPr>
            <w:tcW w:w="1458" w:type="dxa"/>
            <w:vAlign w:val="center"/>
          </w:tcPr>
          <w:p>
            <w:pPr>
              <w:spacing w:line="360" w:lineRule="exact"/>
              <w:jc w:val="center"/>
              <w:rPr>
                <w:sz w:val="21"/>
              </w:rPr>
            </w:pPr>
            <w:r>
              <w:rPr>
                <w:rFonts w:hint="eastAsia"/>
                <w:sz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spacing w:line="360" w:lineRule="exact"/>
              <w:jc w:val="center"/>
              <w:rPr>
                <w:sz w:val="21"/>
              </w:rPr>
            </w:pPr>
          </w:p>
        </w:tc>
        <w:tc>
          <w:tcPr>
            <w:tcW w:w="928" w:type="dxa"/>
            <w:vMerge w:val="continue"/>
            <w:vAlign w:val="center"/>
          </w:tcPr>
          <w:p>
            <w:pPr>
              <w:spacing w:line="360" w:lineRule="exact"/>
              <w:jc w:val="center"/>
              <w:rPr>
                <w:sz w:val="21"/>
              </w:rPr>
            </w:pPr>
          </w:p>
        </w:tc>
        <w:tc>
          <w:tcPr>
            <w:tcW w:w="1701" w:type="dxa"/>
            <w:vAlign w:val="center"/>
          </w:tcPr>
          <w:p>
            <w:pPr>
              <w:spacing w:line="360" w:lineRule="exact"/>
              <w:jc w:val="center"/>
              <w:rPr>
                <w:sz w:val="21"/>
              </w:rPr>
            </w:pPr>
            <w:r>
              <w:rPr>
                <w:sz w:val="21"/>
              </w:rPr>
              <w:t>变配电系统</w:t>
            </w:r>
          </w:p>
        </w:tc>
        <w:tc>
          <w:tcPr>
            <w:tcW w:w="5103" w:type="dxa"/>
            <w:vAlign w:val="center"/>
          </w:tcPr>
          <w:p>
            <w:pPr>
              <w:spacing w:line="360" w:lineRule="exact"/>
              <w:jc w:val="center"/>
              <w:rPr>
                <w:sz w:val="21"/>
              </w:rPr>
            </w:pPr>
            <w:r>
              <w:rPr>
                <w:rFonts w:hint="eastAsia" w:hAnsi="宋体"/>
                <w:sz w:val="21"/>
              </w:rPr>
              <w:t>设一个配电房（内设变压器）。并设置1台500kw的发电机作为医院的备用电源</w:t>
            </w:r>
          </w:p>
        </w:tc>
        <w:tc>
          <w:tcPr>
            <w:tcW w:w="1458" w:type="dxa"/>
            <w:vAlign w:val="center"/>
          </w:tcPr>
          <w:p>
            <w:pPr>
              <w:spacing w:line="360" w:lineRule="exact"/>
              <w:jc w:val="center"/>
              <w:rPr>
                <w:sz w:val="21"/>
              </w:rPr>
            </w:pPr>
            <w:r>
              <w:rPr>
                <w:rFonts w:hint="eastAsia"/>
                <w:sz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spacing w:line="360" w:lineRule="exact"/>
              <w:jc w:val="center"/>
              <w:rPr>
                <w:sz w:val="21"/>
              </w:rPr>
            </w:pPr>
          </w:p>
        </w:tc>
        <w:tc>
          <w:tcPr>
            <w:tcW w:w="928" w:type="dxa"/>
            <w:vMerge w:val="continue"/>
            <w:vAlign w:val="center"/>
          </w:tcPr>
          <w:p>
            <w:pPr>
              <w:spacing w:line="360" w:lineRule="exact"/>
              <w:jc w:val="center"/>
              <w:rPr>
                <w:sz w:val="21"/>
              </w:rPr>
            </w:pPr>
          </w:p>
        </w:tc>
        <w:tc>
          <w:tcPr>
            <w:tcW w:w="1701" w:type="dxa"/>
            <w:vAlign w:val="center"/>
          </w:tcPr>
          <w:p>
            <w:pPr>
              <w:spacing w:line="360" w:lineRule="exact"/>
              <w:jc w:val="center"/>
              <w:rPr>
                <w:sz w:val="21"/>
              </w:rPr>
            </w:pPr>
            <w:r>
              <w:rPr>
                <w:sz w:val="21"/>
              </w:rPr>
              <w:t>供氧系统</w:t>
            </w:r>
          </w:p>
        </w:tc>
        <w:tc>
          <w:tcPr>
            <w:tcW w:w="5103" w:type="dxa"/>
            <w:vAlign w:val="center"/>
          </w:tcPr>
          <w:p>
            <w:pPr>
              <w:spacing w:line="360" w:lineRule="exact"/>
              <w:jc w:val="center"/>
              <w:rPr>
                <w:color w:val="000000" w:themeColor="text1"/>
                <w:sz w:val="21"/>
              </w:rPr>
            </w:pPr>
            <w:r>
              <w:rPr>
                <w:rFonts w:hint="eastAsia"/>
                <w:color w:val="000000" w:themeColor="text1"/>
                <w:sz w:val="21"/>
              </w:rPr>
              <w:t>位于</w:t>
            </w:r>
            <w:r>
              <w:rPr>
                <w:color w:val="000000" w:themeColor="text1"/>
                <w:sz w:val="21"/>
              </w:rPr>
              <w:t>老年医疗呵护大楼</w:t>
            </w:r>
            <w:r>
              <w:rPr>
                <w:rFonts w:hint="eastAsia"/>
                <w:color w:val="000000" w:themeColor="text1"/>
                <w:sz w:val="21"/>
              </w:rPr>
              <w:t>一</w:t>
            </w:r>
            <w:r>
              <w:rPr>
                <w:color w:val="000000" w:themeColor="text1"/>
                <w:sz w:val="21"/>
              </w:rPr>
              <w:t>楼氧气瓶</w:t>
            </w:r>
            <w:r>
              <w:rPr>
                <w:rFonts w:hint="eastAsia"/>
                <w:color w:val="000000" w:themeColor="text1"/>
                <w:sz w:val="21"/>
              </w:rPr>
              <w:t>管理</w:t>
            </w:r>
            <w:r>
              <w:rPr>
                <w:color w:val="000000" w:themeColor="text1"/>
                <w:sz w:val="21"/>
              </w:rPr>
              <w:t>仓库</w:t>
            </w:r>
            <w:r>
              <w:rPr>
                <w:rFonts w:hint="eastAsia"/>
                <w:color w:val="000000" w:themeColor="text1"/>
                <w:sz w:val="21"/>
              </w:rPr>
              <w:t>（</w:t>
            </w:r>
            <w:r>
              <w:rPr>
                <w:color w:val="000000" w:themeColor="text1"/>
                <w:sz w:val="21"/>
              </w:rPr>
              <w:t>规格15kg/瓶，市场外购，厂区最大储存量</w:t>
            </w:r>
            <w:r>
              <w:rPr>
                <w:rFonts w:hint="eastAsia"/>
                <w:color w:val="000000" w:themeColor="text1"/>
                <w:sz w:val="21"/>
              </w:rPr>
              <w:t>30</w:t>
            </w:r>
            <w:r>
              <w:rPr>
                <w:color w:val="000000" w:themeColor="text1"/>
                <w:sz w:val="21"/>
              </w:rPr>
              <w:t>瓶，0.15kg</w:t>
            </w:r>
            <w:r>
              <w:rPr>
                <w:rFonts w:hint="eastAsia"/>
                <w:color w:val="000000" w:themeColor="text1"/>
                <w:sz w:val="21"/>
              </w:rPr>
              <w:t>）</w:t>
            </w:r>
          </w:p>
        </w:tc>
        <w:tc>
          <w:tcPr>
            <w:tcW w:w="1458" w:type="dxa"/>
            <w:vAlign w:val="center"/>
          </w:tcPr>
          <w:p>
            <w:pPr>
              <w:spacing w:line="360" w:lineRule="exact"/>
              <w:jc w:val="center"/>
              <w:rPr>
                <w:sz w:val="21"/>
              </w:rPr>
            </w:pPr>
            <w:r>
              <w:rPr>
                <w:rFonts w:hint="eastAsia"/>
                <w:sz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spacing w:line="360" w:lineRule="exact"/>
              <w:jc w:val="center"/>
              <w:rPr>
                <w:sz w:val="21"/>
              </w:rPr>
            </w:pPr>
          </w:p>
        </w:tc>
        <w:tc>
          <w:tcPr>
            <w:tcW w:w="928" w:type="dxa"/>
            <w:vMerge w:val="continue"/>
            <w:vAlign w:val="center"/>
          </w:tcPr>
          <w:p>
            <w:pPr>
              <w:spacing w:line="360" w:lineRule="exact"/>
              <w:jc w:val="center"/>
              <w:rPr>
                <w:sz w:val="21"/>
              </w:rPr>
            </w:pPr>
          </w:p>
        </w:tc>
        <w:tc>
          <w:tcPr>
            <w:tcW w:w="1701" w:type="dxa"/>
            <w:vAlign w:val="center"/>
          </w:tcPr>
          <w:p>
            <w:pPr>
              <w:spacing w:line="360" w:lineRule="exact"/>
              <w:jc w:val="center"/>
              <w:rPr>
                <w:sz w:val="21"/>
              </w:rPr>
            </w:pPr>
            <w:r>
              <w:rPr>
                <w:sz w:val="21"/>
              </w:rPr>
              <w:t>消毒系统</w:t>
            </w:r>
          </w:p>
        </w:tc>
        <w:tc>
          <w:tcPr>
            <w:tcW w:w="5103" w:type="dxa"/>
            <w:vAlign w:val="center"/>
          </w:tcPr>
          <w:p>
            <w:pPr>
              <w:spacing w:line="360" w:lineRule="exact"/>
              <w:jc w:val="center"/>
              <w:rPr>
                <w:sz w:val="21"/>
              </w:rPr>
            </w:pPr>
            <w:r>
              <w:rPr>
                <w:rFonts w:hint="eastAsia"/>
                <w:sz w:val="21"/>
              </w:rPr>
              <w:t>器械、设备采用天然气蒸汽锅炉消毒；病房、过道等采用84消毒</w:t>
            </w:r>
          </w:p>
        </w:tc>
        <w:tc>
          <w:tcPr>
            <w:tcW w:w="1458" w:type="dxa"/>
            <w:vAlign w:val="center"/>
          </w:tcPr>
          <w:p>
            <w:pPr>
              <w:spacing w:line="360" w:lineRule="exact"/>
              <w:jc w:val="center"/>
              <w:rPr>
                <w:sz w:val="21"/>
              </w:rPr>
            </w:pPr>
            <w:r>
              <w:rPr>
                <w:rFonts w:hint="eastAsia"/>
                <w:sz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spacing w:line="360" w:lineRule="exact"/>
              <w:jc w:val="center"/>
              <w:rPr>
                <w:sz w:val="21"/>
              </w:rPr>
            </w:pPr>
          </w:p>
        </w:tc>
        <w:tc>
          <w:tcPr>
            <w:tcW w:w="928" w:type="dxa"/>
            <w:vMerge w:val="continue"/>
            <w:vAlign w:val="center"/>
          </w:tcPr>
          <w:p>
            <w:pPr>
              <w:spacing w:line="360" w:lineRule="exact"/>
              <w:jc w:val="center"/>
              <w:rPr>
                <w:sz w:val="21"/>
              </w:rPr>
            </w:pPr>
          </w:p>
        </w:tc>
        <w:tc>
          <w:tcPr>
            <w:tcW w:w="1701" w:type="dxa"/>
            <w:vAlign w:val="center"/>
          </w:tcPr>
          <w:p>
            <w:pPr>
              <w:spacing w:line="360" w:lineRule="exact"/>
              <w:jc w:val="center"/>
              <w:rPr>
                <w:sz w:val="21"/>
              </w:rPr>
            </w:pPr>
            <w:r>
              <w:rPr>
                <w:sz w:val="21"/>
              </w:rPr>
              <w:t>制冷、供热系统</w:t>
            </w:r>
          </w:p>
        </w:tc>
        <w:tc>
          <w:tcPr>
            <w:tcW w:w="5103" w:type="dxa"/>
            <w:vAlign w:val="center"/>
          </w:tcPr>
          <w:p>
            <w:pPr>
              <w:spacing w:line="360" w:lineRule="exact"/>
              <w:jc w:val="center"/>
              <w:rPr>
                <w:color w:val="000000" w:themeColor="text1"/>
                <w:sz w:val="21"/>
              </w:rPr>
            </w:pPr>
            <w:r>
              <w:rPr>
                <w:rFonts w:hint="eastAsia"/>
                <w:color w:val="000000" w:themeColor="text1"/>
                <w:sz w:val="21"/>
              </w:rPr>
              <w:t>采用中央空调进行制冷及供热</w:t>
            </w:r>
          </w:p>
        </w:tc>
        <w:tc>
          <w:tcPr>
            <w:tcW w:w="1458" w:type="dxa"/>
            <w:vAlign w:val="center"/>
          </w:tcPr>
          <w:p>
            <w:pPr>
              <w:spacing w:line="360" w:lineRule="exact"/>
              <w:jc w:val="center"/>
              <w:rPr>
                <w:sz w:val="21"/>
              </w:rPr>
            </w:pPr>
            <w:r>
              <w:rPr>
                <w:rFonts w:hint="eastAsia"/>
                <w:sz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0" w:type="auto"/>
            <w:vMerge w:val="restart"/>
            <w:vAlign w:val="center"/>
          </w:tcPr>
          <w:p>
            <w:pPr>
              <w:spacing w:line="360" w:lineRule="exact"/>
              <w:jc w:val="center"/>
              <w:rPr>
                <w:sz w:val="21"/>
              </w:rPr>
            </w:pPr>
            <w:r>
              <w:rPr>
                <w:rFonts w:hint="eastAsia"/>
                <w:sz w:val="21"/>
              </w:rPr>
              <w:t>4</w:t>
            </w:r>
          </w:p>
        </w:tc>
        <w:tc>
          <w:tcPr>
            <w:tcW w:w="928" w:type="dxa"/>
            <w:vMerge w:val="restart"/>
            <w:vAlign w:val="center"/>
          </w:tcPr>
          <w:p>
            <w:pPr>
              <w:spacing w:line="360" w:lineRule="exact"/>
              <w:jc w:val="center"/>
              <w:rPr>
                <w:sz w:val="21"/>
              </w:rPr>
            </w:pPr>
            <w:r>
              <w:rPr>
                <w:sz w:val="21"/>
              </w:rPr>
              <w:t>环保工程</w:t>
            </w:r>
          </w:p>
        </w:tc>
        <w:tc>
          <w:tcPr>
            <w:tcW w:w="1701" w:type="dxa"/>
            <w:vMerge w:val="restart"/>
            <w:vAlign w:val="center"/>
          </w:tcPr>
          <w:p>
            <w:pPr>
              <w:spacing w:line="360" w:lineRule="exact"/>
              <w:jc w:val="center"/>
              <w:rPr>
                <w:sz w:val="21"/>
              </w:rPr>
            </w:pPr>
            <w:r>
              <w:rPr>
                <w:sz w:val="21"/>
              </w:rPr>
              <w:t>废气处理系统</w:t>
            </w:r>
          </w:p>
        </w:tc>
        <w:tc>
          <w:tcPr>
            <w:tcW w:w="5103" w:type="dxa"/>
            <w:vAlign w:val="center"/>
          </w:tcPr>
          <w:p>
            <w:pPr>
              <w:spacing w:line="360" w:lineRule="exact"/>
              <w:jc w:val="center"/>
              <w:rPr>
                <w:color w:val="000000" w:themeColor="text1"/>
                <w:sz w:val="21"/>
              </w:rPr>
            </w:pPr>
            <w:r>
              <w:rPr>
                <w:rFonts w:hint="eastAsia"/>
                <w:color w:val="000000" w:themeColor="text1"/>
                <w:kern w:val="0"/>
                <w:sz w:val="21"/>
              </w:rPr>
              <w:t>目前</w:t>
            </w:r>
            <w:r>
              <w:rPr>
                <w:color w:val="000000" w:themeColor="text1"/>
                <w:kern w:val="0"/>
                <w:sz w:val="21"/>
              </w:rPr>
              <w:t>食堂油烟经油烟净化装置处理后至屋顶排放</w:t>
            </w:r>
          </w:p>
        </w:tc>
        <w:tc>
          <w:tcPr>
            <w:tcW w:w="1458" w:type="dxa"/>
            <w:vAlign w:val="center"/>
          </w:tcPr>
          <w:p>
            <w:pPr>
              <w:spacing w:line="360" w:lineRule="exact"/>
              <w:rPr>
                <w:sz w:val="21"/>
              </w:rPr>
            </w:pPr>
            <w:r>
              <w:rPr>
                <w:rFonts w:hint="eastAsia"/>
                <w:sz w:val="21"/>
              </w:rPr>
              <w:t>已采取措施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spacing w:line="360" w:lineRule="exact"/>
              <w:jc w:val="center"/>
              <w:rPr>
                <w:sz w:val="21"/>
              </w:rPr>
            </w:pPr>
          </w:p>
        </w:tc>
        <w:tc>
          <w:tcPr>
            <w:tcW w:w="928" w:type="dxa"/>
            <w:vMerge w:val="continue"/>
            <w:vAlign w:val="center"/>
          </w:tcPr>
          <w:p>
            <w:pPr>
              <w:spacing w:line="360" w:lineRule="exact"/>
              <w:jc w:val="center"/>
              <w:rPr>
                <w:sz w:val="21"/>
              </w:rPr>
            </w:pPr>
          </w:p>
        </w:tc>
        <w:tc>
          <w:tcPr>
            <w:tcW w:w="1701" w:type="dxa"/>
            <w:vMerge w:val="continue"/>
            <w:vAlign w:val="center"/>
          </w:tcPr>
          <w:p>
            <w:pPr>
              <w:spacing w:line="360" w:lineRule="exact"/>
              <w:jc w:val="center"/>
              <w:rPr>
                <w:kern w:val="0"/>
                <w:sz w:val="21"/>
              </w:rPr>
            </w:pPr>
          </w:p>
        </w:tc>
        <w:tc>
          <w:tcPr>
            <w:tcW w:w="5103" w:type="dxa"/>
            <w:vAlign w:val="center"/>
          </w:tcPr>
          <w:p>
            <w:pPr>
              <w:spacing w:line="360" w:lineRule="exact"/>
              <w:jc w:val="center"/>
              <w:rPr>
                <w:kern w:val="0"/>
                <w:sz w:val="21"/>
              </w:rPr>
            </w:pPr>
            <w:r>
              <w:rPr>
                <w:rFonts w:hAnsi="宋体"/>
                <w:snapToGrid w:val="0"/>
                <w:kern w:val="0"/>
                <w:sz w:val="21"/>
              </w:rPr>
              <w:t>本项目医疗废物处理站建在密闭的建筑物内</w:t>
            </w:r>
            <w:r>
              <w:rPr>
                <w:rFonts w:hint="eastAsia" w:hAnsi="宋体"/>
                <w:snapToGrid w:val="0"/>
                <w:kern w:val="0"/>
                <w:sz w:val="21"/>
              </w:rPr>
              <w:t>，化粪池和隔油沉淀池均为地埋式的，同时对污水处理站喷洒除臭剂</w:t>
            </w:r>
          </w:p>
        </w:tc>
        <w:tc>
          <w:tcPr>
            <w:tcW w:w="1458" w:type="dxa"/>
            <w:vAlign w:val="center"/>
          </w:tcPr>
          <w:p>
            <w:pPr>
              <w:spacing w:line="360" w:lineRule="exact"/>
              <w:rPr>
                <w:color w:val="FF0000"/>
                <w:kern w:val="0"/>
                <w:sz w:val="21"/>
              </w:rPr>
            </w:pPr>
            <w:r>
              <w:rPr>
                <w:rFonts w:hint="eastAsia"/>
                <w:sz w:val="21"/>
              </w:rPr>
              <w:t>已采取措施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spacing w:line="360" w:lineRule="exact"/>
              <w:jc w:val="center"/>
              <w:rPr>
                <w:sz w:val="21"/>
              </w:rPr>
            </w:pPr>
          </w:p>
        </w:tc>
        <w:tc>
          <w:tcPr>
            <w:tcW w:w="928" w:type="dxa"/>
            <w:vMerge w:val="continue"/>
            <w:vAlign w:val="center"/>
          </w:tcPr>
          <w:p>
            <w:pPr>
              <w:spacing w:line="360" w:lineRule="exact"/>
              <w:jc w:val="center"/>
              <w:rPr>
                <w:sz w:val="21"/>
              </w:rPr>
            </w:pPr>
          </w:p>
        </w:tc>
        <w:tc>
          <w:tcPr>
            <w:tcW w:w="1701" w:type="dxa"/>
            <w:vMerge w:val="continue"/>
            <w:vAlign w:val="center"/>
          </w:tcPr>
          <w:p>
            <w:pPr>
              <w:spacing w:line="360" w:lineRule="exact"/>
              <w:jc w:val="center"/>
              <w:rPr>
                <w:kern w:val="0"/>
                <w:sz w:val="21"/>
              </w:rPr>
            </w:pPr>
          </w:p>
        </w:tc>
        <w:tc>
          <w:tcPr>
            <w:tcW w:w="5103" w:type="dxa"/>
            <w:vAlign w:val="center"/>
          </w:tcPr>
          <w:p>
            <w:pPr>
              <w:spacing w:line="360" w:lineRule="exact"/>
              <w:jc w:val="center"/>
              <w:rPr>
                <w:rFonts w:hAnsi="宋体"/>
                <w:snapToGrid w:val="0"/>
                <w:color w:val="000000" w:themeColor="text1"/>
                <w:kern w:val="0"/>
                <w:sz w:val="21"/>
              </w:rPr>
            </w:pPr>
            <w:r>
              <w:rPr>
                <w:rFonts w:hint="eastAsia" w:hAnsi="宋体"/>
                <w:snapToGrid w:val="0"/>
                <w:color w:val="000000" w:themeColor="text1"/>
                <w:kern w:val="0"/>
                <w:sz w:val="21"/>
              </w:rPr>
              <w:t>医院共有四台锅炉，两台位于精神科大楼的锅炉房（一备一用），精神大楼的锅炉房废气收集后锅炉房屋顶排放，未达到《锅炉大气污染物排放标准》中排气筒的要求，由还有两台锅炉位于老年呵护大楼（一备一用），老年呵护大楼的锅炉由楼顶排气筒排放，符合</w:t>
            </w:r>
            <w:r>
              <w:rPr>
                <w:rFonts w:hint="eastAsia"/>
                <w:sz w:val="21"/>
              </w:rPr>
              <w:t>《锅炉大气污染物排放标准》的标准要求。</w:t>
            </w:r>
          </w:p>
        </w:tc>
        <w:tc>
          <w:tcPr>
            <w:tcW w:w="1458" w:type="dxa"/>
            <w:vAlign w:val="center"/>
          </w:tcPr>
          <w:p>
            <w:pPr>
              <w:spacing w:line="360" w:lineRule="exact"/>
              <w:rPr>
                <w:rFonts w:hAnsi="宋体"/>
                <w:snapToGrid w:val="0"/>
                <w:color w:val="FF0000"/>
                <w:kern w:val="0"/>
                <w:sz w:val="21"/>
              </w:rPr>
            </w:pPr>
            <w:r>
              <w:rPr>
                <w:rFonts w:hint="eastAsia"/>
                <w:sz w:val="21"/>
              </w:rPr>
              <w:t>需整改，锅炉房排气筒未达到《锅炉大气污染物排放标准》中燃气锅炉排气筒高度的要求。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spacing w:line="360" w:lineRule="exact"/>
              <w:jc w:val="center"/>
              <w:rPr>
                <w:sz w:val="21"/>
              </w:rPr>
            </w:pPr>
          </w:p>
        </w:tc>
        <w:tc>
          <w:tcPr>
            <w:tcW w:w="928" w:type="dxa"/>
            <w:vMerge w:val="continue"/>
            <w:vAlign w:val="center"/>
          </w:tcPr>
          <w:p>
            <w:pPr>
              <w:spacing w:line="360" w:lineRule="exact"/>
              <w:jc w:val="center"/>
              <w:rPr>
                <w:sz w:val="21"/>
              </w:rPr>
            </w:pPr>
          </w:p>
        </w:tc>
        <w:tc>
          <w:tcPr>
            <w:tcW w:w="1701" w:type="dxa"/>
            <w:vMerge w:val="continue"/>
            <w:vAlign w:val="center"/>
          </w:tcPr>
          <w:p>
            <w:pPr>
              <w:spacing w:line="360" w:lineRule="exact"/>
              <w:jc w:val="center"/>
              <w:rPr>
                <w:kern w:val="0"/>
                <w:sz w:val="21"/>
              </w:rPr>
            </w:pPr>
          </w:p>
        </w:tc>
        <w:tc>
          <w:tcPr>
            <w:tcW w:w="5103" w:type="dxa"/>
            <w:vAlign w:val="center"/>
          </w:tcPr>
          <w:p>
            <w:pPr>
              <w:spacing w:line="360" w:lineRule="exact"/>
              <w:jc w:val="center"/>
              <w:rPr>
                <w:rFonts w:hAnsi="宋体"/>
                <w:snapToGrid w:val="0"/>
                <w:kern w:val="0"/>
                <w:sz w:val="21"/>
              </w:rPr>
            </w:pPr>
            <w:r>
              <w:rPr>
                <w:rFonts w:hint="eastAsia" w:hAnsi="宋体"/>
                <w:snapToGrid w:val="0"/>
                <w:kern w:val="0"/>
                <w:sz w:val="21"/>
              </w:rPr>
              <w:t>发电机尾气由内置专用烟道引出排放</w:t>
            </w:r>
          </w:p>
        </w:tc>
        <w:tc>
          <w:tcPr>
            <w:tcW w:w="1458" w:type="dxa"/>
            <w:vAlign w:val="center"/>
          </w:tcPr>
          <w:p>
            <w:pPr>
              <w:spacing w:line="360" w:lineRule="exact"/>
              <w:rPr>
                <w:rFonts w:hAnsi="宋体"/>
                <w:snapToGrid w:val="0"/>
                <w:kern w:val="0"/>
                <w:sz w:val="21"/>
              </w:rPr>
            </w:pPr>
            <w:r>
              <w:rPr>
                <w:rFonts w:hint="eastAsia"/>
                <w:sz w:val="21"/>
              </w:rPr>
              <w:t>已采取措施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spacing w:line="360" w:lineRule="exact"/>
              <w:jc w:val="center"/>
              <w:rPr>
                <w:sz w:val="21"/>
              </w:rPr>
            </w:pPr>
          </w:p>
        </w:tc>
        <w:tc>
          <w:tcPr>
            <w:tcW w:w="928" w:type="dxa"/>
            <w:vMerge w:val="continue"/>
            <w:vAlign w:val="center"/>
          </w:tcPr>
          <w:p>
            <w:pPr>
              <w:spacing w:line="360" w:lineRule="exact"/>
              <w:jc w:val="center"/>
              <w:rPr>
                <w:sz w:val="21"/>
              </w:rPr>
            </w:pPr>
          </w:p>
        </w:tc>
        <w:tc>
          <w:tcPr>
            <w:tcW w:w="1701" w:type="dxa"/>
            <w:vAlign w:val="center"/>
          </w:tcPr>
          <w:p>
            <w:pPr>
              <w:spacing w:line="360" w:lineRule="exact"/>
              <w:jc w:val="center"/>
              <w:rPr>
                <w:kern w:val="0"/>
                <w:sz w:val="21"/>
              </w:rPr>
            </w:pPr>
            <w:r>
              <w:rPr>
                <w:kern w:val="0"/>
                <w:sz w:val="21"/>
              </w:rPr>
              <w:t>废水处理系统</w:t>
            </w:r>
          </w:p>
        </w:tc>
        <w:tc>
          <w:tcPr>
            <w:tcW w:w="5103" w:type="dxa"/>
            <w:vAlign w:val="center"/>
          </w:tcPr>
          <w:p>
            <w:pPr>
              <w:spacing w:line="360" w:lineRule="exact"/>
              <w:jc w:val="center"/>
              <w:rPr>
                <w:color w:val="FF0000"/>
                <w:sz w:val="21"/>
              </w:rPr>
            </w:pPr>
            <w:r>
              <w:rPr>
                <w:rFonts w:hint="eastAsia" w:cs="Times New Roman" w:hAnsiTheme="minorEastAsia"/>
                <w:color w:val="000000" w:themeColor="text1"/>
                <w:sz w:val="21"/>
              </w:rPr>
              <w:t>本项目医院内实行污水分流措施，本医院的住院病人产生的废水、门诊病人产生的废水、洗衣房废水和医护人员的生活废水、检验室废水经过医院自建的污水处理站预处理，</w:t>
            </w:r>
            <w:r>
              <w:rPr>
                <w:rFonts w:cs="Times New Roman" w:hAnsiTheme="minorEastAsia"/>
                <w:color w:val="000000" w:themeColor="text1"/>
                <w:sz w:val="21"/>
              </w:rPr>
              <w:t>达到《医疗机构水污染排放标准》（</w:t>
            </w:r>
            <w:r>
              <w:rPr>
                <w:rFonts w:cs="Times New Roman"/>
                <w:color w:val="000000" w:themeColor="text1"/>
                <w:sz w:val="21"/>
              </w:rPr>
              <w:t>GB18466-2005</w:t>
            </w:r>
            <w:r>
              <w:rPr>
                <w:rFonts w:cs="Times New Roman" w:hAnsiTheme="minorEastAsia"/>
                <w:color w:val="000000" w:themeColor="text1"/>
                <w:sz w:val="21"/>
              </w:rPr>
              <w:t>）表</w:t>
            </w:r>
            <w:r>
              <w:rPr>
                <w:rFonts w:cs="Times New Roman"/>
                <w:color w:val="000000" w:themeColor="text1"/>
                <w:sz w:val="21"/>
              </w:rPr>
              <w:t>2</w:t>
            </w:r>
            <w:r>
              <w:rPr>
                <w:rFonts w:cs="Times New Roman" w:hAnsiTheme="minorEastAsia"/>
                <w:color w:val="000000" w:themeColor="text1"/>
                <w:sz w:val="21"/>
              </w:rPr>
              <w:t>中</w:t>
            </w:r>
            <w:r>
              <w:rPr>
                <w:rFonts w:cs="Times New Roman"/>
                <w:color w:val="000000" w:themeColor="text1"/>
                <w:sz w:val="21"/>
              </w:rPr>
              <w:t>“</w:t>
            </w:r>
            <w:r>
              <w:rPr>
                <w:rFonts w:cs="Times New Roman" w:hAnsiTheme="minorEastAsia"/>
                <w:color w:val="000000" w:themeColor="text1"/>
                <w:sz w:val="21"/>
              </w:rPr>
              <w:t>预处理标准</w:t>
            </w:r>
            <w:r>
              <w:rPr>
                <w:rFonts w:cs="Times New Roman"/>
                <w:color w:val="000000" w:themeColor="text1"/>
                <w:sz w:val="21"/>
              </w:rPr>
              <w:t>”</w:t>
            </w:r>
            <w:r>
              <w:rPr>
                <w:rFonts w:cs="Times New Roman" w:hAnsiTheme="minorEastAsia"/>
                <w:color w:val="000000" w:themeColor="text1"/>
                <w:sz w:val="21"/>
              </w:rPr>
              <w:t>后排入市政排水管网，</w:t>
            </w:r>
            <w:r>
              <w:rPr>
                <w:rFonts w:hint="eastAsia" w:cs="Times New Roman" w:hAnsiTheme="minorEastAsia"/>
                <w:color w:val="000000" w:themeColor="text1"/>
                <w:sz w:val="21"/>
              </w:rPr>
              <w:t>再</w:t>
            </w:r>
            <w:r>
              <w:rPr>
                <w:rFonts w:cs="Times New Roman" w:hAnsiTheme="minorEastAsia"/>
                <w:color w:val="000000" w:themeColor="text1"/>
                <w:sz w:val="21"/>
              </w:rPr>
              <w:t>排入马壕污水处理厂处理</w:t>
            </w:r>
            <w:r>
              <w:rPr>
                <w:rFonts w:hint="eastAsia" w:cs="Times New Roman" w:hAnsiTheme="minorEastAsia"/>
                <w:color w:val="000000" w:themeColor="text1"/>
                <w:sz w:val="21"/>
              </w:rPr>
              <w:t>，医院职工公寓废水经化粪池处理之后排入市政管网，再进入马壕污水处理厂处理。医院食堂废水经隔油沉淀池处理之后再进化粪池处理排入市政管网，再进入马壕污水处理厂处理。</w:t>
            </w:r>
          </w:p>
        </w:tc>
        <w:tc>
          <w:tcPr>
            <w:tcW w:w="1458" w:type="dxa"/>
            <w:vAlign w:val="center"/>
          </w:tcPr>
          <w:p>
            <w:pPr>
              <w:spacing w:line="360" w:lineRule="exact"/>
              <w:jc w:val="center"/>
              <w:rPr>
                <w:sz w:val="21"/>
              </w:rPr>
            </w:pPr>
            <w:r>
              <w:rPr>
                <w:color w:val="000000" w:themeColor="text1"/>
                <w:sz w:val="21"/>
              </w:rPr>
              <w:t>需要整改</w:t>
            </w:r>
            <w:r>
              <w:rPr>
                <w:rFonts w:hint="eastAsia"/>
                <w:color w:val="000000" w:themeColor="text1"/>
                <w:sz w:val="21"/>
              </w:rPr>
              <w:t>，</w:t>
            </w:r>
            <w:r>
              <w:rPr>
                <w:color w:val="000000" w:themeColor="text1"/>
                <w:sz w:val="21"/>
              </w:rPr>
              <w:t>需要将美沙酮门诊的废水接管纳入医院自建的废水处理站处理</w:t>
            </w:r>
            <w:r>
              <w:rPr>
                <w:rFonts w:hint="eastAsia"/>
                <w:color w:val="000000" w:themeColor="text1"/>
                <w:sz w:val="21"/>
              </w:rPr>
              <w:t>，</w:t>
            </w:r>
            <w:r>
              <w:rPr>
                <w:color w:val="000000" w:themeColor="text1"/>
                <w:sz w:val="21"/>
              </w:rPr>
              <w:t>检验室废水需要设置中和池</w:t>
            </w:r>
            <w:r>
              <w:rPr>
                <w:rFonts w:hint="eastAsia"/>
                <w:color w:val="000000" w:themeColor="text1"/>
                <w:sz w:val="21"/>
              </w:rPr>
              <w:t>，</w:t>
            </w:r>
            <w:r>
              <w:rPr>
                <w:color w:val="000000" w:themeColor="text1"/>
                <w:sz w:val="21"/>
              </w:rPr>
              <w:t>对检验室废水进行中和处理之后再排入医院自建污水处理站进行处理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0" w:type="auto"/>
            <w:vMerge w:val="continue"/>
            <w:vAlign w:val="center"/>
          </w:tcPr>
          <w:p>
            <w:pPr>
              <w:spacing w:line="360" w:lineRule="exact"/>
              <w:jc w:val="center"/>
              <w:rPr>
                <w:sz w:val="21"/>
              </w:rPr>
            </w:pPr>
          </w:p>
        </w:tc>
        <w:tc>
          <w:tcPr>
            <w:tcW w:w="928" w:type="dxa"/>
            <w:vMerge w:val="continue"/>
            <w:vAlign w:val="center"/>
          </w:tcPr>
          <w:p>
            <w:pPr>
              <w:spacing w:line="360" w:lineRule="exact"/>
              <w:jc w:val="center"/>
              <w:rPr>
                <w:sz w:val="21"/>
              </w:rPr>
            </w:pPr>
          </w:p>
        </w:tc>
        <w:tc>
          <w:tcPr>
            <w:tcW w:w="1701" w:type="dxa"/>
            <w:vMerge w:val="restart"/>
            <w:vAlign w:val="center"/>
          </w:tcPr>
          <w:p>
            <w:pPr>
              <w:spacing w:line="360" w:lineRule="exact"/>
              <w:jc w:val="center"/>
              <w:rPr>
                <w:kern w:val="0"/>
                <w:sz w:val="21"/>
              </w:rPr>
            </w:pPr>
            <w:r>
              <w:rPr>
                <w:kern w:val="0"/>
                <w:sz w:val="21"/>
              </w:rPr>
              <w:t>固体废物处理系统</w:t>
            </w:r>
          </w:p>
        </w:tc>
        <w:tc>
          <w:tcPr>
            <w:tcW w:w="5103" w:type="dxa"/>
            <w:vAlign w:val="center"/>
          </w:tcPr>
          <w:p>
            <w:pPr>
              <w:spacing w:line="360" w:lineRule="exact"/>
              <w:jc w:val="center"/>
              <w:rPr>
                <w:color w:val="000000" w:themeColor="text1"/>
                <w:sz w:val="21"/>
              </w:rPr>
            </w:pPr>
            <w:r>
              <w:rPr>
                <w:color w:val="000000" w:themeColor="text1"/>
                <w:kern w:val="0"/>
                <w:sz w:val="21"/>
              </w:rPr>
              <w:t>设置</w:t>
            </w:r>
            <w:r>
              <w:rPr>
                <w:rFonts w:hint="eastAsia"/>
                <w:color w:val="000000" w:themeColor="text1"/>
                <w:sz w:val="21"/>
              </w:rPr>
              <w:t>垃圾桶和收集池集中收集后</w:t>
            </w:r>
            <w:r>
              <w:rPr>
                <w:color w:val="000000" w:themeColor="text1"/>
                <w:kern w:val="0"/>
                <w:sz w:val="21"/>
              </w:rPr>
              <w:t>，生活垃圾交由环卫部门清运；对餐厨垃圾废油脂</w:t>
            </w:r>
            <w:r>
              <w:rPr>
                <w:rFonts w:hint="eastAsia"/>
                <w:color w:val="000000" w:themeColor="text1"/>
                <w:kern w:val="0"/>
                <w:sz w:val="21"/>
              </w:rPr>
              <w:t>需</w:t>
            </w:r>
            <w:r>
              <w:rPr>
                <w:color w:val="000000" w:themeColor="text1"/>
                <w:kern w:val="0"/>
                <w:sz w:val="21"/>
              </w:rPr>
              <w:t>进行收集，交由有资质的单位处理</w:t>
            </w:r>
          </w:p>
        </w:tc>
        <w:tc>
          <w:tcPr>
            <w:tcW w:w="1458" w:type="dxa"/>
            <w:vAlign w:val="center"/>
          </w:tcPr>
          <w:p>
            <w:pPr>
              <w:spacing w:line="360" w:lineRule="exact"/>
              <w:rPr>
                <w:sz w:val="21"/>
              </w:rPr>
            </w:pPr>
            <w:r>
              <w:rPr>
                <w:rFonts w:hint="eastAsia"/>
                <w:sz w:val="21"/>
              </w:rPr>
              <w:t>需整改，餐厨垃圾废油脂处理不符合环保要求，餐厨垃圾和废油脂收集后需要委托有资质单位进行处理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spacing w:line="360" w:lineRule="exact"/>
              <w:jc w:val="center"/>
              <w:rPr>
                <w:sz w:val="21"/>
              </w:rPr>
            </w:pPr>
          </w:p>
        </w:tc>
        <w:tc>
          <w:tcPr>
            <w:tcW w:w="928" w:type="dxa"/>
            <w:vMerge w:val="continue"/>
            <w:vAlign w:val="center"/>
          </w:tcPr>
          <w:p>
            <w:pPr>
              <w:spacing w:line="360" w:lineRule="exact"/>
              <w:jc w:val="center"/>
              <w:rPr>
                <w:sz w:val="21"/>
              </w:rPr>
            </w:pPr>
          </w:p>
        </w:tc>
        <w:tc>
          <w:tcPr>
            <w:tcW w:w="1701" w:type="dxa"/>
            <w:vMerge w:val="continue"/>
            <w:vAlign w:val="center"/>
          </w:tcPr>
          <w:p>
            <w:pPr>
              <w:spacing w:line="360" w:lineRule="exact"/>
              <w:jc w:val="center"/>
              <w:rPr>
                <w:kern w:val="0"/>
                <w:sz w:val="21"/>
              </w:rPr>
            </w:pPr>
          </w:p>
        </w:tc>
        <w:tc>
          <w:tcPr>
            <w:tcW w:w="5103" w:type="dxa"/>
            <w:vAlign w:val="center"/>
          </w:tcPr>
          <w:p>
            <w:pPr>
              <w:spacing w:line="360" w:lineRule="exact"/>
              <w:jc w:val="center"/>
              <w:rPr>
                <w:sz w:val="21"/>
              </w:rPr>
            </w:pPr>
            <w:r>
              <w:rPr>
                <w:rFonts w:hAnsi="宋体"/>
                <w:bCs/>
                <w:sz w:val="21"/>
              </w:rPr>
              <w:t>设置医疗废物暂存间，位于老年呵护大楼旁</w:t>
            </w:r>
            <w:r>
              <w:rPr>
                <w:rFonts w:hint="eastAsia" w:hAnsi="宋体"/>
                <w:bCs/>
                <w:sz w:val="21"/>
              </w:rPr>
              <w:t>（为独立的密闭小房间）</w:t>
            </w:r>
            <w:r>
              <w:rPr>
                <w:rFonts w:hAnsi="宋体"/>
                <w:bCs/>
                <w:sz w:val="21"/>
              </w:rPr>
              <w:t>，面积为</w:t>
            </w:r>
            <w:r>
              <w:rPr>
                <w:rFonts w:hint="eastAsia"/>
                <w:bCs/>
                <w:sz w:val="21"/>
              </w:rPr>
              <w:t>10</w:t>
            </w:r>
            <w:r>
              <w:rPr>
                <w:bCs/>
                <w:sz w:val="21"/>
              </w:rPr>
              <w:t>m</w:t>
            </w:r>
            <w:r>
              <w:rPr>
                <w:bCs/>
                <w:sz w:val="21"/>
                <w:vertAlign w:val="superscript"/>
              </w:rPr>
              <w:t>2</w:t>
            </w:r>
            <w:r>
              <w:rPr>
                <w:rFonts w:hAnsi="宋体"/>
                <w:bCs/>
                <w:sz w:val="21"/>
              </w:rPr>
              <w:t>，</w:t>
            </w:r>
            <w:r>
              <w:rPr>
                <w:rFonts w:hint="eastAsia" w:hAnsi="宋体"/>
                <w:bCs/>
                <w:sz w:val="21"/>
              </w:rPr>
              <w:t>并</w:t>
            </w:r>
            <w:r>
              <w:rPr>
                <w:rFonts w:hAnsi="宋体"/>
                <w:kern w:val="0"/>
                <w:sz w:val="21"/>
              </w:rPr>
              <w:t>定期由岳阳市方向固废安全处置有限公司收集处置。</w:t>
            </w:r>
          </w:p>
        </w:tc>
        <w:tc>
          <w:tcPr>
            <w:tcW w:w="1458" w:type="dxa"/>
            <w:vAlign w:val="center"/>
          </w:tcPr>
          <w:p>
            <w:pPr>
              <w:spacing w:line="360" w:lineRule="exact"/>
              <w:jc w:val="center"/>
              <w:rPr>
                <w:sz w:val="21"/>
              </w:rPr>
            </w:pPr>
            <w:r>
              <w:rPr>
                <w:sz w:val="21"/>
              </w:rPr>
              <w:t>已建医疗废物暂存间</w:t>
            </w:r>
            <w:r>
              <w:rPr>
                <w:rFonts w:hint="eastAsia"/>
                <w:sz w:val="21"/>
              </w:rPr>
              <w:t>，</w:t>
            </w:r>
            <w:r>
              <w:rPr>
                <w:sz w:val="21"/>
              </w:rPr>
              <w:t>并签订</w:t>
            </w:r>
            <w:r>
              <w:rPr>
                <w:rFonts w:hint="eastAsia"/>
                <w:sz w:val="21"/>
              </w:rPr>
              <w:t>医疗废物处置协议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0" w:type="auto"/>
            <w:vMerge w:val="continue"/>
            <w:vAlign w:val="center"/>
          </w:tcPr>
          <w:p>
            <w:pPr>
              <w:spacing w:line="360" w:lineRule="exact"/>
              <w:jc w:val="center"/>
              <w:rPr>
                <w:sz w:val="21"/>
              </w:rPr>
            </w:pPr>
          </w:p>
        </w:tc>
        <w:tc>
          <w:tcPr>
            <w:tcW w:w="928" w:type="dxa"/>
            <w:vMerge w:val="continue"/>
            <w:vAlign w:val="center"/>
          </w:tcPr>
          <w:p>
            <w:pPr>
              <w:spacing w:line="360" w:lineRule="exact"/>
              <w:jc w:val="center"/>
              <w:rPr>
                <w:sz w:val="21"/>
              </w:rPr>
            </w:pPr>
          </w:p>
        </w:tc>
        <w:tc>
          <w:tcPr>
            <w:tcW w:w="1701" w:type="dxa"/>
            <w:vMerge w:val="continue"/>
            <w:vAlign w:val="center"/>
          </w:tcPr>
          <w:p>
            <w:pPr>
              <w:spacing w:line="360" w:lineRule="exact"/>
              <w:jc w:val="center"/>
              <w:rPr>
                <w:kern w:val="0"/>
                <w:sz w:val="21"/>
              </w:rPr>
            </w:pPr>
          </w:p>
        </w:tc>
        <w:tc>
          <w:tcPr>
            <w:tcW w:w="5103" w:type="dxa"/>
            <w:vAlign w:val="center"/>
          </w:tcPr>
          <w:p>
            <w:pPr>
              <w:spacing w:line="360" w:lineRule="exact"/>
              <w:jc w:val="center"/>
              <w:rPr>
                <w:rFonts w:hAnsi="宋体"/>
                <w:bCs/>
                <w:sz w:val="21"/>
              </w:rPr>
            </w:pPr>
            <w:r>
              <w:rPr>
                <w:rFonts w:hint="eastAsia"/>
                <w:sz w:val="21"/>
              </w:rPr>
              <w:t>污泥需消毒、脱水设施，污泥掏出后暂存医疗废物暂存间，并委托有资质单位进行处理</w:t>
            </w:r>
          </w:p>
        </w:tc>
        <w:tc>
          <w:tcPr>
            <w:tcW w:w="1458" w:type="dxa"/>
            <w:vAlign w:val="center"/>
          </w:tcPr>
          <w:p>
            <w:pPr>
              <w:spacing w:line="360" w:lineRule="exact"/>
              <w:jc w:val="center"/>
              <w:rPr>
                <w:sz w:val="21"/>
              </w:rPr>
            </w:pPr>
            <w:r>
              <w:rPr>
                <w:rFonts w:hint="eastAsia"/>
                <w:sz w:val="21"/>
              </w:rPr>
              <w:t>已采取措施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spacing w:line="360" w:lineRule="exact"/>
              <w:jc w:val="center"/>
              <w:rPr>
                <w:sz w:val="21"/>
              </w:rPr>
            </w:pPr>
          </w:p>
        </w:tc>
        <w:tc>
          <w:tcPr>
            <w:tcW w:w="928" w:type="dxa"/>
            <w:vMerge w:val="continue"/>
            <w:vAlign w:val="center"/>
          </w:tcPr>
          <w:p>
            <w:pPr>
              <w:spacing w:line="360" w:lineRule="exact"/>
              <w:jc w:val="center"/>
              <w:rPr>
                <w:sz w:val="21"/>
              </w:rPr>
            </w:pPr>
          </w:p>
        </w:tc>
        <w:tc>
          <w:tcPr>
            <w:tcW w:w="1701" w:type="dxa"/>
            <w:vMerge w:val="continue"/>
            <w:vAlign w:val="center"/>
          </w:tcPr>
          <w:p>
            <w:pPr>
              <w:spacing w:line="360" w:lineRule="exact"/>
              <w:jc w:val="center"/>
              <w:rPr>
                <w:kern w:val="0"/>
                <w:sz w:val="21"/>
              </w:rPr>
            </w:pPr>
          </w:p>
        </w:tc>
        <w:tc>
          <w:tcPr>
            <w:tcW w:w="5103" w:type="dxa"/>
            <w:vAlign w:val="center"/>
          </w:tcPr>
          <w:p>
            <w:pPr>
              <w:spacing w:line="360" w:lineRule="exact"/>
              <w:jc w:val="center"/>
              <w:rPr>
                <w:sz w:val="21"/>
              </w:rPr>
            </w:pPr>
            <w:r>
              <w:rPr>
                <w:rFonts w:hint="eastAsia"/>
                <w:kern w:val="0"/>
                <w:sz w:val="21"/>
              </w:rPr>
              <w:t>化粪池</w:t>
            </w:r>
            <w:r>
              <w:rPr>
                <w:kern w:val="0"/>
                <w:sz w:val="21"/>
              </w:rPr>
              <w:t>每年清掏1次。</w:t>
            </w:r>
          </w:p>
        </w:tc>
        <w:tc>
          <w:tcPr>
            <w:tcW w:w="1458" w:type="dxa"/>
            <w:vAlign w:val="center"/>
          </w:tcPr>
          <w:p>
            <w:pPr>
              <w:spacing w:line="360" w:lineRule="exact"/>
              <w:jc w:val="center"/>
              <w:rPr>
                <w:sz w:val="21"/>
              </w:rPr>
            </w:pPr>
            <w:r>
              <w:rPr>
                <w:rFonts w:hint="eastAsia"/>
                <w:sz w:val="21"/>
              </w:rPr>
              <w:t>已采取措施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spacing w:line="360" w:lineRule="exact"/>
              <w:jc w:val="center"/>
              <w:rPr>
                <w:sz w:val="21"/>
              </w:rPr>
            </w:pPr>
          </w:p>
        </w:tc>
        <w:tc>
          <w:tcPr>
            <w:tcW w:w="928" w:type="dxa"/>
            <w:vMerge w:val="continue"/>
            <w:vAlign w:val="center"/>
          </w:tcPr>
          <w:p>
            <w:pPr>
              <w:spacing w:line="360" w:lineRule="exact"/>
              <w:jc w:val="center"/>
              <w:rPr>
                <w:sz w:val="21"/>
              </w:rPr>
            </w:pPr>
          </w:p>
        </w:tc>
        <w:tc>
          <w:tcPr>
            <w:tcW w:w="1701" w:type="dxa"/>
            <w:vAlign w:val="center"/>
          </w:tcPr>
          <w:p>
            <w:pPr>
              <w:spacing w:line="300" w:lineRule="exact"/>
              <w:jc w:val="center"/>
              <w:rPr>
                <w:rFonts w:hAnsi="宋体"/>
                <w:snapToGrid w:val="0"/>
                <w:kern w:val="0"/>
                <w:sz w:val="21"/>
              </w:rPr>
            </w:pPr>
            <w:r>
              <w:rPr>
                <w:rFonts w:hint="eastAsia" w:hAnsi="宋体"/>
                <w:snapToGrid w:val="0"/>
                <w:kern w:val="0"/>
                <w:sz w:val="21"/>
              </w:rPr>
              <w:t>噪声处理系统</w:t>
            </w:r>
          </w:p>
        </w:tc>
        <w:tc>
          <w:tcPr>
            <w:tcW w:w="5103" w:type="dxa"/>
            <w:vAlign w:val="center"/>
          </w:tcPr>
          <w:p>
            <w:pPr>
              <w:spacing w:line="300" w:lineRule="exact"/>
              <w:jc w:val="center"/>
              <w:rPr>
                <w:rFonts w:hAnsi="宋体"/>
                <w:snapToGrid w:val="0"/>
                <w:kern w:val="0"/>
                <w:sz w:val="21"/>
              </w:rPr>
            </w:pPr>
            <w:r>
              <w:rPr>
                <w:rFonts w:hint="eastAsia" w:hAnsi="宋体"/>
                <w:snapToGrid w:val="0"/>
                <w:kern w:val="0"/>
                <w:sz w:val="21"/>
              </w:rPr>
              <w:t>对中央空调机组、冷却塔、水泵、风机等产噪设备采取消声减振措施</w:t>
            </w:r>
          </w:p>
        </w:tc>
        <w:tc>
          <w:tcPr>
            <w:tcW w:w="1458" w:type="dxa"/>
            <w:vAlign w:val="center"/>
          </w:tcPr>
          <w:p>
            <w:pPr>
              <w:spacing w:line="360" w:lineRule="exact"/>
              <w:jc w:val="center"/>
              <w:rPr>
                <w:sz w:val="21"/>
              </w:rPr>
            </w:pPr>
            <w:r>
              <w:rPr>
                <w:rFonts w:hint="eastAsia"/>
                <w:sz w:val="21"/>
              </w:rPr>
              <w:t>已采取措施</w:t>
            </w:r>
          </w:p>
        </w:tc>
      </w:tr>
    </w:tbl>
    <w:p>
      <w:pPr>
        <w:pStyle w:val="4"/>
      </w:pPr>
      <w:bookmarkStart w:id="126" w:name="_Toc25826485"/>
      <w:r>
        <w:t>医院主要能源消耗</w:t>
      </w:r>
      <w:bookmarkEnd w:id="126"/>
    </w:p>
    <w:p>
      <w:pPr>
        <w:spacing w:line="360" w:lineRule="auto"/>
        <w:ind w:firstLine="480" w:firstLineChars="200"/>
        <w:rPr>
          <w:rFonts w:asciiTheme="minorEastAsia" w:hAnsiTheme="minorEastAsia"/>
        </w:rPr>
      </w:pPr>
      <w:r>
        <w:rPr>
          <w:rFonts w:hint="eastAsia"/>
        </w:rPr>
        <w:t>本项目主要能源消耗情况如下表所示</w:t>
      </w:r>
      <w:r>
        <w:rPr>
          <w:rFonts w:hint="eastAsia" w:asciiTheme="minorEastAsia" w:hAnsiTheme="minorEastAsia"/>
        </w:rPr>
        <w:t>：</w:t>
      </w:r>
    </w:p>
    <w:p>
      <w:pPr>
        <w:pStyle w:val="14"/>
        <w:spacing w:line="240" w:lineRule="auto"/>
        <w:rPr>
          <w:rFonts w:cs="Times New Roman"/>
        </w:rPr>
      </w:pPr>
      <w:r>
        <w:rPr>
          <w:rFonts w:cs="Times New Roman" w:hAnsiTheme="minorEastAsia"/>
        </w:rPr>
        <w:t>表</w:t>
      </w:r>
      <w:r>
        <w:rPr>
          <w:rFonts w:cs="Times New Roman" w:hAnsiTheme="minorEastAsia"/>
        </w:rPr>
        <w:fldChar w:fldCharType="begin"/>
      </w:r>
      <w:r>
        <w:rPr>
          <w:rFonts w:cs="Times New Roman" w:hAnsiTheme="minorEastAsia"/>
        </w:rPr>
        <w:instrText xml:space="preserve"> STYLEREF 2 \s </w:instrText>
      </w:r>
      <w:r>
        <w:rPr>
          <w:rFonts w:cs="Times New Roman" w:hAnsiTheme="minorEastAsia"/>
        </w:rPr>
        <w:fldChar w:fldCharType="separate"/>
      </w:r>
      <w:r>
        <w:rPr>
          <w:rFonts w:cs="Times New Roman" w:hAnsiTheme="minorEastAsia"/>
        </w:rPr>
        <w:t>2.3</w:t>
      </w:r>
      <w:r>
        <w:rPr>
          <w:rFonts w:cs="Times New Roman" w:hAnsiTheme="minorEastAsia"/>
        </w:rPr>
        <w:fldChar w:fldCharType="end"/>
      </w:r>
      <w:r>
        <w:rPr>
          <w:rFonts w:cs="Times New Roman" w:hAnsiTheme="minorEastAsia"/>
        </w:rPr>
        <w:noBreakHyphen/>
      </w:r>
      <w:r>
        <w:rPr>
          <w:rFonts w:cs="Times New Roman" w:hAnsiTheme="minorEastAsia"/>
        </w:rPr>
        <w:fldChar w:fldCharType="begin"/>
      </w:r>
      <w:r>
        <w:rPr>
          <w:rFonts w:cs="Times New Roman" w:hAnsiTheme="minorEastAsia"/>
        </w:rPr>
        <w:instrText xml:space="preserve"> SEQ 表 \* ARABIC \s 2 </w:instrText>
      </w:r>
      <w:r>
        <w:rPr>
          <w:rFonts w:cs="Times New Roman" w:hAnsiTheme="minorEastAsia"/>
        </w:rPr>
        <w:fldChar w:fldCharType="separate"/>
      </w:r>
      <w:r>
        <w:rPr>
          <w:rFonts w:cs="Times New Roman" w:hAnsiTheme="minorEastAsia"/>
        </w:rPr>
        <w:t>1</w:t>
      </w:r>
      <w:r>
        <w:rPr>
          <w:rFonts w:cs="Times New Roman" w:hAnsiTheme="minorEastAsia"/>
        </w:rPr>
        <w:fldChar w:fldCharType="end"/>
      </w:r>
      <w:r>
        <w:rPr>
          <w:rFonts w:cs="Times New Roman"/>
        </w:rPr>
        <w:t xml:space="preserve">  项目主要能源消耗一览表</w:t>
      </w:r>
    </w:p>
    <w:tbl>
      <w:tblPr>
        <w:tblStyle w:val="3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35"/>
        <w:gridCol w:w="2190"/>
        <w:gridCol w:w="1795"/>
        <w:gridCol w:w="1239"/>
        <w:gridCol w:w="29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4" w:hRule="atLeast"/>
          <w:jc w:val="center"/>
        </w:trPr>
        <w:tc>
          <w:tcPr>
            <w:tcW w:w="744" w:type="pct"/>
            <w:vAlign w:val="center"/>
          </w:tcPr>
          <w:p>
            <w:pPr>
              <w:adjustRightInd w:val="0"/>
              <w:snapToGrid w:val="0"/>
              <w:jc w:val="center"/>
              <w:rPr>
                <w:bCs/>
                <w:color w:val="000000" w:themeColor="text1"/>
                <w:sz w:val="21"/>
                <w:u w:val="single"/>
              </w:rPr>
            </w:pPr>
            <w:r>
              <w:rPr>
                <w:bCs/>
                <w:color w:val="000000" w:themeColor="text1"/>
                <w:sz w:val="21"/>
                <w:u w:val="single"/>
              </w:rPr>
              <w:t>序号</w:t>
            </w:r>
          </w:p>
        </w:tc>
        <w:tc>
          <w:tcPr>
            <w:tcW w:w="1135" w:type="pct"/>
            <w:vAlign w:val="center"/>
          </w:tcPr>
          <w:p>
            <w:pPr>
              <w:pStyle w:val="17"/>
              <w:adjustRightInd w:val="0"/>
              <w:snapToGrid w:val="0"/>
              <w:spacing w:after="0"/>
              <w:jc w:val="center"/>
              <w:rPr>
                <w:color w:val="000000" w:themeColor="text1"/>
                <w:sz w:val="21"/>
                <w:u w:val="single"/>
                <w:lang w:val="zh-TW"/>
              </w:rPr>
            </w:pPr>
            <w:r>
              <w:rPr>
                <w:rFonts w:hAnsi="宋体"/>
                <w:color w:val="000000" w:themeColor="text1"/>
                <w:sz w:val="21"/>
                <w:u w:val="single"/>
                <w:lang w:val="zh-TW" w:eastAsia="zh-TW"/>
              </w:rPr>
              <w:t>原料种类</w:t>
            </w:r>
          </w:p>
        </w:tc>
        <w:tc>
          <w:tcPr>
            <w:tcW w:w="930" w:type="pct"/>
            <w:vAlign w:val="center"/>
          </w:tcPr>
          <w:p>
            <w:pPr>
              <w:pStyle w:val="17"/>
              <w:adjustRightInd w:val="0"/>
              <w:snapToGrid w:val="0"/>
              <w:spacing w:after="0"/>
              <w:jc w:val="center"/>
              <w:rPr>
                <w:color w:val="000000" w:themeColor="text1"/>
                <w:sz w:val="21"/>
                <w:u w:val="single"/>
                <w:lang w:val="zh-TW" w:eastAsia="zh-TW"/>
              </w:rPr>
            </w:pPr>
            <w:r>
              <w:rPr>
                <w:rFonts w:hint="eastAsia" w:hAnsi="宋体"/>
                <w:color w:val="000000" w:themeColor="text1"/>
                <w:sz w:val="21"/>
                <w:u w:val="single"/>
                <w:lang w:val="zh-TW"/>
              </w:rPr>
              <w:t>单位</w:t>
            </w:r>
          </w:p>
        </w:tc>
        <w:tc>
          <w:tcPr>
            <w:tcW w:w="642" w:type="pct"/>
            <w:vAlign w:val="center"/>
          </w:tcPr>
          <w:p>
            <w:pPr>
              <w:pStyle w:val="17"/>
              <w:adjustRightInd w:val="0"/>
              <w:snapToGrid w:val="0"/>
              <w:spacing w:after="0"/>
              <w:jc w:val="center"/>
              <w:rPr>
                <w:color w:val="000000" w:themeColor="text1"/>
                <w:sz w:val="21"/>
                <w:u w:val="single"/>
                <w:lang w:val="zh-TW"/>
              </w:rPr>
            </w:pPr>
            <w:r>
              <w:rPr>
                <w:rFonts w:hint="eastAsia" w:hAnsi="宋体"/>
                <w:color w:val="000000" w:themeColor="text1"/>
                <w:sz w:val="21"/>
                <w:u w:val="single"/>
                <w:lang w:val="zh-TW"/>
              </w:rPr>
              <w:t>用量</w:t>
            </w:r>
          </w:p>
        </w:tc>
        <w:tc>
          <w:tcPr>
            <w:tcW w:w="1548" w:type="pct"/>
            <w:vAlign w:val="center"/>
          </w:tcPr>
          <w:p>
            <w:pPr>
              <w:adjustRightInd w:val="0"/>
              <w:snapToGrid w:val="0"/>
              <w:jc w:val="center"/>
              <w:rPr>
                <w:bCs/>
                <w:color w:val="000000" w:themeColor="text1"/>
                <w:sz w:val="21"/>
                <w:u w:val="single"/>
              </w:rPr>
            </w:pPr>
            <w:r>
              <w:rPr>
                <w:rFonts w:hint="eastAsia"/>
                <w:bCs/>
                <w:color w:val="000000" w:themeColor="text1"/>
                <w:sz w:val="21"/>
                <w:u w:val="singl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jc w:val="center"/>
        </w:trPr>
        <w:tc>
          <w:tcPr>
            <w:tcW w:w="744" w:type="pct"/>
            <w:vAlign w:val="center"/>
          </w:tcPr>
          <w:p>
            <w:pPr>
              <w:adjustRightInd w:val="0"/>
              <w:snapToGrid w:val="0"/>
              <w:jc w:val="center"/>
              <w:rPr>
                <w:color w:val="000000" w:themeColor="text1"/>
                <w:sz w:val="21"/>
                <w:u w:val="single"/>
              </w:rPr>
            </w:pPr>
            <w:r>
              <w:rPr>
                <w:rFonts w:hint="eastAsia"/>
                <w:color w:val="000000" w:themeColor="text1"/>
                <w:sz w:val="21"/>
                <w:u w:val="single"/>
              </w:rPr>
              <w:t>1</w:t>
            </w:r>
          </w:p>
        </w:tc>
        <w:tc>
          <w:tcPr>
            <w:tcW w:w="1135" w:type="pct"/>
            <w:vAlign w:val="center"/>
          </w:tcPr>
          <w:p>
            <w:pPr>
              <w:pStyle w:val="27"/>
              <w:adjustRightInd w:val="0"/>
              <w:jc w:val="center"/>
              <w:rPr>
                <w:color w:val="000000" w:themeColor="text1"/>
                <w:sz w:val="21"/>
                <w:szCs w:val="21"/>
                <w:u w:val="single"/>
                <w:lang w:val="zh-TW"/>
              </w:rPr>
            </w:pPr>
            <w:r>
              <w:rPr>
                <w:rFonts w:hint="eastAsia" w:hAnsi="宋体"/>
                <w:color w:val="000000" w:themeColor="text1"/>
                <w:sz w:val="21"/>
                <w:szCs w:val="21"/>
                <w:u w:val="single"/>
                <w:lang w:val="zh-TW"/>
              </w:rPr>
              <w:t>水</w:t>
            </w:r>
          </w:p>
        </w:tc>
        <w:tc>
          <w:tcPr>
            <w:tcW w:w="930" w:type="pct"/>
            <w:vAlign w:val="center"/>
          </w:tcPr>
          <w:p>
            <w:pPr>
              <w:pStyle w:val="27"/>
              <w:adjustRightInd w:val="0"/>
              <w:jc w:val="center"/>
              <w:rPr>
                <w:color w:val="000000" w:themeColor="text1"/>
                <w:sz w:val="21"/>
                <w:szCs w:val="21"/>
                <w:u w:val="single"/>
              </w:rPr>
            </w:pPr>
            <w:r>
              <w:rPr>
                <w:color w:val="000000" w:themeColor="text1"/>
                <w:sz w:val="21"/>
                <w:szCs w:val="21"/>
                <w:u w:val="single"/>
              </w:rPr>
              <w:t>t</w:t>
            </w:r>
            <w:r>
              <w:rPr>
                <w:rFonts w:hint="eastAsia"/>
                <w:color w:val="000000" w:themeColor="text1"/>
                <w:sz w:val="21"/>
                <w:szCs w:val="21"/>
                <w:u w:val="single"/>
              </w:rPr>
              <w:t>/a</w:t>
            </w:r>
          </w:p>
        </w:tc>
        <w:tc>
          <w:tcPr>
            <w:tcW w:w="642" w:type="pct"/>
            <w:vAlign w:val="center"/>
          </w:tcPr>
          <w:p>
            <w:pPr>
              <w:pStyle w:val="27"/>
              <w:adjustRightInd w:val="0"/>
              <w:jc w:val="center"/>
              <w:rPr>
                <w:color w:val="000000" w:themeColor="text1"/>
                <w:sz w:val="21"/>
                <w:szCs w:val="21"/>
                <w:u w:val="single"/>
                <w:lang w:val="zh-TW"/>
              </w:rPr>
            </w:pPr>
            <w:r>
              <w:rPr>
                <w:rFonts w:hint="eastAsia"/>
                <w:color w:val="000000" w:themeColor="text1"/>
                <w:sz w:val="21"/>
                <w:szCs w:val="21"/>
                <w:u w:val="single"/>
                <w:lang w:val="zh-TW"/>
              </w:rPr>
              <w:t>533.99</w:t>
            </w:r>
          </w:p>
        </w:tc>
        <w:tc>
          <w:tcPr>
            <w:tcW w:w="1548" w:type="pct"/>
            <w:vAlign w:val="center"/>
          </w:tcPr>
          <w:p>
            <w:pPr>
              <w:pStyle w:val="17"/>
              <w:adjustRightInd w:val="0"/>
              <w:snapToGrid w:val="0"/>
              <w:spacing w:after="0"/>
              <w:jc w:val="center"/>
              <w:rPr>
                <w:color w:val="000000" w:themeColor="text1"/>
                <w:sz w:val="21"/>
                <w:u w:val="single"/>
                <w:lang w:val="zh-TW"/>
              </w:rPr>
            </w:pPr>
            <w:r>
              <w:rPr>
                <w:rFonts w:hint="eastAsia"/>
                <w:color w:val="000000" w:themeColor="text1"/>
                <w:sz w:val="21"/>
                <w:u w:val="single"/>
                <w:lang w:val="zh-TW"/>
              </w:rPr>
              <w:t>自来水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4" w:hRule="atLeast"/>
          <w:jc w:val="center"/>
        </w:trPr>
        <w:tc>
          <w:tcPr>
            <w:tcW w:w="744" w:type="pct"/>
            <w:vAlign w:val="center"/>
          </w:tcPr>
          <w:p>
            <w:pPr>
              <w:adjustRightInd w:val="0"/>
              <w:snapToGrid w:val="0"/>
              <w:jc w:val="center"/>
              <w:rPr>
                <w:color w:val="000000" w:themeColor="text1"/>
                <w:sz w:val="21"/>
                <w:u w:val="single"/>
              </w:rPr>
            </w:pPr>
            <w:r>
              <w:rPr>
                <w:rFonts w:hint="eastAsia"/>
                <w:color w:val="000000" w:themeColor="text1"/>
                <w:sz w:val="21"/>
                <w:u w:val="single"/>
              </w:rPr>
              <w:t>2</w:t>
            </w:r>
          </w:p>
        </w:tc>
        <w:tc>
          <w:tcPr>
            <w:tcW w:w="1135" w:type="pct"/>
            <w:vAlign w:val="center"/>
          </w:tcPr>
          <w:p>
            <w:pPr>
              <w:pStyle w:val="17"/>
              <w:adjustRightInd w:val="0"/>
              <w:snapToGrid w:val="0"/>
              <w:spacing w:after="0"/>
              <w:jc w:val="center"/>
              <w:rPr>
                <w:color w:val="000000" w:themeColor="text1"/>
                <w:sz w:val="21"/>
                <w:u w:val="single"/>
                <w:lang w:val="zh-TW"/>
              </w:rPr>
            </w:pPr>
            <w:r>
              <w:rPr>
                <w:rFonts w:hint="eastAsia"/>
                <w:color w:val="000000" w:themeColor="text1"/>
                <w:sz w:val="21"/>
                <w:u w:val="single"/>
                <w:lang w:val="zh-TW"/>
              </w:rPr>
              <w:t>天然气</w:t>
            </w:r>
          </w:p>
        </w:tc>
        <w:tc>
          <w:tcPr>
            <w:tcW w:w="930" w:type="pct"/>
            <w:vAlign w:val="center"/>
          </w:tcPr>
          <w:p>
            <w:pPr>
              <w:pStyle w:val="17"/>
              <w:adjustRightInd w:val="0"/>
              <w:snapToGrid w:val="0"/>
              <w:spacing w:after="0"/>
              <w:jc w:val="center"/>
              <w:rPr>
                <w:color w:val="000000" w:themeColor="text1"/>
                <w:sz w:val="21"/>
                <w:u w:val="single"/>
                <w:lang w:val="zh-TW"/>
              </w:rPr>
            </w:pPr>
            <w:r>
              <w:rPr>
                <w:rFonts w:hint="eastAsia"/>
                <w:color w:val="000000" w:themeColor="text1"/>
                <w:sz w:val="21"/>
                <w:u w:val="single"/>
                <w:lang w:val="zh-TW"/>
              </w:rPr>
              <w:t>m</w:t>
            </w:r>
            <w:r>
              <w:rPr>
                <w:rFonts w:hint="eastAsia"/>
                <w:color w:val="000000" w:themeColor="text1"/>
                <w:sz w:val="21"/>
                <w:u w:val="single"/>
                <w:vertAlign w:val="superscript"/>
                <w:lang w:val="zh-TW"/>
              </w:rPr>
              <w:t>3</w:t>
            </w:r>
            <w:r>
              <w:rPr>
                <w:rFonts w:hint="eastAsia"/>
                <w:color w:val="000000" w:themeColor="text1"/>
                <w:sz w:val="21"/>
                <w:u w:val="single"/>
                <w:lang w:val="zh-TW"/>
              </w:rPr>
              <w:t>/年</w:t>
            </w:r>
          </w:p>
        </w:tc>
        <w:tc>
          <w:tcPr>
            <w:tcW w:w="642" w:type="pct"/>
            <w:vAlign w:val="center"/>
          </w:tcPr>
          <w:p>
            <w:pPr>
              <w:pStyle w:val="17"/>
              <w:adjustRightInd w:val="0"/>
              <w:snapToGrid w:val="0"/>
              <w:spacing w:after="0"/>
              <w:jc w:val="center"/>
              <w:rPr>
                <w:color w:val="000000" w:themeColor="text1"/>
                <w:sz w:val="21"/>
                <w:u w:val="single"/>
                <w:lang w:val="zh-TW"/>
              </w:rPr>
            </w:pPr>
            <w:r>
              <w:rPr>
                <w:rFonts w:hint="eastAsia"/>
                <w:color w:val="000000" w:themeColor="text1"/>
                <w:sz w:val="21"/>
                <w:u w:val="single"/>
                <w:lang w:val="zh-TW"/>
              </w:rPr>
              <w:t>217391</w:t>
            </w:r>
          </w:p>
        </w:tc>
        <w:tc>
          <w:tcPr>
            <w:tcW w:w="1548" w:type="pct"/>
            <w:vAlign w:val="center"/>
          </w:tcPr>
          <w:p>
            <w:pPr>
              <w:adjustRightInd w:val="0"/>
              <w:snapToGrid w:val="0"/>
              <w:jc w:val="center"/>
              <w:rPr>
                <w:color w:val="000000" w:themeColor="text1"/>
                <w:sz w:val="21"/>
                <w:u w:val="single"/>
              </w:rPr>
            </w:pPr>
            <w:r>
              <w:rPr>
                <w:rFonts w:hint="eastAsia"/>
                <w:color w:val="000000" w:themeColor="text1"/>
                <w:sz w:val="21"/>
                <w:u w:val="single"/>
              </w:rPr>
              <w:t>市政燃气管网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4" w:hRule="atLeast"/>
          <w:jc w:val="center"/>
        </w:trPr>
        <w:tc>
          <w:tcPr>
            <w:tcW w:w="744" w:type="pct"/>
            <w:vAlign w:val="center"/>
          </w:tcPr>
          <w:p>
            <w:pPr>
              <w:adjustRightInd w:val="0"/>
              <w:snapToGrid w:val="0"/>
              <w:jc w:val="center"/>
              <w:rPr>
                <w:color w:val="000000" w:themeColor="text1"/>
                <w:sz w:val="21"/>
                <w:u w:val="single"/>
              </w:rPr>
            </w:pPr>
            <w:r>
              <w:rPr>
                <w:rFonts w:hint="eastAsia"/>
                <w:color w:val="000000" w:themeColor="text1"/>
                <w:sz w:val="21"/>
                <w:u w:val="single"/>
              </w:rPr>
              <w:t>3</w:t>
            </w:r>
          </w:p>
        </w:tc>
        <w:tc>
          <w:tcPr>
            <w:tcW w:w="1135" w:type="pct"/>
            <w:vAlign w:val="center"/>
          </w:tcPr>
          <w:p>
            <w:pPr>
              <w:pStyle w:val="17"/>
              <w:adjustRightInd w:val="0"/>
              <w:snapToGrid w:val="0"/>
              <w:spacing w:after="0"/>
              <w:jc w:val="center"/>
              <w:rPr>
                <w:color w:val="000000" w:themeColor="text1"/>
                <w:sz w:val="21"/>
                <w:u w:val="single"/>
                <w:lang w:val="zh-TW"/>
              </w:rPr>
            </w:pPr>
            <w:r>
              <w:rPr>
                <w:rFonts w:hint="eastAsia"/>
                <w:color w:val="000000" w:themeColor="text1"/>
                <w:sz w:val="21"/>
                <w:u w:val="single"/>
                <w:lang w:val="zh-TW"/>
              </w:rPr>
              <w:t>电</w:t>
            </w:r>
          </w:p>
        </w:tc>
        <w:tc>
          <w:tcPr>
            <w:tcW w:w="930" w:type="pct"/>
            <w:vAlign w:val="center"/>
          </w:tcPr>
          <w:p>
            <w:pPr>
              <w:pStyle w:val="17"/>
              <w:adjustRightInd w:val="0"/>
              <w:snapToGrid w:val="0"/>
              <w:spacing w:after="0"/>
              <w:jc w:val="center"/>
              <w:rPr>
                <w:color w:val="000000" w:themeColor="text1"/>
                <w:sz w:val="21"/>
                <w:u w:val="single"/>
                <w:lang w:val="zh-TW"/>
              </w:rPr>
            </w:pPr>
            <w:r>
              <w:rPr>
                <w:rFonts w:hint="eastAsia"/>
                <w:color w:val="000000" w:themeColor="text1"/>
                <w:sz w:val="21"/>
                <w:u w:val="single"/>
                <w:lang w:val="zh-TW"/>
              </w:rPr>
              <w:t>万度</w:t>
            </w:r>
          </w:p>
        </w:tc>
        <w:tc>
          <w:tcPr>
            <w:tcW w:w="642" w:type="pct"/>
            <w:vAlign w:val="center"/>
          </w:tcPr>
          <w:p>
            <w:pPr>
              <w:pStyle w:val="17"/>
              <w:adjustRightInd w:val="0"/>
              <w:snapToGrid w:val="0"/>
              <w:spacing w:after="0"/>
              <w:jc w:val="center"/>
              <w:rPr>
                <w:color w:val="000000" w:themeColor="text1"/>
                <w:sz w:val="21"/>
                <w:u w:val="single"/>
                <w:lang w:val="zh-TW"/>
              </w:rPr>
            </w:pPr>
            <w:r>
              <w:rPr>
                <w:rFonts w:hint="eastAsia"/>
                <w:color w:val="000000" w:themeColor="text1"/>
                <w:sz w:val="21"/>
                <w:u w:val="single"/>
                <w:lang w:val="zh-TW"/>
              </w:rPr>
              <w:t>1000</w:t>
            </w:r>
          </w:p>
        </w:tc>
        <w:tc>
          <w:tcPr>
            <w:tcW w:w="1548" w:type="pct"/>
            <w:vAlign w:val="center"/>
          </w:tcPr>
          <w:p>
            <w:pPr>
              <w:adjustRightInd w:val="0"/>
              <w:snapToGrid w:val="0"/>
              <w:jc w:val="center"/>
              <w:rPr>
                <w:color w:val="000000" w:themeColor="text1"/>
                <w:sz w:val="21"/>
                <w:u w:val="single"/>
              </w:rPr>
            </w:pPr>
            <w:r>
              <w:rPr>
                <w:color w:val="000000" w:themeColor="text1"/>
                <w:sz w:val="21"/>
                <w:u w:val="single"/>
              </w:rPr>
              <w:t>市政电网</w:t>
            </w:r>
          </w:p>
        </w:tc>
      </w:tr>
    </w:tbl>
    <w:p>
      <w:pPr>
        <w:pStyle w:val="4"/>
      </w:pPr>
      <w:bookmarkStart w:id="127" w:name="_Toc25826486"/>
      <w:r>
        <w:rPr>
          <w:rFonts w:hint="eastAsia"/>
        </w:rPr>
        <w:t>主要医疗仪器设备和动力设备情况</w:t>
      </w:r>
      <w:bookmarkEnd w:id="127"/>
    </w:p>
    <w:p>
      <w:pPr>
        <w:spacing w:line="360" w:lineRule="auto"/>
        <w:ind w:firstLine="480" w:firstLineChars="200"/>
      </w:pPr>
      <w:r>
        <w:rPr>
          <w:rFonts w:hint="eastAsia"/>
        </w:rPr>
        <w:t>根据医院提供的资料，本项目主要的医疗仪器设备具体见下表所示。</w:t>
      </w:r>
    </w:p>
    <w:p>
      <w:pPr>
        <w:pStyle w:val="14"/>
        <w:spacing w:line="240" w:lineRule="auto"/>
      </w:pPr>
      <w:r>
        <w:rPr>
          <w:rFonts w:hint="eastAsia"/>
        </w:rPr>
        <w:t>表</w:t>
      </w:r>
      <w:r>
        <w:fldChar w:fldCharType="begin"/>
      </w:r>
      <w:r>
        <w:instrText xml:space="preserve"> STYLEREF 2 \s </w:instrText>
      </w:r>
      <w:r>
        <w:fldChar w:fldCharType="separate"/>
      </w:r>
      <w:r>
        <w:t>2.4</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rPr>
          <w:rFonts w:hint="eastAsia"/>
        </w:rPr>
        <w:t xml:space="preserve">  项目主要医疗仪器设备一览表</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2"/>
        <w:gridCol w:w="2526"/>
        <w:gridCol w:w="3400"/>
        <w:gridCol w:w="2064"/>
        <w:gridCol w:w="552"/>
        <w:gridCol w:w="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序号</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产品名称</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生产厂家（规格型号）</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供货商</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数量</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eastAsiaTheme="minorEastAsia"/>
                <w:b w:val="0"/>
                <w:sz w:val="21"/>
                <w:szCs w:val="21"/>
              </w:rPr>
              <w:t>1</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智能上下肢训练器（团体对抗）</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德国菲兹曼医用电子公司</w:t>
            </w:r>
            <w:r>
              <w:rPr>
                <w:rFonts w:cs="Times New Roman" w:eastAsiaTheme="minorEastAsia"/>
                <w:b w:val="0"/>
                <w:sz w:val="21"/>
                <w:szCs w:val="21"/>
              </w:rPr>
              <w:t>THERA-vita</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武汉市世纪康达科技有限公司</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hint="eastAsia" w:cs="Times New Roman" w:eastAsiaTheme="minorEastAsia"/>
                <w:b w:val="0"/>
                <w:sz w:val="21"/>
                <w:szCs w:val="21"/>
              </w:rPr>
              <w:t>1</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eastAsiaTheme="minorEastAsia"/>
                <w:b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eastAsiaTheme="minorEastAsia"/>
                <w:b w:val="0"/>
                <w:sz w:val="21"/>
                <w:szCs w:val="21"/>
              </w:rPr>
              <w:t>2</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团体生物反馈</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成都思必瑞特科技有限公司</w:t>
            </w:r>
            <w:r>
              <w:rPr>
                <w:rFonts w:cs="Times New Roman" w:eastAsiaTheme="minorEastAsia"/>
                <w:b w:val="0"/>
                <w:sz w:val="21"/>
                <w:szCs w:val="21"/>
              </w:rPr>
              <w:t>SPTRT-8</w:t>
            </w:r>
            <w:r>
              <w:rPr>
                <w:rFonts w:cs="Times New Roman" w:hAnsiTheme="minorEastAsia" w:eastAsiaTheme="minorEastAsia"/>
                <w:b w:val="0"/>
                <w:sz w:val="21"/>
                <w:szCs w:val="21"/>
              </w:rPr>
              <w:t>（</w:t>
            </w:r>
            <w:r>
              <w:rPr>
                <w:rFonts w:cs="Times New Roman" w:eastAsiaTheme="minorEastAsia"/>
                <w:b w:val="0"/>
                <w:sz w:val="21"/>
                <w:szCs w:val="21"/>
              </w:rPr>
              <w:t>G</w:t>
            </w:r>
            <w:r>
              <w:rPr>
                <w:rFonts w:cs="Times New Roman" w:hAnsiTheme="minorEastAsia" w:eastAsiaTheme="minorEastAsia"/>
                <w:b w:val="0"/>
                <w:sz w:val="21"/>
                <w:szCs w:val="21"/>
              </w:rPr>
              <w:t>）</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湖南瑞宸贸易有限公司</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hint="eastAsia" w:cs="Times New Roman" w:eastAsiaTheme="minorEastAsia"/>
                <w:b w:val="0"/>
                <w:sz w:val="21"/>
                <w:szCs w:val="21"/>
              </w:rPr>
              <w:t>1</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eastAsiaTheme="minorEastAsia"/>
                <w:b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eastAsiaTheme="minorEastAsia"/>
                <w:b w:val="0"/>
                <w:sz w:val="21"/>
                <w:szCs w:val="21"/>
              </w:rPr>
              <w:t>3</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脑涨落图仪</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北京老同仁光电科技有限公司</w:t>
            </w:r>
            <w:r>
              <w:rPr>
                <w:rFonts w:cs="Times New Roman" w:eastAsiaTheme="minorEastAsia"/>
                <w:b w:val="0"/>
                <w:sz w:val="21"/>
                <w:szCs w:val="21"/>
              </w:rPr>
              <w:t>ML-2001</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上海仁友堂医疗科技有限公司</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hint="eastAsia" w:cs="Times New Roman" w:eastAsiaTheme="minorEastAsia"/>
                <w:b w:val="0"/>
                <w:sz w:val="21"/>
                <w:szCs w:val="21"/>
              </w:rPr>
              <w:t>1</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eastAsiaTheme="minorEastAsia"/>
                <w:b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eastAsiaTheme="minorEastAsia"/>
                <w:b w:val="0"/>
                <w:sz w:val="21"/>
                <w:szCs w:val="21"/>
              </w:rPr>
              <w:t>4</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电子显微镜</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日本奥林巴斯</w:t>
            </w:r>
            <w:r>
              <w:rPr>
                <w:rFonts w:cs="Times New Roman" w:eastAsiaTheme="minorEastAsia"/>
                <w:b w:val="0"/>
                <w:sz w:val="21"/>
                <w:szCs w:val="21"/>
              </w:rPr>
              <w:t>SN6L43625</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湖南瑞宸贸易有限公司</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hint="eastAsia" w:cs="Times New Roman" w:eastAsiaTheme="minorEastAsia"/>
                <w:b w:val="0"/>
                <w:sz w:val="21"/>
                <w:szCs w:val="21"/>
              </w:rPr>
              <w:t>1</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eastAsiaTheme="minorEastAsia"/>
                <w:b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eastAsiaTheme="minorEastAsia"/>
                <w:b w:val="0"/>
                <w:sz w:val="21"/>
                <w:szCs w:val="21"/>
              </w:rPr>
              <w:t>5</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酶标分析仪</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深圳雷杜</w:t>
            </w:r>
            <w:r>
              <w:rPr>
                <w:rFonts w:cs="Times New Roman" w:eastAsiaTheme="minorEastAsia"/>
                <w:b w:val="0"/>
                <w:sz w:val="21"/>
                <w:szCs w:val="21"/>
              </w:rPr>
              <w:t>RT-6100</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湖南万浮生物技术有限公司</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hint="eastAsia" w:cs="Times New Roman" w:eastAsiaTheme="minorEastAsia"/>
                <w:b w:val="0"/>
                <w:sz w:val="21"/>
                <w:szCs w:val="21"/>
              </w:rPr>
              <w:t>1</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eastAsiaTheme="minorEastAsia"/>
                <w:b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eastAsiaTheme="minorEastAsia"/>
                <w:b w:val="0"/>
                <w:sz w:val="21"/>
                <w:szCs w:val="21"/>
              </w:rPr>
              <w:t>6</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洗板机</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深圳雷杜</w:t>
            </w:r>
            <w:r>
              <w:rPr>
                <w:rFonts w:cs="Times New Roman" w:eastAsiaTheme="minorEastAsia"/>
                <w:b w:val="0"/>
                <w:sz w:val="21"/>
                <w:szCs w:val="21"/>
              </w:rPr>
              <w:t>RT-3100</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湖南万浮生物技术有限公司</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hint="eastAsia" w:cs="Times New Roman" w:eastAsiaTheme="minorEastAsia"/>
                <w:b w:val="0"/>
                <w:sz w:val="21"/>
                <w:szCs w:val="21"/>
              </w:rPr>
              <w:t>1</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eastAsiaTheme="minorEastAsia"/>
                <w:b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eastAsiaTheme="minorEastAsia"/>
                <w:b w:val="0"/>
                <w:sz w:val="21"/>
                <w:szCs w:val="21"/>
              </w:rPr>
              <w:t>7</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电动吸痰器</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eastAsiaTheme="minorEastAsia"/>
                <w:b w:val="0"/>
                <w:sz w:val="21"/>
                <w:szCs w:val="21"/>
              </w:rPr>
              <w:t>7A-230</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岳阳宜佳医疗器械有限公司</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hint="eastAsia" w:cs="Times New Roman" w:eastAsiaTheme="minorEastAsia"/>
                <w:b w:val="0"/>
                <w:sz w:val="21"/>
                <w:szCs w:val="21"/>
              </w:rPr>
              <w:t>1</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eastAsiaTheme="minorEastAsia"/>
                <w:b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eastAsiaTheme="minorEastAsia"/>
                <w:b w:val="0"/>
                <w:sz w:val="21"/>
                <w:szCs w:val="21"/>
              </w:rPr>
              <w:t>8</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五类血液分析仪</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法国</w:t>
            </w:r>
            <w:r>
              <w:rPr>
                <w:rFonts w:cs="Times New Roman" w:eastAsiaTheme="minorEastAsia"/>
                <w:b w:val="0"/>
                <w:sz w:val="21"/>
                <w:szCs w:val="21"/>
              </w:rPr>
              <w:t>ABXpentra60</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湖南万浮生物技术有限公司</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hint="eastAsia" w:cs="Times New Roman" w:eastAsiaTheme="minorEastAsia"/>
                <w:b w:val="0"/>
                <w:sz w:val="21"/>
                <w:szCs w:val="21"/>
              </w:rPr>
              <w:t>1</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eastAsiaTheme="minorEastAsia"/>
                <w:b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eastAsiaTheme="minorEastAsia"/>
                <w:b w:val="0"/>
                <w:sz w:val="21"/>
                <w:szCs w:val="21"/>
              </w:rPr>
              <w:t>9</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电解质分析仪</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梅州康立</w:t>
            </w:r>
            <w:r>
              <w:rPr>
                <w:rFonts w:cs="Times New Roman" w:eastAsiaTheme="minorEastAsia"/>
                <w:b w:val="0"/>
                <w:sz w:val="21"/>
                <w:szCs w:val="21"/>
              </w:rPr>
              <w:t>K-Lite8B</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湖南瑞宸贸易有限公司</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hint="eastAsia" w:cs="Times New Roman" w:eastAsiaTheme="minorEastAsia"/>
                <w:b w:val="0"/>
                <w:sz w:val="21"/>
                <w:szCs w:val="21"/>
              </w:rPr>
              <w:t>1</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eastAsiaTheme="minorEastAsia"/>
                <w:b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eastAsiaTheme="minorEastAsia"/>
                <w:b w:val="0"/>
                <w:sz w:val="21"/>
                <w:szCs w:val="21"/>
              </w:rPr>
              <w:t>10</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数字式十二道心电图机</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深圳理邦</w:t>
            </w:r>
            <w:r>
              <w:rPr>
                <w:rFonts w:cs="Times New Roman" w:eastAsiaTheme="minorEastAsia"/>
                <w:b w:val="0"/>
                <w:sz w:val="21"/>
                <w:szCs w:val="21"/>
              </w:rPr>
              <w:t>SE-1200</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天津邦盛</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hint="eastAsia" w:cs="Times New Roman" w:eastAsiaTheme="minorEastAsia"/>
                <w:b w:val="0"/>
                <w:sz w:val="21"/>
                <w:szCs w:val="21"/>
              </w:rPr>
              <w:t>1</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eastAsiaTheme="minorEastAsia"/>
                <w:b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eastAsiaTheme="minorEastAsia"/>
                <w:b w:val="0"/>
                <w:sz w:val="21"/>
                <w:szCs w:val="21"/>
              </w:rPr>
              <w:t>11</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便捷式</w:t>
            </w:r>
            <w:r>
              <w:rPr>
                <w:rFonts w:cs="Times New Roman" w:eastAsiaTheme="minorEastAsia"/>
                <w:b w:val="0"/>
                <w:sz w:val="21"/>
                <w:szCs w:val="21"/>
              </w:rPr>
              <w:t>B</w:t>
            </w:r>
            <w:r>
              <w:rPr>
                <w:rFonts w:cs="Times New Roman" w:hAnsiTheme="minorEastAsia" w:eastAsiaTheme="minorEastAsia"/>
                <w:b w:val="0"/>
                <w:sz w:val="21"/>
                <w:szCs w:val="21"/>
              </w:rPr>
              <w:t>超</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深圳迈瑞</w:t>
            </w:r>
            <w:r>
              <w:rPr>
                <w:rFonts w:cs="Times New Roman" w:eastAsiaTheme="minorEastAsia"/>
                <w:b w:val="0"/>
                <w:sz w:val="21"/>
                <w:szCs w:val="21"/>
              </w:rPr>
              <w:t>VM-8400019</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天津邦盛</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hint="eastAsia" w:cs="Times New Roman" w:eastAsiaTheme="minorEastAsia"/>
                <w:b w:val="0"/>
                <w:sz w:val="21"/>
                <w:szCs w:val="21"/>
              </w:rPr>
              <w:t>1</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eastAsiaTheme="minorEastAsia"/>
                <w:b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eastAsiaTheme="minorEastAsia"/>
                <w:b w:val="0"/>
                <w:sz w:val="21"/>
                <w:szCs w:val="21"/>
              </w:rPr>
              <w:t>12</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医疗体检车</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厦门金旅</w:t>
            </w:r>
            <w:r>
              <w:rPr>
                <w:rFonts w:cs="Times New Roman" w:eastAsiaTheme="minorEastAsia"/>
                <w:b w:val="0"/>
                <w:sz w:val="21"/>
                <w:szCs w:val="21"/>
              </w:rPr>
              <w:t>XML5117XYL15</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天津邦盛</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hint="eastAsia" w:cs="Times New Roman" w:eastAsiaTheme="minorEastAsia"/>
                <w:b w:val="0"/>
                <w:sz w:val="21"/>
                <w:szCs w:val="21"/>
              </w:rPr>
              <w:t>1</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eastAsiaTheme="minorEastAsia"/>
                <w:b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eastAsiaTheme="minorEastAsia"/>
                <w:b w:val="0"/>
                <w:sz w:val="21"/>
                <w:szCs w:val="21"/>
              </w:rPr>
              <w:t>13</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高级成人护理电子标准化病人教学系统</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上海益联医学仪器发展有限公司</w:t>
            </w:r>
            <w:r>
              <w:rPr>
                <w:rFonts w:cs="Times New Roman" w:eastAsiaTheme="minorEastAsia"/>
                <w:b w:val="0"/>
                <w:sz w:val="21"/>
                <w:szCs w:val="21"/>
              </w:rPr>
              <w:t>KAS-H701</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江西典佑医疗机械有限公司</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hint="eastAsia" w:cs="Times New Roman" w:eastAsiaTheme="minorEastAsia"/>
                <w:b w:val="0"/>
                <w:sz w:val="21"/>
                <w:szCs w:val="21"/>
              </w:rPr>
              <w:t>1</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eastAsiaTheme="minorEastAsia"/>
                <w:b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eastAsiaTheme="minorEastAsia"/>
                <w:b w:val="0"/>
                <w:sz w:val="21"/>
                <w:szCs w:val="21"/>
              </w:rPr>
              <w:t>14</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除颤监护仪</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日本光电</w:t>
            </w:r>
            <w:r>
              <w:rPr>
                <w:rFonts w:cs="Times New Roman" w:eastAsiaTheme="minorEastAsia"/>
                <w:b w:val="0"/>
                <w:sz w:val="21"/>
                <w:szCs w:val="21"/>
              </w:rPr>
              <w:t>TEC-5602</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湖南季莘德医疗科技有限公司</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hint="eastAsia" w:cs="Times New Roman" w:eastAsiaTheme="minorEastAsia"/>
                <w:b w:val="0"/>
                <w:sz w:val="21"/>
                <w:szCs w:val="21"/>
              </w:rPr>
              <w:t>1</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eastAsiaTheme="minorEastAsia"/>
                <w:b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eastAsiaTheme="minorEastAsia"/>
                <w:b w:val="0"/>
                <w:sz w:val="21"/>
                <w:szCs w:val="21"/>
              </w:rPr>
              <w:t>15</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空气波压循环治疗仪</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广州龙之杰科技有限公司</w:t>
            </w:r>
            <w:r>
              <w:rPr>
                <w:rFonts w:cs="Times New Roman" w:eastAsiaTheme="minorEastAsia"/>
                <w:b w:val="0"/>
                <w:sz w:val="21"/>
                <w:szCs w:val="21"/>
              </w:rPr>
              <w:t>LGT-2200HN</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湖南震捷医疗器械有限公司</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eastAsiaTheme="minorEastAsia"/>
                <w:b w:val="0"/>
                <w:sz w:val="21"/>
                <w:szCs w:val="21"/>
              </w:rPr>
              <w:t>3</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eastAsiaTheme="minorEastAsia"/>
                <w:b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eastAsiaTheme="minorEastAsia"/>
                <w:b w:val="0"/>
                <w:sz w:val="21"/>
                <w:szCs w:val="21"/>
              </w:rPr>
              <w:t>16</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上肢运动控制系统</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北京得信希望医疗科技有限公司</w:t>
            </w:r>
            <w:r>
              <w:rPr>
                <w:rFonts w:cs="Times New Roman" w:eastAsiaTheme="minorEastAsia"/>
                <w:b w:val="0"/>
                <w:sz w:val="21"/>
                <w:szCs w:val="21"/>
              </w:rPr>
              <w:t>E4000</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湖南瑞宸贸易有限公司</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hint="eastAsia" w:cs="Times New Roman" w:eastAsiaTheme="minorEastAsia"/>
                <w:b w:val="0"/>
                <w:sz w:val="21"/>
                <w:szCs w:val="21"/>
              </w:rPr>
              <w:t>1</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eastAsiaTheme="minorEastAsia"/>
                <w:b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eastAsiaTheme="minorEastAsia"/>
                <w:b w:val="0"/>
                <w:sz w:val="21"/>
                <w:szCs w:val="21"/>
              </w:rPr>
              <w:t>17</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温热电针综合治疗仪</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安阳市翔宇医疗设备有限责任公司</w:t>
            </w:r>
            <w:r>
              <w:rPr>
                <w:rFonts w:cs="Times New Roman" w:eastAsiaTheme="minorEastAsia"/>
                <w:b w:val="0"/>
                <w:sz w:val="21"/>
                <w:szCs w:val="21"/>
              </w:rPr>
              <w:t>XY-WD-IV</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湖南合富医疗设备有限公司</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eastAsiaTheme="minorEastAsia"/>
                <w:b w:val="0"/>
                <w:sz w:val="21"/>
                <w:szCs w:val="21"/>
              </w:rPr>
              <w:t>2</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eastAsiaTheme="minorEastAsia"/>
                <w:b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eastAsiaTheme="minorEastAsia"/>
                <w:b w:val="0"/>
                <w:sz w:val="21"/>
                <w:szCs w:val="21"/>
              </w:rPr>
              <w:t>18</w:t>
            </w:r>
          </w:p>
        </w:tc>
        <w:tc>
          <w:tcPr>
            <w:tcW w:w="0" w:type="auto"/>
            <w:vAlign w:val="center"/>
          </w:tcPr>
          <w:p>
            <w:pPr>
              <w:jc w:val="center"/>
              <w:rPr>
                <w:rFonts w:eastAsia="宋体" w:cs="Times New Roman"/>
              </w:rPr>
            </w:pPr>
            <w:r>
              <w:rPr>
                <w:rFonts w:hint="eastAsia" w:eastAsia="宋体" w:cs="Times New Roman" w:hAnsiTheme="minorEastAsia"/>
                <w:sz w:val="21"/>
              </w:rPr>
              <w:t>生物安全柜</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济南鑫贝西生物科技有限公司</w:t>
            </w:r>
            <w:r>
              <w:rPr>
                <w:rFonts w:cs="Times New Roman" w:eastAsiaTheme="minorEastAsia"/>
                <w:b w:val="0"/>
                <w:sz w:val="21"/>
                <w:szCs w:val="21"/>
              </w:rPr>
              <w:t>BSC-1100HA2-X</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湖南合富医疗设备有限公司</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hint="eastAsia" w:cs="Times New Roman" w:eastAsiaTheme="minorEastAsia"/>
                <w:b w:val="0"/>
                <w:sz w:val="21"/>
                <w:szCs w:val="21"/>
              </w:rPr>
              <w:t>1</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eastAsiaTheme="minorEastAsia"/>
                <w:b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eastAsiaTheme="minorEastAsia"/>
                <w:b w:val="0"/>
                <w:sz w:val="21"/>
                <w:szCs w:val="21"/>
              </w:rPr>
              <w:t>19</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医用冰箱</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青岛海尔</w:t>
            </w:r>
            <w:r>
              <w:rPr>
                <w:rFonts w:cs="Times New Roman" w:eastAsiaTheme="minorEastAsia"/>
                <w:b w:val="0"/>
                <w:sz w:val="21"/>
                <w:szCs w:val="21"/>
              </w:rPr>
              <w:t>HYC-940</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hAnsiTheme="minorEastAsia" w:eastAsiaTheme="minorEastAsia"/>
                <w:b w:val="0"/>
                <w:sz w:val="21"/>
                <w:szCs w:val="21"/>
              </w:rPr>
              <w:t>湖南湖南震捷医疗器械有限公司</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hint="eastAsia" w:cs="Times New Roman" w:eastAsiaTheme="minorEastAsia"/>
                <w:b w:val="0"/>
                <w:sz w:val="21"/>
                <w:szCs w:val="21"/>
              </w:rPr>
              <w:t>1</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eastAsiaTheme="minorEastAsia"/>
                <w:b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4"/>
              <w:adjustRightInd w:val="0"/>
              <w:snapToGrid w:val="0"/>
              <w:spacing w:line="240" w:lineRule="auto"/>
              <w:rPr>
                <w:rFonts w:cs="Times New Roman" w:eastAsiaTheme="minorEastAsia"/>
                <w:b w:val="0"/>
                <w:sz w:val="21"/>
                <w:szCs w:val="21"/>
              </w:rPr>
            </w:pPr>
            <w:r>
              <w:rPr>
                <w:rFonts w:hint="eastAsia" w:cs="Times New Roman" w:eastAsiaTheme="minorEastAsia"/>
                <w:b w:val="0"/>
                <w:sz w:val="21"/>
                <w:szCs w:val="21"/>
              </w:rPr>
              <w:t>20</w:t>
            </w:r>
          </w:p>
        </w:tc>
        <w:tc>
          <w:tcPr>
            <w:tcW w:w="0" w:type="auto"/>
            <w:vAlign w:val="center"/>
          </w:tcPr>
          <w:p>
            <w:pPr>
              <w:pStyle w:val="14"/>
              <w:adjustRightInd w:val="0"/>
              <w:snapToGrid w:val="0"/>
              <w:spacing w:line="240" w:lineRule="auto"/>
              <w:rPr>
                <w:rFonts w:cs="Times New Roman" w:hAnsiTheme="minorEastAsia" w:eastAsiaTheme="minorEastAsia"/>
                <w:b w:val="0"/>
                <w:sz w:val="21"/>
                <w:szCs w:val="21"/>
              </w:rPr>
            </w:pPr>
            <w:r>
              <w:rPr>
                <w:rFonts w:hint="eastAsia" w:cs="Times New Roman" w:hAnsiTheme="minorEastAsia" w:eastAsiaTheme="minorEastAsia"/>
                <w:b w:val="0"/>
                <w:sz w:val="21"/>
                <w:szCs w:val="21"/>
              </w:rPr>
              <w:t>CT</w:t>
            </w:r>
          </w:p>
        </w:tc>
        <w:tc>
          <w:tcPr>
            <w:tcW w:w="0" w:type="auto"/>
            <w:vAlign w:val="center"/>
          </w:tcPr>
          <w:p>
            <w:pPr>
              <w:pStyle w:val="14"/>
              <w:adjustRightInd w:val="0"/>
              <w:snapToGrid w:val="0"/>
              <w:spacing w:line="240" w:lineRule="auto"/>
              <w:rPr>
                <w:rFonts w:cs="Times New Roman" w:hAnsiTheme="minorEastAsia" w:eastAsiaTheme="minorEastAsia"/>
                <w:b w:val="0"/>
                <w:sz w:val="21"/>
                <w:szCs w:val="21"/>
              </w:rPr>
            </w:pPr>
            <w:r>
              <w:rPr>
                <w:rFonts w:hint="eastAsia" w:cs="Times New Roman" w:hAnsiTheme="minorEastAsia" w:eastAsiaTheme="minorEastAsia"/>
                <w:b w:val="0"/>
                <w:sz w:val="21"/>
                <w:szCs w:val="21"/>
              </w:rPr>
              <w:t>BRIVO CT325</w:t>
            </w:r>
          </w:p>
        </w:tc>
        <w:tc>
          <w:tcPr>
            <w:tcW w:w="0" w:type="auto"/>
            <w:vAlign w:val="center"/>
          </w:tcPr>
          <w:p>
            <w:pPr>
              <w:pStyle w:val="14"/>
              <w:adjustRightInd w:val="0"/>
              <w:snapToGrid w:val="0"/>
              <w:spacing w:line="240" w:lineRule="auto"/>
              <w:rPr>
                <w:rFonts w:cs="Times New Roman" w:hAnsiTheme="minorEastAsia" w:eastAsiaTheme="minorEastAsia"/>
                <w:b w:val="0"/>
                <w:sz w:val="21"/>
                <w:szCs w:val="21"/>
              </w:rPr>
            </w:pPr>
            <w:r>
              <w:rPr>
                <w:rFonts w:hint="eastAsia" w:cs="Times New Roman" w:hAnsiTheme="minorEastAsia" w:eastAsiaTheme="minorEastAsia"/>
                <w:b w:val="0"/>
                <w:sz w:val="21"/>
                <w:szCs w:val="21"/>
              </w:rPr>
              <w:t>/</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hint="eastAsia" w:cs="Times New Roman" w:eastAsiaTheme="minorEastAsia"/>
                <w:b w:val="0"/>
                <w:sz w:val="21"/>
                <w:szCs w:val="21"/>
              </w:rPr>
              <w:t>1</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eastAsiaTheme="minorEastAsia"/>
                <w:b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4"/>
              <w:adjustRightInd w:val="0"/>
              <w:snapToGrid w:val="0"/>
              <w:spacing w:line="240" w:lineRule="auto"/>
              <w:rPr>
                <w:rFonts w:cs="Times New Roman" w:eastAsiaTheme="minorEastAsia"/>
                <w:b w:val="0"/>
                <w:sz w:val="21"/>
                <w:szCs w:val="21"/>
              </w:rPr>
            </w:pPr>
            <w:r>
              <w:rPr>
                <w:rFonts w:hint="eastAsia" w:cs="Times New Roman" w:eastAsiaTheme="minorEastAsia"/>
                <w:b w:val="0"/>
                <w:sz w:val="21"/>
                <w:szCs w:val="21"/>
              </w:rPr>
              <w:t>21</w:t>
            </w:r>
          </w:p>
        </w:tc>
        <w:tc>
          <w:tcPr>
            <w:tcW w:w="0" w:type="auto"/>
            <w:vAlign w:val="center"/>
          </w:tcPr>
          <w:p>
            <w:pPr>
              <w:pStyle w:val="14"/>
              <w:adjustRightInd w:val="0"/>
              <w:snapToGrid w:val="0"/>
              <w:spacing w:line="240" w:lineRule="auto"/>
              <w:rPr>
                <w:rFonts w:cs="Times New Roman" w:hAnsiTheme="minorEastAsia" w:eastAsiaTheme="minorEastAsia"/>
                <w:b w:val="0"/>
                <w:sz w:val="21"/>
                <w:szCs w:val="21"/>
              </w:rPr>
            </w:pPr>
            <w:r>
              <w:rPr>
                <w:rFonts w:cs="Times New Roman" w:hAnsiTheme="minorEastAsia" w:eastAsiaTheme="minorEastAsia"/>
                <w:b w:val="0"/>
                <w:sz w:val="21"/>
                <w:szCs w:val="21"/>
              </w:rPr>
              <w:t>数字</w:t>
            </w:r>
            <w:r>
              <w:rPr>
                <w:rFonts w:hint="eastAsia" w:cs="Times New Roman" w:hAnsiTheme="minorEastAsia" w:eastAsiaTheme="minorEastAsia"/>
                <w:b w:val="0"/>
                <w:sz w:val="21"/>
                <w:szCs w:val="21"/>
              </w:rPr>
              <w:t>X射线成像系统</w:t>
            </w:r>
          </w:p>
        </w:tc>
        <w:tc>
          <w:tcPr>
            <w:tcW w:w="0" w:type="auto"/>
            <w:vAlign w:val="center"/>
          </w:tcPr>
          <w:p>
            <w:pPr>
              <w:pStyle w:val="14"/>
              <w:adjustRightInd w:val="0"/>
              <w:snapToGrid w:val="0"/>
              <w:spacing w:line="240" w:lineRule="auto"/>
              <w:rPr>
                <w:rFonts w:cs="Times New Roman" w:hAnsiTheme="minorEastAsia" w:eastAsiaTheme="minorEastAsia"/>
                <w:b w:val="0"/>
                <w:sz w:val="21"/>
                <w:szCs w:val="21"/>
              </w:rPr>
            </w:pPr>
            <w:r>
              <w:rPr>
                <w:rFonts w:hint="eastAsia" w:cs="Times New Roman" w:hAnsiTheme="minorEastAsia" w:eastAsiaTheme="minorEastAsia"/>
                <w:b w:val="0"/>
                <w:sz w:val="21"/>
                <w:szCs w:val="21"/>
              </w:rPr>
              <w:t>DR200U</w:t>
            </w:r>
          </w:p>
        </w:tc>
        <w:tc>
          <w:tcPr>
            <w:tcW w:w="0" w:type="auto"/>
            <w:vAlign w:val="center"/>
          </w:tcPr>
          <w:p>
            <w:pPr>
              <w:pStyle w:val="14"/>
              <w:adjustRightInd w:val="0"/>
              <w:snapToGrid w:val="0"/>
              <w:spacing w:line="240" w:lineRule="auto"/>
              <w:rPr>
                <w:rFonts w:cs="Times New Roman" w:hAnsiTheme="minorEastAsia" w:eastAsiaTheme="minorEastAsia"/>
                <w:b w:val="0"/>
                <w:sz w:val="21"/>
                <w:szCs w:val="21"/>
              </w:rPr>
            </w:pPr>
            <w:r>
              <w:rPr>
                <w:rFonts w:hint="eastAsia" w:cs="Times New Roman" w:hAnsiTheme="minorEastAsia" w:eastAsiaTheme="minorEastAsia"/>
                <w:b w:val="0"/>
                <w:sz w:val="21"/>
                <w:szCs w:val="21"/>
              </w:rPr>
              <w:t>/</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hint="eastAsia" w:cs="Times New Roman" w:eastAsiaTheme="minorEastAsia"/>
                <w:b w:val="0"/>
                <w:sz w:val="21"/>
                <w:szCs w:val="21"/>
              </w:rPr>
              <w:t>1</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eastAsiaTheme="minorEastAsia"/>
                <w:b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4"/>
              <w:adjustRightInd w:val="0"/>
              <w:snapToGrid w:val="0"/>
              <w:spacing w:line="240" w:lineRule="auto"/>
              <w:rPr>
                <w:rFonts w:cs="Times New Roman" w:eastAsiaTheme="minorEastAsia"/>
                <w:b w:val="0"/>
                <w:sz w:val="21"/>
                <w:szCs w:val="21"/>
              </w:rPr>
            </w:pPr>
            <w:r>
              <w:rPr>
                <w:rFonts w:hint="eastAsia" w:cs="Times New Roman" w:eastAsiaTheme="minorEastAsia"/>
                <w:b w:val="0"/>
                <w:sz w:val="21"/>
                <w:szCs w:val="21"/>
              </w:rPr>
              <w:t>22</w:t>
            </w:r>
          </w:p>
        </w:tc>
        <w:tc>
          <w:tcPr>
            <w:tcW w:w="0" w:type="auto"/>
            <w:vAlign w:val="center"/>
          </w:tcPr>
          <w:p>
            <w:pPr>
              <w:pStyle w:val="14"/>
              <w:adjustRightInd w:val="0"/>
              <w:snapToGrid w:val="0"/>
              <w:spacing w:line="240" w:lineRule="auto"/>
              <w:rPr>
                <w:rFonts w:cs="Times New Roman" w:hAnsiTheme="minorEastAsia" w:eastAsiaTheme="minorEastAsia"/>
                <w:b w:val="0"/>
                <w:sz w:val="21"/>
                <w:szCs w:val="21"/>
              </w:rPr>
            </w:pPr>
            <w:r>
              <w:rPr>
                <w:rFonts w:cs="Times New Roman" w:hAnsiTheme="minorEastAsia" w:eastAsiaTheme="minorEastAsia"/>
                <w:b w:val="0"/>
                <w:sz w:val="21"/>
                <w:szCs w:val="21"/>
              </w:rPr>
              <w:t>全自动生化分析仪</w:t>
            </w:r>
          </w:p>
        </w:tc>
        <w:tc>
          <w:tcPr>
            <w:tcW w:w="0" w:type="auto"/>
            <w:vAlign w:val="center"/>
          </w:tcPr>
          <w:p>
            <w:pPr>
              <w:pStyle w:val="14"/>
              <w:adjustRightInd w:val="0"/>
              <w:snapToGrid w:val="0"/>
              <w:spacing w:line="240" w:lineRule="auto"/>
              <w:rPr>
                <w:rFonts w:cs="Times New Roman" w:hAnsiTheme="minorEastAsia" w:eastAsiaTheme="minorEastAsia"/>
                <w:b w:val="0"/>
                <w:sz w:val="21"/>
                <w:szCs w:val="21"/>
              </w:rPr>
            </w:pPr>
            <w:r>
              <w:rPr>
                <w:rFonts w:cs="Times New Roman" w:hAnsiTheme="minorEastAsia" w:eastAsiaTheme="minorEastAsia"/>
                <w:b w:val="0"/>
                <w:sz w:val="21"/>
                <w:szCs w:val="21"/>
              </w:rPr>
              <w:t>深圳迈瑞</w:t>
            </w:r>
            <w:r>
              <w:rPr>
                <w:rFonts w:hint="eastAsia" w:cs="Times New Roman" w:hAnsiTheme="minorEastAsia" w:eastAsiaTheme="minorEastAsia"/>
                <w:b w:val="0"/>
                <w:sz w:val="21"/>
                <w:szCs w:val="21"/>
              </w:rPr>
              <w:t>BS-800</w:t>
            </w:r>
          </w:p>
        </w:tc>
        <w:tc>
          <w:tcPr>
            <w:tcW w:w="0" w:type="auto"/>
            <w:vAlign w:val="center"/>
          </w:tcPr>
          <w:p>
            <w:pPr>
              <w:pStyle w:val="14"/>
              <w:adjustRightInd w:val="0"/>
              <w:snapToGrid w:val="0"/>
              <w:spacing w:line="240" w:lineRule="auto"/>
              <w:rPr>
                <w:rFonts w:cs="Times New Roman" w:hAnsiTheme="minorEastAsia" w:eastAsiaTheme="minorEastAsia"/>
                <w:b w:val="0"/>
                <w:sz w:val="21"/>
                <w:szCs w:val="21"/>
              </w:rPr>
            </w:pPr>
            <w:r>
              <w:rPr>
                <w:rFonts w:hint="eastAsia" w:cs="Times New Roman" w:hAnsiTheme="minorEastAsia" w:eastAsiaTheme="minorEastAsia"/>
                <w:b w:val="0"/>
                <w:sz w:val="21"/>
                <w:szCs w:val="21"/>
              </w:rPr>
              <w:t>/</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hint="eastAsia" w:cs="Times New Roman" w:eastAsiaTheme="minorEastAsia"/>
                <w:b w:val="0"/>
                <w:sz w:val="21"/>
                <w:szCs w:val="21"/>
              </w:rPr>
              <w:t>1</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eastAsiaTheme="minorEastAsia"/>
                <w:b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4"/>
              <w:adjustRightInd w:val="0"/>
              <w:snapToGrid w:val="0"/>
              <w:spacing w:line="240" w:lineRule="auto"/>
              <w:rPr>
                <w:rFonts w:cs="Times New Roman" w:eastAsiaTheme="minorEastAsia"/>
                <w:b w:val="0"/>
                <w:sz w:val="21"/>
                <w:szCs w:val="21"/>
              </w:rPr>
            </w:pPr>
            <w:r>
              <w:rPr>
                <w:rFonts w:hint="eastAsia" w:cs="Times New Roman" w:eastAsiaTheme="minorEastAsia"/>
                <w:b w:val="0"/>
                <w:sz w:val="21"/>
                <w:szCs w:val="21"/>
              </w:rPr>
              <w:t>23</w:t>
            </w:r>
          </w:p>
        </w:tc>
        <w:tc>
          <w:tcPr>
            <w:tcW w:w="0" w:type="auto"/>
            <w:vAlign w:val="center"/>
          </w:tcPr>
          <w:p>
            <w:pPr>
              <w:pStyle w:val="14"/>
              <w:adjustRightInd w:val="0"/>
              <w:snapToGrid w:val="0"/>
              <w:spacing w:line="240" w:lineRule="auto"/>
              <w:rPr>
                <w:rFonts w:cs="Times New Roman" w:hAnsiTheme="minorEastAsia" w:eastAsiaTheme="minorEastAsia"/>
                <w:b w:val="0"/>
                <w:sz w:val="21"/>
                <w:szCs w:val="21"/>
              </w:rPr>
            </w:pPr>
            <w:r>
              <w:rPr>
                <w:rFonts w:hint="eastAsia" w:cs="Times New Roman" w:hAnsiTheme="minorEastAsia" w:eastAsiaTheme="minorEastAsia"/>
                <w:b w:val="0"/>
                <w:sz w:val="21"/>
                <w:szCs w:val="21"/>
              </w:rPr>
              <w:t>B超</w:t>
            </w:r>
          </w:p>
        </w:tc>
        <w:tc>
          <w:tcPr>
            <w:tcW w:w="0" w:type="auto"/>
            <w:vAlign w:val="center"/>
          </w:tcPr>
          <w:p>
            <w:pPr>
              <w:pStyle w:val="14"/>
              <w:adjustRightInd w:val="0"/>
              <w:snapToGrid w:val="0"/>
              <w:spacing w:line="240" w:lineRule="auto"/>
              <w:rPr>
                <w:rFonts w:cs="Times New Roman" w:hAnsiTheme="minorEastAsia" w:eastAsiaTheme="minorEastAsia"/>
                <w:b w:val="0"/>
                <w:sz w:val="21"/>
                <w:szCs w:val="21"/>
              </w:rPr>
            </w:pPr>
            <w:r>
              <w:rPr>
                <w:rFonts w:hint="eastAsia" w:cs="Times New Roman" w:hAnsiTheme="minorEastAsia" w:eastAsiaTheme="minorEastAsia"/>
                <w:b w:val="0"/>
                <w:sz w:val="21"/>
                <w:szCs w:val="21"/>
              </w:rPr>
              <w:t>深圳开立SSI-5000</w:t>
            </w:r>
          </w:p>
        </w:tc>
        <w:tc>
          <w:tcPr>
            <w:tcW w:w="0" w:type="auto"/>
            <w:vAlign w:val="center"/>
          </w:tcPr>
          <w:p>
            <w:pPr>
              <w:pStyle w:val="14"/>
              <w:adjustRightInd w:val="0"/>
              <w:snapToGrid w:val="0"/>
              <w:spacing w:line="240" w:lineRule="auto"/>
              <w:rPr>
                <w:rFonts w:cs="Times New Roman" w:hAnsiTheme="minorEastAsia" w:eastAsiaTheme="minorEastAsia"/>
                <w:b w:val="0"/>
                <w:sz w:val="21"/>
                <w:szCs w:val="21"/>
              </w:rPr>
            </w:pPr>
            <w:r>
              <w:rPr>
                <w:rFonts w:hint="eastAsia" w:cs="Times New Roman" w:hAnsiTheme="minorEastAsia" w:eastAsiaTheme="minorEastAsia"/>
                <w:b w:val="0"/>
                <w:sz w:val="21"/>
                <w:szCs w:val="21"/>
              </w:rPr>
              <w:t>/</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hint="eastAsia" w:cs="Times New Roman" w:eastAsiaTheme="minorEastAsia"/>
                <w:b w:val="0"/>
                <w:sz w:val="21"/>
                <w:szCs w:val="21"/>
              </w:rPr>
              <w:t>1</w:t>
            </w:r>
          </w:p>
        </w:tc>
        <w:tc>
          <w:tcPr>
            <w:tcW w:w="0" w:type="auto"/>
            <w:vAlign w:val="center"/>
          </w:tcPr>
          <w:p>
            <w:pPr>
              <w:pStyle w:val="14"/>
              <w:adjustRightInd w:val="0"/>
              <w:snapToGrid w:val="0"/>
              <w:spacing w:line="240" w:lineRule="auto"/>
              <w:rPr>
                <w:rFonts w:cs="Times New Roman" w:eastAsiaTheme="minorEastAsia"/>
                <w:b w:val="0"/>
                <w:sz w:val="21"/>
                <w:szCs w:val="21"/>
              </w:rPr>
            </w:pPr>
            <w:r>
              <w:rPr>
                <w:rFonts w:cs="Times New Roman" w:eastAsiaTheme="minorEastAsia"/>
                <w:b w:val="0"/>
                <w:sz w:val="21"/>
                <w:szCs w:val="21"/>
              </w:rPr>
              <w:t>台</w:t>
            </w:r>
          </w:p>
        </w:tc>
      </w:tr>
    </w:tbl>
    <w:p>
      <w:pPr>
        <w:pStyle w:val="14"/>
        <w:adjustRightInd w:val="0"/>
        <w:snapToGrid w:val="0"/>
        <w:ind w:firstLine="480" w:firstLineChars="200"/>
        <w:jc w:val="both"/>
        <w:rPr>
          <w:rFonts w:cs="Times New Roman"/>
          <w:b w:val="0"/>
          <w:szCs w:val="24"/>
        </w:rPr>
      </w:pPr>
      <w:r>
        <w:rPr>
          <w:rFonts w:hAnsi="宋体" w:cs="Times New Roman"/>
          <w:b w:val="0"/>
          <w:szCs w:val="24"/>
        </w:rPr>
        <w:t>本项目设置有影像服务，</w:t>
      </w:r>
      <w:r>
        <w:rPr>
          <w:rFonts w:cs="Times New Roman"/>
          <w:b w:val="0"/>
          <w:szCs w:val="24"/>
        </w:rPr>
        <w:t>CT</w:t>
      </w:r>
      <w:r>
        <w:rPr>
          <w:rFonts w:hAnsi="宋体" w:cs="Times New Roman"/>
          <w:b w:val="0"/>
          <w:szCs w:val="24"/>
        </w:rPr>
        <w:t>、数字</w:t>
      </w:r>
      <w:r>
        <w:rPr>
          <w:rFonts w:cs="Times New Roman"/>
          <w:b w:val="0"/>
          <w:szCs w:val="24"/>
        </w:rPr>
        <w:t>X</w:t>
      </w:r>
      <w:r>
        <w:rPr>
          <w:rFonts w:hAnsi="宋体" w:cs="Times New Roman"/>
          <w:b w:val="0"/>
          <w:szCs w:val="24"/>
        </w:rPr>
        <w:t>射线成像系统、全自动生化分析仪、</w:t>
      </w:r>
      <w:r>
        <w:rPr>
          <w:rFonts w:cs="Times New Roman"/>
          <w:b w:val="0"/>
          <w:szCs w:val="24"/>
        </w:rPr>
        <w:t>B</w:t>
      </w:r>
      <w:r>
        <w:rPr>
          <w:rFonts w:hAnsi="宋体" w:cs="Times New Roman"/>
          <w:b w:val="0"/>
          <w:szCs w:val="24"/>
        </w:rPr>
        <w:t>超设备</w:t>
      </w:r>
      <w:r>
        <w:rPr>
          <w:rFonts w:hint="eastAsia" w:hAnsi="宋体" w:cs="Times New Roman"/>
          <w:b w:val="0"/>
          <w:szCs w:val="24"/>
        </w:rPr>
        <w:t>，</w:t>
      </w:r>
      <w:r>
        <w:rPr>
          <w:rFonts w:hAnsi="宋体" w:cs="Times New Roman"/>
          <w:b w:val="0"/>
          <w:szCs w:val="24"/>
        </w:rPr>
        <w:t>在使用的过程中会产生电磁辐射，根据《放射性同位素与射线装置安全许可政管理办法》（</w:t>
      </w:r>
      <w:r>
        <w:rPr>
          <w:rFonts w:cs="Times New Roman"/>
          <w:b w:val="0"/>
          <w:szCs w:val="24"/>
        </w:rPr>
        <w:t>2008</w:t>
      </w:r>
      <w:r>
        <w:rPr>
          <w:rFonts w:hAnsi="宋体" w:cs="Times New Roman"/>
          <w:b w:val="0"/>
          <w:szCs w:val="24"/>
        </w:rPr>
        <w:t>年</w:t>
      </w:r>
      <w:r>
        <w:rPr>
          <w:rFonts w:cs="Times New Roman"/>
          <w:b w:val="0"/>
          <w:szCs w:val="24"/>
        </w:rPr>
        <w:t>11</w:t>
      </w:r>
      <w:r>
        <w:rPr>
          <w:rFonts w:hAnsi="宋体" w:cs="Times New Roman"/>
          <w:b w:val="0"/>
          <w:szCs w:val="24"/>
        </w:rPr>
        <w:t>月</w:t>
      </w:r>
      <w:r>
        <w:rPr>
          <w:rFonts w:cs="Times New Roman"/>
          <w:b w:val="0"/>
          <w:szCs w:val="24"/>
        </w:rPr>
        <w:t>21</w:t>
      </w:r>
      <w:r>
        <w:rPr>
          <w:rFonts w:hAnsi="宋体" w:cs="Times New Roman"/>
          <w:b w:val="0"/>
          <w:szCs w:val="24"/>
        </w:rPr>
        <w:t>日修改）中规定，设计放射性同位素与射线装置的环评应委托有资质的机构对其另行环评，本次环评不对放射科设备的电磁辐射进行环评，放射科设备需单独办理相关安全文件与相关手续。</w:t>
      </w:r>
    </w:p>
    <w:p>
      <w:pPr>
        <w:pStyle w:val="14"/>
        <w:adjustRightInd w:val="0"/>
        <w:snapToGrid w:val="0"/>
        <w:ind w:firstLine="480" w:firstLineChars="200"/>
        <w:jc w:val="both"/>
        <w:rPr>
          <w:rFonts w:hAnsi="宋体" w:cs="Times New Roman"/>
          <w:b w:val="0"/>
          <w:szCs w:val="24"/>
        </w:rPr>
      </w:pPr>
      <w:r>
        <w:rPr>
          <w:rFonts w:hAnsi="宋体" w:cs="Times New Roman"/>
          <w:b w:val="0"/>
          <w:szCs w:val="24"/>
        </w:rPr>
        <w:t>为了强化环境保护管理，根据《放射性仪表管理法》，环评建议医院对放射科采取以下措施：</w:t>
      </w:r>
    </w:p>
    <w:p>
      <w:pPr>
        <w:pStyle w:val="14"/>
        <w:adjustRightInd w:val="0"/>
        <w:snapToGrid w:val="0"/>
        <w:ind w:firstLine="480" w:firstLineChars="200"/>
        <w:jc w:val="both"/>
        <w:rPr>
          <w:rFonts w:hAnsi="宋体" w:cs="Times New Roman"/>
          <w:b w:val="0"/>
          <w:szCs w:val="24"/>
        </w:rPr>
      </w:pPr>
      <w:r>
        <w:rPr>
          <w:rFonts w:hint="eastAsia" w:hAnsi="宋体" w:cs="Times New Roman"/>
          <w:b w:val="0"/>
          <w:szCs w:val="24"/>
        </w:rPr>
        <w:t>①对于购买的设备，应办理《放射性同位素工作许可证》和《放射同位素工作登记证》，并在环保部门备案；</w:t>
      </w:r>
    </w:p>
    <w:p>
      <w:pPr>
        <w:pStyle w:val="14"/>
        <w:adjustRightInd w:val="0"/>
        <w:snapToGrid w:val="0"/>
        <w:ind w:firstLine="480" w:firstLineChars="200"/>
        <w:jc w:val="both"/>
        <w:rPr>
          <w:rFonts w:hAnsi="宋体" w:cs="Times New Roman"/>
          <w:b w:val="0"/>
          <w:szCs w:val="24"/>
        </w:rPr>
      </w:pPr>
      <w:r>
        <w:rPr>
          <w:rFonts w:hint="eastAsia" w:hAnsi="宋体" w:cs="Times New Roman"/>
          <w:b w:val="0"/>
          <w:szCs w:val="24"/>
        </w:rPr>
        <w:t>②放射源附件必须防止明显的危险标志，防止非工作人员逗留，且在安全距离内严禁吸烟、进食；</w:t>
      </w:r>
    </w:p>
    <w:p>
      <w:pPr>
        <w:pStyle w:val="14"/>
        <w:adjustRightInd w:val="0"/>
        <w:snapToGrid w:val="0"/>
        <w:ind w:firstLine="480" w:firstLineChars="200"/>
        <w:jc w:val="both"/>
        <w:rPr>
          <w:rFonts w:hAnsi="宋体" w:cs="Times New Roman"/>
          <w:b w:val="0"/>
          <w:szCs w:val="24"/>
        </w:rPr>
      </w:pPr>
      <w:r>
        <w:rPr>
          <w:rFonts w:hint="eastAsia" w:hAnsi="宋体" w:cs="Times New Roman"/>
          <w:b w:val="0"/>
          <w:szCs w:val="24"/>
        </w:rPr>
        <w:t>③必须选择安全可靠地点储存，要有屏蔽设施，要有防火、防泄漏德国安全措施；</w:t>
      </w:r>
    </w:p>
    <w:p>
      <w:pPr>
        <w:pStyle w:val="14"/>
        <w:adjustRightInd w:val="0"/>
        <w:snapToGrid w:val="0"/>
        <w:ind w:firstLine="480" w:firstLineChars="200"/>
        <w:jc w:val="both"/>
        <w:rPr>
          <w:rFonts w:hAnsi="宋体" w:cs="Times New Roman"/>
          <w:b w:val="0"/>
          <w:szCs w:val="24"/>
        </w:rPr>
      </w:pPr>
      <w:r>
        <w:rPr>
          <w:rFonts w:hint="eastAsia" w:hAnsi="宋体" w:cs="Times New Roman"/>
          <w:b w:val="0"/>
          <w:szCs w:val="24"/>
        </w:rPr>
        <w:t>④工作人员必须穿戴好特殊防护用品，个人剂量及必要的监测仪器；</w:t>
      </w:r>
    </w:p>
    <w:p>
      <w:pPr>
        <w:pStyle w:val="14"/>
        <w:adjustRightInd w:val="0"/>
        <w:snapToGrid w:val="0"/>
        <w:ind w:firstLine="480" w:firstLineChars="200"/>
        <w:jc w:val="both"/>
        <w:rPr>
          <w:b w:val="0"/>
        </w:rPr>
      </w:pPr>
      <w:r>
        <w:rPr>
          <w:b w:val="0"/>
        </w:rPr>
        <w:t>医院内主要动力设备包括生活水泵</w:t>
      </w:r>
      <w:r>
        <w:rPr>
          <w:rFonts w:hint="eastAsia"/>
          <w:b w:val="0"/>
        </w:rPr>
        <w:t>、</w:t>
      </w:r>
      <w:r>
        <w:rPr>
          <w:b w:val="0"/>
        </w:rPr>
        <w:t>车库通排风风机</w:t>
      </w:r>
      <w:r>
        <w:rPr>
          <w:rFonts w:hint="eastAsia"/>
          <w:b w:val="0"/>
        </w:rPr>
        <w:t>、</w:t>
      </w:r>
      <w:r>
        <w:rPr>
          <w:b w:val="0"/>
        </w:rPr>
        <w:t>变压器设备</w:t>
      </w:r>
      <w:r>
        <w:rPr>
          <w:rFonts w:hint="eastAsia"/>
          <w:b w:val="0"/>
        </w:rPr>
        <w:t>、</w:t>
      </w:r>
      <w:r>
        <w:rPr>
          <w:b w:val="0"/>
        </w:rPr>
        <w:t>中央空调</w:t>
      </w:r>
      <w:r>
        <w:rPr>
          <w:rFonts w:hint="eastAsia"/>
          <w:b w:val="0"/>
        </w:rPr>
        <w:t>等，详细见下表所示。</w:t>
      </w:r>
    </w:p>
    <w:p>
      <w:pPr>
        <w:pStyle w:val="14"/>
        <w:spacing w:line="240" w:lineRule="auto"/>
        <w:rPr>
          <w:rFonts w:cs="Times New Roman"/>
        </w:rPr>
      </w:pPr>
      <w:r>
        <w:rPr>
          <w:rFonts w:cs="Times New Roman"/>
        </w:rPr>
        <w:t>表</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2.4</w:t>
      </w:r>
      <w:r>
        <w:rPr>
          <w:rFonts w:cs="Times New Roman"/>
        </w:rPr>
        <w:fldChar w:fldCharType="end"/>
      </w:r>
      <w:r>
        <w:rPr>
          <w:rFonts w:cs="Times New Roman"/>
        </w:rPr>
        <w:noBreakHyphen/>
      </w:r>
      <w:r>
        <w:rPr>
          <w:rFonts w:cs="Times New Roman"/>
        </w:rPr>
        <w:fldChar w:fldCharType="begin"/>
      </w:r>
      <w:r>
        <w:rPr>
          <w:rFonts w:cs="Times New Roman"/>
        </w:rPr>
        <w:instrText xml:space="preserve"> SEQ 表 \* ARABIC \s 2 </w:instrText>
      </w:r>
      <w:r>
        <w:rPr>
          <w:rFonts w:cs="Times New Roman"/>
        </w:rPr>
        <w:fldChar w:fldCharType="separate"/>
      </w:r>
      <w:r>
        <w:rPr>
          <w:rFonts w:cs="Times New Roman"/>
        </w:rPr>
        <w:t>2</w:t>
      </w:r>
      <w:r>
        <w:rPr>
          <w:rFonts w:cs="Times New Roman"/>
        </w:rPr>
        <w:fldChar w:fldCharType="end"/>
      </w:r>
      <w:r>
        <w:rPr>
          <w:rFonts w:cs="Times New Roman"/>
        </w:rPr>
        <w:t xml:space="preserve">  主要设备一览表</w:t>
      </w:r>
    </w:p>
    <w:tbl>
      <w:tblPr>
        <w:tblStyle w:val="39"/>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88"/>
        <w:gridCol w:w="3415"/>
        <w:gridCol w:w="1842"/>
        <w:gridCol w:w="2197"/>
        <w:gridCol w:w="110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564" w:type="pct"/>
            <w:vAlign w:val="center"/>
          </w:tcPr>
          <w:p>
            <w:pPr>
              <w:pStyle w:val="130"/>
              <w:spacing w:line="20" w:lineRule="atLeast"/>
              <w:jc w:val="center"/>
              <w:rPr>
                <w:rFonts w:ascii="Times New Roman" w:hAnsi="Times New Roman" w:cs="Times New Roman"/>
                <w:sz w:val="21"/>
                <w:szCs w:val="21"/>
              </w:rPr>
            </w:pPr>
            <w:r>
              <w:rPr>
                <w:rFonts w:ascii="Times New Roman" w:hAnsi="Times New Roman" w:cs="Times New Roman"/>
                <w:sz w:val="21"/>
                <w:szCs w:val="21"/>
              </w:rPr>
              <w:t>序号</w:t>
            </w:r>
          </w:p>
        </w:tc>
        <w:tc>
          <w:tcPr>
            <w:tcW w:w="1770" w:type="pct"/>
            <w:vAlign w:val="center"/>
          </w:tcPr>
          <w:p>
            <w:pPr>
              <w:pStyle w:val="130"/>
              <w:spacing w:line="20" w:lineRule="atLeast"/>
              <w:jc w:val="center"/>
              <w:rPr>
                <w:rFonts w:ascii="Times New Roman" w:hAnsi="Times New Roman" w:cs="Times New Roman"/>
                <w:sz w:val="21"/>
                <w:szCs w:val="21"/>
              </w:rPr>
            </w:pPr>
            <w:r>
              <w:rPr>
                <w:rFonts w:ascii="Times New Roman" w:hAnsi="Times New Roman" w:cs="Times New Roman"/>
                <w:sz w:val="21"/>
                <w:szCs w:val="21"/>
              </w:rPr>
              <w:t>名  称</w:t>
            </w:r>
          </w:p>
        </w:tc>
        <w:tc>
          <w:tcPr>
            <w:tcW w:w="955" w:type="pct"/>
            <w:vAlign w:val="center"/>
          </w:tcPr>
          <w:p>
            <w:pPr>
              <w:pStyle w:val="130"/>
              <w:spacing w:line="20" w:lineRule="atLeast"/>
              <w:jc w:val="center"/>
              <w:rPr>
                <w:rFonts w:ascii="Times New Roman" w:hAnsi="Times New Roman" w:cs="Times New Roman"/>
                <w:sz w:val="21"/>
                <w:szCs w:val="21"/>
              </w:rPr>
            </w:pPr>
            <w:r>
              <w:rPr>
                <w:rFonts w:ascii="Times New Roman" w:hAnsi="Times New Roman" w:cs="Times New Roman"/>
                <w:sz w:val="21"/>
                <w:szCs w:val="21"/>
              </w:rPr>
              <w:t>型号规格</w:t>
            </w:r>
          </w:p>
        </w:tc>
        <w:tc>
          <w:tcPr>
            <w:tcW w:w="1139" w:type="pct"/>
            <w:vAlign w:val="center"/>
          </w:tcPr>
          <w:p>
            <w:pPr>
              <w:pStyle w:val="130"/>
              <w:spacing w:line="20" w:lineRule="atLeast"/>
              <w:jc w:val="center"/>
              <w:rPr>
                <w:rFonts w:ascii="Times New Roman" w:hAnsi="Times New Roman" w:cs="Times New Roman"/>
                <w:sz w:val="21"/>
                <w:szCs w:val="21"/>
              </w:rPr>
            </w:pPr>
            <w:r>
              <w:rPr>
                <w:rFonts w:ascii="Times New Roman" w:hAnsi="Times New Roman" w:cs="Times New Roman"/>
                <w:sz w:val="21"/>
                <w:szCs w:val="21"/>
              </w:rPr>
              <w:t>单位</w:t>
            </w:r>
          </w:p>
        </w:tc>
        <w:tc>
          <w:tcPr>
            <w:tcW w:w="572" w:type="pct"/>
            <w:vAlign w:val="center"/>
          </w:tcPr>
          <w:p>
            <w:pPr>
              <w:pStyle w:val="130"/>
              <w:spacing w:line="20" w:lineRule="atLeast"/>
              <w:jc w:val="center"/>
              <w:rPr>
                <w:rFonts w:ascii="Times New Roman" w:hAnsi="Times New Roman" w:cs="Times New Roman"/>
                <w:sz w:val="21"/>
                <w:szCs w:val="21"/>
              </w:rPr>
            </w:pPr>
            <w:r>
              <w:rPr>
                <w:rFonts w:ascii="Times New Roman" w:hAnsi="Times New Roman" w:cs="Times New Roman"/>
                <w:sz w:val="21"/>
                <w:szCs w:val="21"/>
              </w:rPr>
              <w:t>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564" w:type="pct"/>
            <w:vAlign w:val="center"/>
          </w:tcPr>
          <w:p>
            <w:pPr>
              <w:pStyle w:val="130"/>
              <w:spacing w:line="20" w:lineRule="atLeast"/>
              <w:jc w:val="center"/>
              <w:rPr>
                <w:rFonts w:ascii="Times New Roman" w:hAnsi="Times New Roman" w:cs="Times New Roman"/>
                <w:sz w:val="21"/>
                <w:szCs w:val="21"/>
              </w:rPr>
            </w:pPr>
            <w:r>
              <w:rPr>
                <w:rFonts w:ascii="Times New Roman" w:hAnsi="Times New Roman" w:cs="Times New Roman"/>
                <w:sz w:val="21"/>
                <w:szCs w:val="21"/>
              </w:rPr>
              <w:t>1</w:t>
            </w:r>
          </w:p>
        </w:tc>
        <w:tc>
          <w:tcPr>
            <w:tcW w:w="1770" w:type="pct"/>
            <w:vAlign w:val="center"/>
          </w:tcPr>
          <w:p>
            <w:pPr>
              <w:pStyle w:val="130"/>
              <w:spacing w:line="20" w:lineRule="atLeast"/>
              <w:jc w:val="center"/>
              <w:rPr>
                <w:rFonts w:ascii="Times New Roman" w:hAnsi="Times New Roman" w:cs="Times New Roman"/>
                <w:sz w:val="21"/>
                <w:szCs w:val="21"/>
              </w:rPr>
            </w:pPr>
            <w:r>
              <w:rPr>
                <w:rFonts w:ascii="Times New Roman" w:hAnsi="Times New Roman" w:cs="Times New Roman"/>
                <w:sz w:val="21"/>
                <w:szCs w:val="21"/>
              </w:rPr>
              <w:t>生活水泵</w:t>
            </w:r>
          </w:p>
        </w:tc>
        <w:tc>
          <w:tcPr>
            <w:tcW w:w="955" w:type="pct"/>
            <w:vAlign w:val="center"/>
          </w:tcPr>
          <w:p>
            <w:pPr>
              <w:pStyle w:val="130"/>
              <w:spacing w:line="20" w:lineRule="atLeast"/>
              <w:jc w:val="center"/>
              <w:rPr>
                <w:rFonts w:ascii="Times New Roman" w:hAnsi="Times New Roman" w:cs="Times New Roman"/>
                <w:sz w:val="21"/>
                <w:szCs w:val="21"/>
              </w:rPr>
            </w:pPr>
            <w:r>
              <w:rPr>
                <w:rFonts w:ascii="Times New Roman" w:hAnsi="Times New Roman" w:cs="Times New Roman"/>
                <w:sz w:val="21"/>
                <w:szCs w:val="21"/>
              </w:rPr>
              <w:t>/</w:t>
            </w:r>
          </w:p>
        </w:tc>
        <w:tc>
          <w:tcPr>
            <w:tcW w:w="1139" w:type="pct"/>
            <w:vAlign w:val="center"/>
          </w:tcPr>
          <w:p>
            <w:pPr>
              <w:pStyle w:val="130"/>
              <w:spacing w:line="20" w:lineRule="atLeast"/>
              <w:jc w:val="center"/>
              <w:rPr>
                <w:rFonts w:ascii="Times New Roman" w:hAnsi="Times New Roman" w:cs="Times New Roman"/>
                <w:sz w:val="21"/>
                <w:szCs w:val="21"/>
              </w:rPr>
            </w:pPr>
            <w:r>
              <w:rPr>
                <w:rFonts w:ascii="Times New Roman" w:hAnsi="Times New Roman" w:cs="Times New Roman"/>
                <w:sz w:val="21"/>
                <w:szCs w:val="21"/>
              </w:rPr>
              <w:t>台</w:t>
            </w:r>
          </w:p>
        </w:tc>
        <w:tc>
          <w:tcPr>
            <w:tcW w:w="572" w:type="pct"/>
            <w:vAlign w:val="center"/>
          </w:tcPr>
          <w:p>
            <w:pPr>
              <w:pStyle w:val="130"/>
              <w:spacing w:line="20" w:lineRule="atLeast"/>
              <w:jc w:val="center"/>
              <w:rPr>
                <w:rFonts w:ascii="Times New Roman" w:hAnsi="Times New Roman" w:cs="Times New Roman"/>
                <w:sz w:val="21"/>
                <w:szCs w:val="21"/>
              </w:rPr>
            </w:pPr>
            <w:r>
              <w:rPr>
                <w:rFonts w:ascii="Times New Roman" w:hAnsi="Times New Roman" w:cs="Times New Roman"/>
                <w:sz w:val="21"/>
                <w:szCs w:val="21"/>
              </w:rPr>
              <w:t>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564" w:type="pct"/>
            <w:vAlign w:val="center"/>
          </w:tcPr>
          <w:p>
            <w:pPr>
              <w:pStyle w:val="130"/>
              <w:spacing w:line="20" w:lineRule="atLeast"/>
              <w:jc w:val="center"/>
              <w:rPr>
                <w:rFonts w:ascii="Times New Roman" w:hAnsi="Times New Roman" w:cs="Times New Roman"/>
                <w:sz w:val="21"/>
                <w:szCs w:val="21"/>
              </w:rPr>
            </w:pPr>
            <w:r>
              <w:rPr>
                <w:rFonts w:ascii="Times New Roman" w:hAnsi="Times New Roman" w:cs="Times New Roman"/>
                <w:sz w:val="21"/>
                <w:szCs w:val="21"/>
              </w:rPr>
              <w:t>2</w:t>
            </w:r>
          </w:p>
        </w:tc>
        <w:tc>
          <w:tcPr>
            <w:tcW w:w="1770" w:type="pct"/>
            <w:vAlign w:val="center"/>
          </w:tcPr>
          <w:p>
            <w:pPr>
              <w:pStyle w:val="130"/>
              <w:spacing w:line="20" w:lineRule="atLeast"/>
              <w:jc w:val="center"/>
              <w:rPr>
                <w:rFonts w:ascii="Times New Roman" w:hAnsi="Times New Roman" w:cs="Times New Roman"/>
                <w:sz w:val="21"/>
                <w:szCs w:val="21"/>
              </w:rPr>
            </w:pPr>
            <w:r>
              <w:rPr>
                <w:rFonts w:ascii="Times New Roman" w:hAnsi="Times New Roman" w:cs="Times New Roman"/>
                <w:sz w:val="21"/>
                <w:szCs w:val="21"/>
              </w:rPr>
              <w:t>消防水泵</w:t>
            </w:r>
          </w:p>
        </w:tc>
        <w:tc>
          <w:tcPr>
            <w:tcW w:w="955" w:type="pct"/>
          </w:tcPr>
          <w:p>
            <w:pPr>
              <w:jc w:val="center"/>
              <w:rPr>
                <w:rFonts w:cs="Times New Roman"/>
              </w:rPr>
            </w:pPr>
            <w:r>
              <w:rPr>
                <w:rFonts w:cs="Times New Roman"/>
                <w:sz w:val="21"/>
              </w:rPr>
              <w:t>/</w:t>
            </w:r>
          </w:p>
        </w:tc>
        <w:tc>
          <w:tcPr>
            <w:tcW w:w="1139" w:type="pct"/>
            <w:vAlign w:val="center"/>
          </w:tcPr>
          <w:p>
            <w:pPr>
              <w:pStyle w:val="130"/>
              <w:spacing w:line="20" w:lineRule="atLeast"/>
              <w:jc w:val="center"/>
              <w:rPr>
                <w:rFonts w:ascii="Times New Roman" w:hAnsi="Times New Roman" w:cs="Times New Roman"/>
                <w:sz w:val="21"/>
                <w:szCs w:val="21"/>
              </w:rPr>
            </w:pPr>
            <w:r>
              <w:rPr>
                <w:rFonts w:ascii="Times New Roman" w:hAnsi="Times New Roman" w:cs="Times New Roman"/>
                <w:sz w:val="21"/>
                <w:szCs w:val="21"/>
              </w:rPr>
              <w:t>台</w:t>
            </w:r>
          </w:p>
        </w:tc>
        <w:tc>
          <w:tcPr>
            <w:tcW w:w="572" w:type="pct"/>
            <w:vAlign w:val="center"/>
          </w:tcPr>
          <w:p>
            <w:pPr>
              <w:pStyle w:val="130"/>
              <w:spacing w:line="20" w:lineRule="atLeast"/>
              <w:jc w:val="center"/>
              <w:rPr>
                <w:rFonts w:ascii="Times New Roman" w:hAnsi="Times New Roman" w:cs="Times New Roman"/>
                <w:sz w:val="21"/>
                <w:szCs w:val="21"/>
              </w:rPr>
            </w:pPr>
            <w:r>
              <w:rPr>
                <w:rFonts w:ascii="Times New Roman" w:hAnsi="Times New Roman" w:cs="Times New Roman"/>
                <w:sz w:val="21"/>
                <w:szCs w:val="21"/>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564" w:type="pct"/>
            <w:vAlign w:val="center"/>
          </w:tcPr>
          <w:p>
            <w:pPr>
              <w:pStyle w:val="130"/>
              <w:spacing w:line="20" w:lineRule="atLeast"/>
              <w:jc w:val="center"/>
              <w:rPr>
                <w:rFonts w:ascii="Times New Roman" w:hAnsi="Times New Roman" w:cs="Times New Roman"/>
                <w:sz w:val="21"/>
                <w:szCs w:val="21"/>
              </w:rPr>
            </w:pPr>
            <w:r>
              <w:rPr>
                <w:rFonts w:ascii="Times New Roman" w:hAnsi="Times New Roman" w:cs="Times New Roman"/>
                <w:sz w:val="21"/>
                <w:szCs w:val="21"/>
              </w:rPr>
              <w:t>3</w:t>
            </w:r>
          </w:p>
        </w:tc>
        <w:tc>
          <w:tcPr>
            <w:tcW w:w="1770" w:type="pct"/>
            <w:vAlign w:val="center"/>
          </w:tcPr>
          <w:p>
            <w:pPr>
              <w:pStyle w:val="130"/>
              <w:spacing w:line="20" w:lineRule="atLeast"/>
              <w:jc w:val="center"/>
              <w:rPr>
                <w:rFonts w:ascii="Times New Roman" w:hAnsi="Times New Roman" w:cs="Times New Roman"/>
                <w:sz w:val="21"/>
                <w:szCs w:val="21"/>
              </w:rPr>
            </w:pPr>
            <w:r>
              <w:rPr>
                <w:rFonts w:ascii="Times New Roman" w:hAnsi="Times New Roman" w:cs="Times New Roman"/>
                <w:sz w:val="21"/>
                <w:szCs w:val="21"/>
              </w:rPr>
              <w:t>排风（烟）机</w:t>
            </w:r>
          </w:p>
        </w:tc>
        <w:tc>
          <w:tcPr>
            <w:tcW w:w="955" w:type="pct"/>
          </w:tcPr>
          <w:p>
            <w:pPr>
              <w:jc w:val="center"/>
              <w:rPr>
                <w:rFonts w:cs="Times New Roman"/>
              </w:rPr>
            </w:pPr>
            <w:r>
              <w:rPr>
                <w:rFonts w:cs="Times New Roman"/>
                <w:sz w:val="21"/>
              </w:rPr>
              <w:t>/</w:t>
            </w:r>
          </w:p>
        </w:tc>
        <w:tc>
          <w:tcPr>
            <w:tcW w:w="1139" w:type="pct"/>
            <w:vAlign w:val="center"/>
          </w:tcPr>
          <w:p>
            <w:pPr>
              <w:pStyle w:val="130"/>
              <w:spacing w:line="20" w:lineRule="atLeast"/>
              <w:jc w:val="center"/>
              <w:rPr>
                <w:rFonts w:ascii="Times New Roman" w:hAnsi="Times New Roman" w:cs="Times New Roman"/>
                <w:sz w:val="21"/>
                <w:szCs w:val="21"/>
              </w:rPr>
            </w:pPr>
            <w:r>
              <w:rPr>
                <w:rFonts w:ascii="Times New Roman" w:hAnsi="Times New Roman" w:cs="Times New Roman"/>
                <w:sz w:val="21"/>
                <w:szCs w:val="21"/>
              </w:rPr>
              <w:t>台</w:t>
            </w:r>
          </w:p>
        </w:tc>
        <w:tc>
          <w:tcPr>
            <w:tcW w:w="572" w:type="pct"/>
            <w:vAlign w:val="center"/>
          </w:tcPr>
          <w:p>
            <w:pPr>
              <w:pStyle w:val="130"/>
              <w:spacing w:line="20" w:lineRule="atLeast"/>
              <w:jc w:val="center"/>
              <w:rPr>
                <w:rFonts w:ascii="Times New Roman" w:hAnsi="Times New Roman" w:cs="Times New Roman"/>
                <w:sz w:val="21"/>
                <w:szCs w:val="21"/>
              </w:rPr>
            </w:pPr>
            <w:r>
              <w:rPr>
                <w:rFonts w:ascii="Times New Roman" w:hAnsi="Times New Roman" w:cs="Times New Roman"/>
                <w:sz w:val="21"/>
                <w:szCs w:val="21"/>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564" w:type="pct"/>
            <w:vAlign w:val="center"/>
          </w:tcPr>
          <w:p>
            <w:pPr>
              <w:pStyle w:val="130"/>
              <w:spacing w:line="20" w:lineRule="atLeast"/>
              <w:jc w:val="center"/>
              <w:rPr>
                <w:rFonts w:ascii="Times New Roman" w:hAnsi="Times New Roman" w:cs="Times New Roman"/>
                <w:sz w:val="21"/>
                <w:szCs w:val="21"/>
              </w:rPr>
            </w:pPr>
            <w:r>
              <w:rPr>
                <w:rFonts w:ascii="Times New Roman" w:hAnsi="Times New Roman" w:cs="Times New Roman"/>
                <w:sz w:val="21"/>
                <w:szCs w:val="21"/>
              </w:rPr>
              <w:t>4</w:t>
            </w:r>
          </w:p>
        </w:tc>
        <w:tc>
          <w:tcPr>
            <w:tcW w:w="1770" w:type="pct"/>
            <w:vAlign w:val="center"/>
          </w:tcPr>
          <w:p>
            <w:pPr>
              <w:pStyle w:val="130"/>
              <w:spacing w:line="20" w:lineRule="atLeast"/>
              <w:jc w:val="center"/>
              <w:rPr>
                <w:rFonts w:ascii="Times New Roman" w:hAnsi="Times New Roman" w:cs="Times New Roman"/>
                <w:sz w:val="21"/>
                <w:szCs w:val="21"/>
              </w:rPr>
            </w:pPr>
            <w:r>
              <w:rPr>
                <w:rFonts w:ascii="Times New Roman" w:hAnsi="Times New Roman" w:cs="Times New Roman"/>
                <w:sz w:val="21"/>
                <w:szCs w:val="21"/>
              </w:rPr>
              <w:t>送风机</w:t>
            </w:r>
          </w:p>
        </w:tc>
        <w:tc>
          <w:tcPr>
            <w:tcW w:w="955" w:type="pct"/>
          </w:tcPr>
          <w:p>
            <w:pPr>
              <w:jc w:val="center"/>
              <w:rPr>
                <w:rFonts w:cs="Times New Roman"/>
              </w:rPr>
            </w:pPr>
            <w:r>
              <w:rPr>
                <w:rFonts w:cs="Times New Roman"/>
                <w:sz w:val="21"/>
              </w:rPr>
              <w:t>/</w:t>
            </w:r>
          </w:p>
        </w:tc>
        <w:tc>
          <w:tcPr>
            <w:tcW w:w="1139" w:type="pct"/>
            <w:vAlign w:val="center"/>
          </w:tcPr>
          <w:p>
            <w:pPr>
              <w:pStyle w:val="130"/>
              <w:spacing w:line="20" w:lineRule="atLeast"/>
              <w:jc w:val="center"/>
              <w:rPr>
                <w:rFonts w:ascii="Times New Roman" w:hAnsi="Times New Roman" w:cs="Times New Roman"/>
                <w:sz w:val="21"/>
                <w:szCs w:val="21"/>
              </w:rPr>
            </w:pPr>
            <w:r>
              <w:rPr>
                <w:rFonts w:ascii="Times New Roman" w:hAnsi="Times New Roman" w:cs="Times New Roman"/>
                <w:sz w:val="21"/>
                <w:szCs w:val="21"/>
              </w:rPr>
              <w:t>台</w:t>
            </w:r>
          </w:p>
        </w:tc>
        <w:tc>
          <w:tcPr>
            <w:tcW w:w="572" w:type="pct"/>
            <w:vAlign w:val="center"/>
          </w:tcPr>
          <w:p>
            <w:pPr>
              <w:pStyle w:val="130"/>
              <w:spacing w:line="20" w:lineRule="atLeast"/>
              <w:jc w:val="center"/>
              <w:rPr>
                <w:rFonts w:ascii="Times New Roman" w:hAnsi="Times New Roman" w:cs="Times New Roman"/>
                <w:sz w:val="21"/>
                <w:szCs w:val="21"/>
              </w:rPr>
            </w:pPr>
            <w:r>
              <w:rPr>
                <w:rFonts w:ascii="Times New Roman" w:hAnsi="Times New Roman" w:cs="Times New Roman"/>
                <w:sz w:val="21"/>
                <w:szCs w:val="21"/>
              </w:rP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564" w:type="pct"/>
            <w:vAlign w:val="center"/>
          </w:tcPr>
          <w:p>
            <w:pPr>
              <w:pStyle w:val="130"/>
              <w:spacing w:line="20" w:lineRule="atLeast"/>
              <w:jc w:val="center"/>
              <w:rPr>
                <w:rFonts w:ascii="Times New Roman" w:hAnsi="Times New Roman" w:cs="Times New Roman"/>
                <w:sz w:val="21"/>
                <w:szCs w:val="21"/>
              </w:rPr>
            </w:pPr>
            <w:r>
              <w:rPr>
                <w:rFonts w:ascii="Times New Roman" w:hAnsi="Times New Roman" w:cs="Times New Roman"/>
                <w:sz w:val="21"/>
                <w:szCs w:val="21"/>
              </w:rPr>
              <w:t>5</w:t>
            </w:r>
          </w:p>
        </w:tc>
        <w:tc>
          <w:tcPr>
            <w:tcW w:w="1770" w:type="pct"/>
            <w:vAlign w:val="center"/>
          </w:tcPr>
          <w:p>
            <w:pPr>
              <w:pStyle w:val="130"/>
              <w:spacing w:line="20" w:lineRule="atLeast"/>
              <w:jc w:val="center"/>
              <w:rPr>
                <w:rFonts w:ascii="Times New Roman" w:hAnsi="Times New Roman" w:cs="Times New Roman"/>
                <w:sz w:val="21"/>
                <w:szCs w:val="21"/>
              </w:rPr>
            </w:pPr>
            <w:r>
              <w:rPr>
                <w:rFonts w:ascii="Times New Roman" w:hAnsi="Times New Roman" w:cs="Times New Roman"/>
                <w:sz w:val="21"/>
                <w:szCs w:val="21"/>
              </w:rPr>
              <w:t>变压器</w:t>
            </w:r>
          </w:p>
        </w:tc>
        <w:tc>
          <w:tcPr>
            <w:tcW w:w="955" w:type="pct"/>
          </w:tcPr>
          <w:p>
            <w:pPr>
              <w:jc w:val="center"/>
              <w:rPr>
                <w:rFonts w:cs="Times New Roman"/>
              </w:rPr>
            </w:pPr>
            <w:r>
              <w:rPr>
                <w:rFonts w:cs="Times New Roman"/>
                <w:sz w:val="21"/>
              </w:rPr>
              <w:t>/</w:t>
            </w:r>
          </w:p>
        </w:tc>
        <w:tc>
          <w:tcPr>
            <w:tcW w:w="1139" w:type="pct"/>
            <w:vAlign w:val="center"/>
          </w:tcPr>
          <w:p>
            <w:pPr>
              <w:pStyle w:val="130"/>
              <w:spacing w:line="20" w:lineRule="atLeast"/>
              <w:jc w:val="center"/>
              <w:rPr>
                <w:rFonts w:ascii="Times New Roman" w:hAnsi="Times New Roman" w:cs="Times New Roman"/>
                <w:sz w:val="21"/>
                <w:szCs w:val="21"/>
              </w:rPr>
            </w:pPr>
            <w:r>
              <w:rPr>
                <w:rFonts w:ascii="Times New Roman" w:hAnsi="Times New Roman" w:cs="Times New Roman"/>
                <w:sz w:val="21"/>
                <w:szCs w:val="21"/>
              </w:rPr>
              <w:t>台</w:t>
            </w:r>
          </w:p>
        </w:tc>
        <w:tc>
          <w:tcPr>
            <w:tcW w:w="572" w:type="pct"/>
            <w:vAlign w:val="center"/>
          </w:tcPr>
          <w:p>
            <w:pPr>
              <w:pStyle w:val="130"/>
              <w:spacing w:line="20" w:lineRule="atLeast"/>
              <w:jc w:val="center"/>
              <w:rPr>
                <w:rFonts w:ascii="Times New Roman" w:hAnsi="Times New Roman" w:cs="Times New Roman"/>
                <w:sz w:val="21"/>
                <w:szCs w:val="21"/>
              </w:rPr>
            </w:pPr>
            <w:r>
              <w:rPr>
                <w:rFonts w:ascii="Times New Roman" w:hAnsi="Times New Roman" w:cs="Times New Roman"/>
                <w:sz w:val="21"/>
                <w:szCs w:val="21"/>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 w:hRule="atLeast"/>
          <w:jc w:val="center"/>
        </w:trPr>
        <w:tc>
          <w:tcPr>
            <w:tcW w:w="564" w:type="pct"/>
            <w:vAlign w:val="center"/>
          </w:tcPr>
          <w:p>
            <w:pPr>
              <w:pStyle w:val="130"/>
              <w:spacing w:line="20" w:lineRule="atLeast"/>
              <w:jc w:val="center"/>
              <w:rPr>
                <w:rFonts w:ascii="Times New Roman" w:hAnsi="Times New Roman" w:cs="Times New Roman"/>
                <w:sz w:val="21"/>
                <w:szCs w:val="21"/>
              </w:rPr>
            </w:pPr>
            <w:r>
              <w:rPr>
                <w:rFonts w:ascii="Times New Roman" w:hAnsi="Times New Roman" w:cs="Times New Roman"/>
                <w:sz w:val="21"/>
                <w:szCs w:val="21"/>
              </w:rPr>
              <w:t>6</w:t>
            </w:r>
          </w:p>
        </w:tc>
        <w:tc>
          <w:tcPr>
            <w:tcW w:w="1770" w:type="pct"/>
            <w:vAlign w:val="center"/>
          </w:tcPr>
          <w:p>
            <w:pPr>
              <w:pStyle w:val="130"/>
              <w:spacing w:line="20" w:lineRule="atLeast"/>
              <w:jc w:val="center"/>
              <w:rPr>
                <w:rFonts w:ascii="Times New Roman" w:hAnsi="Times New Roman" w:cs="Times New Roman"/>
                <w:sz w:val="21"/>
                <w:szCs w:val="21"/>
              </w:rPr>
            </w:pPr>
            <w:r>
              <w:rPr>
                <w:rFonts w:ascii="Times New Roman" w:hAnsi="Times New Roman" w:cs="Times New Roman"/>
                <w:sz w:val="21"/>
                <w:szCs w:val="21"/>
              </w:rPr>
              <w:t>柴油发电机</w:t>
            </w:r>
          </w:p>
        </w:tc>
        <w:tc>
          <w:tcPr>
            <w:tcW w:w="955" w:type="pct"/>
            <w:vAlign w:val="center"/>
          </w:tcPr>
          <w:p>
            <w:pPr>
              <w:pStyle w:val="130"/>
              <w:spacing w:line="20" w:lineRule="atLeast"/>
              <w:jc w:val="center"/>
              <w:rPr>
                <w:rFonts w:ascii="Times New Roman" w:hAnsi="Times New Roman" w:cs="Times New Roman"/>
                <w:sz w:val="21"/>
                <w:szCs w:val="21"/>
              </w:rPr>
            </w:pPr>
            <w:r>
              <w:rPr>
                <w:rFonts w:ascii="Times New Roman" w:hAnsi="Times New Roman" w:cs="Times New Roman"/>
                <w:sz w:val="21"/>
                <w:szCs w:val="21"/>
              </w:rPr>
              <w:t>500kw</w:t>
            </w:r>
          </w:p>
        </w:tc>
        <w:tc>
          <w:tcPr>
            <w:tcW w:w="1139" w:type="pct"/>
            <w:vAlign w:val="center"/>
          </w:tcPr>
          <w:p>
            <w:pPr>
              <w:pStyle w:val="130"/>
              <w:spacing w:line="20" w:lineRule="atLeast"/>
              <w:jc w:val="center"/>
              <w:rPr>
                <w:rFonts w:ascii="Times New Roman" w:hAnsi="Times New Roman" w:cs="Times New Roman"/>
                <w:sz w:val="21"/>
                <w:szCs w:val="21"/>
              </w:rPr>
            </w:pPr>
            <w:r>
              <w:rPr>
                <w:rFonts w:ascii="Times New Roman" w:hAnsi="Times New Roman" w:cs="Times New Roman"/>
                <w:sz w:val="21"/>
                <w:szCs w:val="21"/>
              </w:rPr>
              <w:t>台</w:t>
            </w:r>
          </w:p>
        </w:tc>
        <w:tc>
          <w:tcPr>
            <w:tcW w:w="572" w:type="pct"/>
            <w:vAlign w:val="center"/>
          </w:tcPr>
          <w:p>
            <w:pPr>
              <w:pStyle w:val="130"/>
              <w:spacing w:line="20" w:lineRule="atLeast"/>
              <w:jc w:val="center"/>
              <w:rPr>
                <w:rFonts w:ascii="Times New Roman" w:hAnsi="Times New Roman" w:cs="Times New Roman"/>
                <w:sz w:val="21"/>
                <w:szCs w:val="21"/>
              </w:rPr>
            </w:pPr>
            <w:r>
              <w:rPr>
                <w:rFonts w:ascii="Times New Roman" w:hAnsi="Times New Roman" w:cs="Times New Roman"/>
                <w:sz w:val="21"/>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564" w:type="pct"/>
            <w:vAlign w:val="center"/>
          </w:tcPr>
          <w:p>
            <w:pPr>
              <w:pStyle w:val="130"/>
              <w:spacing w:line="20" w:lineRule="atLeast"/>
              <w:jc w:val="center"/>
              <w:rPr>
                <w:rFonts w:ascii="Times New Roman" w:hAnsi="Times New Roman" w:cs="Times New Roman"/>
                <w:sz w:val="21"/>
                <w:szCs w:val="21"/>
              </w:rPr>
            </w:pPr>
            <w:r>
              <w:rPr>
                <w:rFonts w:ascii="Times New Roman" w:hAnsi="Times New Roman" w:cs="Times New Roman"/>
                <w:sz w:val="21"/>
                <w:szCs w:val="21"/>
              </w:rPr>
              <w:t>7</w:t>
            </w:r>
          </w:p>
        </w:tc>
        <w:tc>
          <w:tcPr>
            <w:tcW w:w="1770" w:type="pct"/>
            <w:vAlign w:val="center"/>
          </w:tcPr>
          <w:p>
            <w:pPr>
              <w:pStyle w:val="130"/>
              <w:spacing w:line="20" w:lineRule="atLeast"/>
              <w:jc w:val="center"/>
              <w:rPr>
                <w:rFonts w:ascii="Times New Roman" w:hAnsi="Times New Roman" w:cs="Times New Roman"/>
                <w:sz w:val="21"/>
                <w:szCs w:val="21"/>
              </w:rPr>
            </w:pPr>
            <w:r>
              <w:rPr>
                <w:rFonts w:ascii="Times New Roman" w:hAnsi="Times New Roman" w:cs="Times New Roman"/>
                <w:sz w:val="21"/>
                <w:szCs w:val="21"/>
              </w:rPr>
              <w:t>燃气热水锅炉</w:t>
            </w:r>
          </w:p>
        </w:tc>
        <w:tc>
          <w:tcPr>
            <w:tcW w:w="955" w:type="pct"/>
            <w:vAlign w:val="center"/>
          </w:tcPr>
          <w:p>
            <w:pPr>
              <w:pStyle w:val="130"/>
              <w:spacing w:line="20" w:lineRule="atLeast"/>
              <w:jc w:val="center"/>
              <w:rPr>
                <w:rFonts w:ascii="Times New Roman" w:hAnsi="Times New Roman" w:cs="Times New Roman"/>
                <w:sz w:val="21"/>
                <w:szCs w:val="21"/>
              </w:rPr>
            </w:pPr>
            <w:r>
              <w:rPr>
                <w:rFonts w:ascii="Times New Roman" w:hAnsi="Times New Roman" w:cs="Times New Roman"/>
                <w:sz w:val="21"/>
                <w:szCs w:val="21"/>
              </w:rPr>
              <w:t>605kw</w:t>
            </w:r>
          </w:p>
        </w:tc>
        <w:tc>
          <w:tcPr>
            <w:tcW w:w="1139" w:type="pct"/>
            <w:vAlign w:val="center"/>
          </w:tcPr>
          <w:p>
            <w:pPr>
              <w:pStyle w:val="130"/>
              <w:spacing w:line="20" w:lineRule="atLeast"/>
              <w:jc w:val="center"/>
              <w:rPr>
                <w:rFonts w:ascii="Times New Roman" w:hAnsi="Times New Roman" w:cs="Times New Roman"/>
                <w:sz w:val="21"/>
                <w:szCs w:val="21"/>
              </w:rPr>
            </w:pPr>
            <w:r>
              <w:rPr>
                <w:rFonts w:ascii="Times New Roman" w:hAnsi="Times New Roman" w:cs="Times New Roman"/>
                <w:sz w:val="21"/>
                <w:szCs w:val="21"/>
              </w:rPr>
              <w:t>台</w:t>
            </w:r>
          </w:p>
        </w:tc>
        <w:tc>
          <w:tcPr>
            <w:tcW w:w="572" w:type="pct"/>
            <w:vAlign w:val="center"/>
          </w:tcPr>
          <w:p>
            <w:pPr>
              <w:pStyle w:val="130"/>
              <w:spacing w:line="20" w:lineRule="atLeast"/>
              <w:jc w:val="center"/>
              <w:rPr>
                <w:rFonts w:ascii="Times New Roman" w:hAnsi="Times New Roman" w:cs="Times New Roman"/>
                <w:sz w:val="21"/>
                <w:szCs w:val="21"/>
              </w:rPr>
            </w:pPr>
            <w:r>
              <w:rPr>
                <w:rFonts w:ascii="Times New Roman" w:hAnsi="Times New Roman" w:cs="Times New Roman"/>
                <w:sz w:val="21"/>
                <w:szCs w:val="21"/>
              </w:rPr>
              <w:t>4</w:t>
            </w:r>
          </w:p>
        </w:tc>
      </w:tr>
    </w:tbl>
    <w:p>
      <w:pPr>
        <w:pStyle w:val="4"/>
      </w:pPr>
      <w:bookmarkStart w:id="128" w:name="_Toc25826487"/>
      <w:r>
        <w:rPr>
          <w:rFonts w:hint="eastAsia"/>
        </w:rPr>
        <w:t>项目原辅材料消耗</w:t>
      </w:r>
    </w:p>
    <w:p>
      <w:pPr>
        <w:spacing w:line="360" w:lineRule="auto"/>
        <w:ind w:firstLine="480" w:firstLineChars="200"/>
      </w:pPr>
      <w:r>
        <w:rPr>
          <w:rFonts w:hint="eastAsia"/>
        </w:rPr>
        <w:t>项目主要药品试剂消耗情况见下表所示。</w:t>
      </w:r>
    </w:p>
    <w:p>
      <w:pPr>
        <w:pStyle w:val="14"/>
        <w:spacing w:line="240" w:lineRule="auto"/>
      </w:pPr>
      <w:r>
        <w:rPr>
          <w:rFonts w:hint="eastAsia"/>
        </w:rPr>
        <w:t>表</w:t>
      </w:r>
      <w:r>
        <w:fldChar w:fldCharType="begin"/>
      </w:r>
      <w:r>
        <w:instrText xml:space="preserve"> STYLEREF 2 \s </w:instrText>
      </w:r>
      <w:r>
        <w:fldChar w:fldCharType="separate"/>
      </w:r>
      <w:r>
        <w:t>2.5</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rPr>
          <w:rFonts w:hint="eastAsia"/>
        </w:rPr>
        <w:t xml:space="preserve">  项目主要药品试剂消耗情况一览表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2622"/>
        <w:gridCol w:w="1140"/>
        <w:gridCol w:w="943"/>
        <w:gridCol w:w="1412"/>
        <w:gridCol w:w="2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序号</w:t>
            </w:r>
          </w:p>
        </w:tc>
        <w:tc>
          <w:tcPr>
            <w:tcW w:w="1359"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名称</w:t>
            </w:r>
          </w:p>
        </w:tc>
        <w:tc>
          <w:tcPr>
            <w:tcW w:w="591"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单位</w:t>
            </w:r>
          </w:p>
        </w:tc>
        <w:tc>
          <w:tcPr>
            <w:tcW w:w="489"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总用量</w:t>
            </w:r>
          </w:p>
        </w:tc>
        <w:tc>
          <w:tcPr>
            <w:tcW w:w="732"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最大储存量</w:t>
            </w:r>
          </w:p>
        </w:tc>
        <w:tc>
          <w:tcPr>
            <w:tcW w:w="1461"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包装、贮存方式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368" w:type="pct"/>
            <w:vAlign w:val="center"/>
          </w:tcPr>
          <w:p>
            <w:pPr>
              <w:pStyle w:val="13"/>
              <w:ind w:firstLine="0" w:firstLineChars="0"/>
              <w:jc w:val="center"/>
              <w:rPr>
                <w:rFonts w:ascii="Times New Roman" w:hAnsi="Times New Roman" w:cs="Times New Roman"/>
                <w:color w:val="000000" w:themeColor="text1"/>
                <w:sz w:val="21"/>
                <w:u w:val="single"/>
              </w:rPr>
            </w:pPr>
            <w:r>
              <w:rPr>
                <w:rFonts w:ascii="Times New Roman" w:hAnsi="Times New Roman" w:cs="Times New Roman"/>
                <w:color w:val="000000" w:themeColor="text1"/>
                <w:sz w:val="21"/>
                <w:u w:val="single"/>
              </w:rPr>
              <w:t>1</w:t>
            </w:r>
          </w:p>
        </w:tc>
        <w:tc>
          <w:tcPr>
            <w:tcW w:w="1359" w:type="pct"/>
            <w:vAlign w:val="center"/>
          </w:tcPr>
          <w:p>
            <w:pPr>
              <w:pStyle w:val="13"/>
              <w:ind w:firstLine="0" w:firstLineChars="0"/>
              <w:jc w:val="center"/>
              <w:rPr>
                <w:rFonts w:ascii="Times New Roman" w:hAnsi="Times New Roman" w:cs="Times New Roman"/>
                <w:color w:val="000000" w:themeColor="text1"/>
                <w:sz w:val="21"/>
                <w:u w:val="single"/>
              </w:rPr>
            </w:pPr>
            <w:r>
              <w:rPr>
                <w:rFonts w:ascii="Times New Roman" w:hAnsi="Times New Roman" w:cs="Times New Roman"/>
                <w:color w:val="000000" w:themeColor="text1"/>
                <w:sz w:val="21"/>
                <w:u w:val="single"/>
              </w:rPr>
              <w:t>棉纱</w:t>
            </w:r>
          </w:p>
        </w:tc>
        <w:tc>
          <w:tcPr>
            <w:tcW w:w="591" w:type="pct"/>
            <w:vAlign w:val="center"/>
          </w:tcPr>
          <w:p>
            <w:pPr>
              <w:pStyle w:val="13"/>
              <w:ind w:firstLine="0" w:firstLineChars="0"/>
              <w:jc w:val="center"/>
              <w:rPr>
                <w:rFonts w:ascii="Times New Roman" w:hAnsi="Times New Roman" w:cs="Times New Roman"/>
                <w:color w:val="000000" w:themeColor="text1"/>
                <w:sz w:val="21"/>
                <w:u w:val="single"/>
              </w:rPr>
            </w:pPr>
            <w:r>
              <w:rPr>
                <w:rFonts w:ascii="Times New Roman" w:hAnsi="Times New Roman" w:cs="Times New Roman"/>
                <w:color w:val="000000" w:themeColor="text1"/>
                <w:sz w:val="21"/>
                <w:u w:val="single"/>
              </w:rPr>
              <w:t>t/a</w:t>
            </w:r>
          </w:p>
        </w:tc>
        <w:tc>
          <w:tcPr>
            <w:tcW w:w="489" w:type="pct"/>
            <w:vAlign w:val="center"/>
          </w:tcPr>
          <w:p>
            <w:pPr>
              <w:pStyle w:val="13"/>
              <w:ind w:firstLine="0" w:firstLineChars="0"/>
              <w:jc w:val="center"/>
              <w:rPr>
                <w:rFonts w:ascii="Times New Roman" w:hAnsi="Times New Roman" w:cs="Times New Roman"/>
                <w:color w:val="000000" w:themeColor="text1"/>
                <w:sz w:val="21"/>
                <w:u w:val="single"/>
              </w:rPr>
            </w:pPr>
            <w:r>
              <w:rPr>
                <w:rFonts w:ascii="Times New Roman" w:hAnsi="Times New Roman" w:cs="Times New Roman"/>
                <w:color w:val="000000" w:themeColor="text1"/>
                <w:sz w:val="21"/>
                <w:u w:val="single"/>
              </w:rPr>
              <w:t>3</w:t>
            </w:r>
          </w:p>
        </w:tc>
        <w:tc>
          <w:tcPr>
            <w:tcW w:w="732" w:type="pct"/>
            <w:vAlign w:val="center"/>
          </w:tcPr>
          <w:p>
            <w:pPr>
              <w:pStyle w:val="13"/>
              <w:ind w:firstLine="0" w:firstLineChars="0"/>
              <w:jc w:val="center"/>
              <w:rPr>
                <w:rFonts w:ascii="Times New Roman" w:hAnsi="Times New Roman" w:cs="Times New Roman"/>
                <w:color w:val="000000" w:themeColor="text1"/>
                <w:sz w:val="21"/>
                <w:u w:val="single"/>
              </w:rPr>
            </w:pPr>
            <w:r>
              <w:rPr>
                <w:rFonts w:hint="eastAsia" w:ascii="Times New Roman" w:hAnsi="Times New Roman" w:cs="Times New Roman"/>
                <w:color w:val="000000" w:themeColor="text1"/>
                <w:sz w:val="21"/>
                <w:u w:val="single"/>
              </w:rPr>
              <w:t>0.2</w:t>
            </w:r>
          </w:p>
        </w:tc>
        <w:tc>
          <w:tcPr>
            <w:tcW w:w="1461" w:type="pct"/>
            <w:vAlign w:val="center"/>
          </w:tcPr>
          <w:p>
            <w:pPr>
              <w:pStyle w:val="13"/>
              <w:ind w:firstLine="0" w:firstLineChars="0"/>
              <w:jc w:val="center"/>
              <w:rPr>
                <w:rFonts w:ascii="Times New Roman" w:hAnsi="Times New Roman" w:cs="Times New Roman"/>
                <w:color w:val="000000" w:themeColor="text1"/>
                <w:sz w:val="21"/>
                <w:u w:val="single"/>
              </w:rPr>
            </w:pPr>
            <w:r>
              <w:rPr>
                <w:rFonts w:ascii="Times New Roman" w:hAnsi="Times New Roman" w:cs="Times New Roman"/>
                <w:color w:val="000000" w:themeColor="text1"/>
                <w:sz w:val="21"/>
                <w:u w:val="single"/>
              </w:rPr>
              <w:t>袋装，</w:t>
            </w:r>
            <w:r>
              <w:rPr>
                <w:rFonts w:cs="Times New Roman"/>
                <w:color w:val="000000" w:themeColor="text1"/>
                <w:sz w:val="21"/>
                <w:u w:val="single"/>
              </w:rPr>
              <w:t>药品仓库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2</w:t>
            </w:r>
          </w:p>
        </w:tc>
        <w:tc>
          <w:tcPr>
            <w:tcW w:w="1359"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绷带</w:t>
            </w:r>
          </w:p>
        </w:tc>
        <w:tc>
          <w:tcPr>
            <w:tcW w:w="591"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t/a</w:t>
            </w:r>
          </w:p>
        </w:tc>
        <w:tc>
          <w:tcPr>
            <w:tcW w:w="489" w:type="pct"/>
            <w:vAlign w:val="center"/>
          </w:tcPr>
          <w:p>
            <w:pPr>
              <w:pStyle w:val="25"/>
              <w:spacing w:after="0" w:line="240" w:lineRule="auto"/>
              <w:ind w:left="0" w:leftChars="0"/>
              <w:jc w:val="center"/>
              <w:rPr>
                <w:rFonts w:ascii="Times New Roman" w:hAnsi="Times New Roman"/>
                <w:color w:val="000000" w:themeColor="text1"/>
                <w:szCs w:val="21"/>
                <w:u w:val="single"/>
              </w:rPr>
            </w:pPr>
            <w:r>
              <w:rPr>
                <w:rFonts w:ascii="Times New Roman" w:hAnsi="Times New Roman"/>
                <w:color w:val="000000" w:themeColor="text1"/>
                <w:szCs w:val="21"/>
                <w:u w:val="single"/>
              </w:rPr>
              <w:t>2.5</w:t>
            </w:r>
          </w:p>
        </w:tc>
        <w:tc>
          <w:tcPr>
            <w:tcW w:w="732" w:type="pct"/>
            <w:vAlign w:val="center"/>
          </w:tcPr>
          <w:p>
            <w:pPr>
              <w:jc w:val="center"/>
              <w:rPr>
                <w:rFonts w:eastAsia="宋体" w:cs="Times New Roman"/>
                <w:color w:val="000000" w:themeColor="text1"/>
                <w:sz w:val="21"/>
                <w:u w:val="single"/>
              </w:rPr>
            </w:pPr>
            <w:r>
              <w:rPr>
                <w:rFonts w:hint="eastAsia" w:eastAsia="宋体" w:cs="Times New Roman"/>
                <w:color w:val="000000" w:themeColor="text1"/>
                <w:sz w:val="21"/>
                <w:u w:val="single"/>
              </w:rPr>
              <w:t>0.1</w:t>
            </w:r>
          </w:p>
        </w:tc>
        <w:tc>
          <w:tcPr>
            <w:tcW w:w="1461"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袋装，药品仓库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3</w:t>
            </w:r>
          </w:p>
        </w:tc>
        <w:tc>
          <w:tcPr>
            <w:tcW w:w="1359"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脱脂棉</w:t>
            </w:r>
          </w:p>
        </w:tc>
        <w:tc>
          <w:tcPr>
            <w:tcW w:w="591"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t/a</w:t>
            </w:r>
          </w:p>
        </w:tc>
        <w:tc>
          <w:tcPr>
            <w:tcW w:w="489" w:type="pct"/>
            <w:vAlign w:val="center"/>
          </w:tcPr>
          <w:p>
            <w:pPr>
              <w:pStyle w:val="25"/>
              <w:spacing w:after="0" w:line="240" w:lineRule="auto"/>
              <w:ind w:left="0" w:leftChars="0"/>
              <w:jc w:val="center"/>
              <w:rPr>
                <w:rFonts w:ascii="Times New Roman" w:hAnsi="Times New Roman"/>
                <w:color w:val="000000" w:themeColor="text1"/>
                <w:szCs w:val="21"/>
                <w:u w:val="single"/>
              </w:rPr>
            </w:pPr>
            <w:r>
              <w:rPr>
                <w:rFonts w:ascii="Times New Roman" w:hAnsi="Times New Roman"/>
                <w:color w:val="000000" w:themeColor="text1"/>
                <w:szCs w:val="21"/>
                <w:u w:val="single"/>
              </w:rPr>
              <w:t>2.5</w:t>
            </w:r>
          </w:p>
        </w:tc>
        <w:tc>
          <w:tcPr>
            <w:tcW w:w="732" w:type="pct"/>
            <w:vAlign w:val="center"/>
          </w:tcPr>
          <w:p>
            <w:pPr>
              <w:jc w:val="center"/>
              <w:rPr>
                <w:rFonts w:eastAsia="宋体" w:cs="Times New Roman"/>
                <w:color w:val="000000" w:themeColor="text1"/>
                <w:sz w:val="21"/>
                <w:u w:val="single"/>
              </w:rPr>
            </w:pPr>
            <w:r>
              <w:rPr>
                <w:rFonts w:hint="eastAsia" w:eastAsia="宋体" w:cs="Times New Roman"/>
                <w:color w:val="000000" w:themeColor="text1"/>
                <w:sz w:val="21"/>
                <w:u w:val="single"/>
              </w:rPr>
              <w:t>0.1</w:t>
            </w:r>
          </w:p>
        </w:tc>
        <w:tc>
          <w:tcPr>
            <w:tcW w:w="1461"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袋装，药品仓库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4</w:t>
            </w:r>
          </w:p>
        </w:tc>
        <w:tc>
          <w:tcPr>
            <w:tcW w:w="1359"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乙醇（酒精）</w:t>
            </w:r>
          </w:p>
        </w:tc>
        <w:tc>
          <w:tcPr>
            <w:tcW w:w="591"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t/a</w:t>
            </w:r>
          </w:p>
        </w:tc>
        <w:tc>
          <w:tcPr>
            <w:tcW w:w="489" w:type="pct"/>
            <w:vAlign w:val="center"/>
          </w:tcPr>
          <w:p>
            <w:pPr>
              <w:pStyle w:val="25"/>
              <w:spacing w:after="0" w:line="240" w:lineRule="auto"/>
              <w:ind w:left="0" w:leftChars="0"/>
              <w:jc w:val="center"/>
              <w:rPr>
                <w:rFonts w:ascii="Times New Roman" w:hAnsi="Times New Roman"/>
                <w:color w:val="000000" w:themeColor="text1"/>
                <w:szCs w:val="21"/>
                <w:u w:val="single"/>
              </w:rPr>
            </w:pPr>
            <w:r>
              <w:rPr>
                <w:rFonts w:ascii="Times New Roman" w:hAnsi="Times New Roman"/>
                <w:color w:val="000000" w:themeColor="text1"/>
                <w:szCs w:val="21"/>
                <w:u w:val="single"/>
              </w:rPr>
              <w:t>3.5</w:t>
            </w:r>
          </w:p>
        </w:tc>
        <w:tc>
          <w:tcPr>
            <w:tcW w:w="732" w:type="pct"/>
            <w:vAlign w:val="center"/>
          </w:tcPr>
          <w:p>
            <w:pPr>
              <w:pStyle w:val="25"/>
              <w:spacing w:after="0" w:line="240" w:lineRule="auto"/>
              <w:ind w:left="0" w:leftChars="0"/>
              <w:jc w:val="center"/>
              <w:rPr>
                <w:rFonts w:ascii="Times New Roman" w:hAnsi="Times New Roman"/>
                <w:color w:val="000000" w:themeColor="text1"/>
                <w:szCs w:val="21"/>
                <w:u w:val="single"/>
              </w:rPr>
            </w:pPr>
            <w:r>
              <w:rPr>
                <w:rFonts w:hint="eastAsia" w:ascii="Times New Roman" w:hAnsi="Times New Roman"/>
                <w:color w:val="000000" w:themeColor="text1"/>
                <w:szCs w:val="21"/>
                <w:u w:val="single"/>
              </w:rPr>
              <w:t>0.3</w:t>
            </w:r>
          </w:p>
        </w:tc>
        <w:tc>
          <w:tcPr>
            <w:tcW w:w="1461" w:type="pct"/>
            <w:vAlign w:val="center"/>
          </w:tcPr>
          <w:p>
            <w:pPr>
              <w:pStyle w:val="25"/>
              <w:spacing w:after="0" w:line="240" w:lineRule="auto"/>
              <w:ind w:left="0" w:leftChars="0"/>
              <w:jc w:val="center"/>
              <w:rPr>
                <w:rFonts w:ascii="Times New Roman" w:hAnsi="Times New Roman"/>
                <w:color w:val="000000" w:themeColor="text1"/>
                <w:szCs w:val="21"/>
                <w:u w:val="single"/>
              </w:rPr>
            </w:pPr>
            <w:r>
              <w:rPr>
                <w:rFonts w:ascii="Times New Roman" w:hAnsi="Times New Roman"/>
                <w:color w:val="000000" w:themeColor="text1"/>
                <w:szCs w:val="21"/>
                <w:u w:val="single"/>
              </w:rPr>
              <w:t>桶装，</w:t>
            </w:r>
            <w:r>
              <w:rPr>
                <w:color w:val="000000" w:themeColor="text1"/>
                <w:u w:val="single"/>
              </w:rPr>
              <w:t>药品仓库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5</w:t>
            </w:r>
          </w:p>
        </w:tc>
        <w:tc>
          <w:tcPr>
            <w:tcW w:w="1359"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一次性尿袋、尿管</w:t>
            </w:r>
          </w:p>
        </w:tc>
        <w:tc>
          <w:tcPr>
            <w:tcW w:w="591" w:type="pct"/>
            <w:vAlign w:val="center"/>
          </w:tcPr>
          <w:p>
            <w:pPr>
              <w:pStyle w:val="13"/>
              <w:ind w:firstLine="0" w:firstLineChars="0"/>
              <w:jc w:val="center"/>
              <w:rPr>
                <w:rFonts w:ascii="Times New Roman" w:hAnsi="Times New Roman" w:cs="Times New Roman"/>
                <w:color w:val="000000" w:themeColor="text1"/>
                <w:sz w:val="21"/>
                <w:u w:val="single"/>
              </w:rPr>
            </w:pPr>
            <w:r>
              <w:rPr>
                <w:rFonts w:ascii="Times New Roman" w:hAnsi="Times New Roman" w:cs="Times New Roman"/>
                <w:color w:val="000000" w:themeColor="text1"/>
                <w:sz w:val="21"/>
                <w:u w:val="single"/>
              </w:rPr>
              <w:t>万套</w:t>
            </w:r>
          </w:p>
        </w:tc>
        <w:tc>
          <w:tcPr>
            <w:tcW w:w="489" w:type="pct"/>
            <w:vAlign w:val="center"/>
          </w:tcPr>
          <w:p>
            <w:pPr>
              <w:pStyle w:val="25"/>
              <w:spacing w:after="0" w:line="240" w:lineRule="auto"/>
              <w:ind w:left="0" w:leftChars="0"/>
              <w:jc w:val="center"/>
              <w:rPr>
                <w:rFonts w:ascii="Times New Roman" w:hAnsi="Times New Roman"/>
                <w:color w:val="000000" w:themeColor="text1"/>
                <w:szCs w:val="21"/>
                <w:u w:val="single"/>
              </w:rPr>
            </w:pPr>
            <w:r>
              <w:rPr>
                <w:rFonts w:ascii="Times New Roman" w:hAnsi="Times New Roman"/>
                <w:color w:val="000000" w:themeColor="text1"/>
                <w:szCs w:val="21"/>
                <w:u w:val="single"/>
              </w:rPr>
              <w:t>0.3</w:t>
            </w:r>
          </w:p>
        </w:tc>
        <w:tc>
          <w:tcPr>
            <w:tcW w:w="732" w:type="pct"/>
            <w:vAlign w:val="center"/>
          </w:tcPr>
          <w:p>
            <w:pPr>
              <w:jc w:val="center"/>
              <w:rPr>
                <w:rFonts w:eastAsia="宋体" w:cs="Times New Roman"/>
                <w:color w:val="000000" w:themeColor="text1"/>
                <w:sz w:val="21"/>
                <w:u w:val="single"/>
              </w:rPr>
            </w:pPr>
            <w:r>
              <w:rPr>
                <w:rFonts w:hint="eastAsia" w:eastAsia="宋体" w:cs="Times New Roman"/>
                <w:color w:val="000000" w:themeColor="text1"/>
                <w:sz w:val="21"/>
                <w:u w:val="single"/>
              </w:rPr>
              <w:t>0.1</w:t>
            </w:r>
          </w:p>
        </w:tc>
        <w:tc>
          <w:tcPr>
            <w:tcW w:w="1461"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袋装，药品仓库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6</w:t>
            </w:r>
          </w:p>
        </w:tc>
        <w:tc>
          <w:tcPr>
            <w:tcW w:w="1359"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青霉素针液</w:t>
            </w:r>
          </w:p>
        </w:tc>
        <w:tc>
          <w:tcPr>
            <w:tcW w:w="591"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万支</w:t>
            </w:r>
          </w:p>
        </w:tc>
        <w:tc>
          <w:tcPr>
            <w:tcW w:w="489" w:type="pct"/>
            <w:vAlign w:val="center"/>
          </w:tcPr>
          <w:p>
            <w:pPr>
              <w:pStyle w:val="25"/>
              <w:spacing w:after="0" w:line="240" w:lineRule="auto"/>
              <w:ind w:left="0" w:leftChars="0"/>
              <w:jc w:val="center"/>
              <w:rPr>
                <w:rFonts w:ascii="Times New Roman" w:hAnsi="Times New Roman"/>
                <w:color w:val="000000" w:themeColor="text1"/>
                <w:szCs w:val="21"/>
                <w:u w:val="single"/>
              </w:rPr>
            </w:pPr>
            <w:r>
              <w:rPr>
                <w:rFonts w:ascii="Times New Roman" w:hAnsi="Times New Roman"/>
                <w:color w:val="000000" w:themeColor="text1"/>
                <w:szCs w:val="21"/>
                <w:u w:val="single"/>
              </w:rPr>
              <w:t>2.0</w:t>
            </w:r>
          </w:p>
        </w:tc>
        <w:tc>
          <w:tcPr>
            <w:tcW w:w="732" w:type="pct"/>
            <w:vAlign w:val="center"/>
          </w:tcPr>
          <w:p>
            <w:pPr>
              <w:jc w:val="center"/>
              <w:rPr>
                <w:rFonts w:eastAsia="宋体" w:cs="Times New Roman"/>
                <w:color w:val="000000" w:themeColor="text1"/>
                <w:sz w:val="21"/>
                <w:u w:val="single"/>
              </w:rPr>
            </w:pPr>
            <w:r>
              <w:rPr>
                <w:rFonts w:hint="eastAsia" w:eastAsia="宋体" w:cs="Times New Roman"/>
                <w:color w:val="000000" w:themeColor="text1"/>
                <w:sz w:val="21"/>
                <w:u w:val="single"/>
              </w:rPr>
              <w:t>0.2</w:t>
            </w:r>
          </w:p>
        </w:tc>
        <w:tc>
          <w:tcPr>
            <w:tcW w:w="1461"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袋装，药品仓库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7</w:t>
            </w:r>
          </w:p>
        </w:tc>
        <w:tc>
          <w:tcPr>
            <w:tcW w:w="1359"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头炮曲松钠</w:t>
            </w:r>
          </w:p>
        </w:tc>
        <w:tc>
          <w:tcPr>
            <w:tcW w:w="591" w:type="pct"/>
            <w:vAlign w:val="center"/>
          </w:tcPr>
          <w:p>
            <w:pPr>
              <w:pStyle w:val="13"/>
              <w:ind w:firstLine="0" w:firstLineChars="0"/>
              <w:jc w:val="center"/>
              <w:rPr>
                <w:rFonts w:ascii="Times New Roman" w:hAnsi="Times New Roman" w:cs="Times New Roman"/>
                <w:color w:val="000000" w:themeColor="text1"/>
                <w:sz w:val="21"/>
                <w:u w:val="single"/>
              </w:rPr>
            </w:pPr>
            <w:r>
              <w:rPr>
                <w:rFonts w:ascii="Times New Roman" w:hAnsi="Times New Roman" w:cs="Times New Roman"/>
                <w:color w:val="000000" w:themeColor="text1"/>
                <w:sz w:val="21"/>
                <w:u w:val="single"/>
              </w:rPr>
              <w:t>万支</w:t>
            </w:r>
          </w:p>
        </w:tc>
        <w:tc>
          <w:tcPr>
            <w:tcW w:w="489" w:type="pct"/>
            <w:vAlign w:val="center"/>
          </w:tcPr>
          <w:p>
            <w:pPr>
              <w:pStyle w:val="25"/>
              <w:spacing w:after="0" w:line="240" w:lineRule="auto"/>
              <w:ind w:left="0" w:leftChars="0"/>
              <w:jc w:val="center"/>
              <w:rPr>
                <w:rFonts w:ascii="Times New Roman" w:hAnsi="Times New Roman"/>
                <w:color w:val="000000" w:themeColor="text1"/>
                <w:szCs w:val="21"/>
                <w:u w:val="single"/>
              </w:rPr>
            </w:pPr>
            <w:r>
              <w:rPr>
                <w:rFonts w:ascii="Times New Roman" w:hAnsi="Times New Roman"/>
                <w:color w:val="000000" w:themeColor="text1"/>
                <w:szCs w:val="21"/>
                <w:u w:val="single"/>
              </w:rPr>
              <w:t>1.0</w:t>
            </w:r>
          </w:p>
        </w:tc>
        <w:tc>
          <w:tcPr>
            <w:tcW w:w="732" w:type="pct"/>
            <w:vAlign w:val="center"/>
          </w:tcPr>
          <w:p>
            <w:pPr>
              <w:jc w:val="center"/>
              <w:rPr>
                <w:rFonts w:eastAsia="宋体" w:cs="Times New Roman"/>
                <w:color w:val="000000" w:themeColor="text1"/>
                <w:sz w:val="21"/>
                <w:u w:val="single"/>
              </w:rPr>
            </w:pPr>
            <w:r>
              <w:rPr>
                <w:rFonts w:hint="eastAsia" w:eastAsia="宋体" w:cs="Times New Roman"/>
                <w:color w:val="000000" w:themeColor="text1"/>
                <w:sz w:val="21"/>
                <w:u w:val="single"/>
              </w:rPr>
              <w:t>0.1</w:t>
            </w:r>
          </w:p>
        </w:tc>
        <w:tc>
          <w:tcPr>
            <w:tcW w:w="1461"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袋装，药品仓库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8</w:t>
            </w:r>
          </w:p>
        </w:tc>
        <w:tc>
          <w:tcPr>
            <w:tcW w:w="1359"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注射头炮他啶</w:t>
            </w:r>
          </w:p>
        </w:tc>
        <w:tc>
          <w:tcPr>
            <w:tcW w:w="591"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万支</w:t>
            </w:r>
          </w:p>
        </w:tc>
        <w:tc>
          <w:tcPr>
            <w:tcW w:w="489" w:type="pct"/>
            <w:vAlign w:val="center"/>
          </w:tcPr>
          <w:p>
            <w:pPr>
              <w:pStyle w:val="25"/>
              <w:spacing w:after="0" w:line="240" w:lineRule="auto"/>
              <w:ind w:left="0" w:leftChars="0"/>
              <w:jc w:val="center"/>
              <w:rPr>
                <w:rFonts w:ascii="Times New Roman" w:hAnsi="Times New Roman"/>
                <w:color w:val="000000" w:themeColor="text1"/>
                <w:szCs w:val="21"/>
                <w:u w:val="single"/>
              </w:rPr>
            </w:pPr>
            <w:r>
              <w:rPr>
                <w:rFonts w:ascii="Times New Roman" w:hAnsi="Times New Roman"/>
                <w:color w:val="000000" w:themeColor="text1"/>
                <w:szCs w:val="21"/>
                <w:u w:val="single"/>
              </w:rPr>
              <w:t>1.0</w:t>
            </w:r>
          </w:p>
        </w:tc>
        <w:tc>
          <w:tcPr>
            <w:tcW w:w="732" w:type="pct"/>
            <w:vAlign w:val="center"/>
          </w:tcPr>
          <w:p>
            <w:pPr>
              <w:jc w:val="center"/>
              <w:rPr>
                <w:rFonts w:eastAsia="宋体" w:cs="Times New Roman"/>
                <w:color w:val="000000" w:themeColor="text1"/>
                <w:sz w:val="21"/>
                <w:u w:val="single"/>
              </w:rPr>
            </w:pPr>
            <w:r>
              <w:rPr>
                <w:rFonts w:hint="eastAsia" w:eastAsia="宋体" w:cs="Times New Roman"/>
                <w:color w:val="000000" w:themeColor="text1"/>
                <w:sz w:val="21"/>
                <w:u w:val="single"/>
              </w:rPr>
              <w:t>0.1</w:t>
            </w:r>
          </w:p>
        </w:tc>
        <w:tc>
          <w:tcPr>
            <w:tcW w:w="1461"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袋装，药品仓库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9</w:t>
            </w:r>
          </w:p>
        </w:tc>
        <w:tc>
          <w:tcPr>
            <w:tcW w:w="1359"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注射用乳糖酸阿奇霉素</w:t>
            </w:r>
          </w:p>
        </w:tc>
        <w:tc>
          <w:tcPr>
            <w:tcW w:w="591" w:type="pct"/>
            <w:vAlign w:val="center"/>
          </w:tcPr>
          <w:p>
            <w:pPr>
              <w:pStyle w:val="13"/>
              <w:ind w:firstLine="0" w:firstLineChars="0"/>
              <w:jc w:val="center"/>
              <w:rPr>
                <w:rFonts w:ascii="Times New Roman" w:hAnsi="Times New Roman" w:cs="Times New Roman"/>
                <w:color w:val="000000" w:themeColor="text1"/>
                <w:sz w:val="21"/>
                <w:u w:val="single"/>
              </w:rPr>
            </w:pPr>
            <w:r>
              <w:rPr>
                <w:rFonts w:ascii="Times New Roman" w:hAnsi="Times New Roman" w:cs="Times New Roman"/>
                <w:color w:val="000000" w:themeColor="text1"/>
                <w:sz w:val="21"/>
                <w:u w:val="single"/>
              </w:rPr>
              <w:t>万支</w:t>
            </w:r>
          </w:p>
        </w:tc>
        <w:tc>
          <w:tcPr>
            <w:tcW w:w="489" w:type="pct"/>
            <w:vAlign w:val="center"/>
          </w:tcPr>
          <w:p>
            <w:pPr>
              <w:pStyle w:val="25"/>
              <w:spacing w:after="0" w:line="240" w:lineRule="auto"/>
              <w:ind w:left="0" w:leftChars="0"/>
              <w:jc w:val="center"/>
              <w:rPr>
                <w:rFonts w:ascii="Times New Roman" w:hAnsi="Times New Roman"/>
                <w:color w:val="000000" w:themeColor="text1"/>
                <w:szCs w:val="21"/>
                <w:u w:val="single"/>
              </w:rPr>
            </w:pPr>
            <w:r>
              <w:rPr>
                <w:rFonts w:ascii="Times New Roman" w:hAnsi="Times New Roman"/>
                <w:color w:val="000000" w:themeColor="text1"/>
                <w:szCs w:val="21"/>
                <w:u w:val="single"/>
              </w:rPr>
              <w:t>0.3</w:t>
            </w:r>
          </w:p>
        </w:tc>
        <w:tc>
          <w:tcPr>
            <w:tcW w:w="732" w:type="pct"/>
            <w:vAlign w:val="center"/>
          </w:tcPr>
          <w:p>
            <w:pPr>
              <w:jc w:val="center"/>
              <w:rPr>
                <w:rFonts w:eastAsia="宋体" w:cs="Times New Roman"/>
                <w:color w:val="000000" w:themeColor="text1"/>
                <w:sz w:val="21"/>
                <w:u w:val="single"/>
              </w:rPr>
            </w:pPr>
            <w:r>
              <w:rPr>
                <w:rFonts w:hint="eastAsia" w:eastAsia="宋体" w:cs="Times New Roman"/>
                <w:color w:val="000000" w:themeColor="text1"/>
                <w:sz w:val="21"/>
                <w:u w:val="single"/>
              </w:rPr>
              <w:t>0.09</w:t>
            </w:r>
          </w:p>
        </w:tc>
        <w:tc>
          <w:tcPr>
            <w:tcW w:w="1461"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袋装，药品仓库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10</w:t>
            </w:r>
          </w:p>
        </w:tc>
        <w:tc>
          <w:tcPr>
            <w:tcW w:w="1359"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阿莫西林</w:t>
            </w:r>
          </w:p>
        </w:tc>
        <w:tc>
          <w:tcPr>
            <w:tcW w:w="591" w:type="pct"/>
            <w:vAlign w:val="center"/>
          </w:tcPr>
          <w:p>
            <w:pPr>
              <w:jc w:val="center"/>
              <w:rPr>
                <w:rFonts w:eastAsia="宋体" w:cs="Times New Roman"/>
                <w:color w:val="000000" w:themeColor="text1"/>
                <w:sz w:val="21"/>
                <w:u w:val="single"/>
              </w:rPr>
            </w:pPr>
            <w:r>
              <w:rPr>
                <w:rFonts w:cs="Times New Roman"/>
                <w:color w:val="000000" w:themeColor="text1"/>
                <w:sz w:val="21"/>
                <w:u w:val="single"/>
              </w:rPr>
              <w:t>万支</w:t>
            </w:r>
          </w:p>
        </w:tc>
        <w:tc>
          <w:tcPr>
            <w:tcW w:w="489" w:type="pct"/>
            <w:vAlign w:val="center"/>
          </w:tcPr>
          <w:p>
            <w:pPr>
              <w:pStyle w:val="25"/>
              <w:spacing w:after="0" w:line="240" w:lineRule="auto"/>
              <w:ind w:left="0" w:leftChars="0"/>
              <w:jc w:val="center"/>
              <w:rPr>
                <w:rFonts w:ascii="Times New Roman" w:hAnsi="Times New Roman"/>
                <w:color w:val="000000" w:themeColor="text1"/>
                <w:szCs w:val="21"/>
                <w:u w:val="single"/>
              </w:rPr>
            </w:pPr>
            <w:r>
              <w:rPr>
                <w:rFonts w:hint="eastAsia" w:ascii="Times New Roman" w:hAnsi="Times New Roman"/>
                <w:color w:val="000000" w:themeColor="text1"/>
                <w:szCs w:val="21"/>
                <w:u w:val="single"/>
              </w:rPr>
              <w:t>0.1</w:t>
            </w:r>
          </w:p>
        </w:tc>
        <w:tc>
          <w:tcPr>
            <w:tcW w:w="732" w:type="pct"/>
            <w:vAlign w:val="center"/>
          </w:tcPr>
          <w:p>
            <w:pPr>
              <w:jc w:val="center"/>
              <w:rPr>
                <w:rFonts w:eastAsia="宋体" w:cs="Times New Roman"/>
                <w:color w:val="000000" w:themeColor="text1"/>
                <w:sz w:val="21"/>
                <w:u w:val="single"/>
              </w:rPr>
            </w:pPr>
            <w:r>
              <w:rPr>
                <w:rFonts w:hint="eastAsia" w:eastAsia="宋体" w:cs="Times New Roman"/>
                <w:color w:val="000000" w:themeColor="text1"/>
                <w:sz w:val="21"/>
                <w:u w:val="single"/>
              </w:rPr>
              <w:t>0.05</w:t>
            </w:r>
          </w:p>
        </w:tc>
        <w:tc>
          <w:tcPr>
            <w:tcW w:w="1461"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袋装，药品仓库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11</w:t>
            </w:r>
          </w:p>
        </w:tc>
        <w:tc>
          <w:tcPr>
            <w:tcW w:w="1359" w:type="pct"/>
            <w:vAlign w:val="center"/>
          </w:tcPr>
          <w:p>
            <w:pPr>
              <w:jc w:val="center"/>
              <w:rPr>
                <w:rFonts w:eastAsia="宋体" w:cs="Times New Roman"/>
                <w:color w:val="000000" w:themeColor="text1"/>
                <w:sz w:val="21"/>
                <w:u w:val="single"/>
              </w:rPr>
            </w:pPr>
            <w:r>
              <w:rPr>
                <w:rFonts w:hint="eastAsia" w:eastAsia="宋体" w:cs="Times New Roman"/>
                <w:color w:val="000000" w:themeColor="text1"/>
                <w:sz w:val="21"/>
                <w:u w:val="single"/>
              </w:rPr>
              <w:t>生理盐水</w:t>
            </w:r>
          </w:p>
        </w:tc>
        <w:tc>
          <w:tcPr>
            <w:tcW w:w="591" w:type="pct"/>
            <w:vAlign w:val="center"/>
          </w:tcPr>
          <w:p>
            <w:pPr>
              <w:pStyle w:val="13"/>
              <w:ind w:firstLine="0" w:firstLineChars="0"/>
              <w:jc w:val="center"/>
              <w:rPr>
                <w:rFonts w:ascii="Times New Roman" w:hAnsi="Times New Roman" w:cs="Times New Roman"/>
                <w:color w:val="000000" w:themeColor="text1"/>
                <w:sz w:val="21"/>
                <w:u w:val="single"/>
              </w:rPr>
            </w:pPr>
            <w:r>
              <w:rPr>
                <w:rFonts w:hint="eastAsia" w:ascii="Times New Roman" w:hAnsi="Times New Roman" w:cs="Times New Roman"/>
                <w:color w:val="000000" w:themeColor="text1"/>
                <w:sz w:val="21"/>
                <w:u w:val="single"/>
              </w:rPr>
              <w:t>瓶/年</w:t>
            </w:r>
          </w:p>
        </w:tc>
        <w:tc>
          <w:tcPr>
            <w:tcW w:w="489" w:type="pct"/>
            <w:vAlign w:val="center"/>
          </w:tcPr>
          <w:p>
            <w:pPr>
              <w:pStyle w:val="25"/>
              <w:spacing w:after="0" w:line="240" w:lineRule="auto"/>
              <w:ind w:left="0" w:leftChars="0"/>
              <w:jc w:val="center"/>
              <w:rPr>
                <w:rFonts w:ascii="Times New Roman" w:hAnsi="Times New Roman"/>
                <w:color w:val="000000" w:themeColor="text1"/>
                <w:szCs w:val="21"/>
                <w:u w:val="single"/>
              </w:rPr>
            </w:pPr>
            <w:r>
              <w:rPr>
                <w:rFonts w:hint="eastAsia" w:ascii="Times New Roman" w:hAnsi="Times New Roman"/>
                <w:color w:val="000000" w:themeColor="text1"/>
                <w:szCs w:val="21"/>
                <w:u w:val="single"/>
              </w:rPr>
              <w:t>10000</w:t>
            </w:r>
          </w:p>
        </w:tc>
        <w:tc>
          <w:tcPr>
            <w:tcW w:w="732" w:type="pct"/>
            <w:vAlign w:val="center"/>
          </w:tcPr>
          <w:p>
            <w:pPr>
              <w:jc w:val="center"/>
              <w:rPr>
                <w:rFonts w:eastAsia="宋体" w:cs="Times New Roman"/>
                <w:color w:val="000000" w:themeColor="text1"/>
                <w:sz w:val="21"/>
                <w:u w:val="single"/>
              </w:rPr>
            </w:pPr>
            <w:r>
              <w:rPr>
                <w:rFonts w:hint="eastAsia" w:eastAsia="宋体" w:cs="Times New Roman"/>
                <w:color w:val="000000" w:themeColor="text1"/>
                <w:sz w:val="21"/>
                <w:u w:val="single"/>
              </w:rPr>
              <w:t>0.1</w:t>
            </w:r>
          </w:p>
        </w:tc>
        <w:tc>
          <w:tcPr>
            <w:tcW w:w="1461"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袋装，药品仓库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12</w:t>
            </w:r>
          </w:p>
        </w:tc>
        <w:tc>
          <w:tcPr>
            <w:tcW w:w="1359"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10%、5%葡萄糖注射液</w:t>
            </w:r>
          </w:p>
        </w:tc>
        <w:tc>
          <w:tcPr>
            <w:tcW w:w="591" w:type="pct"/>
            <w:vAlign w:val="center"/>
          </w:tcPr>
          <w:p>
            <w:pPr>
              <w:jc w:val="center"/>
              <w:rPr>
                <w:rFonts w:eastAsia="宋体" w:cs="Times New Roman"/>
                <w:color w:val="000000" w:themeColor="text1"/>
                <w:sz w:val="21"/>
                <w:u w:val="single"/>
              </w:rPr>
            </w:pPr>
            <w:r>
              <w:rPr>
                <w:rFonts w:hint="eastAsia" w:cs="Times New Roman"/>
                <w:color w:val="000000" w:themeColor="text1"/>
                <w:sz w:val="21"/>
                <w:u w:val="single"/>
              </w:rPr>
              <w:t>瓶/年</w:t>
            </w:r>
          </w:p>
        </w:tc>
        <w:tc>
          <w:tcPr>
            <w:tcW w:w="489" w:type="pct"/>
            <w:vAlign w:val="center"/>
          </w:tcPr>
          <w:p>
            <w:pPr>
              <w:pStyle w:val="25"/>
              <w:spacing w:after="0" w:line="240" w:lineRule="auto"/>
              <w:ind w:left="0" w:leftChars="0"/>
              <w:jc w:val="center"/>
              <w:rPr>
                <w:rFonts w:ascii="Times New Roman" w:hAnsi="Times New Roman"/>
                <w:color w:val="000000" w:themeColor="text1"/>
                <w:szCs w:val="21"/>
                <w:u w:val="single"/>
              </w:rPr>
            </w:pPr>
            <w:r>
              <w:rPr>
                <w:rFonts w:hint="eastAsia" w:ascii="Times New Roman" w:hAnsi="Times New Roman"/>
                <w:color w:val="000000" w:themeColor="text1"/>
                <w:szCs w:val="21"/>
                <w:u w:val="single"/>
              </w:rPr>
              <w:t>10000</w:t>
            </w:r>
          </w:p>
        </w:tc>
        <w:tc>
          <w:tcPr>
            <w:tcW w:w="732" w:type="pct"/>
            <w:vAlign w:val="center"/>
          </w:tcPr>
          <w:p>
            <w:pPr>
              <w:jc w:val="center"/>
              <w:rPr>
                <w:rFonts w:eastAsia="宋体" w:cs="Times New Roman"/>
                <w:color w:val="000000" w:themeColor="text1"/>
                <w:sz w:val="21"/>
                <w:u w:val="single"/>
              </w:rPr>
            </w:pPr>
            <w:r>
              <w:rPr>
                <w:rFonts w:hint="eastAsia" w:eastAsia="宋体" w:cs="Times New Roman"/>
                <w:color w:val="000000" w:themeColor="text1"/>
                <w:sz w:val="21"/>
                <w:u w:val="single"/>
              </w:rPr>
              <w:t>0.1</w:t>
            </w:r>
          </w:p>
        </w:tc>
        <w:tc>
          <w:tcPr>
            <w:tcW w:w="1461"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袋装，药品仓库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13</w:t>
            </w:r>
          </w:p>
        </w:tc>
        <w:tc>
          <w:tcPr>
            <w:tcW w:w="1359"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维生素C注射液</w:t>
            </w:r>
          </w:p>
        </w:tc>
        <w:tc>
          <w:tcPr>
            <w:tcW w:w="591" w:type="pct"/>
            <w:vAlign w:val="center"/>
          </w:tcPr>
          <w:p>
            <w:pPr>
              <w:pStyle w:val="13"/>
              <w:ind w:firstLine="0" w:firstLineChars="0"/>
              <w:jc w:val="center"/>
              <w:rPr>
                <w:rFonts w:ascii="Times New Roman" w:hAnsi="Times New Roman" w:cs="Times New Roman"/>
                <w:color w:val="000000" w:themeColor="text1"/>
                <w:sz w:val="21"/>
                <w:u w:val="single"/>
              </w:rPr>
            </w:pPr>
            <w:r>
              <w:rPr>
                <w:rFonts w:hint="eastAsia" w:ascii="Times New Roman" w:hAnsi="Times New Roman" w:cs="Times New Roman"/>
                <w:color w:val="000000" w:themeColor="text1"/>
                <w:sz w:val="21"/>
                <w:u w:val="single"/>
              </w:rPr>
              <w:t>瓶/年</w:t>
            </w:r>
          </w:p>
        </w:tc>
        <w:tc>
          <w:tcPr>
            <w:tcW w:w="489" w:type="pct"/>
            <w:vAlign w:val="center"/>
          </w:tcPr>
          <w:p>
            <w:pPr>
              <w:pStyle w:val="25"/>
              <w:spacing w:after="0" w:line="240" w:lineRule="auto"/>
              <w:ind w:left="0" w:leftChars="0"/>
              <w:jc w:val="center"/>
              <w:rPr>
                <w:rFonts w:ascii="Times New Roman" w:hAnsi="Times New Roman"/>
                <w:color w:val="000000" w:themeColor="text1"/>
                <w:szCs w:val="21"/>
                <w:u w:val="single"/>
              </w:rPr>
            </w:pPr>
            <w:r>
              <w:rPr>
                <w:rFonts w:hint="eastAsia" w:ascii="Times New Roman" w:hAnsi="Times New Roman"/>
                <w:color w:val="000000" w:themeColor="text1"/>
                <w:szCs w:val="21"/>
                <w:u w:val="single"/>
              </w:rPr>
              <w:t>10000</w:t>
            </w:r>
          </w:p>
        </w:tc>
        <w:tc>
          <w:tcPr>
            <w:tcW w:w="732" w:type="pct"/>
            <w:vAlign w:val="center"/>
          </w:tcPr>
          <w:p>
            <w:pPr>
              <w:jc w:val="center"/>
              <w:rPr>
                <w:rFonts w:eastAsia="宋体" w:cs="Times New Roman"/>
                <w:color w:val="000000" w:themeColor="text1"/>
                <w:sz w:val="21"/>
                <w:u w:val="single"/>
              </w:rPr>
            </w:pPr>
            <w:r>
              <w:rPr>
                <w:rFonts w:hint="eastAsia" w:eastAsia="宋体" w:cs="Times New Roman"/>
                <w:color w:val="000000" w:themeColor="text1"/>
                <w:sz w:val="21"/>
                <w:u w:val="single"/>
              </w:rPr>
              <w:t>0.1</w:t>
            </w:r>
          </w:p>
        </w:tc>
        <w:tc>
          <w:tcPr>
            <w:tcW w:w="1461"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袋装，药品仓库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14</w:t>
            </w:r>
          </w:p>
        </w:tc>
        <w:tc>
          <w:tcPr>
            <w:tcW w:w="1359"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维生素B1注射液</w:t>
            </w:r>
          </w:p>
        </w:tc>
        <w:tc>
          <w:tcPr>
            <w:tcW w:w="591" w:type="pct"/>
            <w:vAlign w:val="center"/>
          </w:tcPr>
          <w:p>
            <w:pPr>
              <w:jc w:val="center"/>
              <w:rPr>
                <w:rFonts w:eastAsia="宋体" w:cs="Times New Roman"/>
                <w:color w:val="000000" w:themeColor="text1"/>
                <w:sz w:val="21"/>
                <w:u w:val="single"/>
              </w:rPr>
            </w:pPr>
            <w:r>
              <w:rPr>
                <w:rFonts w:hint="eastAsia" w:cs="Times New Roman"/>
                <w:color w:val="000000" w:themeColor="text1"/>
                <w:sz w:val="21"/>
                <w:u w:val="single"/>
              </w:rPr>
              <w:t>瓶/年</w:t>
            </w:r>
          </w:p>
        </w:tc>
        <w:tc>
          <w:tcPr>
            <w:tcW w:w="489" w:type="pct"/>
            <w:vAlign w:val="center"/>
          </w:tcPr>
          <w:p>
            <w:pPr>
              <w:pStyle w:val="25"/>
              <w:spacing w:after="0" w:line="240" w:lineRule="auto"/>
              <w:ind w:left="0" w:leftChars="0"/>
              <w:jc w:val="center"/>
              <w:rPr>
                <w:rFonts w:ascii="Times New Roman" w:hAnsi="Times New Roman"/>
                <w:color w:val="000000" w:themeColor="text1"/>
                <w:szCs w:val="21"/>
                <w:u w:val="single"/>
              </w:rPr>
            </w:pPr>
            <w:r>
              <w:rPr>
                <w:rFonts w:hint="eastAsia" w:ascii="Times New Roman" w:hAnsi="Times New Roman"/>
                <w:color w:val="000000" w:themeColor="text1"/>
                <w:szCs w:val="21"/>
                <w:u w:val="single"/>
              </w:rPr>
              <w:t>10000</w:t>
            </w:r>
          </w:p>
        </w:tc>
        <w:tc>
          <w:tcPr>
            <w:tcW w:w="732" w:type="pct"/>
            <w:vAlign w:val="center"/>
          </w:tcPr>
          <w:p>
            <w:pPr>
              <w:jc w:val="center"/>
              <w:rPr>
                <w:rFonts w:eastAsia="宋体" w:cs="Times New Roman"/>
                <w:color w:val="000000" w:themeColor="text1"/>
                <w:sz w:val="21"/>
                <w:u w:val="single"/>
              </w:rPr>
            </w:pPr>
            <w:r>
              <w:rPr>
                <w:rFonts w:hint="eastAsia" w:eastAsia="宋体" w:cs="Times New Roman"/>
                <w:color w:val="000000" w:themeColor="text1"/>
                <w:sz w:val="21"/>
                <w:u w:val="single"/>
              </w:rPr>
              <w:t>0.1</w:t>
            </w:r>
          </w:p>
        </w:tc>
        <w:tc>
          <w:tcPr>
            <w:tcW w:w="1461"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袋装，药品仓库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15</w:t>
            </w:r>
          </w:p>
        </w:tc>
        <w:tc>
          <w:tcPr>
            <w:tcW w:w="1359"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84消毒液</w:t>
            </w:r>
          </w:p>
        </w:tc>
        <w:tc>
          <w:tcPr>
            <w:tcW w:w="591"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瓶</w:t>
            </w:r>
            <w:r>
              <w:rPr>
                <w:rFonts w:hint="eastAsia" w:eastAsia="宋体" w:cs="Times New Roman"/>
                <w:color w:val="000000" w:themeColor="text1"/>
                <w:sz w:val="21"/>
                <w:u w:val="single"/>
              </w:rPr>
              <w:t>/年</w:t>
            </w:r>
          </w:p>
        </w:tc>
        <w:tc>
          <w:tcPr>
            <w:tcW w:w="489" w:type="pct"/>
            <w:vAlign w:val="center"/>
          </w:tcPr>
          <w:p>
            <w:pPr>
              <w:jc w:val="center"/>
              <w:rPr>
                <w:rFonts w:cs="Times New Roman"/>
                <w:color w:val="000000" w:themeColor="text1"/>
                <w:sz w:val="21"/>
                <w:u w:val="single"/>
              </w:rPr>
            </w:pPr>
            <w:r>
              <w:rPr>
                <w:rFonts w:eastAsia="宋体" w:cs="Times New Roman"/>
                <w:color w:val="000000" w:themeColor="text1"/>
                <w:sz w:val="21"/>
                <w:u w:val="single"/>
              </w:rPr>
              <w:t>500</w:t>
            </w:r>
          </w:p>
        </w:tc>
        <w:tc>
          <w:tcPr>
            <w:tcW w:w="732" w:type="pct"/>
            <w:vAlign w:val="center"/>
          </w:tcPr>
          <w:p>
            <w:pPr>
              <w:jc w:val="center"/>
              <w:rPr>
                <w:rFonts w:eastAsia="宋体" w:cs="Times New Roman"/>
                <w:color w:val="000000" w:themeColor="text1"/>
                <w:sz w:val="21"/>
                <w:u w:val="single"/>
              </w:rPr>
            </w:pPr>
            <w:r>
              <w:rPr>
                <w:rFonts w:hint="eastAsia" w:eastAsia="宋体" w:cs="Times New Roman"/>
                <w:color w:val="000000" w:themeColor="text1"/>
                <w:sz w:val="21"/>
                <w:u w:val="single"/>
              </w:rPr>
              <w:t>20</w:t>
            </w:r>
          </w:p>
        </w:tc>
        <w:tc>
          <w:tcPr>
            <w:tcW w:w="1461" w:type="pct"/>
            <w:vAlign w:val="center"/>
          </w:tcPr>
          <w:p>
            <w:pPr>
              <w:jc w:val="center"/>
              <w:rPr>
                <w:rFonts w:eastAsia="宋体" w:cs="Times New Roman"/>
                <w:color w:val="000000" w:themeColor="text1"/>
                <w:sz w:val="21"/>
                <w:u w:val="single"/>
              </w:rPr>
            </w:pPr>
            <w:r>
              <w:rPr>
                <w:rFonts w:hint="eastAsia" w:eastAsia="宋体" w:cs="Times New Roman"/>
                <w:color w:val="000000" w:themeColor="text1"/>
                <w:sz w:val="21"/>
                <w:u w:val="single"/>
              </w:rPr>
              <w:t>瓶装，</w:t>
            </w:r>
            <w:r>
              <w:rPr>
                <w:rFonts w:eastAsia="宋体" w:cs="Times New Roman"/>
                <w:color w:val="000000" w:themeColor="text1"/>
                <w:sz w:val="21"/>
                <w:u w:val="single"/>
              </w:rPr>
              <w:t>药品仓库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16</w:t>
            </w:r>
          </w:p>
        </w:tc>
        <w:tc>
          <w:tcPr>
            <w:tcW w:w="1359" w:type="pct"/>
            <w:vAlign w:val="center"/>
          </w:tcPr>
          <w:p>
            <w:pPr>
              <w:jc w:val="center"/>
              <w:rPr>
                <w:rFonts w:eastAsia="宋体" w:cs="Times New Roman"/>
                <w:color w:val="000000" w:themeColor="text1"/>
                <w:sz w:val="21"/>
                <w:u w:val="single"/>
              </w:rPr>
            </w:pPr>
            <w:r>
              <w:rPr>
                <w:rFonts w:cs="Times New Roman"/>
                <w:color w:val="000000" w:themeColor="text1"/>
                <w:sz w:val="21"/>
                <w:u w:val="single"/>
              </w:rPr>
              <w:t>棉签</w:t>
            </w:r>
          </w:p>
        </w:tc>
        <w:tc>
          <w:tcPr>
            <w:tcW w:w="591" w:type="pct"/>
            <w:vAlign w:val="center"/>
          </w:tcPr>
          <w:p>
            <w:pPr>
              <w:jc w:val="center"/>
              <w:rPr>
                <w:rFonts w:eastAsia="宋体" w:cs="Times New Roman"/>
                <w:color w:val="000000" w:themeColor="text1"/>
                <w:sz w:val="21"/>
                <w:u w:val="single"/>
              </w:rPr>
            </w:pPr>
            <w:r>
              <w:rPr>
                <w:rFonts w:hint="eastAsia" w:cs="Times New Roman"/>
                <w:color w:val="000000" w:themeColor="text1"/>
                <w:sz w:val="21"/>
                <w:u w:val="single"/>
              </w:rPr>
              <w:t>盒/年</w:t>
            </w:r>
          </w:p>
        </w:tc>
        <w:tc>
          <w:tcPr>
            <w:tcW w:w="489" w:type="pct"/>
            <w:vAlign w:val="center"/>
          </w:tcPr>
          <w:p>
            <w:pPr>
              <w:jc w:val="center"/>
              <w:rPr>
                <w:rFonts w:eastAsia="宋体" w:cs="Times New Roman"/>
                <w:color w:val="000000" w:themeColor="text1"/>
                <w:sz w:val="21"/>
                <w:u w:val="single"/>
              </w:rPr>
            </w:pPr>
            <w:r>
              <w:rPr>
                <w:rFonts w:cs="Times New Roman"/>
                <w:color w:val="000000" w:themeColor="text1"/>
                <w:sz w:val="21"/>
                <w:u w:val="single"/>
              </w:rPr>
              <w:t>1500</w:t>
            </w:r>
          </w:p>
        </w:tc>
        <w:tc>
          <w:tcPr>
            <w:tcW w:w="732" w:type="pct"/>
            <w:vAlign w:val="center"/>
          </w:tcPr>
          <w:p>
            <w:pPr>
              <w:jc w:val="center"/>
              <w:rPr>
                <w:rFonts w:eastAsia="宋体" w:cs="Times New Roman"/>
                <w:color w:val="000000" w:themeColor="text1"/>
                <w:sz w:val="21"/>
                <w:u w:val="single"/>
              </w:rPr>
            </w:pPr>
            <w:r>
              <w:rPr>
                <w:rFonts w:hint="eastAsia" w:eastAsia="宋体" w:cs="Times New Roman"/>
                <w:color w:val="000000" w:themeColor="text1"/>
                <w:sz w:val="21"/>
                <w:u w:val="single"/>
              </w:rPr>
              <w:t>500</w:t>
            </w:r>
          </w:p>
        </w:tc>
        <w:tc>
          <w:tcPr>
            <w:tcW w:w="1461"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袋装，药品仓库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17</w:t>
            </w:r>
          </w:p>
        </w:tc>
        <w:tc>
          <w:tcPr>
            <w:tcW w:w="1359" w:type="pct"/>
            <w:vAlign w:val="center"/>
          </w:tcPr>
          <w:p>
            <w:pPr>
              <w:jc w:val="center"/>
              <w:rPr>
                <w:rFonts w:eastAsia="宋体" w:cs="Times New Roman"/>
                <w:color w:val="000000" w:themeColor="text1"/>
                <w:sz w:val="21"/>
                <w:u w:val="single"/>
              </w:rPr>
            </w:pPr>
            <w:r>
              <w:rPr>
                <w:rFonts w:cs="Times New Roman"/>
                <w:color w:val="000000" w:themeColor="text1"/>
                <w:sz w:val="21"/>
                <w:u w:val="single"/>
              </w:rPr>
              <w:t>口罩</w:t>
            </w:r>
          </w:p>
        </w:tc>
        <w:tc>
          <w:tcPr>
            <w:tcW w:w="591" w:type="pct"/>
            <w:vAlign w:val="center"/>
          </w:tcPr>
          <w:p>
            <w:pPr>
              <w:jc w:val="center"/>
              <w:rPr>
                <w:rFonts w:eastAsia="宋体" w:cs="Times New Roman"/>
                <w:color w:val="000000" w:themeColor="text1"/>
                <w:sz w:val="21"/>
                <w:u w:val="single"/>
              </w:rPr>
            </w:pPr>
            <w:r>
              <w:rPr>
                <w:rFonts w:cs="Times New Roman"/>
                <w:color w:val="000000" w:themeColor="text1"/>
                <w:sz w:val="21"/>
                <w:u w:val="single"/>
              </w:rPr>
              <w:t>个</w:t>
            </w:r>
            <w:r>
              <w:rPr>
                <w:rFonts w:hint="eastAsia" w:cs="Times New Roman"/>
                <w:color w:val="000000" w:themeColor="text1"/>
                <w:sz w:val="21"/>
                <w:u w:val="single"/>
              </w:rPr>
              <w:t>/年</w:t>
            </w:r>
          </w:p>
        </w:tc>
        <w:tc>
          <w:tcPr>
            <w:tcW w:w="489" w:type="pct"/>
            <w:vAlign w:val="center"/>
          </w:tcPr>
          <w:p>
            <w:pPr>
              <w:jc w:val="center"/>
              <w:rPr>
                <w:rFonts w:eastAsia="宋体" w:cs="Times New Roman"/>
                <w:color w:val="000000" w:themeColor="text1"/>
                <w:sz w:val="21"/>
                <w:u w:val="single"/>
              </w:rPr>
            </w:pPr>
            <w:r>
              <w:rPr>
                <w:rFonts w:cs="Times New Roman"/>
                <w:color w:val="000000" w:themeColor="text1"/>
                <w:sz w:val="21"/>
                <w:u w:val="single"/>
              </w:rPr>
              <w:t>8000</w:t>
            </w:r>
          </w:p>
        </w:tc>
        <w:tc>
          <w:tcPr>
            <w:tcW w:w="732" w:type="pct"/>
            <w:vAlign w:val="center"/>
          </w:tcPr>
          <w:p>
            <w:pPr>
              <w:jc w:val="center"/>
              <w:rPr>
                <w:rFonts w:eastAsia="宋体" w:cs="Times New Roman"/>
                <w:color w:val="000000" w:themeColor="text1"/>
                <w:sz w:val="21"/>
                <w:u w:val="single"/>
              </w:rPr>
            </w:pPr>
            <w:r>
              <w:rPr>
                <w:rFonts w:hint="eastAsia" w:eastAsia="宋体" w:cs="Times New Roman"/>
                <w:color w:val="000000" w:themeColor="text1"/>
                <w:sz w:val="21"/>
                <w:u w:val="single"/>
              </w:rPr>
              <w:t>800</w:t>
            </w:r>
          </w:p>
        </w:tc>
        <w:tc>
          <w:tcPr>
            <w:tcW w:w="1461"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袋装，药品仓库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18</w:t>
            </w:r>
          </w:p>
        </w:tc>
        <w:tc>
          <w:tcPr>
            <w:tcW w:w="1359" w:type="pct"/>
            <w:vAlign w:val="center"/>
          </w:tcPr>
          <w:p>
            <w:pPr>
              <w:jc w:val="center"/>
              <w:rPr>
                <w:rFonts w:cs="Times New Roman"/>
                <w:color w:val="000000" w:themeColor="text1"/>
                <w:sz w:val="21"/>
                <w:u w:val="single"/>
              </w:rPr>
            </w:pPr>
            <w:r>
              <w:rPr>
                <w:rFonts w:cs="Times New Roman"/>
                <w:color w:val="000000" w:themeColor="text1"/>
                <w:sz w:val="21"/>
                <w:u w:val="single"/>
              </w:rPr>
              <w:t>医用手套</w:t>
            </w:r>
          </w:p>
        </w:tc>
        <w:tc>
          <w:tcPr>
            <w:tcW w:w="591" w:type="pct"/>
            <w:vAlign w:val="center"/>
          </w:tcPr>
          <w:p>
            <w:pPr>
              <w:jc w:val="center"/>
              <w:rPr>
                <w:rFonts w:cs="Times New Roman"/>
                <w:color w:val="000000" w:themeColor="text1"/>
                <w:sz w:val="21"/>
                <w:u w:val="single"/>
              </w:rPr>
            </w:pPr>
            <w:r>
              <w:rPr>
                <w:rFonts w:hint="eastAsia" w:cs="Times New Roman"/>
                <w:color w:val="000000" w:themeColor="text1"/>
                <w:sz w:val="21"/>
                <w:u w:val="single"/>
              </w:rPr>
              <w:t>双/年</w:t>
            </w:r>
          </w:p>
        </w:tc>
        <w:tc>
          <w:tcPr>
            <w:tcW w:w="489" w:type="pct"/>
            <w:vAlign w:val="center"/>
          </w:tcPr>
          <w:p>
            <w:pPr>
              <w:jc w:val="center"/>
              <w:rPr>
                <w:rFonts w:cs="Times New Roman"/>
                <w:color w:val="000000" w:themeColor="text1"/>
                <w:sz w:val="21"/>
                <w:u w:val="single"/>
              </w:rPr>
            </w:pPr>
            <w:r>
              <w:rPr>
                <w:rFonts w:cs="Times New Roman"/>
                <w:color w:val="000000" w:themeColor="text1"/>
                <w:sz w:val="21"/>
                <w:u w:val="single"/>
              </w:rPr>
              <w:t>3000</w:t>
            </w:r>
          </w:p>
        </w:tc>
        <w:tc>
          <w:tcPr>
            <w:tcW w:w="732" w:type="pct"/>
            <w:vAlign w:val="center"/>
          </w:tcPr>
          <w:p>
            <w:pPr>
              <w:jc w:val="center"/>
              <w:rPr>
                <w:rFonts w:eastAsia="宋体" w:cs="Times New Roman"/>
                <w:color w:val="000000" w:themeColor="text1"/>
                <w:sz w:val="21"/>
                <w:u w:val="single"/>
              </w:rPr>
            </w:pPr>
            <w:r>
              <w:rPr>
                <w:rFonts w:hint="eastAsia" w:eastAsia="宋体" w:cs="Times New Roman"/>
                <w:color w:val="000000" w:themeColor="text1"/>
                <w:sz w:val="21"/>
                <w:u w:val="single"/>
              </w:rPr>
              <w:t>1000</w:t>
            </w:r>
          </w:p>
        </w:tc>
        <w:tc>
          <w:tcPr>
            <w:tcW w:w="1461"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袋装，药品仓库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19</w:t>
            </w:r>
          </w:p>
        </w:tc>
        <w:tc>
          <w:tcPr>
            <w:tcW w:w="1359"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美沙酮</w:t>
            </w:r>
          </w:p>
        </w:tc>
        <w:tc>
          <w:tcPr>
            <w:tcW w:w="591"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盒</w:t>
            </w:r>
            <w:r>
              <w:rPr>
                <w:rFonts w:hint="eastAsia" w:eastAsia="宋体" w:cs="Times New Roman"/>
                <w:color w:val="000000" w:themeColor="text1"/>
                <w:sz w:val="21"/>
                <w:u w:val="single"/>
              </w:rPr>
              <w:t>/年</w:t>
            </w:r>
          </w:p>
        </w:tc>
        <w:tc>
          <w:tcPr>
            <w:tcW w:w="489" w:type="pct"/>
            <w:vAlign w:val="center"/>
          </w:tcPr>
          <w:p>
            <w:pPr>
              <w:pStyle w:val="25"/>
              <w:spacing w:after="0" w:line="240" w:lineRule="auto"/>
              <w:ind w:left="0" w:leftChars="0"/>
              <w:jc w:val="center"/>
              <w:rPr>
                <w:rFonts w:ascii="Times New Roman" w:hAnsi="Times New Roman"/>
                <w:color w:val="000000" w:themeColor="text1"/>
                <w:szCs w:val="21"/>
                <w:u w:val="single"/>
              </w:rPr>
            </w:pPr>
            <w:r>
              <w:rPr>
                <w:rFonts w:hint="eastAsia" w:ascii="Times New Roman" w:hAnsi="Times New Roman"/>
                <w:color w:val="000000" w:themeColor="text1"/>
                <w:szCs w:val="21"/>
                <w:u w:val="single"/>
              </w:rPr>
              <w:t>20000</w:t>
            </w:r>
          </w:p>
        </w:tc>
        <w:tc>
          <w:tcPr>
            <w:tcW w:w="732" w:type="pct"/>
            <w:vAlign w:val="center"/>
          </w:tcPr>
          <w:p>
            <w:pPr>
              <w:jc w:val="center"/>
              <w:rPr>
                <w:rFonts w:eastAsia="宋体" w:cs="Times New Roman"/>
                <w:color w:val="000000" w:themeColor="text1"/>
                <w:sz w:val="21"/>
                <w:u w:val="single"/>
              </w:rPr>
            </w:pPr>
            <w:r>
              <w:rPr>
                <w:rFonts w:hint="eastAsia" w:eastAsia="宋体" w:cs="Times New Roman"/>
                <w:color w:val="000000" w:themeColor="text1"/>
                <w:sz w:val="21"/>
                <w:u w:val="single"/>
              </w:rPr>
              <w:t>4000</w:t>
            </w:r>
          </w:p>
        </w:tc>
        <w:tc>
          <w:tcPr>
            <w:tcW w:w="1461"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袋装，药品仓库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20</w:t>
            </w:r>
          </w:p>
        </w:tc>
        <w:tc>
          <w:tcPr>
            <w:tcW w:w="1359"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盐酸</w:t>
            </w:r>
          </w:p>
        </w:tc>
        <w:tc>
          <w:tcPr>
            <w:tcW w:w="591" w:type="pct"/>
            <w:vAlign w:val="center"/>
          </w:tcPr>
          <w:p>
            <w:pPr>
              <w:jc w:val="center"/>
              <w:rPr>
                <w:rFonts w:eastAsia="宋体" w:cs="Times New Roman"/>
                <w:color w:val="000000" w:themeColor="text1"/>
                <w:sz w:val="21"/>
                <w:u w:val="single"/>
              </w:rPr>
            </w:pPr>
            <w:r>
              <w:rPr>
                <w:rFonts w:hint="eastAsia" w:eastAsia="宋体" w:cs="Times New Roman"/>
                <w:color w:val="000000" w:themeColor="text1"/>
                <w:sz w:val="21"/>
                <w:u w:val="single"/>
              </w:rPr>
              <w:t>吨/年</w:t>
            </w:r>
          </w:p>
        </w:tc>
        <w:tc>
          <w:tcPr>
            <w:tcW w:w="489" w:type="pct"/>
            <w:vAlign w:val="center"/>
          </w:tcPr>
          <w:p>
            <w:pPr>
              <w:pStyle w:val="25"/>
              <w:spacing w:after="0" w:line="240" w:lineRule="auto"/>
              <w:ind w:left="0" w:leftChars="0"/>
              <w:jc w:val="center"/>
              <w:rPr>
                <w:rFonts w:ascii="Times New Roman" w:hAnsi="Times New Roman"/>
                <w:color w:val="000000" w:themeColor="text1"/>
                <w:szCs w:val="21"/>
                <w:u w:val="single"/>
              </w:rPr>
            </w:pPr>
            <w:r>
              <w:rPr>
                <w:rFonts w:hint="eastAsia" w:ascii="Times New Roman" w:hAnsi="Times New Roman"/>
                <w:color w:val="000000" w:themeColor="text1"/>
                <w:szCs w:val="21"/>
                <w:u w:val="single"/>
              </w:rPr>
              <w:t>1.5</w:t>
            </w:r>
          </w:p>
        </w:tc>
        <w:tc>
          <w:tcPr>
            <w:tcW w:w="732" w:type="pct"/>
            <w:vAlign w:val="center"/>
          </w:tcPr>
          <w:p>
            <w:pPr>
              <w:jc w:val="center"/>
              <w:rPr>
                <w:rFonts w:eastAsia="宋体" w:cs="Times New Roman"/>
                <w:color w:val="000000" w:themeColor="text1"/>
                <w:sz w:val="21"/>
                <w:u w:val="single"/>
              </w:rPr>
            </w:pPr>
            <w:r>
              <w:rPr>
                <w:rFonts w:hint="eastAsia" w:eastAsia="宋体" w:cs="Times New Roman"/>
                <w:color w:val="000000" w:themeColor="text1"/>
                <w:sz w:val="21"/>
                <w:u w:val="single"/>
              </w:rPr>
              <w:t>0.1</w:t>
            </w:r>
          </w:p>
        </w:tc>
        <w:tc>
          <w:tcPr>
            <w:tcW w:w="1461" w:type="pct"/>
            <w:vAlign w:val="center"/>
          </w:tcPr>
          <w:p>
            <w:pPr>
              <w:jc w:val="center"/>
              <w:rPr>
                <w:rFonts w:eastAsia="宋体" w:cs="Times New Roman"/>
                <w:color w:val="000000" w:themeColor="text1"/>
                <w:sz w:val="21"/>
                <w:u w:val="single"/>
              </w:rPr>
            </w:pPr>
            <w:r>
              <w:rPr>
                <w:rFonts w:cs="Times New Roman"/>
                <w:color w:val="000000" w:themeColor="text1"/>
                <w:sz w:val="21"/>
                <w:u w:val="single"/>
              </w:rPr>
              <w:t>桶装，</w:t>
            </w:r>
            <w:r>
              <w:rPr>
                <w:rFonts w:eastAsia="宋体" w:cs="Times New Roman"/>
                <w:color w:val="000000" w:themeColor="text1"/>
                <w:sz w:val="21"/>
                <w:u w:val="single"/>
              </w:rPr>
              <w:t>废水处理站旁仓库储存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21</w:t>
            </w:r>
          </w:p>
        </w:tc>
        <w:tc>
          <w:tcPr>
            <w:tcW w:w="1359"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氯酸钠</w:t>
            </w:r>
          </w:p>
        </w:tc>
        <w:tc>
          <w:tcPr>
            <w:tcW w:w="591" w:type="pct"/>
            <w:vAlign w:val="center"/>
          </w:tcPr>
          <w:p>
            <w:pPr>
              <w:jc w:val="center"/>
              <w:rPr>
                <w:rFonts w:eastAsia="宋体" w:cs="Times New Roman"/>
                <w:color w:val="000000" w:themeColor="text1"/>
                <w:sz w:val="21"/>
                <w:u w:val="single"/>
              </w:rPr>
            </w:pPr>
            <w:r>
              <w:rPr>
                <w:rFonts w:hint="eastAsia" w:eastAsia="宋体" w:cs="Times New Roman"/>
                <w:color w:val="000000" w:themeColor="text1"/>
                <w:sz w:val="21"/>
                <w:u w:val="single"/>
              </w:rPr>
              <w:t>吨/年</w:t>
            </w:r>
          </w:p>
        </w:tc>
        <w:tc>
          <w:tcPr>
            <w:tcW w:w="489" w:type="pct"/>
            <w:vAlign w:val="center"/>
          </w:tcPr>
          <w:p>
            <w:pPr>
              <w:pStyle w:val="25"/>
              <w:spacing w:after="0" w:line="240" w:lineRule="auto"/>
              <w:ind w:left="0" w:leftChars="0"/>
              <w:jc w:val="center"/>
              <w:rPr>
                <w:rFonts w:ascii="Times New Roman" w:hAnsi="Times New Roman"/>
                <w:color w:val="000000" w:themeColor="text1"/>
                <w:szCs w:val="21"/>
                <w:u w:val="single"/>
              </w:rPr>
            </w:pPr>
            <w:r>
              <w:rPr>
                <w:rFonts w:hint="eastAsia" w:ascii="Times New Roman" w:hAnsi="Times New Roman"/>
                <w:color w:val="000000" w:themeColor="text1"/>
                <w:szCs w:val="21"/>
                <w:u w:val="single"/>
              </w:rPr>
              <w:t>3</w:t>
            </w:r>
          </w:p>
        </w:tc>
        <w:tc>
          <w:tcPr>
            <w:tcW w:w="732" w:type="pct"/>
            <w:vAlign w:val="center"/>
          </w:tcPr>
          <w:p>
            <w:pPr>
              <w:jc w:val="center"/>
              <w:rPr>
                <w:rFonts w:eastAsia="宋体" w:cs="Times New Roman"/>
                <w:color w:val="000000" w:themeColor="text1"/>
                <w:sz w:val="21"/>
                <w:u w:val="single"/>
              </w:rPr>
            </w:pPr>
            <w:r>
              <w:rPr>
                <w:rFonts w:hint="eastAsia" w:eastAsia="宋体" w:cs="Times New Roman"/>
                <w:color w:val="000000" w:themeColor="text1"/>
                <w:sz w:val="21"/>
                <w:u w:val="single"/>
              </w:rPr>
              <w:t>0.1</w:t>
            </w:r>
          </w:p>
        </w:tc>
        <w:tc>
          <w:tcPr>
            <w:tcW w:w="1461" w:type="pct"/>
            <w:vAlign w:val="center"/>
          </w:tcPr>
          <w:p>
            <w:pPr>
              <w:jc w:val="center"/>
              <w:rPr>
                <w:rFonts w:eastAsia="宋体" w:cs="Times New Roman"/>
                <w:color w:val="000000" w:themeColor="text1"/>
                <w:sz w:val="21"/>
                <w:u w:val="single"/>
              </w:rPr>
            </w:pPr>
            <w:r>
              <w:rPr>
                <w:rFonts w:cs="Times New Roman"/>
                <w:color w:val="000000" w:themeColor="text1"/>
                <w:sz w:val="21"/>
                <w:u w:val="single"/>
              </w:rPr>
              <w:t>桶装，</w:t>
            </w:r>
            <w:r>
              <w:rPr>
                <w:rFonts w:eastAsia="宋体" w:cs="Times New Roman"/>
                <w:color w:val="000000" w:themeColor="text1"/>
                <w:sz w:val="21"/>
                <w:u w:val="single"/>
              </w:rPr>
              <w:t>废水处理站旁仓库储存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22</w:t>
            </w:r>
          </w:p>
        </w:tc>
        <w:tc>
          <w:tcPr>
            <w:tcW w:w="1359"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氧气</w:t>
            </w:r>
          </w:p>
        </w:tc>
        <w:tc>
          <w:tcPr>
            <w:tcW w:w="591" w:type="pct"/>
            <w:vAlign w:val="center"/>
          </w:tcPr>
          <w:p>
            <w:pPr>
              <w:jc w:val="center"/>
              <w:rPr>
                <w:rFonts w:eastAsia="宋体" w:cs="Times New Roman"/>
                <w:color w:val="000000" w:themeColor="text1"/>
                <w:sz w:val="21"/>
                <w:u w:val="single"/>
              </w:rPr>
            </w:pPr>
            <w:r>
              <w:rPr>
                <w:rFonts w:hint="eastAsia" w:eastAsia="宋体" w:cs="Times New Roman"/>
                <w:color w:val="000000" w:themeColor="text1"/>
                <w:sz w:val="21"/>
                <w:u w:val="single"/>
              </w:rPr>
              <w:t>瓶/年</w:t>
            </w:r>
          </w:p>
        </w:tc>
        <w:tc>
          <w:tcPr>
            <w:tcW w:w="489" w:type="pct"/>
            <w:vAlign w:val="center"/>
          </w:tcPr>
          <w:p>
            <w:pPr>
              <w:pStyle w:val="25"/>
              <w:spacing w:after="0" w:line="240" w:lineRule="auto"/>
              <w:ind w:left="0" w:leftChars="0"/>
              <w:jc w:val="center"/>
              <w:rPr>
                <w:rFonts w:ascii="Times New Roman" w:hAnsi="Times New Roman"/>
                <w:color w:val="000000" w:themeColor="text1"/>
                <w:szCs w:val="21"/>
                <w:u w:val="single"/>
              </w:rPr>
            </w:pPr>
            <w:r>
              <w:rPr>
                <w:rFonts w:hint="eastAsia" w:ascii="Times New Roman" w:hAnsi="Times New Roman"/>
                <w:color w:val="000000" w:themeColor="text1"/>
                <w:szCs w:val="21"/>
                <w:u w:val="single"/>
              </w:rPr>
              <w:t>2000</w:t>
            </w:r>
          </w:p>
        </w:tc>
        <w:tc>
          <w:tcPr>
            <w:tcW w:w="732" w:type="pct"/>
            <w:vAlign w:val="center"/>
          </w:tcPr>
          <w:p>
            <w:pPr>
              <w:jc w:val="center"/>
              <w:rPr>
                <w:rFonts w:eastAsia="宋体" w:cs="Times New Roman"/>
                <w:color w:val="000000" w:themeColor="text1"/>
                <w:sz w:val="21"/>
                <w:u w:val="single"/>
              </w:rPr>
            </w:pPr>
            <w:r>
              <w:rPr>
                <w:rFonts w:hint="eastAsia" w:eastAsia="宋体" w:cs="Times New Roman"/>
                <w:color w:val="000000" w:themeColor="text1"/>
                <w:sz w:val="21"/>
                <w:u w:val="single"/>
              </w:rPr>
              <w:t>30</w:t>
            </w:r>
          </w:p>
        </w:tc>
        <w:tc>
          <w:tcPr>
            <w:tcW w:w="1461" w:type="pct"/>
            <w:vAlign w:val="center"/>
          </w:tcPr>
          <w:p>
            <w:pPr>
              <w:jc w:val="center"/>
              <w:rPr>
                <w:rFonts w:eastAsia="宋体" w:cs="Times New Roman"/>
                <w:color w:val="000000" w:themeColor="text1"/>
                <w:sz w:val="21"/>
                <w:u w:val="single"/>
              </w:rPr>
            </w:pPr>
            <w:r>
              <w:rPr>
                <w:rFonts w:eastAsia="宋体" w:cs="Times New Roman"/>
                <w:color w:val="000000" w:themeColor="text1"/>
                <w:sz w:val="21"/>
                <w:u w:val="single"/>
              </w:rPr>
              <w:t>氧气瓶位于单独的氧气瓶储存间</w:t>
            </w:r>
          </w:p>
        </w:tc>
      </w:tr>
    </w:tbl>
    <w:p>
      <w:pPr>
        <w:pStyle w:val="4"/>
      </w:pPr>
      <w:r>
        <w:t>公用工程</w:t>
      </w:r>
      <w:bookmarkEnd w:id="128"/>
    </w:p>
    <w:p>
      <w:pPr>
        <w:pStyle w:val="5"/>
      </w:pPr>
      <w:r>
        <w:t>给排水系统</w:t>
      </w:r>
    </w:p>
    <w:p>
      <w:pPr>
        <w:adjustRightInd w:val="0"/>
        <w:snapToGrid w:val="0"/>
        <w:spacing w:line="360" w:lineRule="auto"/>
        <w:ind w:firstLine="480" w:firstLineChars="200"/>
      </w:pPr>
      <w:r>
        <w:rPr>
          <w:rFonts w:hint="eastAsia"/>
        </w:rPr>
        <w:t>（1）给水</w:t>
      </w:r>
    </w:p>
    <w:p>
      <w:pPr>
        <w:adjustRightInd w:val="0"/>
        <w:snapToGrid w:val="0"/>
        <w:spacing w:line="360" w:lineRule="auto"/>
        <w:ind w:firstLine="480" w:firstLineChars="200"/>
      </w:pPr>
      <w:r>
        <w:rPr>
          <w:rFonts w:hint="eastAsia"/>
        </w:rPr>
        <w:t>项目水源为城市自来水，其水质、水压符合国家生活饮用水标准。项目在建筑周围采用树枝状和环装结合的方式保证用水安全。医院外用水、消防给水管网置成环装，院内给水系统采用直接供水和加压设备加压供水的联合给水方式。根据业主提供的资料，本项目用水计算详见下表所示。</w:t>
      </w:r>
    </w:p>
    <w:p>
      <w:pPr>
        <w:pStyle w:val="14"/>
        <w:spacing w:line="240" w:lineRule="auto"/>
      </w:pPr>
      <w:r>
        <w:rPr>
          <w:rFonts w:hint="eastAsia"/>
        </w:rPr>
        <w:t xml:space="preserve">表 </w:t>
      </w:r>
      <w:r>
        <w:fldChar w:fldCharType="begin"/>
      </w:r>
      <w:r>
        <w:instrText xml:space="preserve"> STYLEREF 2 \s </w:instrText>
      </w:r>
      <w:r>
        <w:fldChar w:fldCharType="separate"/>
      </w:r>
      <w:r>
        <w:t>2.6</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rPr>
          <w:rFonts w:hint="eastAsia"/>
        </w:rPr>
        <w:t xml:space="preserve">  项目用水排水情况一览表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2330"/>
        <w:gridCol w:w="1393"/>
        <w:gridCol w:w="1395"/>
        <w:gridCol w:w="1242"/>
        <w:gridCol w:w="1252"/>
        <w:gridCol w:w="1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53" w:type="pct"/>
            <w:vAlign w:val="center"/>
          </w:tcPr>
          <w:p>
            <w:pPr>
              <w:jc w:val="center"/>
              <w:rPr>
                <w:rFonts w:ascii="宋体" w:hAnsi="宋体" w:eastAsia="宋体" w:cs="宋体"/>
                <w:sz w:val="21"/>
              </w:rPr>
            </w:pPr>
            <w:r>
              <w:rPr>
                <w:sz w:val="21"/>
              </w:rPr>
              <w:t>序号</w:t>
            </w:r>
          </w:p>
        </w:tc>
        <w:tc>
          <w:tcPr>
            <w:tcW w:w="1208" w:type="pct"/>
            <w:vAlign w:val="center"/>
          </w:tcPr>
          <w:p>
            <w:pPr>
              <w:jc w:val="center"/>
              <w:rPr>
                <w:rFonts w:ascii="宋体" w:hAnsi="宋体" w:eastAsia="宋体" w:cs="宋体"/>
                <w:sz w:val="21"/>
              </w:rPr>
            </w:pPr>
            <w:r>
              <w:rPr>
                <w:sz w:val="21"/>
              </w:rPr>
              <w:t>项目</w:t>
            </w:r>
          </w:p>
        </w:tc>
        <w:tc>
          <w:tcPr>
            <w:tcW w:w="722" w:type="pct"/>
            <w:vAlign w:val="center"/>
          </w:tcPr>
          <w:p>
            <w:pPr>
              <w:jc w:val="center"/>
              <w:rPr>
                <w:rFonts w:ascii="宋体" w:hAnsi="宋体" w:eastAsia="宋体" w:cs="宋体"/>
                <w:sz w:val="21"/>
              </w:rPr>
            </w:pPr>
            <w:r>
              <w:rPr>
                <w:sz w:val="21"/>
              </w:rPr>
              <w:t>数量</w:t>
            </w:r>
          </w:p>
        </w:tc>
        <w:tc>
          <w:tcPr>
            <w:tcW w:w="722" w:type="pct"/>
            <w:vAlign w:val="center"/>
          </w:tcPr>
          <w:p>
            <w:pPr>
              <w:jc w:val="center"/>
              <w:rPr>
                <w:rFonts w:ascii="宋体" w:hAnsi="宋体" w:eastAsia="宋体" w:cs="宋体"/>
                <w:sz w:val="21"/>
              </w:rPr>
            </w:pPr>
            <w:r>
              <w:rPr>
                <w:sz w:val="21"/>
              </w:rPr>
              <w:t>用水额度</w:t>
            </w:r>
          </w:p>
        </w:tc>
        <w:tc>
          <w:tcPr>
            <w:tcW w:w="644" w:type="pct"/>
            <w:vAlign w:val="center"/>
          </w:tcPr>
          <w:p>
            <w:pPr>
              <w:jc w:val="center"/>
              <w:rPr>
                <w:rFonts w:ascii="宋体" w:hAnsi="宋体" w:eastAsia="宋体" w:cs="宋体"/>
                <w:sz w:val="21"/>
              </w:rPr>
            </w:pPr>
            <w:r>
              <w:rPr>
                <w:sz w:val="21"/>
              </w:rPr>
              <w:t>用水量</w:t>
            </w:r>
          </w:p>
        </w:tc>
        <w:tc>
          <w:tcPr>
            <w:tcW w:w="649" w:type="pct"/>
            <w:vAlign w:val="center"/>
          </w:tcPr>
          <w:p>
            <w:pPr>
              <w:jc w:val="center"/>
              <w:rPr>
                <w:rFonts w:ascii="宋体" w:hAnsi="宋体" w:eastAsia="宋体" w:cs="宋体"/>
                <w:sz w:val="21"/>
              </w:rPr>
            </w:pPr>
            <w:r>
              <w:rPr>
                <w:sz w:val="21"/>
              </w:rPr>
              <w:t>排污系数</w:t>
            </w:r>
          </w:p>
        </w:tc>
        <w:tc>
          <w:tcPr>
            <w:tcW w:w="701" w:type="pct"/>
            <w:vAlign w:val="center"/>
          </w:tcPr>
          <w:p>
            <w:pPr>
              <w:jc w:val="center"/>
              <w:rPr>
                <w:rFonts w:ascii="宋体" w:hAnsi="宋体" w:eastAsia="宋体" w:cs="宋体"/>
                <w:sz w:val="21"/>
              </w:rPr>
            </w:pPr>
            <w:r>
              <w:rPr>
                <w:sz w:val="21"/>
              </w:rPr>
              <w:t>排水量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353" w:type="pct"/>
            <w:vAlign w:val="center"/>
          </w:tcPr>
          <w:p>
            <w:pPr>
              <w:jc w:val="center"/>
              <w:rPr>
                <w:rFonts w:ascii="宋体" w:hAnsi="宋体" w:eastAsia="宋体" w:cs="宋体"/>
                <w:sz w:val="21"/>
              </w:rPr>
            </w:pPr>
            <w:r>
              <w:rPr>
                <w:sz w:val="21"/>
              </w:rPr>
              <w:t>1</w:t>
            </w:r>
          </w:p>
        </w:tc>
        <w:tc>
          <w:tcPr>
            <w:tcW w:w="1208" w:type="pct"/>
            <w:vAlign w:val="center"/>
          </w:tcPr>
          <w:p>
            <w:pPr>
              <w:jc w:val="center"/>
              <w:rPr>
                <w:rFonts w:ascii="宋体" w:hAnsi="宋体" w:eastAsia="宋体" w:cs="宋体"/>
                <w:sz w:val="21"/>
              </w:rPr>
            </w:pPr>
            <w:r>
              <w:rPr>
                <w:rFonts w:hint="eastAsia"/>
                <w:sz w:val="21"/>
              </w:rPr>
              <w:t>住院病人和陪护人员废水</w:t>
            </w:r>
          </w:p>
        </w:tc>
        <w:tc>
          <w:tcPr>
            <w:tcW w:w="722" w:type="pct"/>
            <w:vAlign w:val="center"/>
          </w:tcPr>
          <w:p>
            <w:pPr>
              <w:jc w:val="center"/>
              <w:rPr>
                <w:rFonts w:ascii="宋体" w:hAnsi="宋体" w:eastAsia="宋体" w:cs="宋体"/>
                <w:sz w:val="21"/>
              </w:rPr>
            </w:pPr>
            <w:r>
              <w:rPr>
                <w:rFonts w:hint="eastAsia"/>
                <w:sz w:val="21"/>
              </w:rPr>
              <w:t>768</w:t>
            </w:r>
            <w:r>
              <w:rPr>
                <w:sz w:val="21"/>
              </w:rPr>
              <w:t>床位</w:t>
            </w:r>
          </w:p>
        </w:tc>
        <w:tc>
          <w:tcPr>
            <w:tcW w:w="722" w:type="pct"/>
            <w:vAlign w:val="center"/>
          </w:tcPr>
          <w:p>
            <w:pPr>
              <w:jc w:val="center"/>
              <w:rPr>
                <w:rFonts w:ascii="宋体" w:hAnsi="宋体" w:eastAsia="宋体" w:cs="宋体"/>
                <w:sz w:val="21"/>
              </w:rPr>
            </w:pPr>
            <w:r>
              <w:rPr>
                <w:sz w:val="21"/>
              </w:rPr>
              <w:t>400L/d.床</w:t>
            </w:r>
          </w:p>
        </w:tc>
        <w:tc>
          <w:tcPr>
            <w:tcW w:w="644" w:type="pct"/>
            <w:vAlign w:val="center"/>
          </w:tcPr>
          <w:p>
            <w:pPr>
              <w:jc w:val="center"/>
              <w:rPr>
                <w:rFonts w:ascii="宋体" w:hAnsi="宋体" w:eastAsia="宋体" w:cs="宋体"/>
                <w:sz w:val="21"/>
              </w:rPr>
            </w:pPr>
            <w:r>
              <w:rPr>
                <w:rFonts w:hint="eastAsia"/>
                <w:sz w:val="21"/>
              </w:rPr>
              <w:t>307.2</w:t>
            </w:r>
            <w:r>
              <w:rPr>
                <w:sz w:val="21"/>
              </w:rPr>
              <w:t>m</w:t>
            </w:r>
            <w:r>
              <w:rPr>
                <w:sz w:val="21"/>
                <w:vertAlign w:val="superscript"/>
              </w:rPr>
              <w:t>3</w:t>
            </w:r>
            <w:r>
              <w:rPr>
                <w:sz w:val="21"/>
              </w:rPr>
              <w:t>/d</w:t>
            </w:r>
          </w:p>
        </w:tc>
        <w:tc>
          <w:tcPr>
            <w:tcW w:w="649" w:type="pct"/>
            <w:vAlign w:val="center"/>
          </w:tcPr>
          <w:p>
            <w:pPr>
              <w:jc w:val="center"/>
              <w:rPr>
                <w:rFonts w:ascii="宋体" w:hAnsi="宋体" w:eastAsia="宋体" w:cs="宋体"/>
                <w:sz w:val="21"/>
              </w:rPr>
            </w:pPr>
            <w:r>
              <w:rPr>
                <w:sz w:val="21"/>
              </w:rPr>
              <w:t>0.85</w:t>
            </w:r>
          </w:p>
        </w:tc>
        <w:tc>
          <w:tcPr>
            <w:tcW w:w="701" w:type="pct"/>
            <w:vAlign w:val="center"/>
          </w:tcPr>
          <w:p>
            <w:pPr>
              <w:jc w:val="center"/>
              <w:rPr>
                <w:rFonts w:ascii="宋体" w:hAnsi="宋体" w:eastAsia="宋体" w:cs="宋体"/>
                <w:sz w:val="21"/>
              </w:rPr>
            </w:pPr>
            <w:r>
              <w:rPr>
                <w:rFonts w:hint="eastAsia"/>
                <w:sz w:val="21"/>
              </w:rPr>
              <w:t>261.12</w:t>
            </w:r>
            <w:r>
              <w:rPr>
                <w:sz w:val="21"/>
              </w:rPr>
              <w:t>m</w:t>
            </w:r>
            <w:r>
              <w:rPr>
                <w:sz w:val="21"/>
                <w:vertAlign w:val="superscript"/>
              </w:rPr>
              <w:t>3</w:t>
            </w:r>
            <w:r>
              <w:rPr>
                <w:sz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353" w:type="pct"/>
            <w:vAlign w:val="center"/>
          </w:tcPr>
          <w:p>
            <w:pPr>
              <w:jc w:val="center"/>
              <w:rPr>
                <w:rFonts w:ascii="宋体" w:hAnsi="宋体" w:eastAsia="宋体" w:cs="宋体"/>
                <w:sz w:val="21"/>
              </w:rPr>
            </w:pPr>
            <w:r>
              <w:rPr>
                <w:sz w:val="21"/>
              </w:rPr>
              <w:t>2</w:t>
            </w:r>
          </w:p>
        </w:tc>
        <w:tc>
          <w:tcPr>
            <w:tcW w:w="1208" w:type="pct"/>
            <w:vAlign w:val="center"/>
          </w:tcPr>
          <w:p>
            <w:pPr>
              <w:jc w:val="center"/>
              <w:rPr>
                <w:rFonts w:ascii="宋体" w:hAnsi="宋体" w:eastAsia="宋体" w:cs="宋体"/>
                <w:sz w:val="21"/>
              </w:rPr>
            </w:pPr>
            <w:r>
              <w:rPr>
                <w:sz w:val="21"/>
              </w:rPr>
              <w:t>精神大楼门诊病人</w:t>
            </w:r>
          </w:p>
        </w:tc>
        <w:tc>
          <w:tcPr>
            <w:tcW w:w="722" w:type="pct"/>
            <w:vAlign w:val="center"/>
          </w:tcPr>
          <w:p>
            <w:pPr>
              <w:jc w:val="center"/>
              <w:rPr>
                <w:rFonts w:ascii="宋体" w:hAnsi="宋体" w:eastAsia="宋体" w:cs="宋体"/>
                <w:sz w:val="21"/>
              </w:rPr>
            </w:pPr>
            <w:r>
              <w:rPr>
                <w:rFonts w:hint="eastAsia"/>
                <w:sz w:val="21"/>
              </w:rPr>
              <w:t>100</w:t>
            </w:r>
            <w:r>
              <w:rPr>
                <w:sz w:val="21"/>
              </w:rPr>
              <w:t>人次/天</w:t>
            </w:r>
          </w:p>
        </w:tc>
        <w:tc>
          <w:tcPr>
            <w:tcW w:w="722" w:type="pct"/>
            <w:vAlign w:val="center"/>
          </w:tcPr>
          <w:p>
            <w:pPr>
              <w:jc w:val="center"/>
              <w:rPr>
                <w:rFonts w:ascii="宋体" w:hAnsi="宋体" w:eastAsia="宋体" w:cs="宋体"/>
                <w:sz w:val="21"/>
              </w:rPr>
            </w:pPr>
            <w:r>
              <w:rPr>
                <w:sz w:val="21"/>
              </w:rPr>
              <w:t>15L/人.次</w:t>
            </w:r>
          </w:p>
        </w:tc>
        <w:tc>
          <w:tcPr>
            <w:tcW w:w="644" w:type="pct"/>
            <w:vAlign w:val="center"/>
          </w:tcPr>
          <w:p>
            <w:pPr>
              <w:jc w:val="center"/>
              <w:rPr>
                <w:rFonts w:ascii="宋体" w:hAnsi="宋体" w:eastAsia="宋体" w:cs="宋体"/>
                <w:sz w:val="21"/>
              </w:rPr>
            </w:pPr>
            <w:r>
              <w:rPr>
                <w:rFonts w:hint="eastAsia"/>
                <w:sz w:val="21"/>
              </w:rPr>
              <w:t>1.5</w:t>
            </w:r>
            <w:r>
              <w:rPr>
                <w:sz w:val="21"/>
              </w:rPr>
              <w:t>m</w:t>
            </w:r>
            <w:r>
              <w:rPr>
                <w:sz w:val="21"/>
                <w:vertAlign w:val="superscript"/>
              </w:rPr>
              <w:t>3</w:t>
            </w:r>
            <w:r>
              <w:rPr>
                <w:sz w:val="21"/>
              </w:rPr>
              <w:t>/d</w:t>
            </w:r>
          </w:p>
        </w:tc>
        <w:tc>
          <w:tcPr>
            <w:tcW w:w="649" w:type="pct"/>
            <w:vAlign w:val="center"/>
          </w:tcPr>
          <w:p>
            <w:pPr>
              <w:jc w:val="center"/>
              <w:rPr>
                <w:rFonts w:ascii="宋体" w:hAnsi="宋体" w:eastAsia="宋体" w:cs="宋体"/>
                <w:sz w:val="21"/>
              </w:rPr>
            </w:pPr>
            <w:r>
              <w:rPr>
                <w:sz w:val="21"/>
              </w:rPr>
              <w:t>0.85</w:t>
            </w:r>
          </w:p>
        </w:tc>
        <w:tc>
          <w:tcPr>
            <w:tcW w:w="701" w:type="pct"/>
            <w:vAlign w:val="center"/>
          </w:tcPr>
          <w:p>
            <w:pPr>
              <w:jc w:val="center"/>
              <w:rPr>
                <w:rFonts w:ascii="宋体" w:hAnsi="宋体" w:eastAsia="宋体" w:cs="宋体"/>
                <w:sz w:val="21"/>
              </w:rPr>
            </w:pPr>
            <w:r>
              <w:rPr>
                <w:rFonts w:hint="eastAsia"/>
                <w:sz w:val="21"/>
              </w:rPr>
              <w:t>1.275</w:t>
            </w:r>
            <w:r>
              <w:rPr>
                <w:sz w:val="21"/>
              </w:rPr>
              <w:t>m</w:t>
            </w:r>
            <w:r>
              <w:rPr>
                <w:sz w:val="21"/>
                <w:vertAlign w:val="superscript"/>
              </w:rPr>
              <w:t>3</w:t>
            </w:r>
            <w:r>
              <w:rPr>
                <w:sz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353" w:type="pct"/>
            <w:vAlign w:val="center"/>
          </w:tcPr>
          <w:p>
            <w:pPr>
              <w:jc w:val="center"/>
              <w:rPr>
                <w:sz w:val="21"/>
                <w:u w:val="single"/>
              </w:rPr>
            </w:pPr>
            <w:r>
              <w:rPr>
                <w:rFonts w:hint="eastAsia"/>
                <w:sz w:val="21"/>
                <w:u w:val="single"/>
              </w:rPr>
              <w:t>3</w:t>
            </w:r>
          </w:p>
        </w:tc>
        <w:tc>
          <w:tcPr>
            <w:tcW w:w="1208" w:type="pct"/>
            <w:vAlign w:val="center"/>
          </w:tcPr>
          <w:p>
            <w:pPr>
              <w:jc w:val="center"/>
              <w:rPr>
                <w:sz w:val="21"/>
                <w:u w:val="single"/>
              </w:rPr>
            </w:pPr>
            <w:r>
              <w:rPr>
                <w:sz w:val="21"/>
                <w:u w:val="single"/>
              </w:rPr>
              <w:t>美沙酮门诊病人</w:t>
            </w:r>
          </w:p>
        </w:tc>
        <w:tc>
          <w:tcPr>
            <w:tcW w:w="722" w:type="pct"/>
            <w:vAlign w:val="center"/>
          </w:tcPr>
          <w:p>
            <w:pPr>
              <w:jc w:val="center"/>
              <w:rPr>
                <w:sz w:val="21"/>
                <w:u w:val="single"/>
              </w:rPr>
            </w:pPr>
            <w:r>
              <w:rPr>
                <w:rFonts w:hint="eastAsia"/>
                <w:sz w:val="21"/>
                <w:u w:val="single"/>
              </w:rPr>
              <w:t>50</w:t>
            </w:r>
            <w:r>
              <w:rPr>
                <w:sz w:val="21"/>
                <w:u w:val="single"/>
              </w:rPr>
              <w:t>人次/天</w:t>
            </w:r>
          </w:p>
        </w:tc>
        <w:tc>
          <w:tcPr>
            <w:tcW w:w="722" w:type="pct"/>
            <w:vAlign w:val="center"/>
          </w:tcPr>
          <w:p>
            <w:pPr>
              <w:jc w:val="center"/>
              <w:rPr>
                <w:sz w:val="21"/>
                <w:u w:val="single"/>
              </w:rPr>
            </w:pPr>
            <w:r>
              <w:rPr>
                <w:sz w:val="21"/>
                <w:u w:val="single"/>
              </w:rPr>
              <w:t>15L/人.次</w:t>
            </w:r>
          </w:p>
        </w:tc>
        <w:tc>
          <w:tcPr>
            <w:tcW w:w="644" w:type="pct"/>
            <w:vAlign w:val="center"/>
          </w:tcPr>
          <w:p>
            <w:pPr>
              <w:jc w:val="center"/>
              <w:rPr>
                <w:sz w:val="21"/>
                <w:u w:val="single"/>
              </w:rPr>
            </w:pPr>
            <w:r>
              <w:rPr>
                <w:rFonts w:hint="eastAsia"/>
                <w:sz w:val="21"/>
                <w:u w:val="single"/>
              </w:rPr>
              <w:t>0.75</w:t>
            </w:r>
            <w:r>
              <w:rPr>
                <w:sz w:val="21"/>
                <w:u w:val="single"/>
              </w:rPr>
              <w:t>m</w:t>
            </w:r>
            <w:r>
              <w:rPr>
                <w:sz w:val="21"/>
                <w:u w:val="single"/>
                <w:vertAlign w:val="superscript"/>
              </w:rPr>
              <w:t>3</w:t>
            </w:r>
            <w:r>
              <w:rPr>
                <w:sz w:val="21"/>
                <w:u w:val="single"/>
              </w:rPr>
              <w:t>/d</w:t>
            </w:r>
          </w:p>
        </w:tc>
        <w:tc>
          <w:tcPr>
            <w:tcW w:w="649" w:type="pct"/>
            <w:vAlign w:val="center"/>
          </w:tcPr>
          <w:p>
            <w:pPr>
              <w:jc w:val="center"/>
              <w:rPr>
                <w:sz w:val="21"/>
                <w:u w:val="single"/>
              </w:rPr>
            </w:pPr>
            <w:r>
              <w:rPr>
                <w:rFonts w:hint="eastAsia"/>
                <w:sz w:val="21"/>
                <w:u w:val="single"/>
              </w:rPr>
              <w:t>0.85</w:t>
            </w:r>
          </w:p>
        </w:tc>
        <w:tc>
          <w:tcPr>
            <w:tcW w:w="701" w:type="pct"/>
            <w:vAlign w:val="center"/>
          </w:tcPr>
          <w:p>
            <w:pPr>
              <w:jc w:val="center"/>
              <w:rPr>
                <w:sz w:val="21"/>
                <w:u w:val="single"/>
              </w:rPr>
            </w:pPr>
            <w:r>
              <w:rPr>
                <w:rFonts w:hint="eastAsia"/>
                <w:sz w:val="21"/>
                <w:u w:val="single"/>
              </w:rPr>
              <w:t>0.64</w:t>
            </w:r>
            <w:r>
              <w:rPr>
                <w:sz w:val="21"/>
                <w:u w:val="single"/>
              </w:rPr>
              <w:t>m</w:t>
            </w:r>
            <w:r>
              <w:rPr>
                <w:sz w:val="21"/>
                <w:u w:val="single"/>
                <w:vertAlign w:val="superscript"/>
              </w:rPr>
              <w:t>3</w:t>
            </w:r>
            <w:r>
              <w:rPr>
                <w:sz w:val="21"/>
                <w:u w:val="single"/>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353" w:type="pct"/>
            <w:vAlign w:val="center"/>
          </w:tcPr>
          <w:p>
            <w:pPr>
              <w:jc w:val="center"/>
              <w:rPr>
                <w:rFonts w:ascii="宋体" w:hAnsi="宋体" w:eastAsia="宋体" w:cs="宋体"/>
                <w:sz w:val="21"/>
              </w:rPr>
            </w:pPr>
            <w:r>
              <w:rPr>
                <w:rFonts w:hint="eastAsia"/>
                <w:sz w:val="21"/>
              </w:rPr>
              <w:t>4</w:t>
            </w:r>
          </w:p>
        </w:tc>
        <w:tc>
          <w:tcPr>
            <w:tcW w:w="1208" w:type="pct"/>
            <w:vAlign w:val="center"/>
          </w:tcPr>
          <w:p>
            <w:pPr>
              <w:jc w:val="center"/>
              <w:rPr>
                <w:rFonts w:ascii="宋体" w:hAnsi="宋体" w:eastAsia="宋体" w:cs="宋体"/>
                <w:sz w:val="21"/>
              </w:rPr>
            </w:pPr>
            <w:r>
              <w:rPr>
                <w:sz w:val="21"/>
              </w:rPr>
              <w:t>洗衣服</w:t>
            </w:r>
          </w:p>
        </w:tc>
        <w:tc>
          <w:tcPr>
            <w:tcW w:w="722" w:type="pct"/>
            <w:vAlign w:val="center"/>
          </w:tcPr>
          <w:p>
            <w:pPr>
              <w:jc w:val="center"/>
              <w:rPr>
                <w:rFonts w:ascii="宋体" w:hAnsi="宋体" w:eastAsia="宋体" w:cs="宋体"/>
                <w:sz w:val="21"/>
              </w:rPr>
            </w:pPr>
            <w:r>
              <w:rPr>
                <w:sz w:val="21"/>
              </w:rPr>
              <w:t>500kg</w:t>
            </w:r>
          </w:p>
        </w:tc>
        <w:tc>
          <w:tcPr>
            <w:tcW w:w="722" w:type="pct"/>
            <w:vAlign w:val="center"/>
          </w:tcPr>
          <w:p>
            <w:pPr>
              <w:jc w:val="center"/>
              <w:rPr>
                <w:rFonts w:ascii="宋体" w:hAnsi="宋体" w:eastAsia="宋体" w:cs="宋体"/>
                <w:sz w:val="21"/>
              </w:rPr>
            </w:pPr>
            <w:r>
              <w:rPr>
                <w:sz w:val="21"/>
              </w:rPr>
              <w:t>60L/kg</w:t>
            </w:r>
          </w:p>
        </w:tc>
        <w:tc>
          <w:tcPr>
            <w:tcW w:w="644" w:type="pct"/>
            <w:vAlign w:val="center"/>
          </w:tcPr>
          <w:p>
            <w:pPr>
              <w:jc w:val="center"/>
              <w:rPr>
                <w:rFonts w:ascii="宋体" w:hAnsi="宋体" w:eastAsia="宋体" w:cs="宋体"/>
                <w:sz w:val="21"/>
              </w:rPr>
            </w:pPr>
            <w:r>
              <w:rPr>
                <w:sz w:val="21"/>
              </w:rPr>
              <w:t>30m</w:t>
            </w:r>
            <w:r>
              <w:rPr>
                <w:sz w:val="21"/>
                <w:vertAlign w:val="superscript"/>
              </w:rPr>
              <w:t>3</w:t>
            </w:r>
            <w:r>
              <w:rPr>
                <w:sz w:val="21"/>
              </w:rPr>
              <w:t>/d</w:t>
            </w:r>
          </w:p>
        </w:tc>
        <w:tc>
          <w:tcPr>
            <w:tcW w:w="649" w:type="pct"/>
            <w:vAlign w:val="center"/>
          </w:tcPr>
          <w:p>
            <w:pPr>
              <w:jc w:val="center"/>
              <w:rPr>
                <w:rFonts w:ascii="宋体" w:hAnsi="宋体" w:eastAsia="宋体" w:cs="宋体"/>
                <w:sz w:val="21"/>
              </w:rPr>
            </w:pPr>
            <w:r>
              <w:rPr>
                <w:sz w:val="21"/>
              </w:rPr>
              <w:t>0.85</w:t>
            </w:r>
          </w:p>
        </w:tc>
        <w:tc>
          <w:tcPr>
            <w:tcW w:w="701" w:type="pct"/>
            <w:vAlign w:val="center"/>
          </w:tcPr>
          <w:p>
            <w:pPr>
              <w:jc w:val="center"/>
              <w:rPr>
                <w:rFonts w:ascii="宋体" w:hAnsi="宋体" w:eastAsia="宋体" w:cs="宋体"/>
                <w:sz w:val="21"/>
              </w:rPr>
            </w:pPr>
            <w:r>
              <w:rPr>
                <w:rFonts w:hint="eastAsia"/>
                <w:sz w:val="21"/>
              </w:rPr>
              <w:t>25.5</w:t>
            </w:r>
            <w:r>
              <w:rPr>
                <w:sz w:val="21"/>
              </w:rPr>
              <w:t>m</w:t>
            </w:r>
            <w:r>
              <w:rPr>
                <w:sz w:val="21"/>
                <w:vertAlign w:val="superscript"/>
              </w:rPr>
              <w:t>3</w:t>
            </w:r>
            <w:r>
              <w:rPr>
                <w:sz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353" w:type="pct"/>
            <w:vAlign w:val="center"/>
          </w:tcPr>
          <w:p>
            <w:pPr>
              <w:jc w:val="center"/>
              <w:rPr>
                <w:rFonts w:ascii="宋体" w:hAnsi="宋体" w:eastAsia="宋体" w:cs="宋体"/>
                <w:color w:val="000000" w:themeColor="text1"/>
                <w:sz w:val="21"/>
              </w:rPr>
            </w:pPr>
            <w:r>
              <w:rPr>
                <w:rFonts w:hint="eastAsia"/>
                <w:color w:val="000000" w:themeColor="text1"/>
                <w:sz w:val="21"/>
              </w:rPr>
              <w:t>5</w:t>
            </w:r>
          </w:p>
        </w:tc>
        <w:tc>
          <w:tcPr>
            <w:tcW w:w="1208" w:type="pct"/>
            <w:vAlign w:val="center"/>
          </w:tcPr>
          <w:p>
            <w:pPr>
              <w:jc w:val="center"/>
              <w:rPr>
                <w:rFonts w:ascii="宋体" w:hAnsi="宋体" w:eastAsia="宋体" w:cs="宋体"/>
                <w:color w:val="000000" w:themeColor="text1"/>
                <w:sz w:val="21"/>
              </w:rPr>
            </w:pPr>
            <w:r>
              <w:rPr>
                <w:rFonts w:ascii="宋体" w:hAnsi="宋体" w:eastAsia="宋体" w:cs="宋体"/>
                <w:color w:val="000000" w:themeColor="text1"/>
                <w:sz w:val="21"/>
              </w:rPr>
              <w:t>检验室废水</w:t>
            </w:r>
          </w:p>
        </w:tc>
        <w:tc>
          <w:tcPr>
            <w:tcW w:w="1445" w:type="pct"/>
            <w:gridSpan w:val="2"/>
            <w:vAlign w:val="center"/>
          </w:tcPr>
          <w:p>
            <w:pPr>
              <w:jc w:val="center"/>
              <w:rPr>
                <w:rFonts w:ascii="宋体" w:hAnsi="宋体" w:eastAsia="宋体" w:cs="宋体"/>
                <w:color w:val="000000" w:themeColor="text1"/>
                <w:sz w:val="21"/>
              </w:rPr>
            </w:pPr>
            <w:r>
              <w:rPr>
                <w:color w:val="000000" w:themeColor="text1"/>
                <w:sz w:val="21"/>
              </w:rPr>
              <w:t>类比统计</w:t>
            </w:r>
          </w:p>
        </w:tc>
        <w:tc>
          <w:tcPr>
            <w:tcW w:w="644" w:type="pct"/>
            <w:vAlign w:val="center"/>
          </w:tcPr>
          <w:p>
            <w:pPr>
              <w:jc w:val="center"/>
              <w:rPr>
                <w:rFonts w:ascii="宋体" w:hAnsi="宋体" w:eastAsia="宋体" w:cs="宋体"/>
                <w:color w:val="000000" w:themeColor="text1"/>
                <w:sz w:val="21"/>
              </w:rPr>
            </w:pPr>
            <w:r>
              <w:rPr>
                <w:rFonts w:hint="eastAsia"/>
                <w:color w:val="000000" w:themeColor="text1"/>
                <w:sz w:val="21"/>
              </w:rPr>
              <w:t>0.1</w:t>
            </w:r>
            <w:r>
              <w:rPr>
                <w:color w:val="000000" w:themeColor="text1"/>
                <w:sz w:val="21"/>
              </w:rPr>
              <w:t>m</w:t>
            </w:r>
            <w:r>
              <w:rPr>
                <w:color w:val="000000" w:themeColor="text1"/>
                <w:sz w:val="21"/>
                <w:vertAlign w:val="superscript"/>
              </w:rPr>
              <w:t>3</w:t>
            </w:r>
            <w:r>
              <w:rPr>
                <w:color w:val="000000" w:themeColor="text1"/>
                <w:sz w:val="21"/>
              </w:rPr>
              <w:t>/d</w:t>
            </w:r>
          </w:p>
        </w:tc>
        <w:tc>
          <w:tcPr>
            <w:tcW w:w="649" w:type="pct"/>
            <w:vAlign w:val="center"/>
          </w:tcPr>
          <w:p>
            <w:pPr>
              <w:jc w:val="center"/>
              <w:rPr>
                <w:rFonts w:ascii="宋体" w:hAnsi="宋体" w:eastAsia="宋体" w:cs="宋体"/>
                <w:color w:val="000000" w:themeColor="text1"/>
                <w:sz w:val="21"/>
              </w:rPr>
            </w:pPr>
            <w:r>
              <w:rPr>
                <w:color w:val="000000" w:themeColor="text1"/>
                <w:sz w:val="21"/>
              </w:rPr>
              <w:t>0.85</w:t>
            </w:r>
          </w:p>
        </w:tc>
        <w:tc>
          <w:tcPr>
            <w:tcW w:w="701" w:type="pct"/>
            <w:vAlign w:val="center"/>
          </w:tcPr>
          <w:p>
            <w:pPr>
              <w:jc w:val="center"/>
              <w:rPr>
                <w:rFonts w:ascii="宋体" w:hAnsi="宋体" w:eastAsia="宋体" w:cs="宋体"/>
                <w:color w:val="000000" w:themeColor="text1"/>
                <w:sz w:val="21"/>
              </w:rPr>
            </w:pPr>
            <w:r>
              <w:rPr>
                <w:rFonts w:hint="eastAsia"/>
                <w:color w:val="000000" w:themeColor="text1"/>
                <w:sz w:val="21"/>
              </w:rPr>
              <w:t>0.085</w:t>
            </w:r>
            <w:r>
              <w:rPr>
                <w:color w:val="000000" w:themeColor="text1"/>
                <w:sz w:val="21"/>
              </w:rPr>
              <w:t>m</w:t>
            </w:r>
            <w:r>
              <w:rPr>
                <w:color w:val="000000" w:themeColor="text1"/>
                <w:sz w:val="21"/>
                <w:vertAlign w:val="superscript"/>
              </w:rPr>
              <w:t>3</w:t>
            </w:r>
            <w:r>
              <w:rPr>
                <w:color w:val="000000" w:themeColor="text1"/>
                <w:sz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353" w:type="pct"/>
            <w:vAlign w:val="center"/>
          </w:tcPr>
          <w:p>
            <w:pPr>
              <w:jc w:val="center"/>
              <w:rPr>
                <w:rFonts w:ascii="宋体" w:hAnsi="宋体" w:eastAsia="宋体" w:cs="宋体"/>
                <w:color w:val="000000" w:themeColor="text1"/>
                <w:sz w:val="21"/>
              </w:rPr>
            </w:pPr>
            <w:r>
              <w:rPr>
                <w:rFonts w:hint="eastAsia"/>
                <w:color w:val="000000" w:themeColor="text1"/>
                <w:sz w:val="21"/>
              </w:rPr>
              <w:t>6</w:t>
            </w:r>
          </w:p>
        </w:tc>
        <w:tc>
          <w:tcPr>
            <w:tcW w:w="1208" w:type="pct"/>
            <w:vAlign w:val="center"/>
          </w:tcPr>
          <w:p>
            <w:pPr>
              <w:jc w:val="center"/>
              <w:rPr>
                <w:rFonts w:ascii="宋体" w:hAnsi="宋体" w:eastAsia="宋体" w:cs="宋体"/>
                <w:color w:val="000000" w:themeColor="text1"/>
                <w:sz w:val="21"/>
              </w:rPr>
            </w:pPr>
            <w:r>
              <w:rPr>
                <w:color w:val="000000" w:themeColor="text1"/>
                <w:sz w:val="21"/>
              </w:rPr>
              <w:t>医务人员</w:t>
            </w:r>
          </w:p>
        </w:tc>
        <w:tc>
          <w:tcPr>
            <w:tcW w:w="722" w:type="pct"/>
            <w:vAlign w:val="center"/>
          </w:tcPr>
          <w:p>
            <w:pPr>
              <w:jc w:val="center"/>
              <w:rPr>
                <w:rFonts w:ascii="宋体" w:hAnsi="宋体" w:eastAsia="宋体" w:cs="宋体"/>
                <w:color w:val="000000" w:themeColor="text1"/>
                <w:sz w:val="21"/>
              </w:rPr>
            </w:pPr>
            <w:r>
              <w:rPr>
                <w:rFonts w:hint="eastAsia"/>
                <w:color w:val="000000" w:themeColor="text1"/>
                <w:sz w:val="21"/>
              </w:rPr>
              <w:t>174</w:t>
            </w:r>
            <w:r>
              <w:rPr>
                <w:color w:val="000000" w:themeColor="text1"/>
                <w:sz w:val="21"/>
              </w:rPr>
              <w:t>人/天</w:t>
            </w:r>
          </w:p>
        </w:tc>
        <w:tc>
          <w:tcPr>
            <w:tcW w:w="722" w:type="pct"/>
            <w:vAlign w:val="center"/>
          </w:tcPr>
          <w:p>
            <w:pPr>
              <w:jc w:val="center"/>
              <w:rPr>
                <w:rFonts w:ascii="宋体" w:hAnsi="宋体" w:eastAsia="宋体" w:cs="宋体"/>
                <w:color w:val="000000" w:themeColor="text1"/>
                <w:sz w:val="21"/>
              </w:rPr>
            </w:pPr>
            <w:r>
              <w:rPr>
                <w:color w:val="000000" w:themeColor="text1"/>
                <w:sz w:val="21"/>
              </w:rPr>
              <w:t>50L/人.天</w:t>
            </w:r>
          </w:p>
        </w:tc>
        <w:tc>
          <w:tcPr>
            <w:tcW w:w="644" w:type="pct"/>
            <w:vAlign w:val="center"/>
          </w:tcPr>
          <w:p>
            <w:pPr>
              <w:jc w:val="center"/>
              <w:rPr>
                <w:rFonts w:ascii="宋体" w:hAnsi="宋体" w:eastAsia="宋体" w:cs="宋体"/>
                <w:color w:val="000000" w:themeColor="text1"/>
                <w:sz w:val="21"/>
              </w:rPr>
            </w:pPr>
            <w:r>
              <w:rPr>
                <w:rFonts w:hint="eastAsia"/>
                <w:color w:val="000000" w:themeColor="text1"/>
                <w:sz w:val="21"/>
              </w:rPr>
              <w:t>8.7</w:t>
            </w:r>
            <w:r>
              <w:rPr>
                <w:color w:val="000000" w:themeColor="text1"/>
                <w:sz w:val="21"/>
              </w:rPr>
              <w:t>m</w:t>
            </w:r>
            <w:r>
              <w:rPr>
                <w:color w:val="000000" w:themeColor="text1"/>
                <w:sz w:val="21"/>
                <w:vertAlign w:val="superscript"/>
              </w:rPr>
              <w:t>3</w:t>
            </w:r>
            <w:r>
              <w:rPr>
                <w:color w:val="000000" w:themeColor="text1"/>
                <w:sz w:val="21"/>
              </w:rPr>
              <w:t>/d</w:t>
            </w:r>
          </w:p>
        </w:tc>
        <w:tc>
          <w:tcPr>
            <w:tcW w:w="649" w:type="pct"/>
            <w:vAlign w:val="center"/>
          </w:tcPr>
          <w:p>
            <w:pPr>
              <w:jc w:val="center"/>
              <w:rPr>
                <w:rFonts w:ascii="宋体" w:hAnsi="宋体" w:eastAsia="宋体" w:cs="宋体"/>
                <w:color w:val="000000" w:themeColor="text1"/>
                <w:sz w:val="21"/>
              </w:rPr>
            </w:pPr>
            <w:r>
              <w:rPr>
                <w:color w:val="000000" w:themeColor="text1"/>
                <w:sz w:val="21"/>
              </w:rPr>
              <w:t>0.85</w:t>
            </w:r>
          </w:p>
        </w:tc>
        <w:tc>
          <w:tcPr>
            <w:tcW w:w="701" w:type="pct"/>
            <w:vAlign w:val="center"/>
          </w:tcPr>
          <w:p>
            <w:pPr>
              <w:jc w:val="center"/>
              <w:rPr>
                <w:rFonts w:ascii="宋体" w:hAnsi="宋体" w:eastAsia="宋体" w:cs="宋体"/>
                <w:color w:val="000000" w:themeColor="text1"/>
                <w:sz w:val="21"/>
              </w:rPr>
            </w:pPr>
            <w:r>
              <w:rPr>
                <w:rFonts w:hint="eastAsia"/>
                <w:color w:val="000000" w:themeColor="text1"/>
                <w:sz w:val="21"/>
              </w:rPr>
              <w:t>7.398</w:t>
            </w:r>
            <w:r>
              <w:rPr>
                <w:color w:val="000000" w:themeColor="text1"/>
                <w:sz w:val="21"/>
              </w:rPr>
              <w:t>m</w:t>
            </w:r>
            <w:r>
              <w:rPr>
                <w:color w:val="000000" w:themeColor="text1"/>
                <w:sz w:val="21"/>
                <w:vertAlign w:val="superscript"/>
              </w:rPr>
              <w:t>3</w:t>
            </w:r>
            <w:r>
              <w:rPr>
                <w:color w:val="000000" w:themeColor="text1"/>
                <w:sz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53" w:type="pct"/>
            <w:vAlign w:val="center"/>
          </w:tcPr>
          <w:p>
            <w:pPr>
              <w:jc w:val="center"/>
              <w:rPr>
                <w:rFonts w:ascii="宋体" w:hAnsi="宋体" w:eastAsia="宋体" w:cs="宋体"/>
                <w:sz w:val="21"/>
              </w:rPr>
            </w:pPr>
            <w:r>
              <w:rPr>
                <w:rFonts w:hint="eastAsia"/>
                <w:sz w:val="21"/>
              </w:rPr>
              <w:t>7</w:t>
            </w:r>
          </w:p>
        </w:tc>
        <w:tc>
          <w:tcPr>
            <w:tcW w:w="1208" w:type="pct"/>
            <w:vAlign w:val="center"/>
          </w:tcPr>
          <w:p>
            <w:pPr>
              <w:jc w:val="center"/>
              <w:rPr>
                <w:rFonts w:ascii="宋体" w:hAnsi="宋体" w:eastAsia="宋体" w:cs="宋体"/>
                <w:sz w:val="21"/>
              </w:rPr>
            </w:pPr>
            <w:r>
              <w:rPr>
                <w:sz w:val="21"/>
              </w:rPr>
              <w:t>职工公寓</w:t>
            </w:r>
          </w:p>
        </w:tc>
        <w:tc>
          <w:tcPr>
            <w:tcW w:w="722" w:type="pct"/>
            <w:vAlign w:val="center"/>
          </w:tcPr>
          <w:p>
            <w:pPr>
              <w:jc w:val="center"/>
              <w:rPr>
                <w:rFonts w:ascii="宋体" w:hAnsi="宋体" w:eastAsia="宋体" w:cs="宋体"/>
                <w:sz w:val="21"/>
              </w:rPr>
            </w:pPr>
            <w:r>
              <w:rPr>
                <w:rFonts w:hint="eastAsia"/>
                <w:sz w:val="21"/>
              </w:rPr>
              <w:t>140</w:t>
            </w:r>
            <w:r>
              <w:rPr>
                <w:sz w:val="21"/>
              </w:rPr>
              <w:t>人/天</w:t>
            </w:r>
          </w:p>
        </w:tc>
        <w:tc>
          <w:tcPr>
            <w:tcW w:w="722" w:type="pct"/>
            <w:vAlign w:val="center"/>
          </w:tcPr>
          <w:p>
            <w:pPr>
              <w:jc w:val="center"/>
              <w:rPr>
                <w:rFonts w:ascii="宋体" w:hAnsi="宋体" w:eastAsia="宋体" w:cs="宋体"/>
                <w:sz w:val="21"/>
              </w:rPr>
            </w:pPr>
            <w:r>
              <w:rPr>
                <w:sz w:val="21"/>
              </w:rPr>
              <w:t>100L/人.天</w:t>
            </w:r>
          </w:p>
        </w:tc>
        <w:tc>
          <w:tcPr>
            <w:tcW w:w="644" w:type="pct"/>
            <w:vAlign w:val="center"/>
          </w:tcPr>
          <w:p>
            <w:pPr>
              <w:jc w:val="center"/>
              <w:rPr>
                <w:rFonts w:ascii="宋体" w:hAnsi="宋体" w:eastAsia="宋体" w:cs="宋体"/>
                <w:sz w:val="21"/>
              </w:rPr>
            </w:pPr>
            <w:r>
              <w:rPr>
                <w:rFonts w:hint="eastAsia"/>
                <w:sz w:val="21"/>
              </w:rPr>
              <w:t>14</w:t>
            </w:r>
            <w:r>
              <w:rPr>
                <w:sz w:val="21"/>
              </w:rPr>
              <w:t>m</w:t>
            </w:r>
            <w:r>
              <w:rPr>
                <w:sz w:val="21"/>
                <w:vertAlign w:val="superscript"/>
              </w:rPr>
              <w:t>3</w:t>
            </w:r>
            <w:r>
              <w:rPr>
                <w:sz w:val="21"/>
              </w:rPr>
              <w:t>/d</w:t>
            </w:r>
          </w:p>
        </w:tc>
        <w:tc>
          <w:tcPr>
            <w:tcW w:w="649" w:type="pct"/>
            <w:vAlign w:val="center"/>
          </w:tcPr>
          <w:p>
            <w:pPr>
              <w:jc w:val="center"/>
              <w:rPr>
                <w:rFonts w:ascii="宋体" w:hAnsi="宋体" w:eastAsia="宋体" w:cs="宋体"/>
                <w:sz w:val="21"/>
              </w:rPr>
            </w:pPr>
            <w:r>
              <w:rPr>
                <w:sz w:val="21"/>
              </w:rPr>
              <w:t>0.85</w:t>
            </w:r>
          </w:p>
        </w:tc>
        <w:tc>
          <w:tcPr>
            <w:tcW w:w="701" w:type="pct"/>
            <w:vAlign w:val="center"/>
          </w:tcPr>
          <w:p>
            <w:pPr>
              <w:jc w:val="center"/>
              <w:rPr>
                <w:rFonts w:ascii="宋体" w:hAnsi="宋体" w:eastAsia="宋体" w:cs="宋体"/>
                <w:sz w:val="21"/>
              </w:rPr>
            </w:pPr>
            <w:r>
              <w:rPr>
                <w:rFonts w:hint="eastAsia"/>
                <w:sz w:val="21"/>
              </w:rPr>
              <w:t>11.9</w:t>
            </w:r>
            <w:r>
              <w:rPr>
                <w:sz w:val="21"/>
              </w:rPr>
              <w:t>m</w:t>
            </w:r>
            <w:r>
              <w:rPr>
                <w:sz w:val="21"/>
                <w:vertAlign w:val="superscript"/>
              </w:rPr>
              <w:t>3</w:t>
            </w:r>
            <w:r>
              <w:rPr>
                <w:sz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353" w:type="pct"/>
            <w:vAlign w:val="center"/>
          </w:tcPr>
          <w:p>
            <w:pPr>
              <w:jc w:val="center"/>
              <w:rPr>
                <w:rFonts w:ascii="宋体" w:hAnsi="宋体" w:eastAsia="宋体" w:cs="宋体"/>
                <w:sz w:val="21"/>
              </w:rPr>
            </w:pPr>
            <w:r>
              <w:rPr>
                <w:rFonts w:hint="eastAsia"/>
                <w:sz w:val="21"/>
              </w:rPr>
              <w:t>8</w:t>
            </w:r>
          </w:p>
        </w:tc>
        <w:tc>
          <w:tcPr>
            <w:tcW w:w="1208" w:type="pct"/>
            <w:vAlign w:val="center"/>
          </w:tcPr>
          <w:p>
            <w:pPr>
              <w:jc w:val="center"/>
              <w:rPr>
                <w:rFonts w:ascii="宋体" w:hAnsi="宋体" w:eastAsia="宋体" w:cs="宋体"/>
                <w:sz w:val="21"/>
              </w:rPr>
            </w:pPr>
            <w:r>
              <w:rPr>
                <w:sz w:val="21"/>
              </w:rPr>
              <w:t>食堂</w:t>
            </w:r>
          </w:p>
        </w:tc>
        <w:tc>
          <w:tcPr>
            <w:tcW w:w="722" w:type="pct"/>
            <w:vAlign w:val="center"/>
          </w:tcPr>
          <w:p>
            <w:pPr>
              <w:jc w:val="center"/>
              <w:rPr>
                <w:rFonts w:ascii="宋体" w:hAnsi="宋体" w:eastAsia="宋体" w:cs="宋体"/>
                <w:sz w:val="21"/>
              </w:rPr>
            </w:pPr>
            <w:r>
              <w:rPr>
                <w:rFonts w:hint="eastAsia"/>
                <w:sz w:val="21"/>
              </w:rPr>
              <w:t>700</w:t>
            </w:r>
            <w:r>
              <w:rPr>
                <w:sz w:val="21"/>
              </w:rPr>
              <w:t>人/天</w:t>
            </w:r>
          </w:p>
        </w:tc>
        <w:tc>
          <w:tcPr>
            <w:tcW w:w="722" w:type="pct"/>
            <w:vAlign w:val="center"/>
          </w:tcPr>
          <w:p>
            <w:pPr>
              <w:jc w:val="center"/>
              <w:rPr>
                <w:rFonts w:ascii="宋体" w:hAnsi="宋体" w:eastAsia="宋体" w:cs="宋体"/>
                <w:sz w:val="21"/>
              </w:rPr>
            </w:pPr>
            <w:r>
              <w:rPr>
                <w:sz w:val="21"/>
              </w:rPr>
              <w:t>20L/人.餐</w:t>
            </w:r>
          </w:p>
        </w:tc>
        <w:tc>
          <w:tcPr>
            <w:tcW w:w="644" w:type="pct"/>
            <w:vAlign w:val="center"/>
          </w:tcPr>
          <w:p>
            <w:pPr>
              <w:jc w:val="center"/>
              <w:rPr>
                <w:rFonts w:ascii="宋体" w:hAnsi="宋体" w:eastAsia="宋体" w:cs="宋体"/>
                <w:sz w:val="21"/>
              </w:rPr>
            </w:pPr>
            <w:r>
              <w:rPr>
                <w:rFonts w:hint="eastAsia"/>
                <w:sz w:val="21"/>
              </w:rPr>
              <w:t>14</w:t>
            </w:r>
            <w:r>
              <w:rPr>
                <w:sz w:val="21"/>
              </w:rPr>
              <w:t>m</w:t>
            </w:r>
            <w:r>
              <w:rPr>
                <w:sz w:val="21"/>
                <w:vertAlign w:val="superscript"/>
              </w:rPr>
              <w:t>3</w:t>
            </w:r>
            <w:r>
              <w:rPr>
                <w:sz w:val="21"/>
              </w:rPr>
              <w:t>/d</w:t>
            </w:r>
          </w:p>
        </w:tc>
        <w:tc>
          <w:tcPr>
            <w:tcW w:w="649" w:type="pct"/>
            <w:vAlign w:val="center"/>
          </w:tcPr>
          <w:p>
            <w:pPr>
              <w:jc w:val="center"/>
              <w:rPr>
                <w:rFonts w:ascii="宋体" w:hAnsi="宋体" w:eastAsia="宋体" w:cs="宋体"/>
                <w:sz w:val="21"/>
              </w:rPr>
            </w:pPr>
            <w:r>
              <w:rPr>
                <w:sz w:val="21"/>
              </w:rPr>
              <w:t>0.85</w:t>
            </w:r>
          </w:p>
        </w:tc>
        <w:tc>
          <w:tcPr>
            <w:tcW w:w="701" w:type="pct"/>
            <w:vAlign w:val="center"/>
          </w:tcPr>
          <w:p>
            <w:pPr>
              <w:jc w:val="center"/>
              <w:rPr>
                <w:rFonts w:ascii="宋体" w:hAnsi="宋体" w:eastAsia="宋体" w:cs="宋体"/>
                <w:sz w:val="21"/>
              </w:rPr>
            </w:pPr>
            <w:r>
              <w:rPr>
                <w:rFonts w:hint="eastAsia"/>
                <w:sz w:val="21"/>
              </w:rPr>
              <w:t>11.9</w:t>
            </w:r>
            <w:r>
              <w:rPr>
                <w:sz w:val="21"/>
              </w:rPr>
              <w:t>m</w:t>
            </w:r>
            <w:r>
              <w:rPr>
                <w:sz w:val="21"/>
                <w:vertAlign w:val="superscript"/>
              </w:rPr>
              <w:t>3</w:t>
            </w:r>
            <w:r>
              <w:rPr>
                <w:sz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353" w:type="pct"/>
            <w:vAlign w:val="center"/>
          </w:tcPr>
          <w:p>
            <w:pPr>
              <w:jc w:val="center"/>
              <w:rPr>
                <w:rFonts w:ascii="宋体" w:hAnsi="宋体" w:eastAsia="宋体" w:cs="宋体"/>
                <w:sz w:val="21"/>
              </w:rPr>
            </w:pPr>
            <w:r>
              <w:rPr>
                <w:rFonts w:hint="eastAsia"/>
                <w:sz w:val="21"/>
              </w:rPr>
              <w:t>9</w:t>
            </w:r>
          </w:p>
        </w:tc>
        <w:tc>
          <w:tcPr>
            <w:tcW w:w="1208" w:type="pct"/>
            <w:vAlign w:val="center"/>
          </w:tcPr>
          <w:p>
            <w:pPr>
              <w:jc w:val="center"/>
              <w:rPr>
                <w:rFonts w:ascii="宋体" w:hAnsi="宋体" w:eastAsia="宋体" w:cs="宋体"/>
                <w:sz w:val="21"/>
              </w:rPr>
            </w:pPr>
            <w:r>
              <w:rPr>
                <w:sz w:val="21"/>
              </w:rPr>
              <w:t>未预见用水</w:t>
            </w:r>
          </w:p>
        </w:tc>
        <w:tc>
          <w:tcPr>
            <w:tcW w:w="1445" w:type="pct"/>
            <w:gridSpan w:val="2"/>
            <w:vAlign w:val="center"/>
          </w:tcPr>
          <w:p>
            <w:pPr>
              <w:jc w:val="center"/>
              <w:rPr>
                <w:rFonts w:ascii="宋体" w:hAnsi="宋体" w:eastAsia="宋体" w:cs="宋体"/>
                <w:sz w:val="21"/>
              </w:rPr>
            </w:pPr>
            <w:r>
              <w:rPr>
                <w:sz w:val="21"/>
              </w:rPr>
              <w:t>1-</w:t>
            </w:r>
            <w:r>
              <w:rPr>
                <w:rFonts w:hint="eastAsia"/>
                <w:sz w:val="21"/>
              </w:rPr>
              <w:t>7</w:t>
            </w:r>
            <w:r>
              <w:rPr>
                <w:sz w:val="21"/>
              </w:rPr>
              <w:t>废水总量的10%</w:t>
            </w:r>
          </w:p>
        </w:tc>
        <w:tc>
          <w:tcPr>
            <w:tcW w:w="644" w:type="pct"/>
            <w:vAlign w:val="center"/>
          </w:tcPr>
          <w:p>
            <w:pPr>
              <w:jc w:val="center"/>
              <w:rPr>
                <w:rFonts w:ascii="宋体" w:hAnsi="宋体" w:eastAsia="宋体" w:cs="宋体"/>
                <w:sz w:val="21"/>
              </w:rPr>
            </w:pPr>
            <w:r>
              <w:rPr>
                <w:rFonts w:hint="eastAsia"/>
                <w:sz w:val="21"/>
              </w:rPr>
              <w:t>37.74</w:t>
            </w:r>
            <w:r>
              <w:rPr>
                <w:sz w:val="21"/>
              </w:rPr>
              <w:t>m</w:t>
            </w:r>
            <w:r>
              <w:rPr>
                <w:sz w:val="21"/>
                <w:vertAlign w:val="superscript"/>
              </w:rPr>
              <w:t>3</w:t>
            </w:r>
            <w:r>
              <w:rPr>
                <w:sz w:val="21"/>
              </w:rPr>
              <w:t>/d</w:t>
            </w:r>
          </w:p>
        </w:tc>
        <w:tc>
          <w:tcPr>
            <w:tcW w:w="649" w:type="pct"/>
            <w:vAlign w:val="center"/>
          </w:tcPr>
          <w:p>
            <w:pPr>
              <w:jc w:val="center"/>
              <w:rPr>
                <w:rFonts w:ascii="宋体" w:hAnsi="宋体" w:eastAsia="宋体" w:cs="宋体"/>
                <w:sz w:val="21"/>
              </w:rPr>
            </w:pPr>
            <w:r>
              <w:rPr>
                <w:sz w:val="21"/>
              </w:rPr>
              <w:t>0.85</w:t>
            </w:r>
          </w:p>
        </w:tc>
        <w:tc>
          <w:tcPr>
            <w:tcW w:w="701" w:type="pct"/>
            <w:vAlign w:val="center"/>
          </w:tcPr>
          <w:p>
            <w:pPr>
              <w:jc w:val="center"/>
              <w:rPr>
                <w:rFonts w:ascii="宋体" w:hAnsi="宋体" w:eastAsia="宋体" w:cs="宋体"/>
                <w:sz w:val="21"/>
              </w:rPr>
            </w:pPr>
            <w:r>
              <w:rPr>
                <w:rFonts w:hint="eastAsia"/>
                <w:sz w:val="21"/>
              </w:rPr>
              <w:t>32.079</w:t>
            </w:r>
            <w:r>
              <w:rPr>
                <w:sz w:val="21"/>
              </w:rPr>
              <w:t>m</w:t>
            </w:r>
            <w:r>
              <w:rPr>
                <w:sz w:val="21"/>
                <w:vertAlign w:val="superscript"/>
              </w:rPr>
              <w:t>3</w:t>
            </w:r>
            <w:r>
              <w:rPr>
                <w:sz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3" w:type="pct"/>
            <w:vAlign w:val="center"/>
          </w:tcPr>
          <w:p>
            <w:pPr>
              <w:jc w:val="center"/>
              <w:rPr>
                <w:rFonts w:ascii="宋体" w:hAnsi="宋体" w:eastAsia="宋体" w:cs="宋体"/>
                <w:sz w:val="21"/>
              </w:rPr>
            </w:pPr>
            <w:r>
              <w:rPr>
                <w:rFonts w:hint="eastAsia"/>
                <w:sz w:val="21"/>
              </w:rPr>
              <w:t>10</w:t>
            </w:r>
          </w:p>
        </w:tc>
        <w:tc>
          <w:tcPr>
            <w:tcW w:w="1208" w:type="pct"/>
            <w:vAlign w:val="center"/>
          </w:tcPr>
          <w:p>
            <w:pPr>
              <w:jc w:val="center"/>
              <w:rPr>
                <w:rFonts w:ascii="宋体" w:hAnsi="宋体" w:eastAsia="宋体" w:cs="宋体"/>
                <w:sz w:val="21"/>
              </w:rPr>
            </w:pPr>
            <w:r>
              <w:rPr>
                <w:sz w:val="21"/>
              </w:rPr>
              <w:t>锅炉</w:t>
            </w:r>
          </w:p>
        </w:tc>
        <w:tc>
          <w:tcPr>
            <w:tcW w:w="722" w:type="pct"/>
            <w:vAlign w:val="center"/>
          </w:tcPr>
          <w:p>
            <w:pPr>
              <w:jc w:val="center"/>
              <w:rPr>
                <w:rFonts w:ascii="宋体" w:hAnsi="宋体" w:eastAsia="宋体" w:cs="宋体"/>
                <w:sz w:val="21"/>
              </w:rPr>
            </w:pPr>
            <w:r>
              <w:rPr>
                <w:rFonts w:hint="eastAsia"/>
                <w:sz w:val="21"/>
              </w:rPr>
              <w:t>4</w:t>
            </w:r>
            <w:r>
              <w:rPr>
                <w:sz w:val="21"/>
              </w:rPr>
              <w:t>台</w:t>
            </w:r>
            <w:r>
              <w:rPr>
                <w:rFonts w:hint="eastAsia"/>
                <w:sz w:val="21"/>
              </w:rPr>
              <w:t>功率为605kw的热水锅炉</w:t>
            </w:r>
          </w:p>
        </w:tc>
        <w:tc>
          <w:tcPr>
            <w:tcW w:w="722" w:type="pct"/>
            <w:vAlign w:val="center"/>
          </w:tcPr>
          <w:p>
            <w:pPr>
              <w:jc w:val="center"/>
              <w:rPr>
                <w:rFonts w:ascii="宋体" w:hAnsi="宋体" w:eastAsia="宋体" w:cs="宋体"/>
                <w:sz w:val="21"/>
              </w:rPr>
            </w:pPr>
            <w:r>
              <w:rPr>
                <w:sz w:val="21"/>
              </w:rPr>
              <w:t>损耗10%</w:t>
            </w:r>
          </w:p>
        </w:tc>
        <w:tc>
          <w:tcPr>
            <w:tcW w:w="644" w:type="pct"/>
            <w:vAlign w:val="center"/>
          </w:tcPr>
          <w:p>
            <w:pPr>
              <w:jc w:val="center"/>
              <w:rPr>
                <w:rFonts w:ascii="宋体" w:hAnsi="宋体" w:eastAsia="宋体" w:cs="宋体"/>
                <w:sz w:val="21"/>
              </w:rPr>
            </w:pPr>
            <w:r>
              <w:rPr>
                <w:rFonts w:hint="eastAsia"/>
                <w:sz w:val="21"/>
              </w:rPr>
              <w:t>20</w:t>
            </w:r>
            <w:r>
              <w:rPr>
                <w:sz w:val="21"/>
              </w:rPr>
              <w:t>m</w:t>
            </w:r>
            <w:r>
              <w:rPr>
                <w:sz w:val="21"/>
                <w:vertAlign w:val="superscript"/>
              </w:rPr>
              <w:t>3</w:t>
            </w:r>
            <w:r>
              <w:rPr>
                <w:sz w:val="21"/>
              </w:rPr>
              <w:t>/d</w:t>
            </w:r>
          </w:p>
        </w:tc>
        <w:tc>
          <w:tcPr>
            <w:tcW w:w="1350" w:type="pct"/>
            <w:gridSpan w:val="2"/>
            <w:vAlign w:val="center"/>
          </w:tcPr>
          <w:p>
            <w:pPr>
              <w:jc w:val="center"/>
              <w:rPr>
                <w:rFonts w:ascii="宋体" w:hAnsi="宋体" w:cs="宋体"/>
                <w:sz w:val="21"/>
              </w:rPr>
            </w:pPr>
            <w:r>
              <w:rPr>
                <w:rFonts w:hint="eastAsia"/>
                <w:sz w:val="21"/>
              </w:rPr>
              <w:t>18</w:t>
            </w:r>
            <w:r>
              <w:rPr>
                <w:sz w:val="21"/>
              </w:rPr>
              <w:t>m</w:t>
            </w:r>
            <w:r>
              <w:rPr>
                <w:sz w:val="21"/>
                <w:vertAlign w:val="superscript"/>
              </w:rPr>
              <w:t>3</w:t>
            </w:r>
            <w:r>
              <w:rPr>
                <w:sz w:val="21"/>
              </w:rPr>
              <w:t>/d</w:t>
            </w:r>
          </w:p>
          <w:p>
            <w:pPr>
              <w:jc w:val="center"/>
              <w:rPr>
                <w:rFonts w:ascii="宋体" w:hAnsi="宋体" w:eastAsia="宋体" w:cs="宋体"/>
                <w:sz w:val="21"/>
              </w:rPr>
            </w:pPr>
            <w:r>
              <w:rPr>
                <w:sz w:val="21"/>
              </w:rPr>
              <w:t>清净下水，排雨水管道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353" w:type="pct"/>
            <w:vAlign w:val="center"/>
          </w:tcPr>
          <w:p>
            <w:pPr>
              <w:jc w:val="center"/>
              <w:rPr>
                <w:rFonts w:ascii="宋体" w:hAnsi="宋体" w:eastAsia="宋体" w:cs="宋体"/>
                <w:sz w:val="21"/>
              </w:rPr>
            </w:pPr>
            <w:r>
              <w:rPr>
                <w:rFonts w:hint="eastAsia"/>
                <w:sz w:val="21"/>
              </w:rPr>
              <w:t>11</w:t>
            </w:r>
          </w:p>
        </w:tc>
        <w:tc>
          <w:tcPr>
            <w:tcW w:w="1208" w:type="pct"/>
            <w:vAlign w:val="center"/>
          </w:tcPr>
          <w:p>
            <w:pPr>
              <w:jc w:val="center"/>
              <w:rPr>
                <w:rFonts w:ascii="宋体" w:hAnsi="宋体" w:eastAsia="宋体" w:cs="宋体"/>
                <w:sz w:val="21"/>
              </w:rPr>
            </w:pPr>
            <w:r>
              <w:rPr>
                <w:sz w:val="21"/>
              </w:rPr>
              <w:t>中央空调用水</w:t>
            </w:r>
          </w:p>
        </w:tc>
        <w:tc>
          <w:tcPr>
            <w:tcW w:w="722" w:type="pct"/>
            <w:vAlign w:val="center"/>
          </w:tcPr>
          <w:p>
            <w:pPr>
              <w:jc w:val="center"/>
              <w:rPr>
                <w:rFonts w:ascii="宋体" w:hAnsi="宋体" w:eastAsia="宋体" w:cs="宋体"/>
                <w:sz w:val="21"/>
              </w:rPr>
            </w:pPr>
            <w:r>
              <w:rPr>
                <w:sz w:val="21"/>
              </w:rPr>
              <w:t>/</w:t>
            </w:r>
          </w:p>
        </w:tc>
        <w:tc>
          <w:tcPr>
            <w:tcW w:w="722" w:type="pct"/>
            <w:vAlign w:val="center"/>
          </w:tcPr>
          <w:p>
            <w:pPr>
              <w:jc w:val="center"/>
              <w:rPr>
                <w:rFonts w:ascii="宋体" w:hAnsi="宋体" w:eastAsia="宋体" w:cs="宋体"/>
                <w:sz w:val="21"/>
              </w:rPr>
            </w:pPr>
            <w:r>
              <w:rPr>
                <w:sz w:val="21"/>
              </w:rPr>
              <w:t>/</w:t>
            </w:r>
          </w:p>
        </w:tc>
        <w:tc>
          <w:tcPr>
            <w:tcW w:w="644" w:type="pct"/>
            <w:vAlign w:val="center"/>
          </w:tcPr>
          <w:p>
            <w:pPr>
              <w:jc w:val="center"/>
              <w:rPr>
                <w:rFonts w:ascii="宋体" w:hAnsi="宋体" w:eastAsia="宋体" w:cs="宋体"/>
                <w:sz w:val="21"/>
              </w:rPr>
            </w:pPr>
            <w:r>
              <w:rPr>
                <w:sz w:val="21"/>
              </w:rPr>
              <w:t>100m</w:t>
            </w:r>
            <w:r>
              <w:rPr>
                <w:sz w:val="21"/>
                <w:vertAlign w:val="superscript"/>
              </w:rPr>
              <w:t>3</w:t>
            </w:r>
            <w:r>
              <w:rPr>
                <w:sz w:val="21"/>
              </w:rPr>
              <w:t>/d</w:t>
            </w:r>
          </w:p>
        </w:tc>
        <w:tc>
          <w:tcPr>
            <w:tcW w:w="1350" w:type="pct"/>
            <w:gridSpan w:val="2"/>
            <w:vAlign w:val="center"/>
          </w:tcPr>
          <w:p>
            <w:pPr>
              <w:jc w:val="center"/>
              <w:rPr>
                <w:rFonts w:ascii="宋体" w:hAnsi="宋体" w:eastAsia="宋体" w:cs="宋体"/>
                <w:sz w:val="21"/>
              </w:rPr>
            </w:pPr>
            <w:r>
              <w:rPr>
                <w:sz w:val="21"/>
              </w:rPr>
              <w:t>100 m</w:t>
            </w:r>
            <w:r>
              <w:rPr>
                <w:sz w:val="21"/>
                <w:vertAlign w:val="superscript"/>
              </w:rPr>
              <w:t>3</w:t>
            </w:r>
            <w:r>
              <w:rPr>
                <w:sz w:val="21"/>
              </w:rPr>
              <w:t>/d（散发）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353" w:type="pct"/>
            <w:vAlign w:val="center"/>
          </w:tcPr>
          <w:p>
            <w:pPr>
              <w:jc w:val="center"/>
              <w:rPr>
                <w:rFonts w:ascii="宋体" w:hAnsi="宋体" w:eastAsia="宋体" w:cs="宋体"/>
                <w:sz w:val="21"/>
              </w:rPr>
            </w:pPr>
            <w:r>
              <w:rPr>
                <w:rFonts w:hint="eastAsia"/>
                <w:sz w:val="21"/>
              </w:rPr>
              <w:t>12</w:t>
            </w:r>
          </w:p>
        </w:tc>
        <w:tc>
          <w:tcPr>
            <w:tcW w:w="1208" w:type="pct"/>
            <w:vAlign w:val="center"/>
          </w:tcPr>
          <w:p>
            <w:pPr>
              <w:jc w:val="center"/>
              <w:rPr>
                <w:rFonts w:ascii="宋体" w:hAnsi="宋体" w:eastAsia="宋体" w:cs="宋体"/>
                <w:sz w:val="21"/>
              </w:rPr>
            </w:pPr>
            <w:r>
              <w:rPr>
                <w:sz w:val="21"/>
              </w:rPr>
              <w:t>合计</w:t>
            </w:r>
          </w:p>
        </w:tc>
        <w:tc>
          <w:tcPr>
            <w:tcW w:w="1445" w:type="pct"/>
            <w:gridSpan w:val="2"/>
            <w:vAlign w:val="center"/>
          </w:tcPr>
          <w:p>
            <w:pPr>
              <w:jc w:val="center"/>
              <w:rPr>
                <w:rFonts w:ascii="宋体" w:hAnsi="宋体" w:eastAsia="宋体" w:cs="宋体"/>
                <w:sz w:val="21"/>
              </w:rPr>
            </w:pPr>
            <w:r>
              <w:rPr>
                <w:sz w:val="21"/>
              </w:rPr>
              <w:t>/</w:t>
            </w:r>
          </w:p>
        </w:tc>
        <w:tc>
          <w:tcPr>
            <w:tcW w:w="644" w:type="pct"/>
            <w:vAlign w:val="center"/>
          </w:tcPr>
          <w:p>
            <w:pPr>
              <w:jc w:val="center"/>
              <w:rPr>
                <w:rFonts w:ascii="宋体" w:hAnsi="宋体" w:eastAsia="宋体" w:cs="宋体"/>
                <w:sz w:val="21"/>
              </w:rPr>
            </w:pPr>
            <w:r>
              <w:rPr>
                <w:rFonts w:hint="eastAsia"/>
                <w:sz w:val="21"/>
              </w:rPr>
              <w:t>533.99</w:t>
            </w:r>
            <w:r>
              <w:rPr>
                <w:sz w:val="21"/>
              </w:rPr>
              <w:t>m</w:t>
            </w:r>
            <w:r>
              <w:rPr>
                <w:sz w:val="21"/>
                <w:vertAlign w:val="superscript"/>
              </w:rPr>
              <w:t>3</w:t>
            </w:r>
            <w:r>
              <w:rPr>
                <w:sz w:val="21"/>
              </w:rPr>
              <w:t>/d</w:t>
            </w:r>
          </w:p>
        </w:tc>
        <w:tc>
          <w:tcPr>
            <w:tcW w:w="649" w:type="pct"/>
            <w:vAlign w:val="center"/>
          </w:tcPr>
          <w:p>
            <w:pPr>
              <w:jc w:val="center"/>
              <w:rPr>
                <w:rFonts w:ascii="宋体" w:hAnsi="宋体" w:eastAsia="宋体" w:cs="宋体"/>
                <w:sz w:val="21"/>
              </w:rPr>
            </w:pPr>
            <w:r>
              <w:rPr>
                <w:sz w:val="21"/>
              </w:rPr>
              <w:t>/</w:t>
            </w:r>
          </w:p>
        </w:tc>
        <w:tc>
          <w:tcPr>
            <w:tcW w:w="701" w:type="pct"/>
            <w:vAlign w:val="center"/>
          </w:tcPr>
          <w:p>
            <w:pPr>
              <w:jc w:val="center"/>
              <w:rPr>
                <w:rFonts w:ascii="宋体" w:hAnsi="宋体" w:eastAsia="宋体" w:cs="宋体"/>
                <w:sz w:val="21"/>
              </w:rPr>
            </w:pPr>
            <w:r>
              <w:rPr>
                <w:rFonts w:hint="eastAsia"/>
                <w:sz w:val="21"/>
              </w:rPr>
              <w:t>469.897</w:t>
            </w:r>
            <w:r>
              <w:rPr>
                <w:sz w:val="21"/>
              </w:rPr>
              <w:t>m</w:t>
            </w:r>
            <w:r>
              <w:rPr>
                <w:sz w:val="21"/>
                <w:vertAlign w:val="superscript"/>
              </w:rPr>
              <w:t>3</w:t>
            </w:r>
            <w:r>
              <w:rPr>
                <w:sz w:val="21"/>
              </w:rPr>
              <w:t>/d</w:t>
            </w:r>
          </w:p>
        </w:tc>
      </w:tr>
    </w:tbl>
    <w:p>
      <w:pPr>
        <w:pStyle w:val="14"/>
        <w:ind w:firstLine="480" w:firstLineChars="200"/>
        <w:jc w:val="both"/>
        <w:rPr>
          <w:b w:val="0"/>
        </w:rPr>
      </w:pPr>
      <w:r>
        <w:rPr>
          <w:b w:val="0"/>
        </w:rPr>
        <w:t>本项目总水平衡见下图所示</w:t>
      </w:r>
      <w:r>
        <w:rPr>
          <w:rFonts w:hint="eastAsia"/>
          <w:b w:val="0"/>
        </w:rPr>
        <w:t>。</w:t>
      </w:r>
    </w:p>
    <w:p>
      <w:pPr>
        <w:pStyle w:val="14"/>
      </w:pPr>
      <w:r>
        <w:object>
          <v:shape id="_x0000_i1026" o:spt="75" type="#_x0000_t75" style="height:481.25pt;width:451.7pt;" o:ole="t" filled="f" o:preferrelative="t" stroked="f" coordsize="21600,21600">
            <v:path/>
            <v:fill on="f" focussize="0,0"/>
            <v:stroke on="f" joinstyle="miter"/>
            <v:imagedata r:id="rId13" o:title=""/>
            <o:lock v:ext="edit" aspectratio="t"/>
            <w10:wrap type="none"/>
            <w10:anchorlock/>
          </v:shape>
          <o:OLEObject Type="Embed" ProgID="Visio.Drawing.11" ShapeID="_x0000_i1026" DrawAspect="Content" ObjectID="_1468075726" r:id="rId12">
            <o:LockedField>false</o:LockedField>
          </o:OLEObject>
        </w:object>
      </w:r>
    </w:p>
    <w:p>
      <w:pPr>
        <w:pStyle w:val="14"/>
      </w:pPr>
      <w:r>
        <w:rPr>
          <w:rFonts w:hint="eastAsia"/>
        </w:rPr>
        <w:t xml:space="preserve">图 </w:t>
      </w:r>
      <w:r>
        <w:fldChar w:fldCharType="begin"/>
      </w:r>
      <w:r>
        <w:instrText xml:space="preserve"> STYLEREF 2 \s </w:instrText>
      </w:r>
      <w:r>
        <w:fldChar w:fldCharType="separate"/>
      </w:r>
      <w:r>
        <w:t>2.6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1</w:t>
      </w:r>
      <w:r>
        <w:fldChar w:fldCharType="end"/>
      </w:r>
      <w:r>
        <w:t>本项目总水平衡图</w:t>
      </w:r>
      <w:r>
        <w:rPr>
          <w:rFonts w:hint="eastAsia"/>
        </w:rPr>
        <w:t>（单位：</w:t>
      </w:r>
      <w:r>
        <w:rPr>
          <w:sz w:val="21"/>
          <w:szCs w:val="21"/>
        </w:rPr>
        <w:t>m</w:t>
      </w:r>
      <w:r>
        <w:rPr>
          <w:sz w:val="21"/>
          <w:szCs w:val="21"/>
          <w:vertAlign w:val="superscript"/>
        </w:rPr>
        <w:t>3</w:t>
      </w:r>
      <w:r>
        <w:rPr>
          <w:sz w:val="21"/>
          <w:szCs w:val="21"/>
        </w:rPr>
        <w:t>/d</w:t>
      </w:r>
      <w:r>
        <w:rPr>
          <w:rFonts w:hint="eastAsia"/>
        </w:rPr>
        <w:t>）</w:t>
      </w:r>
    </w:p>
    <w:p>
      <w:pPr>
        <w:adjustRightInd w:val="0"/>
        <w:snapToGrid w:val="0"/>
        <w:spacing w:line="360" w:lineRule="auto"/>
        <w:ind w:firstLine="480" w:firstLineChars="200"/>
        <w:rPr>
          <w:color w:val="000000" w:themeColor="text1"/>
        </w:rPr>
      </w:pPr>
      <w:r>
        <w:rPr>
          <w:rFonts w:hint="eastAsia"/>
          <w:color w:val="000000" w:themeColor="text1"/>
        </w:rPr>
        <w:t>（2）排水</w:t>
      </w:r>
    </w:p>
    <w:p>
      <w:pPr>
        <w:adjustRightInd w:val="0"/>
        <w:snapToGrid w:val="0"/>
        <w:spacing w:line="360" w:lineRule="auto"/>
        <w:ind w:firstLine="480" w:firstLineChars="200"/>
        <w:rPr>
          <w:rFonts w:cs="Times New Roman" w:hAnsiTheme="minorEastAsia"/>
          <w:color w:val="000000" w:themeColor="text1"/>
        </w:rPr>
      </w:pPr>
      <w:r>
        <w:rPr>
          <w:rFonts w:hint="eastAsia" w:cs="Times New Roman" w:hAnsiTheme="minorEastAsia"/>
          <w:color w:val="000000" w:themeColor="text1"/>
        </w:rPr>
        <w:t>本项目拍片时不采用传统的洗片模式，采用电子胶片，进行胶片实时成像打印，无需显影，不存在含重金属废水。</w:t>
      </w:r>
    </w:p>
    <w:p>
      <w:pPr>
        <w:adjustRightInd w:val="0"/>
        <w:snapToGrid w:val="0"/>
        <w:spacing w:line="360" w:lineRule="auto"/>
        <w:ind w:firstLine="480" w:firstLineChars="200"/>
        <w:rPr>
          <w:rFonts w:cs="Times New Roman"/>
          <w:color w:val="000000" w:themeColor="text1"/>
        </w:rPr>
      </w:pPr>
      <w:r>
        <w:rPr>
          <w:rFonts w:hint="eastAsia" w:cs="Times New Roman" w:hAnsiTheme="minorEastAsia"/>
          <w:color w:val="000000" w:themeColor="text1"/>
          <w:u w:val="single"/>
        </w:rPr>
        <w:t>本项目医院内实行雨污分流措施，本医院的雨水流入医院内雨水管网之后，再由新北组雨水管网流往洛王藕塘坡社区雨水管网，最终流入王家河。</w:t>
      </w:r>
      <w:r>
        <w:rPr>
          <w:rFonts w:hint="eastAsia" w:cs="Times New Roman" w:hAnsiTheme="minorEastAsia"/>
          <w:color w:val="000000" w:themeColor="text1"/>
        </w:rPr>
        <w:t>本医院的住院病人产生的废水、门诊病人产生的废水、洗衣房废水和医护人员的生活废水、检验室废水经过医院自建的污水处理站预处理，</w:t>
      </w:r>
      <w:r>
        <w:rPr>
          <w:rFonts w:cs="Times New Roman" w:hAnsiTheme="minorEastAsia"/>
          <w:color w:val="000000" w:themeColor="text1"/>
        </w:rPr>
        <w:t>达到《医疗机构水污染排放标准》（</w:t>
      </w:r>
      <w:r>
        <w:rPr>
          <w:rFonts w:cs="Times New Roman"/>
          <w:color w:val="000000" w:themeColor="text1"/>
        </w:rPr>
        <w:t>GB18466-2005</w:t>
      </w:r>
      <w:r>
        <w:rPr>
          <w:rFonts w:cs="Times New Roman" w:hAnsiTheme="minorEastAsia"/>
          <w:color w:val="000000" w:themeColor="text1"/>
        </w:rPr>
        <w:t>）表</w:t>
      </w:r>
      <w:r>
        <w:rPr>
          <w:rFonts w:cs="Times New Roman"/>
          <w:color w:val="000000" w:themeColor="text1"/>
        </w:rPr>
        <w:t>2</w:t>
      </w:r>
      <w:r>
        <w:rPr>
          <w:rFonts w:cs="Times New Roman" w:hAnsiTheme="minorEastAsia"/>
          <w:color w:val="000000" w:themeColor="text1"/>
        </w:rPr>
        <w:t>中</w:t>
      </w:r>
      <w:r>
        <w:rPr>
          <w:rFonts w:cs="Times New Roman"/>
          <w:color w:val="000000" w:themeColor="text1"/>
        </w:rPr>
        <w:t>“</w:t>
      </w:r>
      <w:r>
        <w:rPr>
          <w:rFonts w:cs="Times New Roman" w:hAnsiTheme="minorEastAsia"/>
          <w:color w:val="000000" w:themeColor="text1"/>
        </w:rPr>
        <w:t>预处理标准</w:t>
      </w:r>
      <w:r>
        <w:rPr>
          <w:rFonts w:cs="Times New Roman"/>
          <w:color w:val="000000" w:themeColor="text1"/>
        </w:rPr>
        <w:t>”</w:t>
      </w:r>
      <w:r>
        <w:rPr>
          <w:rFonts w:cs="Times New Roman" w:hAnsiTheme="minorEastAsia"/>
          <w:color w:val="000000" w:themeColor="text1"/>
        </w:rPr>
        <w:t>后排入市政排水管网，</w:t>
      </w:r>
      <w:r>
        <w:rPr>
          <w:rFonts w:hint="eastAsia" w:cs="Times New Roman" w:hAnsiTheme="minorEastAsia"/>
          <w:color w:val="000000" w:themeColor="text1"/>
        </w:rPr>
        <w:t>再</w:t>
      </w:r>
      <w:r>
        <w:rPr>
          <w:rFonts w:cs="Times New Roman" w:hAnsiTheme="minorEastAsia"/>
          <w:color w:val="000000" w:themeColor="text1"/>
        </w:rPr>
        <w:t>排入马壕污水处理厂处理</w:t>
      </w:r>
      <w:r>
        <w:rPr>
          <w:rFonts w:hint="eastAsia" w:cs="Times New Roman" w:hAnsiTheme="minorEastAsia"/>
          <w:color w:val="000000" w:themeColor="text1"/>
        </w:rPr>
        <w:t>，职工公寓废水经化粪池处理之后排入市政管网，再进入马壕污水处理厂处理。医院食堂废水经隔油沉淀池处理之后再进化粪池处理排入市政管网，再进入马壕污水处理厂处理。经马壕污水处理厂处理的废水达到《城镇污水处理厂污染物排放标准》（GB18918-2002）一级A标准之后排入东风湖。</w:t>
      </w:r>
    </w:p>
    <w:p>
      <w:pPr>
        <w:pStyle w:val="5"/>
      </w:pPr>
      <w:r>
        <w:rPr>
          <w:rFonts w:hint="eastAsia"/>
        </w:rPr>
        <w:t>供配电工程</w:t>
      </w:r>
    </w:p>
    <w:p>
      <w:pPr>
        <w:adjustRightInd w:val="0"/>
        <w:snapToGrid w:val="0"/>
        <w:spacing w:line="360" w:lineRule="auto"/>
        <w:ind w:firstLine="480" w:firstLineChars="200"/>
      </w:pPr>
      <w:r>
        <w:rPr>
          <w:rFonts w:hint="eastAsia"/>
        </w:rPr>
        <w:t>项目供电由市政电网提供，供给诊所各种医用设备、室内照明及空调，医院用房应急照明、消防用电等为一级负荷，其他负荷用电等级均为二级。本项目电源由城市10kV线路供给，院内设有单独变压器。</w:t>
      </w:r>
    </w:p>
    <w:p>
      <w:pPr>
        <w:pStyle w:val="5"/>
      </w:pPr>
      <w:r>
        <w:rPr>
          <w:rFonts w:hint="eastAsia"/>
        </w:rPr>
        <w:t>采暖通风系统</w:t>
      </w:r>
    </w:p>
    <w:p>
      <w:pPr>
        <w:pStyle w:val="64"/>
        <w:numPr>
          <w:ilvl w:val="0"/>
          <w:numId w:val="7"/>
        </w:numPr>
        <w:adjustRightInd w:val="0"/>
        <w:snapToGrid w:val="0"/>
        <w:spacing w:line="360" w:lineRule="auto"/>
        <w:ind w:firstLineChars="0"/>
        <w:rPr>
          <w:rFonts w:cs="Times New Roman"/>
        </w:rPr>
      </w:pPr>
      <w:r>
        <w:rPr>
          <w:rFonts w:cs="Times New Roman" w:hAnsiTheme="minorEastAsia"/>
        </w:rPr>
        <w:t>空调方式</w:t>
      </w:r>
    </w:p>
    <w:p>
      <w:pPr>
        <w:adjustRightInd w:val="0"/>
        <w:snapToGrid w:val="0"/>
        <w:spacing w:line="360" w:lineRule="auto"/>
        <w:ind w:firstLine="480" w:firstLineChars="200"/>
        <w:rPr>
          <w:rFonts w:cs="Times New Roman"/>
        </w:rPr>
      </w:pPr>
      <w:r>
        <w:rPr>
          <w:rFonts w:cs="Times New Roman"/>
        </w:rPr>
        <w:t>医院内采用</w:t>
      </w:r>
      <w:r>
        <w:rPr>
          <w:rFonts w:hint="eastAsia" w:cs="Times New Roman"/>
        </w:rPr>
        <w:t>中央</w:t>
      </w:r>
      <w:r>
        <w:rPr>
          <w:rFonts w:cs="Times New Roman"/>
        </w:rPr>
        <w:t>空调进行夏季制冷、冬季取暖</w:t>
      </w:r>
      <w:r>
        <w:rPr>
          <w:rFonts w:cs="Times New Roman" w:hAnsiTheme="minorEastAsia"/>
        </w:rPr>
        <w:t>。</w:t>
      </w:r>
    </w:p>
    <w:p>
      <w:pPr>
        <w:pStyle w:val="64"/>
        <w:numPr>
          <w:ilvl w:val="0"/>
          <w:numId w:val="7"/>
        </w:numPr>
        <w:adjustRightInd w:val="0"/>
        <w:snapToGrid w:val="0"/>
        <w:spacing w:line="360" w:lineRule="auto"/>
        <w:ind w:firstLineChars="0"/>
        <w:rPr>
          <w:rFonts w:cs="Times New Roman"/>
        </w:rPr>
      </w:pPr>
      <w:r>
        <w:rPr>
          <w:rFonts w:cs="Times New Roman" w:hAnsiTheme="minorEastAsia"/>
        </w:rPr>
        <w:t>通风设计</w:t>
      </w:r>
    </w:p>
    <w:p>
      <w:pPr>
        <w:adjustRightInd w:val="0"/>
        <w:snapToGrid w:val="0"/>
        <w:spacing w:line="360" w:lineRule="auto"/>
        <w:ind w:firstLine="480" w:firstLineChars="200"/>
        <w:rPr>
          <w:rFonts w:cs="Times New Roman"/>
        </w:rPr>
      </w:pPr>
      <w:r>
        <w:rPr>
          <w:rFonts w:hint="eastAsia" w:cs="Times New Roman" w:asciiTheme="minorEastAsia" w:hAnsiTheme="minorEastAsia"/>
        </w:rPr>
        <w:t>①</w:t>
      </w:r>
      <w:r>
        <w:rPr>
          <w:rFonts w:cs="Times New Roman"/>
        </w:rPr>
        <w:t>水泵房和变压器房：设置独立的通风系统，机械送风系统。</w:t>
      </w:r>
      <w:r>
        <w:rPr>
          <w:rFonts w:hint="eastAsia" w:cs="Times New Roman" w:asciiTheme="minorEastAsia" w:hAnsiTheme="minorEastAsia"/>
        </w:rPr>
        <w:t>②</w:t>
      </w:r>
      <w:r>
        <w:rPr>
          <w:rFonts w:cs="Times New Roman"/>
        </w:rPr>
        <w:t>柴油发电机房设独立的通风系统。柴油发电机房送风应满足室内所需的新鲜空气和燃烧所需的空气要求。发电机所排放尾气经排烟管进行高空排放。</w:t>
      </w:r>
      <w:r>
        <w:rPr>
          <w:rFonts w:hint="eastAsia" w:cs="Times New Roman" w:asciiTheme="minorEastAsia" w:hAnsiTheme="minorEastAsia"/>
        </w:rPr>
        <w:t>③</w:t>
      </w:r>
      <w:r>
        <w:rPr>
          <w:rFonts w:cs="Times New Roman"/>
        </w:rPr>
        <w:t>卫生间通风：设置卫生间通风器，浊气排入独立设置的排风土建竖井排出室外；自然进风补风。</w:t>
      </w:r>
    </w:p>
    <w:p>
      <w:pPr>
        <w:pStyle w:val="5"/>
      </w:pPr>
      <w:r>
        <w:rPr>
          <w:rFonts w:hint="eastAsia"/>
        </w:rPr>
        <w:t>供氧</w:t>
      </w:r>
    </w:p>
    <w:p>
      <w:pPr>
        <w:pStyle w:val="95"/>
        <w:spacing w:line="360" w:lineRule="auto"/>
        <w:ind w:firstLine="480"/>
      </w:pPr>
      <w:r>
        <w:t>医院供氧方式为外购氧气，不自制氧气，设置氧气管存放室，位于老年医疗呵护大楼一楼，规格为15kg/瓶，厂区最大储存量约为30瓶。</w:t>
      </w:r>
    </w:p>
    <w:p>
      <w:pPr>
        <w:pStyle w:val="5"/>
      </w:pPr>
      <w:r>
        <w:t>现有项目存在的问题及整改措施</w:t>
      </w:r>
    </w:p>
    <w:p>
      <w:pPr>
        <w:spacing w:line="360" w:lineRule="auto"/>
        <w:ind w:firstLine="480" w:firstLineChars="200"/>
      </w:pPr>
      <w:r>
        <w:rPr>
          <w:rFonts w:hint="eastAsia"/>
        </w:rPr>
        <w:t>本项目属于已建成投产的项目，具体污染源情况详见污染源分析章节，本次环评思路是在了解现有污染源的基础上，分析项目已经采取的污染防治措施的有效性进行分析，再进一步提出补充措施，通过现场勘察，项目主要污染源、已采取的污染防治措施存在的环境问题见下表所示。</w:t>
      </w:r>
    </w:p>
    <w:p>
      <w:pPr>
        <w:pStyle w:val="14"/>
        <w:spacing w:line="240" w:lineRule="auto"/>
      </w:pPr>
      <w:bookmarkStart w:id="129" w:name="_Ref25757677"/>
      <w:r>
        <w:rPr>
          <w:rFonts w:hint="eastAsia"/>
        </w:rPr>
        <w:t>表</w:t>
      </w:r>
      <w:r>
        <w:fldChar w:fldCharType="begin"/>
      </w:r>
      <w:r>
        <w:instrText xml:space="preserve"> STYLEREF 2 \s </w:instrText>
      </w:r>
      <w:r>
        <w:fldChar w:fldCharType="separate"/>
      </w:r>
      <w:r>
        <w:t>2.6</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w:t>
      </w:r>
      <w:r>
        <w:fldChar w:fldCharType="end"/>
      </w:r>
      <w:bookmarkEnd w:id="129"/>
      <w:r>
        <w:rPr>
          <w:rFonts w:hint="eastAsia"/>
        </w:rPr>
        <w:t xml:space="preserve"> </w:t>
      </w:r>
      <w:r>
        <w:t>项目主要污染源、已采取的治理措施及存在的主要问题</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4"/>
        <w:gridCol w:w="1484"/>
        <w:gridCol w:w="4546"/>
        <w:gridCol w:w="2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536" w:type="pct"/>
            <w:vAlign w:val="center"/>
          </w:tcPr>
          <w:p>
            <w:pPr>
              <w:adjustRightInd w:val="0"/>
              <w:snapToGrid w:val="0"/>
              <w:spacing w:beforeLines="5" w:afterLines="5"/>
              <w:jc w:val="center"/>
              <w:rPr>
                <w:color w:val="000000"/>
                <w:sz w:val="21"/>
              </w:rPr>
            </w:pPr>
            <w:r>
              <w:rPr>
                <w:color w:val="000000"/>
                <w:sz w:val="21"/>
              </w:rPr>
              <w:t>污染物</w:t>
            </w:r>
          </w:p>
        </w:tc>
        <w:tc>
          <w:tcPr>
            <w:tcW w:w="769" w:type="pct"/>
            <w:vAlign w:val="center"/>
          </w:tcPr>
          <w:p>
            <w:pPr>
              <w:adjustRightInd w:val="0"/>
              <w:snapToGrid w:val="0"/>
              <w:spacing w:beforeLines="5" w:afterLines="5"/>
              <w:jc w:val="center"/>
              <w:rPr>
                <w:color w:val="000000"/>
                <w:sz w:val="21"/>
              </w:rPr>
            </w:pPr>
            <w:r>
              <w:rPr>
                <w:color w:val="000000"/>
                <w:sz w:val="21"/>
              </w:rPr>
              <w:t>污染物类型</w:t>
            </w:r>
          </w:p>
        </w:tc>
        <w:tc>
          <w:tcPr>
            <w:tcW w:w="2356" w:type="pct"/>
            <w:vAlign w:val="center"/>
          </w:tcPr>
          <w:p>
            <w:pPr>
              <w:adjustRightInd w:val="0"/>
              <w:snapToGrid w:val="0"/>
              <w:spacing w:beforeLines="5" w:afterLines="5"/>
              <w:jc w:val="center"/>
              <w:rPr>
                <w:color w:val="000000"/>
                <w:sz w:val="21"/>
              </w:rPr>
            </w:pPr>
            <w:r>
              <w:rPr>
                <w:color w:val="000000"/>
                <w:sz w:val="21"/>
              </w:rPr>
              <w:t>采取的环保措施</w:t>
            </w:r>
          </w:p>
        </w:tc>
        <w:tc>
          <w:tcPr>
            <w:tcW w:w="1338" w:type="pct"/>
            <w:vAlign w:val="center"/>
          </w:tcPr>
          <w:p>
            <w:pPr>
              <w:pStyle w:val="148"/>
              <w:snapToGrid w:val="0"/>
              <w:spacing w:beforeLines="5" w:afterLines="5"/>
              <w:jc w:val="center"/>
              <w:rPr>
                <w:color w:val="000000"/>
              </w:rPr>
            </w:pPr>
            <w:r>
              <w:rPr>
                <w:color w:val="000000"/>
              </w:rPr>
              <w:t>达标情况/存在的环境问题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7" w:hRule="atLeast"/>
          <w:jc w:val="center"/>
        </w:trPr>
        <w:tc>
          <w:tcPr>
            <w:tcW w:w="536" w:type="pct"/>
            <w:vMerge w:val="restart"/>
            <w:vAlign w:val="center"/>
          </w:tcPr>
          <w:p>
            <w:pPr>
              <w:adjustRightInd w:val="0"/>
              <w:snapToGrid w:val="0"/>
              <w:spacing w:beforeLines="5" w:afterLines="5"/>
              <w:jc w:val="center"/>
              <w:rPr>
                <w:color w:val="000000"/>
                <w:sz w:val="21"/>
              </w:rPr>
            </w:pPr>
            <w:r>
              <w:rPr>
                <w:color w:val="000000"/>
                <w:sz w:val="21"/>
              </w:rPr>
              <w:t>废气</w:t>
            </w:r>
          </w:p>
        </w:tc>
        <w:tc>
          <w:tcPr>
            <w:tcW w:w="769" w:type="pct"/>
            <w:vAlign w:val="center"/>
          </w:tcPr>
          <w:p>
            <w:pPr>
              <w:tabs>
                <w:tab w:val="left" w:pos="3469"/>
              </w:tabs>
              <w:adjustRightInd w:val="0"/>
              <w:snapToGrid w:val="0"/>
              <w:jc w:val="center"/>
              <w:rPr>
                <w:color w:val="000000"/>
                <w:sz w:val="21"/>
              </w:rPr>
            </w:pPr>
            <w:r>
              <w:rPr>
                <w:rFonts w:hint="eastAsia"/>
                <w:sz w:val="21"/>
              </w:rPr>
              <w:t>食堂油烟</w:t>
            </w:r>
          </w:p>
        </w:tc>
        <w:tc>
          <w:tcPr>
            <w:tcW w:w="2356" w:type="pct"/>
            <w:vAlign w:val="center"/>
          </w:tcPr>
          <w:p>
            <w:pPr>
              <w:adjustRightInd w:val="0"/>
              <w:snapToGrid w:val="0"/>
              <w:spacing w:beforeLines="5" w:afterLines="5"/>
              <w:jc w:val="center"/>
              <w:rPr>
                <w:color w:val="000000"/>
                <w:sz w:val="21"/>
              </w:rPr>
            </w:pPr>
            <w:r>
              <w:rPr>
                <w:rFonts w:hint="eastAsia"/>
                <w:color w:val="000000"/>
                <w:sz w:val="21"/>
              </w:rPr>
              <w:t>经油烟净化器处理后的油烟废气通过内置排气筒引至楼顶排放，定期对油烟净化器进行维护</w:t>
            </w:r>
          </w:p>
        </w:tc>
        <w:tc>
          <w:tcPr>
            <w:tcW w:w="1338" w:type="pct"/>
            <w:vAlign w:val="center"/>
          </w:tcPr>
          <w:p>
            <w:pPr>
              <w:adjustRightInd w:val="0"/>
              <w:snapToGrid w:val="0"/>
              <w:spacing w:beforeLines="5" w:afterLines="5"/>
              <w:jc w:val="center"/>
              <w:rPr>
                <w:color w:val="000000"/>
                <w:sz w:val="21"/>
              </w:rPr>
            </w:pPr>
            <w:r>
              <w:rPr>
                <w:color w:val="000000"/>
                <w:sz w:val="21"/>
              </w:rPr>
              <w:t>符合环保要求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536" w:type="pct"/>
            <w:vMerge w:val="continue"/>
            <w:vAlign w:val="center"/>
          </w:tcPr>
          <w:p>
            <w:pPr>
              <w:widowControl/>
              <w:adjustRightInd w:val="0"/>
              <w:snapToGrid w:val="0"/>
              <w:jc w:val="center"/>
              <w:rPr>
                <w:color w:val="000000"/>
                <w:sz w:val="21"/>
              </w:rPr>
            </w:pPr>
          </w:p>
        </w:tc>
        <w:tc>
          <w:tcPr>
            <w:tcW w:w="769" w:type="pct"/>
            <w:vAlign w:val="center"/>
          </w:tcPr>
          <w:p>
            <w:pPr>
              <w:tabs>
                <w:tab w:val="left" w:pos="3469"/>
              </w:tabs>
              <w:adjustRightInd w:val="0"/>
              <w:snapToGrid w:val="0"/>
              <w:jc w:val="center"/>
              <w:rPr>
                <w:color w:val="000000"/>
                <w:sz w:val="21"/>
              </w:rPr>
            </w:pPr>
            <w:r>
              <w:rPr>
                <w:rFonts w:hint="eastAsia"/>
                <w:color w:val="000000"/>
                <w:sz w:val="21"/>
              </w:rPr>
              <w:t>锅炉烟气</w:t>
            </w:r>
          </w:p>
        </w:tc>
        <w:tc>
          <w:tcPr>
            <w:tcW w:w="2356" w:type="pct"/>
            <w:vAlign w:val="center"/>
          </w:tcPr>
          <w:p>
            <w:pPr>
              <w:pStyle w:val="149"/>
              <w:adjustRightInd w:val="0"/>
              <w:snapToGrid w:val="0"/>
              <w:spacing w:line="240" w:lineRule="auto"/>
              <w:rPr>
                <w:color w:val="000000"/>
              </w:rPr>
            </w:pPr>
            <w:r>
              <w:rPr>
                <w:color w:val="000000" w:themeColor="text1"/>
                <w:kern w:val="0"/>
              </w:rPr>
              <w:t>本医院设置</w:t>
            </w:r>
            <w:r>
              <w:rPr>
                <w:rFonts w:hint="eastAsia"/>
                <w:color w:val="000000" w:themeColor="text1"/>
                <w:kern w:val="0"/>
              </w:rPr>
              <w:t>4</w:t>
            </w:r>
            <w:r>
              <w:rPr>
                <w:color w:val="000000" w:themeColor="text1"/>
                <w:kern w:val="0"/>
              </w:rPr>
              <w:t>台</w:t>
            </w:r>
            <w:r>
              <w:rPr>
                <w:rFonts w:hint="eastAsia"/>
                <w:color w:val="000000" w:themeColor="text1"/>
                <w:kern w:val="0"/>
              </w:rPr>
              <w:t>功率为605kw的燃气热水锅炉，分别位于精神大楼旁（一备一用）和老年呵护大楼（一备一用），老年呵护大楼的锅炉废气处理符合环保要求，精神大楼旁的天然气锅炉的排气筒高度不符合要求，需要整改。</w:t>
            </w:r>
          </w:p>
        </w:tc>
        <w:tc>
          <w:tcPr>
            <w:tcW w:w="1338" w:type="pct"/>
            <w:vAlign w:val="center"/>
          </w:tcPr>
          <w:p>
            <w:pPr>
              <w:pStyle w:val="149"/>
              <w:adjustRightInd w:val="0"/>
              <w:snapToGrid w:val="0"/>
              <w:spacing w:line="240" w:lineRule="auto"/>
              <w:rPr>
                <w:color w:val="000000"/>
              </w:rPr>
            </w:pPr>
            <w:r>
              <w:rPr>
                <w:color w:val="000000"/>
              </w:rPr>
              <w:t>需要整改</w:t>
            </w:r>
            <w:r>
              <w:rPr>
                <w:rFonts w:hint="eastAsia"/>
                <w:color w:val="000000"/>
              </w:rPr>
              <w:t>，</w:t>
            </w:r>
            <w:r>
              <w:rPr>
                <w:color w:val="000000"/>
              </w:rPr>
              <w:t>精神大楼旁的两个锅炉排气筒未达到</w:t>
            </w:r>
            <w:r>
              <w:rPr>
                <w:color w:val="000000" w:themeColor="text1"/>
              </w:rPr>
              <w:t>《锅炉大气污染物排放标准》（GB13271-20</w:t>
            </w:r>
            <w:r>
              <w:rPr>
                <w:rFonts w:hint="eastAsia"/>
                <w:color w:val="000000" w:themeColor="text1"/>
              </w:rPr>
              <w:t>14</w:t>
            </w:r>
            <w:r>
              <w:rPr>
                <w:color w:val="000000" w:themeColor="text1"/>
              </w:rPr>
              <w:t>）</w:t>
            </w:r>
            <w:r>
              <w:rPr>
                <w:rFonts w:hint="eastAsia"/>
                <w:color w:val="000000" w:themeColor="text1"/>
              </w:rPr>
              <w:t>中燃气锅炉的排气筒的高度要求。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jc w:val="center"/>
        </w:trPr>
        <w:tc>
          <w:tcPr>
            <w:tcW w:w="536" w:type="pct"/>
            <w:vMerge w:val="continue"/>
            <w:vAlign w:val="center"/>
          </w:tcPr>
          <w:p>
            <w:pPr>
              <w:widowControl/>
              <w:adjustRightInd w:val="0"/>
              <w:snapToGrid w:val="0"/>
              <w:jc w:val="center"/>
              <w:rPr>
                <w:color w:val="000000"/>
                <w:sz w:val="21"/>
              </w:rPr>
            </w:pPr>
          </w:p>
        </w:tc>
        <w:tc>
          <w:tcPr>
            <w:tcW w:w="769" w:type="pct"/>
            <w:vAlign w:val="center"/>
          </w:tcPr>
          <w:p>
            <w:pPr>
              <w:tabs>
                <w:tab w:val="left" w:pos="3469"/>
              </w:tabs>
              <w:adjustRightInd w:val="0"/>
              <w:snapToGrid w:val="0"/>
              <w:jc w:val="center"/>
              <w:rPr>
                <w:color w:val="000000"/>
                <w:sz w:val="21"/>
              </w:rPr>
            </w:pPr>
            <w:r>
              <w:rPr>
                <w:rFonts w:hint="eastAsia"/>
                <w:color w:val="000000"/>
                <w:sz w:val="21"/>
              </w:rPr>
              <w:t>备用发电机燃油废气</w:t>
            </w:r>
          </w:p>
        </w:tc>
        <w:tc>
          <w:tcPr>
            <w:tcW w:w="2356" w:type="pct"/>
            <w:vAlign w:val="center"/>
          </w:tcPr>
          <w:p>
            <w:pPr>
              <w:pStyle w:val="149"/>
              <w:adjustRightInd w:val="0"/>
              <w:snapToGrid w:val="0"/>
              <w:spacing w:line="240" w:lineRule="auto"/>
              <w:rPr>
                <w:color w:val="000000"/>
              </w:rPr>
            </w:pPr>
            <w:r>
              <w:t>项目发电机尾气由内置专用烟道引至高空排放</w:t>
            </w:r>
            <w:r>
              <w:rPr>
                <w:rFonts w:hint="eastAsia"/>
              </w:rPr>
              <w:t>，</w:t>
            </w:r>
            <w:r>
              <w:t>能够满足《</w:t>
            </w:r>
            <w:r>
              <w:rPr>
                <w:rFonts w:hAnsi="Tahoma"/>
              </w:rPr>
              <w:t>非道路移动机械用柴油机排气污染物排放限值及测量方法</w:t>
            </w:r>
            <w:r>
              <w:t>(</w:t>
            </w:r>
            <w:r>
              <w:rPr>
                <w:rFonts w:hAnsi="Tahoma"/>
              </w:rPr>
              <w:t>中国第三、四阶段）</w:t>
            </w:r>
            <w:r>
              <w:t>》(GB 20891—2014)中第三阶段标准要求</w:t>
            </w:r>
            <w:r>
              <w:rPr>
                <w:kern w:val="0"/>
              </w:rPr>
              <w:t>，措施可行</w:t>
            </w:r>
            <w:r>
              <w:rPr>
                <w:rFonts w:hint="eastAsia"/>
                <w:kern w:val="0"/>
              </w:rPr>
              <w:t>。</w:t>
            </w:r>
          </w:p>
        </w:tc>
        <w:tc>
          <w:tcPr>
            <w:tcW w:w="1338" w:type="pct"/>
            <w:vAlign w:val="center"/>
          </w:tcPr>
          <w:p>
            <w:pPr>
              <w:pStyle w:val="149"/>
              <w:adjustRightInd w:val="0"/>
              <w:snapToGrid w:val="0"/>
              <w:spacing w:line="240" w:lineRule="auto"/>
              <w:rPr>
                <w:color w:val="000000"/>
              </w:rPr>
            </w:pPr>
            <w:r>
              <w:rPr>
                <w:color w:val="000000"/>
              </w:rPr>
              <w:t>符合环保要求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jc w:val="center"/>
        </w:trPr>
        <w:tc>
          <w:tcPr>
            <w:tcW w:w="536" w:type="pct"/>
            <w:vMerge w:val="continue"/>
            <w:vAlign w:val="center"/>
          </w:tcPr>
          <w:p>
            <w:pPr>
              <w:widowControl/>
              <w:adjustRightInd w:val="0"/>
              <w:snapToGrid w:val="0"/>
              <w:jc w:val="center"/>
              <w:rPr>
                <w:color w:val="000000"/>
                <w:sz w:val="21"/>
              </w:rPr>
            </w:pPr>
          </w:p>
        </w:tc>
        <w:tc>
          <w:tcPr>
            <w:tcW w:w="769" w:type="pct"/>
            <w:vAlign w:val="center"/>
          </w:tcPr>
          <w:p>
            <w:pPr>
              <w:tabs>
                <w:tab w:val="left" w:pos="3469"/>
              </w:tabs>
              <w:adjustRightInd w:val="0"/>
              <w:snapToGrid w:val="0"/>
              <w:jc w:val="center"/>
              <w:rPr>
                <w:color w:val="000000"/>
                <w:sz w:val="21"/>
              </w:rPr>
            </w:pPr>
            <w:r>
              <w:rPr>
                <w:rFonts w:hint="eastAsia"/>
                <w:color w:val="000000"/>
                <w:sz w:val="21"/>
              </w:rPr>
              <w:t>污水处理站恶臭</w:t>
            </w:r>
          </w:p>
        </w:tc>
        <w:tc>
          <w:tcPr>
            <w:tcW w:w="2356" w:type="pct"/>
            <w:vAlign w:val="center"/>
          </w:tcPr>
          <w:p>
            <w:pPr>
              <w:pStyle w:val="149"/>
              <w:adjustRightInd w:val="0"/>
              <w:snapToGrid w:val="0"/>
              <w:spacing w:line="240" w:lineRule="auto"/>
              <w:rPr>
                <w:color w:val="000000"/>
              </w:rPr>
            </w:pPr>
            <w:r>
              <w:rPr>
                <w:kern w:val="0"/>
              </w:rPr>
              <w:t>本项目医疗废物处理站建在密闭的建筑物内</w:t>
            </w:r>
            <w:r>
              <w:rPr>
                <w:rFonts w:hint="eastAsia"/>
                <w:kern w:val="0"/>
              </w:rPr>
              <w:t>，化粪池和隔油沉淀池均为地埋式的，</w:t>
            </w:r>
            <w:r>
              <w:rPr>
                <w:rFonts w:hint="eastAsia"/>
              </w:rPr>
              <w:t>同时对污水处理站喷洒除臭剂</w:t>
            </w:r>
          </w:p>
        </w:tc>
        <w:tc>
          <w:tcPr>
            <w:tcW w:w="1338" w:type="pct"/>
            <w:vAlign w:val="center"/>
          </w:tcPr>
          <w:p>
            <w:pPr>
              <w:pStyle w:val="149"/>
              <w:adjustRightInd w:val="0"/>
              <w:snapToGrid w:val="0"/>
              <w:spacing w:line="240" w:lineRule="auto"/>
              <w:rPr>
                <w:color w:val="000000"/>
              </w:rPr>
            </w:pPr>
            <w:r>
              <w:rPr>
                <w:color w:val="000000"/>
              </w:rPr>
              <w:t>符合环保要求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jc w:val="center"/>
        </w:trPr>
        <w:tc>
          <w:tcPr>
            <w:tcW w:w="536" w:type="pct"/>
            <w:vMerge w:val="continue"/>
            <w:vAlign w:val="center"/>
          </w:tcPr>
          <w:p>
            <w:pPr>
              <w:widowControl/>
              <w:adjustRightInd w:val="0"/>
              <w:snapToGrid w:val="0"/>
              <w:jc w:val="center"/>
              <w:rPr>
                <w:color w:val="000000"/>
                <w:sz w:val="21"/>
              </w:rPr>
            </w:pPr>
          </w:p>
        </w:tc>
        <w:tc>
          <w:tcPr>
            <w:tcW w:w="769" w:type="pct"/>
            <w:vAlign w:val="center"/>
          </w:tcPr>
          <w:p>
            <w:pPr>
              <w:tabs>
                <w:tab w:val="left" w:pos="3469"/>
              </w:tabs>
              <w:adjustRightInd w:val="0"/>
              <w:snapToGrid w:val="0"/>
              <w:jc w:val="center"/>
              <w:rPr>
                <w:color w:val="000000"/>
                <w:sz w:val="21"/>
              </w:rPr>
            </w:pPr>
            <w:r>
              <w:rPr>
                <w:rFonts w:hint="eastAsia"/>
                <w:color w:val="000000"/>
                <w:sz w:val="21"/>
              </w:rPr>
              <w:t>垃圾收集站臭气</w:t>
            </w:r>
          </w:p>
        </w:tc>
        <w:tc>
          <w:tcPr>
            <w:tcW w:w="2356" w:type="pct"/>
            <w:vAlign w:val="center"/>
          </w:tcPr>
          <w:p>
            <w:pPr>
              <w:pStyle w:val="149"/>
              <w:adjustRightInd w:val="0"/>
              <w:snapToGrid w:val="0"/>
              <w:spacing w:line="240" w:lineRule="auto"/>
              <w:rPr>
                <w:color w:val="000000"/>
              </w:rPr>
            </w:pPr>
            <w:r>
              <w:t>垃圾袋装化</w:t>
            </w:r>
            <w:r>
              <w:rPr>
                <w:rFonts w:hint="eastAsia"/>
              </w:rPr>
              <w:t>，</w:t>
            </w:r>
            <w:r>
              <w:t>并按时清运</w:t>
            </w:r>
          </w:p>
        </w:tc>
        <w:tc>
          <w:tcPr>
            <w:tcW w:w="1338" w:type="pct"/>
            <w:vAlign w:val="center"/>
          </w:tcPr>
          <w:p>
            <w:pPr>
              <w:pStyle w:val="149"/>
              <w:adjustRightInd w:val="0"/>
              <w:snapToGrid w:val="0"/>
              <w:spacing w:line="240" w:lineRule="auto"/>
              <w:rPr>
                <w:color w:val="000000"/>
              </w:rPr>
            </w:pPr>
            <w:r>
              <w:rPr>
                <w:color w:val="000000"/>
              </w:rPr>
              <w:t>符合环保要求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jc w:val="center"/>
        </w:trPr>
        <w:tc>
          <w:tcPr>
            <w:tcW w:w="536" w:type="pct"/>
            <w:vMerge w:val="continue"/>
            <w:vAlign w:val="center"/>
          </w:tcPr>
          <w:p>
            <w:pPr>
              <w:widowControl/>
              <w:adjustRightInd w:val="0"/>
              <w:snapToGrid w:val="0"/>
              <w:jc w:val="center"/>
              <w:rPr>
                <w:color w:val="000000"/>
                <w:sz w:val="21"/>
              </w:rPr>
            </w:pPr>
          </w:p>
        </w:tc>
        <w:tc>
          <w:tcPr>
            <w:tcW w:w="769" w:type="pct"/>
            <w:vAlign w:val="center"/>
          </w:tcPr>
          <w:p>
            <w:pPr>
              <w:tabs>
                <w:tab w:val="left" w:pos="3469"/>
              </w:tabs>
              <w:adjustRightInd w:val="0"/>
              <w:snapToGrid w:val="0"/>
              <w:jc w:val="center"/>
              <w:rPr>
                <w:color w:val="000000"/>
                <w:sz w:val="21"/>
              </w:rPr>
            </w:pPr>
            <w:r>
              <w:rPr>
                <w:rFonts w:hint="eastAsia"/>
                <w:color w:val="000000"/>
                <w:sz w:val="21"/>
              </w:rPr>
              <w:t>汽车尾气</w:t>
            </w:r>
          </w:p>
        </w:tc>
        <w:tc>
          <w:tcPr>
            <w:tcW w:w="2356" w:type="pct"/>
            <w:vAlign w:val="center"/>
          </w:tcPr>
          <w:p>
            <w:pPr>
              <w:pStyle w:val="149"/>
              <w:adjustRightInd w:val="0"/>
              <w:snapToGrid w:val="0"/>
              <w:spacing w:line="240" w:lineRule="auto"/>
            </w:pPr>
            <w:r>
              <w:rPr>
                <w:rFonts w:hint="eastAsia"/>
              </w:rPr>
              <w:t>地面停车场通风性能好，且机动车尾气排放负荷较小，汽车尾气能很快被大气稀释，可在地面停车场附近设置绿化带来削减地面汽车尾气对环境的影响</w:t>
            </w:r>
          </w:p>
        </w:tc>
        <w:tc>
          <w:tcPr>
            <w:tcW w:w="1338" w:type="pct"/>
            <w:vAlign w:val="center"/>
          </w:tcPr>
          <w:p>
            <w:pPr>
              <w:pStyle w:val="149"/>
              <w:adjustRightInd w:val="0"/>
              <w:snapToGrid w:val="0"/>
              <w:spacing w:line="240" w:lineRule="auto"/>
              <w:rPr>
                <w:color w:val="000000"/>
              </w:rPr>
            </w:pPr>
            <w:r>
              <w:rPr>
                <w:color w:val="000000"/>
              </w:rPr>
              <w:t>符合环保要求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536" w:type="pct"/>
            <w:vMerge w:val="restart"/>
            <w:vAlign w:val="center"/>
          </w:tcPr>
          <w:p>
            <w:pPr>
              <w:adjustRightInd w:val="0"/>
              <w:snapToGrid w:val="0"/>
              <w:spacing w:beforeLines="5" w:afterLines="5"/>
              <w:jc w:val="center"/>
              <w:rPr>
                <w:color w:val="000000"/>
                <w:sz w:val="21"/>
              </w:rPr>
            </w:pPr>
            <w:r>
              <w:rPr>
                <w:color w:val="000000"/>
                <w:sz w:val="21"/>
              </w:rPr>
              <w:t>废水</w:t>
            </w:r>
          </w:p>
        </w:tc>
        <w:tc>
          <w:tcPr>
            <w:tcW w:w="769" w:type="pct"/>
            <w:vAlign w:val="center"/>
          </w:tcPr>
          <w:p>
            <w:pPr>
              <w:tabs>
                <w:tab w:val="left" w:pos="3469"/>
              </w:tabs>
              <w:adjustRightInd w:val="0"/>
              <w:snapToGrid w:val="0"/>
              <w:jc w:val="center"/>
              <w:rPr>
                <w:color w:val="000000"/>
                <w:sz w:val="21"/>
              </w:rPr>
            </w:pPr>
            <w:r>
              <w:rPr>
                <w:rFonts w:hint="eastAsia" w:asciiTheme="minorEastAsia" w:hAnsiTheme="minorEastAsia"/>
                <w:sz w:val="21"/>
              </w:rPr>
              <w:t>生活污水</w:t>
            </w:r>
          </w:p>
        </w:tc>
        <w:tc>
          <w:tcPr>
            <w:tcW w:w="2356" w:type="pct"/>
            <w:vAlign w:val="center"/>
          </w:tcPr>
          <w:p>
            <w:pPr>
              <w:pStyle w:val="149"/>
              <w:adjustRightInd w:val="0"/>
              <w:snapToGrid w:val="0"/>
              <w:spacing w:line="240" w:lineRule="auto"/>
              <w:rPr>
                <w:color w:val="000000"/>
              </w:rPr>
            </w:pPr>
            <w:r>
              <w:rPr>
                <w:rFonts w:hint="eastAsia"/>
              </w:rPr>
              <w:t>院内餐饮废水采用隔油沉淀池处理后再排入化粪池，经化粪池处理后</w:t>
            </w:r>
            <w:r>
              <w:t>达《污水综合排放标准》（GB8978-1996）中三级排放标准并满足马壕污水处理厂处理接管标准要求后排入市政污水管网最终排入马壕污水处理厂处理</w:t>
            </w:r>
            <w:r>
              <w:rPr>
                <w:rFonts w:hint="eastAsia"/>
              </w:rPr>
              <w:t>。</w:t>
            </w:r>
            <w:r>
              <w:t>职工公寓的生活废水经化粪池处理之后排入市政管网</w:t>
            </w:r>
            <w:r>
              <w:rPr>
                <w:rFonts w:hint="eastAsia"/>
              </w:rPr>
              <w:t>，</w:t>
            </w:r>
            <w:r>
              <w:t>再排入马壕污水处理厂处理</w:t>
            </w:r>
            <w:r>
              <w:rPr>
                <w:rFonts w:hint="eastAsia"/>
              </w:rPr>
              <w:t>。</w:t>
            </w:r>
          </w:p>
        </w:tc>
        <w:tc>
          <w:tcPr>
            <w:tcW w:w="1338" w:type="pct"/>
            <w:vAlign w:val="center"/>
          </w:tcPr>
          <w:p>
            <w:pPr>
              <w:pStyle w:val="149"/>
              <w:adjustRightInd w:val="0"/>
              <w:snapToGrid w:val="0"/>
              <w:spacing w:line="240" w:lineRule="auto"/>
              <w:rPr>
                <w:color w:val="000000"/>
              </w:rPr>
            </w:pPr>
            <w:r>
              <w:rPr>
                <w:color w:val="000000"/>
              </w:rPr>
              <w:t>符合环保要求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6" w:hRule="atLeast"/>
          <w:jc w:val="center"/>
        </w:trPr>
        <w:tc>
          <w:tcPr>
            <w:tcW w:w="536" w:type="pct"/>
            <w:vMerge w:val="continue"/>
            <w:vAlign w:val="center"/>
          </w:tcPr>
          <w:p>
            <w:pPr>
              <w:widowControl/>
              <w:adjustRightInd w:val="0"/>
              <w:snapToGrid w:val="0"/>
              <w:jc w:val="center"/>
              <w:rPr>
                <w:color w:val="000000"/>
                <w:sz w:val="21"/>
              </w:rPr>
            </w:pPr>
          </w:p>
        </w:tc>
        <w:tc>
          <w:tcPr>
            <w:tcW w:w="769" w:type="pct"/>
            <w:vAlign w:val="center"/>
          </w:tcPr>
          <w:p>
            <w:pPr>
              <w:tabs>
                <w:tab w:val="left" w:pos="3469"/>
              </w:tabs>
              <w:adjustRightInd w:val="0"/>
              <w:snapToGrid w:val="0"/>
              <w:jc w:val="center"/>
              <w:rPr>
                <w:color w:val="000000"/>
                <w:sz w:val="21"/>
                <w:u w:val="single"/>
              </w:rPr>
            </w:pPr>
            <w:r>
              <w:rPr>
                <w:rFonts w:hint="eastAsia"/>
                <w:sz w:val="21"/>
                <w:u w:val="single"/>
              </w:rPr>
              <w:t>医院</w:t>
            </w:r>
            <w:r>
              <w:rPr>
                <w:sz w:val="21"/>
                <w:u w:val="single"/>
              </w:rPr>
              <w:t>综合废水</w:t>
            </w:r>
          </w:p>
        </w:tc>
        <w:tc>
          <w:tcPr>
            <w:tcW w:w="2356" w:type="pct"/>
            <w:vAlign w:val="center"/>
          </w:tcPr>
          <w:p>
            <w:pPr>
              <w:pStyle w:val="149"/>
              <w:adjustRightInd w:val="0"/>
              <w:snapToGrid w:val="0"/>
              <w:spacing w:line="240" w:lineRule="auto"/>
              <w:rPr>
                <w:color w:val="000000"/>
                <w:u w:val="single"/>
              </w:rPr>
            </w:pPr>
            <w:r>
              <w:rPr>
                <w:rFonts w:hint="eastAsia"/>
                <w:u w:val="single"/>
              </w:rPr>
              <w:t>医院美沙酮门诊的废水未经处理，需要进行整改，医院检验室废水未经中和池处理，直接纳入医院废水处理站处理，所以需要整改。医院除美沙酮门诊的其他医疗废水经院内本项目的污水处理站</w:t>
            </w:r>
            <w:r>
              <w:rPr>
                <w:u w:val="single"/>
              </w:rPr>
              <w:t>一级处理+二氧化氯消毒工艺处理达到《医疗机构水污染物排放标准》（GB18466-2005）中表2的预处理标准并满足马壕污水处理厂接管标准后排入市政污水管网最终进入马壕污水处理厂</w:t>
            </w:r>
            <w:r>
              <w:rPr>
                <w:rFonts w:hint="eastAsia"/>
                <w:u w:val="single"/>
              </w:rPr>
              <w:t>处理。</w:t>
            </w:r>
          </w:p>
        </w:tc>
        <w:tc>
          <w:tcPr>
            <w:tcW w:w="1338" w:type="pct"/>
            <w:vAlign w:val="center"/>
          </w:tcPr>
          <w:p>
            <w:pPr>
              <w:adjustRightInd w:val="0"/>
              <w:snapToGrid w:val="0"/>
              <w:spacing w:beforeLines="5" w:afterLines="5"/>
              <w:jc w:val="center"/>
              <w:rPr>
                <w:color w:val="000000" w:themeColor="text1"/>
                <w:sz w:val="21"/>
                <w:u w:val="single"/>
              </w:rPr>
            </w:pPr>
            <w:r>
              <w:rPr>
                <w:color w:val="000000" w:themeColor="text1"/>
                <w:sz w:val="21"/>
                <w:u w:val="single"/>
              </w:rPr>
              <w:t>需要整改</w:t>
            </w:r>
            <w:r>
              <w:rPr>
                <w:rFonts w:hint="eastAsia"/>
                <w:color w:val="000000" w:themeColor="text1"/>
                <w:sz w:val="21"/>
                <w:u w:val="single"/>
              </w:rPr>
              <w:t>，</w:t>
            </w:r>
            <w:r>
              <w:rPr>
                <w:color w:val="000000" w:themeColor="text1"/>
                <w:sz w:val="21"/>
                <w:u w:val="single"/>
              </w:rPr>
              <w:t>需要将美沙酮门诊的废水接管纳入医院自建的废水处理站处理</w:t>
            </w:r>
            <w:r>
              <w:rPr>
                <w:rFonts w:hint="eastAsia"/>
                <w:color w:val="000000" w:themeColor="text1"/>
                <w:sz w:val="21"/>
                <w:u w:val="single"/>
              </w:rPr>
              <w:t>，</w:t>
            </w:r>
            <w:r>
              <w:rPr>
                <w:color w:val="000000" w:themeColor="text1"/>
                <w:sz w:val="21"/>
                <w:u w:val="single"/>
              </w:rPr>
              <w:t>检验室废水需要设置中和池</w:t>
            </w:r>
            <w:r>
              <w:rPr>
                <w:rFonts w:hint="eastAsia"/>
                <w:color w:val="000000" w:themeColor="text1"/>
                <w:sz w:val="21"/>
                <w:u w:val="single"/>
              </w:rPr>
              <w:t>，</w:t>
            </w:r>
            <w:r>
              <w:rPr>
                <w:color w:val="000000" w:themeColor="text1"/>
                <w:sz w:val="21"/>
                <w:u w:val="single"/>
              </w:rPr>
              <w:t>对检验室废水进行中和处理之后再排入医院自建污水处理站进行处理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6" w:type="pct"/>
            <w:vMerge w:val="restart"/>
            <w:vAlign w:val="center"/>
          </w:tcPr>
          <w:p>
            <w:pPr>
              <w:adjustRightInd w:val="0"/>
              <w:snapToGrid w:val="0"/>
              <w:spacing w:beforeLines="5" w:afterLines="5"/>
              <w:jc w:val="center"/>
              <w:rPr>
                <w:color w:val="000000"/>
                <w:sz w:val="21"/>
              </w:rPr>
            </w:pPr>
            <w:r>
              <w:rPr>
                <w:rFonts w:hint="eastAsia"/>
                <w:color w:val="000000"/>
                <w:sz w:val="21"/>
              </w:rPr>
              <w:t>固废</w:t>
            </w:r>
          </w:p>
        </w:tc>
        <w:tc>
          <w:tcPr>
            <w:tcW w:w="769" w:type="pct"/>
            <w:vAlign w:val="center"/>
          </w:tcPr>
          <w:p>
            <w:pPr>
              <w:pStyle w:val="149"/>
              <w:adjustRightInd w:val="0"/>
              <w:snapToGrid w:val="0"/>
              <w:spacing w:line="240" w:lineRule="auto"/>
              <w:rPr>
                <w:color w:val="000000"/>
              </w:rPr>
            </w:pPr>
            <w:r>
              <w:rPr>
                <w:rFonts w:ascii="宋体" w:hAnsi="宋体"/>
                <w:color w:val="000000" w:themeColor="text1"/>
              </w:rPr>
              <w:t>生活垃圾</w:t>
            </w:r>
          </w:p>
        </w:tc>
        <w:tc>
          <w:tcPr>
            <w:tcW w:w="2356" w:type="pct"/>
            <w:vAlign w:val="center"/>
          </w:tcPr>
          <w:p>
            <w:pPr>
              <w:pStyle w:val="149"/>
              <w:adjustRightInd w:val="0"/>
              <w:snapToGrid w:val="0"/>
              <w:spacing w:line="240" w:lineRule="auto"/>
              <w:rPr>
                <w:color w:val="000000"/>
              </w:rPr>
            </w:pPr>
            <w:r>
              <w:rPr>
                <w:rFonts w:hint="eastAsia" w:ascii="宋体" w:hAnsi="宋体"/>
                <w:color w:val="000000" w:themeColor="text1"/>
              </w:rPr>
              <w:t>环卫</w:t>
            </w:r>
            <w:r>
              <w:rPr>
                <w:rFonts w:ascii="宋体" w:hAnsi="宋体"/>
                <w:color w:val="000000" w:themeColor="text1"/>
              </w:rPr>
              <w:t>部门统一处理</w:t>
            </w:r>
          </w:p>
        </w:tc>
        <w:tc>
          <w:tcPr>
            <w:tcW w:w="1338" w:type="pct"/>
            <w:vAlign w:val="center"/>
          </w:tcPr>
          <w:p>
            <w:pPr>
              <w:pStyle w:val="149"/>
              <w:adjustRightInd w:val="0"/>
              <w:snapToGrid w:val="0"/>
              <w:spacing w:line="240" w:lineRule="auto"/>
              <w:rPr>
                <w:color w:val="000000"/>
              </w:rPr>
            </w:pPr>
            <w:r>
              <w:rPr>
                <w:color w:val="000000"/>
              </w:rPr>
              <w:t>符合环保要求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6" w:type="pct"/>
            <w:vMerge w:val="continue"/>
            <w:vAlign w:val="center"/>
          </w:tcPr>
          <w:p>
            <w:pPr>
              <w:widowControl/>
              <w:adjustRightInd w:val="0"/>
              <w:snapToGrid w:val="0"/>
              <w:jc w:val="center"/>
              <w:rPr>
                <w:color w:val="000000"/>
                <w:sz w:val="21"/>
              </w:rPr>
            </w:pPr>
          </w:p>
        </w:tc>
        <w:tc>
          <w:tcPr>
            <w:tcW w:w="769" w:type="pct"/>
            <w:vAlign w:val="center"/>
          </w:tcPr>
          <w:p>
            <w:pPr>
              <w:jc w:val="center"/>
              <w:rPr>
                <w:rFonts w:ascii="宋体" w:hAnsi="宋体"/>
                <w:color w:val="000000" w:themeColor="text1"/>
                <w:sz w:val="21"/>
              </w:rPr>
            </w:pPr>
            <w:r>
              <w:rPr>
                <w:rFonts w:ascii="宋体" w:hAnsi="宋体"/>
                <w:color w:val="000000" w:themeColor="text1"/>
                <w:sz w:val="21"/>
              </w:rPr>
              <w:t>医疗固</w:t>
            </w:r>
          </w:p>
          <w:p>
            <w:pPr>
              <w:pStyle w:val="149"/>
              <w:adjustRightInd w:val="0"/>
              <w:snapToGrid w:val="0"/>
              <w:spacing w:line="240" w:lineRule="auto"/>
              <w:rPr>
                <w:color w:val="000000"/>
              </w:rPr>
            </w:pPr>
            <w:r>
              <w:rPr>
                <w:rFonts w:ascii="宋体" w:hAnsi="宋体"/>
                <w:color w:val="000000" w:themeColor="text1"/>
              </w:rPr>
              <w:t>体废物</w:t>
            </w:r>
          </w:p>
        </w:tc>
        <w:tc>
          <w:tcPr>
            <w:tcW w:w="2356" w:type="pct"/>
            <w:vAlign w:val="center"/>
          </w:tcPr>
          <w:p>
            <w:pPr>
              <w:pStyle w:val="149"/>
              <w:adjustRightInd w:val="0"/>
              <w:snapToGrid w:val="0"/>
              <w:spacing w:line="240" w:lineRule="auto"/>
              <w:rPr>
                <w:color w:val="000000"/>
              </w:rPr>
            </w:pPr>
            <w:r>
              <w:rPr>
                <w:rFonts w:ascii="宋体" w:hAnsi="宋体"/>
                <w:color w:val="000000" w:themeColor="text1"/>
              </w:rPr>
              <w:t>医院已设置医疗固废暂存间</w:t>
            </w:r>
            <w:r>
              <w:rPr>
                <w:rFonts w:hint="eastAsia" w:ascii="宋体" w:hAnsi="宋体"/>
                <w:color w:val="000000" w:themeColor="text1"/>
              </w:rPr>
              <w:t>，</w:t>
            </w:r>
            <w:r>
              <w:rPr>
                <w:rFonts w:ascii="宋体" w:hAnsi="宋体"/>
                <w:color w:val="000000" w:themeColor="text1"/>
              </w:rPr>
              <w:t>并委托</w:t>
            </w:r>
            <w:r>
              <w:rPr>
                <w:rFonts w:hint="eastAsia" w:ascii="宋体" w:hAnsi="宋体"/>
                <w:color w:val="000000" w:themeColor="text1"/>
              </w:rPr>
              <w:t>岳阳市方向固废安全处置有限公司</w:t>
            </w:r>
            <w:r>
              <w:rPr>
                <w:rFonts w:ascii="宋体" w:hAnsi="宋体"/>
                <w:color w:val="000000" w:themeColor="text1"/>
              </w:rPr>
              <w:t>集中处置</w:t>
            </w:r>
            <w:r>
              <w:rPr>
                <w:rFonts w:hint="eastAsia" w:ascii="宋体" w:hAnsi="宋体"/>
                <w:color w:val="000000" w:themeColor="text1"/>
              </w:rPr>
              <w:t>，</w:t>
            </w:r>
            <w:r>
              <w:rPr>
                <w:rFonts w:ascii="宋体" w:hAnsi="宋体"/>
                <w:color w:val="000000" w:themeColor="text1"/>
              </w:rPr>
              <w:t>已签订协议</w:t>
            </w:r>
          </w:p>
        </w:tc>
        <w:tc>
          <w:tcPr>
            <w:tcW w:w="1338" w:type="pct"/>
            <w:vAlign w:val="center"/>
          </w:tcPr>
          <w:p>
            <w:pPr>
              <w:pStyle w:val="149"/>
              <w:adjustRightInd w:val="0"/>
              <w:snapToGrid w:val="0"/>
              <w:spacing w:line="240" w:lineRule="auto"/>
              <w:rPr>
                <w:color w:val="000000"/>
              </w:rPr>
            </w:pPr>
            <w:r>
              <w:rPr>
                <w:color w:val="000000"/>
              </w:rPr>
              <w:t>符合环保要求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6" w:type="pct"/>
            <w:vMerge w:val="continue"/>
            <w:vAlign w:val="center"/>
          </w:tcPr>
          <w:p>
            <w:pPr>
              <w:widowControl/>
              <w:adjustRightInd w:val="0"/>
              <w:snapToGrid w:val="0"/>
              <w:jc w:val="center"/>
              <w:rPr>
                <w:color w:val="000000"/>
                <w:sz w:val="21"/>
              </w:rPr>
            </w:pPr>
          </w:p>
        </w:tc>
        <w:tc>
          <w:tcPr>
            <w:tcW w:w="769" w:type="pct"/>
            <w:vAlign w:val="center"/>
          </w:tcPr>
          <w:p>
            <w:pPr>
              <w:jc w:val="center"/>
              <w:rPr>
                <w:rFonts w:ascii="宋体" w:hAnsi="宋体"/>
                <w:color w:val="000000" w:themeColor="text1"/>
                <w:sz w:val="21"/>
              </w:rPr>
            </w:pPr>
            <w:r>
              <w:rPr>
                <w:rFonts w:ascii="宋体" w:hAnsi="宋体"/>
                <w:color w:val="000000" w:themeColor="text1"/>
                <w:sz w:val="21"/>
              </w:rPr>
              <w:t>污水处</w:t>
            </w:r>
          </w:p>
          <w:p>
            <w:pPr>
              <w:pStyle w:val="149"/>
              <w:adjustRightInd w:val="0"/>
              <w:snapToGrid w:val="0"/>
              <w:spacing w:line="240" w:lineRule="auto"/>
              <w:rPr>
                <w:color w:val="000000"/>
              </w:rPr>
            </w:pPr>
            <w:r>
              <w:rPr>
                <w:rFonts w:ascii="宋体" w:hAnsi="宋体"/>
                <w:color w:val="000000" w:themeColor="text1"/>
              </w:rPr>
              <w:t>理污泥</w:t>
            </w:r>
          </w:p>
        </w:tc>
        <w:tc>
          <w:tcPr>
            <w:tcW w:w="2356" w:type="pct"/>
            <w:vAlign w:val="center"/>
          </w:tcPr>
          <w:p>
            <w:pPr>
              <w:pStyle w:val="149"/>
              <w:adjustRightInd w:val="0"/>
              <w:snapToGrid w:val="0"/>
              <w:spacing w:line="240" w:lineRule="auto"/>
              <w:rPr>
                <w:color w:val="000000"/>
              </w:rPr>
            </w:pPr>
            <w:r>
              <w:rPr>
                <w:rFonts w:hint="eastAsia" w:ascii="宋体" w:hAnsi="宋体"/>
                <w:color w:val="000000" w:themeColor="text1"/>
              </w:rPr>
              <w:t>清掏脱水后暂存医疗固废暂存间，</w:t>
            </w:r>
            <w:r>
              <w:rPr>
                <w:rFonts w:ascii="宋体" w:hAnsi="宋体"/>
                <w:color w:val="000000" w:themeColor="text1"/>
              </w:rPr>
              <w:t>委托</w:t>
            </w:r>
            <w:r>
              <w:rPr>
                <w:rFonts w:hint="eastAsia" w:ascii="宋体" w:hAnsi="宋体"/>
                <w:color w:val="000000" w:themeColor="text1"/>
              </w:rPr>
              <w:t>有资质的单位处理</w:t>
            </w:r>
          </w:p>
        </w:tc>
        <w:tc>
          <w:tcPr>
            <w:tcW w:w="1338" w:type="pct"/>
            <w:vAlign w:val="center"/>
          </w:tcPr>
          <w:p>
            <w:pPr>
              <w:pStyle w:val="149"/>
              <w:adjustRightInd w:val="0"/>
              <w:snapToGrid w:val="0"/>
              <w:spacing w:line="240" w:lineRule="auto"/>
              <w:rPr>
                <w:color w:val="000000"/>
              </w:rPr>
            </w:pPr>
            <w:r>
              <w:rPr>
                <w:color w:val="000000"/>
              </w:rPr>
              <w:t>符合环保要求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6" w:type="pct"/>
            <w:vMerge w:val="continue"/>
            <w:vAlign w:val="center"/>
          </w:tcPr>
          <w:p>
            <w:pPr>
              <w:widowControl/>
              <w:adjustRightInd w:val="0"/>
              <w:snapToGrid w:val="0"/>
              <w:jc w:val="center"/>
              <w:rPr>
                <w:color w:val="000000"/>
                <w:sz w:val="21"/>
              </w:rPr>
            </w:pPr>
          </w:p>
        </w:tc>
        <w:tc>
          <w:tcPr>
            <w:tcW w:w="769" w:type="pct"/>
            <w:vAlign w:val="center"/>
          </w:tcPr>
          <w:p>
            <w:pPr>
              <w:pStyle w:val="149"/>
              <w:adjustRightInd w:val="0"/>
              <w:snapToGrid w:val="0"/>
              <w:spacing w:line="240" w:lineRule="auto"/>
              <w:rPr>
                <w:color w:val="000000"/>
              </w:rPr>
            </w:pPr>
            <w:r>
              <w:rPr>
                <w:rFonts w:ascii="宋体" w:hAnsi="宋体"/>
                <w:color w:val="000000" w:themeColor="text1"/>
              </w:rPr>
              <w:t>厨余垃圾</w:t>
            </w:r>
          </w:p>
        </w:tc>
        <w:tc>
          <w:tcPr>
            <w:tcW w:w="2356" w:type="pct"/>
            <w:vAlign w:val="center"/>
          </w:tcPr>
          <w:p>
            <w:pPr>
              <w:pStyle w:val="149"/>
              <w:adjustRightInd w:val="0"/>
              <w:snapToGrid w:val="0"/>
              <w:spacing w:line="240" w:lineRule="auto"/>
              <w:rPr>
                <w:color w:val="000000"/>
              </w:rPr>
            </w:pPr>
            <w:r>
              <w:rPr>
                <w:color w:val="000000"/>
              </w:rPr>
              <w:t>餐厨垃圾未按照相关要求处置</w:t>
            </w:r>
          </w:p>
        </w:tc>
        <w:tc>
          <w:tcPr>
            <w:tcW w:w="1338" w:type="pct"/>
            <w:vAlign w:val="center"/>
          </w:tcPr>
          <w:p>
            <w:pPr>
              <w:pStyle w:val="149"/>
              <w:adjustRightInd w:val="0"/>
              <w:snapToGrid w:val="0"/>
              <w:spacing w:line="240" w:lineRule="auto"/>
              <w:rPr>
                <w:color w:val="000000"/>
              </w:rPr>
            </w:pPr>
            <w:r>
              <w:rPr>
                <w:rFonts w:hint="eastAsia"/>
              </w:rPr>
              <w:t>需整改，根据岳阳市人民政府于2019年3月1日印发的《岳阳市人民政府关于加强市城区餐厨剩余物监管的通告》（岳政告），通告中要求“餐厨剩余物产生单位要与有关企业签订餐厨剩余物收集、运输协议或直接运送到指定地点，严禁将餐厨剩余物交给生猪养殖场户或个人。餐厨剩余物收集运输单位要建立台账，真实、完整记录收集运输餐厨剩余物的来源、数量、去向等情况。餐厨剩余物处理企业要建立台账，详细记录相关情况，并按照相关技术标准和要求进行处置。”岳阳康复医院应该按照以上要求对医院内的餐厨垃圾作出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536" w:type="pct"/>
            <w:vAlign w:val="center"/>
          </w:tcPr>
          <w:p>
            <w:pPr>
              <w:adjustRightInd w:val="0"/>
              <w:snapToGrid w:val="0"/>
              <w:spacing w:beforeLines="5" w:afterLines="5"/>
              <w:jc w:val="center"/>
              <w:rPr>
                <w:color w:val="000000"/>
                <w:sz w:val="21"/>
              </w:rPr>
            </w:pPr>
            <w:r>
              <w:rPr>
                <w:color w:val="000000"/>
                <w:sz w:val="21"/>
              </w:rPr>
              <w:t>噪声</w:t>
            </w:r>
          </w:p>
        </w:tc>
        <w:tc>
          <w:tcPr>
            <w:tcW w:w="769" w:type="pct"/>
            <w:vAlign w:val="center"/>
          </w:tcPr>
          <w:p>
            <w:pPr>
              <w:pStyle w:val="149"/>
              <w:adjustRightInd w:val="0"/>
              <w:snapToGrid w:val="0"/>
              <w:spacing w:line="240" w:lineRule="auto"/>
              <w:rPr>
                <w:color w:val="000000"/>
              </w:rPr>
            </w:pPr>
            <w:r>
              <w:rPr>
                <w:color w:val="000000"/>
              </w:rPr>
              <w:t>设备噪声</w:t>
            </w:r>
          </w:p>
        </w:tc>
        <w:tc>
          <w:tcPr>
            <w:tcW w:w="2356" w:type="pct"/>
            <w:vAlign w:val="center"/>
          </w:tcPr>
          <w:p>
            <w:pPr>
              <w:pStyle w:val="149"/>
              <w:adjustRightInd w:val="0"/>
              <w:snapToGrid w:val="0"/>
              <w:spacing w:line="240" w:lineRule="auto"/>
              <w:rPr>
                <w:color w:val="000000"/>
              </w:rPr>
            </w:pPr>
            <w:r>
              <w:rPr>
                <w:color w:val="000000"/>
              </w:rPr>
              <w:t>基底减振，距离衰减，隔声</w:t>
            </w:r>
          </w:p>
        </w:tc>
        <w:tc>
          <w:tcPr>
            <w:tcW w:w="1338" w:type="pct"/>
            <w:vAlign w:val="center"/>
          </w:tcPr>
          <w:p>
            <w:pPr>
              <w:pStyle w:val="149"/>
              <w:adjustRightInd w:val="0"/>
              <w:snapToGrid w:val="0"/>
              <w:spacing w:line="240" w:lineRule="auto"/>
              <w:rPr>
                <w:color w:val="000000"/>
              </w:rPr>
            </w:pPr>
            <w:r>
              <w:rPr>
                <w:color w:val="000000"/>
              </w:rPr>
              <w:t>符合环保要求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536" w:type="pct"/>
            <w:vAlign w:val="center"/>
          </w:tcPr>
          <w:p>
            <w:pPr>
              <w:adjustRightInd w:val="0"/>
              <w:snapToGrid w:val="0"/>
              <w:spacing w:beforeLines="5" w:afterLines="5"/>
              <w:jc w:val="center"/>
              <w:rPr>
                <w:color w:val="000000"/>
                <w:sz w:val="21"/>
              </w:rPr>
            </w:pPr>
            <w:r>
              <w:rPr>
                <w:color w:val="000000"/>
                <w:sz w:val="21"/>
              </w:rPr>
              <w:t>地下水</w:t>
            </w:r>
          </w:p>
        </w:tc>
        <w:tc>
          <w:tcPr>
            <w:tcW w:w="769" w:type="pct"/>
            <w:vAlign w:val="center"/>
          </w:tcPr>
          <w:p>
            <w:pPr>
              <w:pStyle w:val="149"/>
              <w:adjustRightInd w:val="0"/>
              <w:snapToGrid w:val="0"/>
              <w:spacing w:line="240" w:lineRule="auto"/>
              <w:rPr>
                <w:color w:val="000000"/>
              </w:rPr>
            </w:pPr>
            <w:r>
              <w:rPr>
                <w:color w:val="000000"/>
              </w:rPr>
              <w:t>防渗措施</w:t>
            </w:r>
          </w:p>
        </w:tc>
        <w:tc>
          <w:tcPr>
            <w:tcW w:w="2356" w:type="pct"/>
            <w:vAlign w:val="center"/>
          </w:tcPr>
          <w:p>
            <w:pPr>
              <w:pStyle w:val="147"/>
              <w:spacing w:line="240" w:lineRule="auto"/>
              <w:jc w:val="both"/>
              <w:rPr>
                <w:rFonts w:ascii="Times New Roman" w:hAnsi="Times New Roman" w:cs="Times New Roman"/>
              </w:rPr>
            </w:pPr>
            <w:r>
              <w:rPr>
                <w:rFonts w:hint="eastAsia" w:cs="Times New Roman"/>
              </w:rPr>
              <w:t>①</w:t>
            </w:r>
            <w:r>
              <w:rPr>
                <w:rFonts w:ascii="Times New Roman" w:hAnsi="Times New Roman" w:cs="Times New Roman"/>
              </w:rPr>
              <w:t>本项目办公区域简单防渗区采用一般地面硬化防渗措施。</w:t>
            </w:r>
          </w:p>
          <w:p>
            <w:pPr>
              <w:pStyle w:val="147"/>
              <w:spacing w:line="240" w:lineRule="auto"/>
              <w:jc w:val="both"/>
              <w:rPr>
                <w:rFonts w:ascii="Times New Roman" w:hAnsi="Times New Roman" w:cs="Times New Roman"/>
              </w:rPr>
            </w:pPr>
            <w:r>
              <w:rPr>
                <w:rFonts w:hint="eastAsia" w:cs="Times New Roman"/>
              </w:rPr>
              <w:t>②</w:t>
            </w:r>
            <w:r>
              <w:rPr>
                <w:rFonts w:ascii="Times New Roman" w:hAnsi="Times New Roman" w:cs="Times New Roman"/>
              </w:rPr>
              <w:t>对病房、诊室等一般污染防治区已经按照《一般工业固体废物储存、处置场污染控制标准》（GB18599-2001）的相关要求进行防渗设计、施工。地坪混凝土防渗层抗渗等级不应小于P6（混凝土的抗渗等级能抵抗0.6Mpa的静水压力而不渗水）其厚度不宜小于100mm，其防渗层性能与1.5m厚粘土层（渗透系数1.0×10</w:t>
            </w:r>
            <w:r>
              <w:rPr>
                <w:rFonts w:ascii="Times New Roman" w:hAnsi="Times New Roman" w:cs="Times New Roman"/>
                <w:vertAlign w:val="superscript"/>
              </w:rPr>
              <w:t>-7</w:t>
            </w:r>
            <w:r>
              <w:rPr>
                <w:rFonts w:ascii="Times New Roman" w:hAnsi="Times New Roman" w:cs="Times New Roman"/>
              </w:rPr>
              <w:t>cm/s）等效。</w:t>
            </w:r>
          </w:p>
          <w:p>
            <w:pPr>
              <w:pStyle w:val="149"/>
              <w:adjustRightInd w:val="0"/>
              <w:snapToGrid w:val="0"/>
              <w:spacing w:line="240" w:lineRule="auto"/>
              <w:jc w:val="both"/>
              <w:rPr>
                <w:color w:val="000000"/>
              </w:rPr>
            </w:pPr>
            <w:r>
              <w:rPr>
                <w:rFonts w:hAnsi="宋体"/>
              </w:rPr>
              <w:t>③</w:t>
            </w:r>
            <w:r>
              <w:t>对医疗废物暂存间、污水处理站、化粪池、隔油池等重点污染防治区已经按照《危险废物填埋污染控制标准》（GB18598-2001）的相关要求进行防渗设计、施工。地坪混凝土防渗层抗渗等级不应小于P8（混凝土的抗渗等级能抵抗0.8MPa 的静水压力而不渗水），其厚度不宜小于150mm，防渗层性能应与6m厚粘土层（渗透系数1.0×10</w:t>
            </w:r>
            <w:r>
              <w:rPr>
                <w:vertAlign w:val="superscript"/>
              </w:rPr>
              <w:t>-10</w:t>
            </w:r>
            <w:r>
              <w:t>cm/s）等效。</w:t>
            </w:r>
          </w:p>
        </w:tc>
        <w:tc>
          <w:tcPr>
            <w:tcW w:w="1338" w:type="pct"/>
            <w:vAlign w:val="center"/>
          </w:tcPr>
          <w:p>
            <w:pPr>
              <w:pStyle w:val="149"/>
              <w:adjustRightInd w:val="0"/>
              <w:snapToGrid w:val="0"/>
              <w:spacing w:line="240" w:lineRule="auto"/>
              <w:rPr>
                <w:color w:val="000000"/>
              </w:rPr>
            </w:pPr>
            <w:r>
              <w:rPr>
                <w:color w:val="000000"/>
              </w:rPr>
              <w:t>符合环保要求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536" w:type="pct"/>
            <w:vAlign w:val="center"/>
          </w:tcPr>
          <w:p>
            <w:pPr>
              <w:adjustRightInd w:val="0"/>
              <w:snapToGrid w:val="0"/>
              <w:spacing w:beforeLines="5" w:afterLines="5"/>
              <w:jc w:val="center"/>
              <w:rPr>
                <w:color w:val="000000" w:themeColor="text1"/>
                <w:sz w:val="21"/>
              </w:rPr>
            </w:pPr>
            <w:r>
              <w:rPr>
                <w:color w:val="000000" w:themeColor="text1"/>
                <w:sz w:val="21"/>
              </w:rPr>
              <w:t>环境风险</w:t>
            </w:r>
          </w:p>
        </w:tc>
        <w:tc>
          <w:tcPr>
            <w:tcW w:w="769" w:type="pct"/>
            <w:vAlign w:val="center"/>
          </w:tcPr>
          <w:p>
            <w:pPr>
              <w:pStyle w:val="149"/>
              <w:adjustRightInd w:val="0"/>
              <w:snapToGrid w:val="0"/>
              <w:spacing w:line="240" w:lineRule="auto"/>
              <w:rPr>
                <w:color w:val="000000" w:themeColor="text1"/>
              </w:rPr>
            </w:pPr>
            <w:r>
              <w:rPr>
                <w:color w:val="000000" w:themeColor="text1"/>
              </w:rPr>
              <w:t>事故应急池</w:t>
            </w:r>
          </w:p>
        </w:tc>
        <w:tc>
          <w:tcPr>
            <w:tcW w:w="2356" w:type="pct"/>
            <w:vAlign w:val="center"/>
          </w:tcPr>
          <w:p>
            <w:pPr>
              <w:pStyle w:val="147"/>
              <w:spacing w:line="240" w:lineRule="auto"/>
              <w:jc w:val="both"/>
              <w:rPr>
                <w:rFonts w:cs="Times New Roman"/>
                <w:color w:val="000000" w:themeColor="text1"/>
              </w:rPr>
            </w:pPr>
            <w:r>
              <w:rPr>
                <w:rFonts w:hint="eastAsia" w:cs="Times New Roman"/>
                <w:color w:val="000000" w:themeColor="text1"/>
              </w:rPr>
              <w:t>在停电或者是废水处理站检修期间，本院将医院的调节池和沉淀池作为本项目的事故应急池来使用。</w:t>
            </w:r>
          </w:p>
        </w:tc>
        <w:tc>
          <w:tcPr>
            <w:tcW w:w="1338" w:type="pct"/>
            <w:vAlign w:val="center"/>
          </w:tcPr>
          <w:p>
            <w:pPr>
              <w:pStyle w:val="149"/>
              <w:adjustRightInd w:val="0"/>
              <w:snapToGrid w:val="0"/>
              <w:spacing w:line="240" w:lineRule="auto"/>
              <w:rPr>
                <w:color w:val="000000" w:themeColor="text1"/>
              </w:rPr>
            </w:pPr>
            <w:r>
              <w:rPr>
                <w:color w:val="000000" w:themeColor="text1"/>
              </w:rPr>
              <w:t>符合环保要求</w:t>
            </w:r>
          </w:p>
        </w:tc>
      </w:tr>
    </w:tbl>
    <w:p>
      <w:pPr>
        <w:pStyle w:val="14"/>
        <w:ind w:firstLine="480" w:firstLineChars="200"/>
        <w:jc w:val="both"/>
        <w:rPr>
          <w:b w:val="0"/>
        </w:rPr>
      </w:pPr>
      <w:r>
        <w:rPr>
          <w:rFonts w:hint="eastAsia"/>
          <w:b w:val="0"/>
        </w:rPr>
        <w:t>由</w:t>
      </w:r>
      <w:r>
        <w:fldChar w:fldCharType="begin"/>
      </w:r>
      <w:r>
        <w:instrText xml:space="preserve"> REF _Ref25757677 \h  \* MERGEFORMAT </w:instrText>
      </w:r>
      <w:r>
        <w:fldChar w:fldCharType="separate"/>
      </w:r>
      <w:r>
        <w:rPr>
          <w:rFonts w:hint="eastAsia"/>
          <w:b w:val="0"/>
        </w:rPr>
        <w:t>表</w:t>
      </w:r>
      <w:r>
        <w:rPr>
          <w:b w:val="0"/>
        </w:rPr>
        <w:t>2.5</w:t>
      </w:r>
      <w:r>
        <w:rPr>
          <w:b w:val="0"/>
        </w:rPr>
        <w:noBreakHyphen/>
      </w:r>
      <w:r>
        <w:rPr>
          <w:b w:val="0"/>
        </w:rPr>
        <w:t>2</w:t>
      </w:r>
      <w:r>
        <w:rPr>
          <w:b w:val="0"/>
        </w:rPr>
        <w:fldChar w:fldCharType="end"/>
      </w:r>
      <w:r>
        <w:rPr>
          <w:b w:val="0"/>
        </w:rPr>
        <w:t>可知</w:t>
      </w:r>
      <w:r>
        <w:rPr>
          <w:rFonts w:hint="eastAsia"/>
          <w:b w:val="0"/>
        </w:rPr>
        <w:t>，岳阳市康复医院需要整改的有以下几点：</w:t>
      </w:r>
    </w:p>
    <w:p>
      <w:pPr>
        <w:spacing w:line="360" w:lineRule="auto"/>
        <w:ind w:firstLine="480" w:firstLineChars="200"/>
        <w:rPr>
          <w:color w:val="000000" w:themeColor="text1"/>
        </w:rPr>
      </w:pPr>
      <w:r>
        <w:rPr>
          <w:rFonts w:hint="eastAsia"/>
        </w:rPr>
        <w:t>（1）</w:t>
      </w:r>
      <w:r>
        <w:rPr>
          <w:color w:val="000000"/>
        </w:rPr>
        <w:t>精神大楼旁的两个锅炉排气筒未达到</w:t>
      </w:r>
      <w:r>
        <w:rPr>
          <w:color w:val="000000" w:themeColor="text1"/>
        </w:rPr>
        <w:t>《锅炉大气污染物排放标准》（GB13271-20</w:t>
      </w:r>
      <w:r>
        <w:rPr>
          <w:rFonts w:hint="eastAsia"/>
          <w:color w:val="000000" w:themeColor="text1"/>
        </w:rPr>
        <w:t>14</w:t>
      </w:r>
      <w:r>
        <w:rPr>
          <w:color w:val="000000" w:themeColor="text1"/>
        </w:rPr>
        <w:t>）</w:t>
      </w:r>
      <w:r>
        <w:rPr>
          <w:rFonts w:hint="eastAsia"/>
          <w:color w:val="000000" w:themeColor="text1"/>
        </w:rPr>
        <w:t>中燃气锅炉的排气筒的高度要求，需要增加排气筒高度。</w:t>
      </w:r>
    </w:p>
    <w:p>
      <w:pPr>
        <w:spacing w:line="360" w:lineRule="auto"/>
        <w:ind w:firstLine="480" w:firstLineChars="200"/>
      </w:pPr>
      <w:r>
        <w:rPr>
          <w:rFonts w:hint="eastAsia"/>
          <w:color w:val="000000" w:themeColor="text1"/>
        </w:rPr>
        <w:t>（2）</w:t>
      </w:r>
      <w:r>
        <w:rPr>
          <w:rFonts w:hint="eastAsia"/>
        </w:rPr>
        <w:t>根据</w:t>
      </w:r>
      <w:r>
        <w:rPr>
          <w:rFonts w:hint="eastAsia" w:cs="Times New Roman"/>
        </w:rPr>
        <w:t>岳阳市人民政府于2019年3月1日印发</w:t>
      </w:r>
      <w:r>
        <w:rPr>
          <w:rFonts w:hint="eastAsia"/>
        </w:rPr>
        <w:t>的</w:t>
      </w:r>
      <w:r>
        <w:rPr>
          <w:rFonts w:hint="eastAsia" w:cs="Times New Roman"/>
        </w:rPr>
        <w:t>《岳阳市人民政府关于加强市城区餐厨剩余物监管的通告》（岳政告【2019】1号），通告中要求“餐厨剩余物产生单位要与有关企业签订餐厨剩余物收集、运输协议或直接运送到指定地点，严禁将餐厨剩余物交给生猪养殖场户或个人。餐厨剩余物收集运输单位要建立台账，真实、完整记录收集运输餐厨剩余物的来源、数量、去向等情况。餐厨剩余物处理企业要建立台账，详细记录相关情况，并按照相关技术标准和要求进行处置。”</w:t>
      </w:r>
      <w:r>
        <w:rPr>
          <w:rFonts w:hint="eastAsia"/>
        </w:rPr>
        <w:t>医院的餐厨垃圾尚未按照要求处置，需根据《岳阳市人民政府关于加强市城区</w:t>
      </w:r>
      <w:r>
        <w:rPr>
          <w:rFonts w:hint="eastAsia" w:cs="Times New Roman"/>
        </w:rPr>
        <w:t>餐厨剩余物监管的通告</w:t>
      </w:r>
      <w:r>
        <w:rPr>
          <w:rFonts w:hint="eastAsia"/>
        </w:rPr>
        <w:t>》</w:t>
      </w:r>
      <w:r>
        <w:rPr>
          <w:rFonts w:hint="eastAsia" w:cs="Times New Roman"/>
        </w:rPr>
        <w:t>（岳政告【2019】1号）</w:t>
      </w:r>
      <w:r>
        <w:rPr>
          <w:rFonts w:hint="eastAsia"/>
        </w:rPr>
        <w:t xml:space="preserve"> 的要求进行整改。</w:t>
      </w:r>
      <w:r>
        <w:rPr>
          <w:rFonts w:hint="eastAsia" w:hAnsi="宋体" w:cs="Times New Roman"/>
          <w:color w:val="000000" w:themeColor="text1"/>
          <w:szCs w:val="24"/>
        </w:rPr>
        <w:t>本环评建议用密闭容器、垃圾袋收集后暂存于食堂垃圾储存处，贮存周期不超过1天，委托有相关资质单位处理。</w:t>
      </w:r>
    </w:p>
    <w:p>
      <w:pPr>
        <w:spacing w:line="360" w:lineRule="auto"/>
        <w:ind w:firstLine="480" w:firstLineChars="200"/>
        <w:rPr>
          <w:color w:val="000000" w:themeColor="text1"/>
          <w:u w:val="single"/>
        </w:rPr>
      </w:pPr>
      <w:r>
        <w:rPr>
          <w:rFonts w:hint="eastAsia"/>
          <w:color w:val="000000" w:themeColor="text1"/>
          <w:u w:val="single"/>
        </w:rPr>
        <w:t>（3）美沙酮门诊主要是将美沙酮药物卖给自愿戒毒的病人，然后看病人服下药物，无其他医疗项目。所以美沙酮门诊主要产生医疗固废主要为</w:t>
      </w:r>
      <w:r>
        <w:rPr>
          <w:color w:val="000000" w:themeColor="text1"/>
          <w:u w:val="single"/>
        </w:rPr>
        <w:t>一次性使用卫生用品</w:t>
      </w:r>
      <w:r>
        <w:rPr>
          <w:rFonts w:hint="eastAsia"/>
          <w:color w:val="000000" w:themeColor="text1"/>
          <w:u w:val="single"/>
        </w:rPr>
        <w:t>，</w:t>
      </w:r>
      <w:r>
        <w:rPr>
          <w:color w:val="000000" w:themeColor="text1"/>
          <w:u w:val="single"/>
        </w:rPr>
        <w:t>美沙酮门诊产生的废水主要为门诊厕所产生的废水</w:t>
      </w:r>
      <w:r>
        <w:rPr>
          <w:rFonts w:hint="eastAsia"/>
          <w:color w:val="000000" w:themeColor="text1"/>
          <w:u w:val="single"/>
        </w:rPr>
        <w:t>。医院已将美沙酮门诊产生的医疗固废单独收集，收集后已存入医疗废物暂存间。需要更改的主要为美沙酮门诊的产生的废水，需要纳管接入医院的废水处理站处理。</w:t>
      </w:r>
    </w:p>
    <w:p>
      <w:pPr>
        <w:spacing w:line="360" w:lineRule="auto"/>
        <w:ind w:firstLine="480" w:firstLineChars="200"/>
        <w:rPr>
          <w:color w:val="000000" w:themeColor="text1"/>
        </w:rPr>
      </w:pPr>
      <w:r>
        <w:rPr>
          <w:rFonts w:hint="eastAsia"/>
          <w:color w:val="000000" w:themeColor="text1"/>
        </w:rPr>
        <w:t>（4）检验室废水需要设置中和池，检验室废水经中和池处理之后再排入医院自建的污水处理站处理，检验室产生的废水主要是酸性废水，中和池主要加碱进行中和反应，降低检验废水的PH值。</w:t>
      </w:r>
      <w:r>
        <w:rPr>
          <w:color w:val="000000" w:themeColor="text1"/>
        </w:rPr>
        <w:t xml:space="preserve"> </w:t>
      </w:r>
    </w:p>
    <w:p>
      <w:pPr>
        <w:widowControl/>
        <w:jc w:val="left"/>
      </w:pPr>
      <w:r>
        <w:br w:type="page"/>
      </w:r>
    </w:p>
    <w:p>
      <w:pPr>
        <w:pStyle w:val="2"/>
        <w:adjustRightInd w:val="0"/>
        <w:snapToGrid w:val="0"/>
        <w:spacing w:line="360" w:lineRule="auto"/>
        <w:rPr>
          <w:color w:val="000000" w:themeColor="text1"/>
        </w:rPr>
      </w:pPr>
      <w:bookmarkStart w:id="130" w:name="_Toc25826488"/>
      <w:r>
        <w:rPr>
          <w:color w:val="000000" w:themeColor="text1"/>
        </w:rPr>
        <w:t>工程分析</w:t>
      </w:r>
      <w:bookmarkEnd w:id="130"/>
    </w:p>
    <w:p>
      <w:pPr>
        <w:pStyle w:val="4"/>
        <w:rPr>
          <w:color w:val="000000" w:themeColor="text1"/>
        </w:rPr>
      </w:pPr>
      <w:bookmarkStart w:id="131" w:name="_Toc25826489"/>
      <w:r>
        <w:rPr>
          <w:rFonts w:hint="eastAsia"/>
          <w:color w:val="000000" w:themeColor="text1"/>
        </w:rPr>
        <w:t>施工期污染源分析</w:t>
      </w:r>
      <w:bookmarkEnd w:id="131"/>
    </w:p>
    <w:p>
      <w:pPr>
        <w:spacing w:line="360" w:lineRule="auto"/>
        <w:ind w:firstLine="480" w:firstLineChars="200"/>
      </w:pPr>
      <w:r>
        <w:rPr>
          <w:rFonts w:hint="eastAsia"/>
        </w:rPr>
        <w:t>本项目位于</w:t>
      </w:r>
      <w:r>
        <w:rPr>
          <w:rFonts w:cs="Times New Roman"/>
        </w:rPr>
        <w:t>岳阳市岳阳楼区福颐路48号</w:t>
      </w:r>
      <w:r>
        <w:rPr>
          <w:rFonts w:hint="eastAsia"/>
        </w:rPr>
        <w:t>，本项目为补办环评，施工期已结束，则本项目不对施工期进行影响分析。</w:t>
      </w:r>
    </w:p>
    <w:p>
      <w:pPr>
        <w:pStyle w:val="4"/>
      </w:pPr>
      <w:bookmarkStart w:id="132" w:name="_Toc25826490"/>
      <w:bookmarkStart w:id="133" w:name="_Toc532497636"/>
      <w:bookmarkStart w:id="134" w:name="_Toc532376152"/>
      <w:bookmarkStart w:id="135" w:name="_Toc532763209"/>
      <w:bookmarkStart w:id="136" w:name="_Toc532498745"/>
      <w:r>
        <w:t>营运期污染影响分析</w:t>
      </w:r>
      <w:bookmarkEnd w:id="132"/>
    </w:p>
    <w:p>
      <w:pPr>
        <w:spacing w:line="360" w:lineRule="auto"/>
        <w:ind w:firstLine="480" w:firstLineChars="200"/>
        <w:rPr>
          <w:rFonts w:cs="Times New Roman"/>
          <w:color w:val="000000" w:themeColor="text1"/>
        </w:rPr>
      </w:pPr>
      <w:r>
        <w:rPr>
          <w:rFonts w:cs="Times New Roman"/>
          <w:color w:val="000000" w:themeColor="text1"/>
        </w:rPr>
        <w:t>本项目属于医疗社会服务行业，为来院就医的病人提供专业的诊断治疗服务。医院设置的主要科室有</w:t>
      </w:r>
      <w:r>
        <w:rPr>
          <w:rFonts w:cs="Times New Roman"/>
          <w:color w:val="000000" w:themeColor="text1"/>
          <w:szCs w:val="24"/>
        </w:rPr>
        <w:t>精神病类（设一、二、三科）、老年康复类(四、五、六科）、美沙酮门诊、流浪精神病科、康复理疗科、心理咨询科以及门诊部、药械科等其他医剂科室，共计床位</w:t>
      </w:r>
      <w:r>
        <w:rPr>
          <w:rFonts w:cs="Times New Roman"/>
          <w:color w:val="000000" w:themeColor="text1"/>
        </w:rPr>
        <w:t>768</w:t>
      </w:r>
      <w:r>
        <w:rPr>
          <w:rFonts w:cs="Times New Roman"/>
          <w:color w:val="000000" w:themeColor="text1"/>
          <w:szCs w:val="24"/>
        </w:rPr>
        <w:t>张</w:t>
      </w:r>
      <w:r>
        <w:rPr>
          <w:rFonts w:cs="Times New Roman"/>
          <w:color w:val="000000" w:themeColor="text1"/>
        </w:rPr>
        <w:t>。医院内不设置传染科，医院内就诊人员可根据自己病区需要，选择相应的诊治科室和医技人员进行检查和诊治，本项目不设置太平间，不设置传染科、结核科，如果遇到传染病人，应转移到专门的传染病医院，本项目不设冷库，采用冰柜作为药品的低温保藏，设置中央空调机组，液氧均为外购，不自制，本项目配有柴油发电机，医院营运期主要工艺流程及产污环节</w:t>
      </w:r>
      <w:r>
        <w:fldChar w:fldCharType="begin"/>
      </w:r>
      <w:r>
        <w:instrText xml:space="preserve"> REF _Ref13843835 \h  \* MERGEFORMAT </w:instrText>
      </w:r>
      <w:r>
        <w:fldChar w:fldCharType="separate"/>
      </w:r>
      <w:r>
        <w:rPr>
          <w:rFonts w:cs="Times New Roman"/>
          <w:color w:val="000000" w:themeColor="text1"/>
        </w:rPr>
        <w:t>图3.2</w:t>
      </w:r>
      <w:r>
        <w:rPr>
          <w:rFonts w:cs="Times New Roman"/>
          <w:color w:val="000000" w:themeColor="text1"/>
        </w:rPr>
        <w:noBreakHyphen/>
      </w:r>
      <w:r>
        <w:rPr>
          <w:rFonts w:cs="Times New Roman"/>
          <w:color w:val="000000" w:themeColor="text1"/>
        </w:rPr>
        <w:t>1</w:t>
      </w:r>
      <w:r>
        <w:rPr>
          <w:rFonts w:cs="Times New Roman"/>
          <w:color w:val="000000" w:themeColor="text1"/>
        </w:rPr>
        <w:fldChar w:fldCharType="end"/>
      </w:r>
      <w:r>
        <w:rPr>
          <w:rFonts w:cs="Times New Roman"/>
          <w:color w:val="000000" w:themeColor="text1"/>
        </w:rPr>
        <w:t>。</w:t>
      </w:r>
    </w:p>
    <w:p>
      <w:pPr>
        <w:jc w:val="center"/>
      </w:pPr>
      <w:r>
        <w:pict>
          <v:shape id="_x0000_i1027" o:spt="75" type="#_x0000_t75" style="height:374.15pt;width:432pt;" filled="f" o:preferrelative="t" stroked="f" coordsize="21600,21600">
            <v:path/>
            <v:fill on="f" focussize="0,0"/>
            <v:stroke on="f" joinstyle="miter"/>
            <v:imagedata r:id="rId14" cropleft="9670f" croptop="3811f" cropright="10830f" cropbottom="6546f" o:title="康复医院工艺流程"/>
            <o:lock v:ext="edit" aspectratio="t"/>
            <w10:wrap type="none"/>
            <w10:anchorlock/>
          </v:shape>
        </w:pict>
      </w:r>
    </w:p>
    <w:p>
      <w:pPr>
        <w:pStyle w:val="14"/>
        <w:rPr>
          <w:color w:val="000000" w:themeColor="text1"/>
        </w:rPr>
      </w:pPr>
      <w:bookmarkStart w:id="137" w:name="_Ref13843835"/>
      <w:r>
        <w:rPr>
          <w:rFonts w:hint="eastAsia"/>
          <w:color w:val="000000" w:themeColor="text1"/>
        </w:rPr>
        <w:t>图</w:t>
      </w:r>
      <w:r>
        <w:rPr>
          <w:color w:val="000000" w:themeColor="text1"/>
        </w:rPr>
        <w:fldChar w:fldCharType="begin"/>
      </w:r>
      <w:r>
        <w:rPr>
          <w:color w:val="000000" w:themeColor="text1"/>
        </w:rPr>
        <w:instrText xml:space="preserve"> </w:instrText>
      </w:r>
      <w:r>
        <w:rPr>
          <w:rFonts w:hint="eastAsia"/>
          <w:color w:val="000000" w:themeColor="text1"/>
        </w:rPr>
        <w:instrText xml:space="preserve">STYLEREF 2 \s</w:instrText>
      </w:r>
      <w:r>
        <w:rPr>
          <w:color w:val="000000" w:themeColor="text1"/>
        </w:rPr>
        <w:instrText xml:space="preserve"> </w:instrText>
      </w:r>
      <w:r>
        <w:rPr>
          <w:color w:val="000000" w:themeColor="text1"/>
        </w:rPr>
        <w:fldChar w:fldCharType="separate"/>
      </w:r>
      <w:r>
        <w:rPr>
          <w:color w:val="000000" w:themeColor="text1"/>
        </w:rPr>
        <w:t>3.2</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图 \* ARABIC \s 2</w:instrText>
      </w:r>
      <w:r>
        <w:rPr>
          <w:color w:val="000000" w:themeColor="text1"/>
        </w:rPr>
        <w:instrText xml:space="preserve"> </w:instrText>
      </w:r>
      <w:r>
        <w:rPr>
          <w:color w:val="000000" w:themeColor="text1"/>
        </w:rPr>
        <w:fldChar w:fldCharType="separate"/>
      </w:r>
      <w:r>
        <w:rPr>
          <w:color w:val="000000" w:themeColor="text1"/>
        </w:rPr>
        <w:t>1</w:t>
      </w:r>
      <w:r>
        <w:rPr>
          <w:color w:val="000000" w:themeColor="text1"/>
        </w:rPr>
        <w:fldChar w:fldCharType="end"/>
      </w:r>
      <w:bookmarkEnd w:id="137"/>
      <w:r>
        <w:rPr>
          <w:rFonts w:hint="eastAsia"/>
          <w:color w:val="000000" w:themeColor="text1"/>
        </w:rPr>
        <w:t xml:space="preserve">  营运期工艺流程及产物节点图</w:t>
      </w:r>
    </w:p>
    <w:p>
      <w:pPr>
        <w:adjustRightInd w:val="0"/>
        <w:snapToGrid w:val="0"/>
        <w:spacing w:line="360" w:lineRule="auto"/>
        <w:ind w:firstLine="480" w:firstLineChars="200"/>
        <w:rPr>
          <w:rFonts w:cs="Times New Roman"/>
        </w:rPr>
      </w:pPr>
      <w:r>
        <w:rPr>
          <w:rFonts w:cs="Times New Roman"/>
        </w:rPr>
        <w:t>从上图可知，项目营运期过程产生的主要污染物有：</w:t>
      </w:r>
    </w:p>
    <w:p>
      <w:pPr>
        <w:adjustRightInd w:val="0"/>
        <w:snapToGrid w:val="0"/>
        <w:spacing w:line="360" w:lineRule="auto"/>
        <w:ind w:firstLine="480" w:firstLineChars="200"/>
        <w:rPr>
          <w:rFonts w:cs="Times New Roman"/>
          <w:color w:val="FF0000"/>
        </w:rPr>
      </w:pPr>
      <w:r>
        <w:rPr>
          <w:rFonts w:cs="Times New Roman"/>
        </w:rPr>
        <w:t>（1）废水:医院营运期废水主要为生活废水、一般医疗废水。</w:t>
      </w:r>
    </w:p>
    <w:p>
      <w:pPr>
        <w:adjustRightInd w:val="0"/>
        <w:snapToGrid w:val="0"/>
        <w:spacing w:line="360" w:lineRule="auto"/>
        <w:ind w:firstLine="480" w:firstLineChars="200"/>
        <w:rPr>
          <w:rFonts w:cs="Times New Roman"/>
        </w:rPr>
      </w:pPr>
      <w:r>
        <w:rPr>
          <w:rFonts w:cs="Times New Roman"/>
        </w:rPr>
        <w:t>（2）废气：医院营运期废气主要为食堂油烟、汽车尾气、锅炉燃烧废气、发电机燃烧废气、污水处理站恶臭及垃圾站恶臭气体。</w:t>
      </w:r>
    </w:p>
    <w:p>
      <w:pPr>
        <w:adjustRightInd w:val="0"/>
        <w:snapToGrid w:val="0"/>
        <w:spacing w:line="360" w:lineRule="auto"/>
        <w:ind w:firstLine="480" w:firstLineChars="200"/>
        <w:rPr>
          <w:rFonts w:cs="Times New Roman"/>
        </w:rPr>
      </w:pPr>
      <w:r>
        <w:rPr>
          <w:rFonts w:cs="Times New Roman"/>
        </w:rPr>
        <w:t>（3）噪声：医院营运期噪声主要为配套的动力设备运行噪声（包括中央空调、各类泵、风机、发电机噪声）、住院病人及陪护人员产生的社会噪声及医院内进出车辆噪声。</w:t>
      </w:r>
    </w:p>
    <w:p>
      <w:pPr>
        <w:adjustRightInd w:val="0"/>
        <w:snapToGrid w:val="0"/>
        <w:spacing w:line="360" w:lineRule="auto"/>
        <w:ind w:firstLine="480" w:firstLineChars="200"/>
        <w:rPr>
          <w:rFonts w:cs="Times New Roman"/>
          <w:kern w:val="0"/>
        </w:rPr>
      </w:pPr>
      <w:r>
        <w:rPr>
          <w:rFonts w:cs="Times New Roman"/>
        </w:rPr>
        <w:t>（4）固体废物：医院营运期固废废弃物主要为医疗废物、</w:t>
      </w:r>
      <w:r>
        <w:rPr>
          <w:rFonts w:cs="Times New Roman"/>
          <w:kern w:val="0"/>
        </w:rPr>
        <w:t>水处理污泥和生活垃圾。</w:t>
      </w:r>
    </w:p>
    <w:p>
      <w:pPr>
        <w:pStyle w:val="5"/>
        <w:rPr>
          <w:kern w:val="0"/>
        </w:rPr>
      </w:pPr>
      <w:r>
        <w:rPr>
          <w:rFonts w:hint="eastAsia"/>
          <w:kern w:val="0"/>
        </w:rPr>
        <w:t>大气污染影响分析</w:t>
      </w:r>
    </w:p>
    <w:p>
      <w:pPr>
        <w:spacing w:line="360" w:lineRule="auto"/>
        <w:ind w:firstLine="480" w:firstLineChars="200"/>
      </w:pPr>
      <w:r>
        <w:rPr>
          <w:rFonts w:hint="eastAsia"/>
        </w:rPr>
        <w:t>项目营运期废气污染主要是食堂油烟、停车场汽车尾气、燃气锅炉废气、备用柴油发电机尾气、污水处理站恶臭以及垃圾站恶臭。</w:t>
      </w:r>
    </w:p>
    <w:p>
      <w:pPr>
        <w:spacing w:line="360" w:lineRule="auto"/>
        <w:ind w:firstLine="480" w:firstLineChars="200"/>
        <w:rPr>
          <w:rFonts w:cs="Times New Roman"/>
        </w:rPr>
      </w:pPr>
      <w:r>
        <w:rPr>
          <w:rFonts w:cs="Times New Roman"/>
        </w:rPr>
        <w:t>（1）食堂油烟</w:t>
      </w:r>
    </w:p>
    <w:p>
      <w:pPr>
        <w:pStyle w:val="73"/>
        <w:spacing w:line="360" w:lineRule="auto"/>
        <w:ind w:firstLine="480" w:firstLineChars="200"/>
      </w:pPr>
      <w:r>
        <w:rPr>
          <w:color w:val="auto"/>
          <w:kern w:val="2"/>
        </w:rPr>
        <w:t>食物在烹饪、加工过程中将挥发出油脂、有机质及热分解或裂解产物，从而产生油烟废气。本项目院区设置有食堂，主要提供职工及病人就餐，每日就餐人数约700人，按日运行4小时计算，</w:t>
      </w:r>
      <w:r>
        <w:t>目前人均食用油用量约30g/人·d，一般油烟挥发量占总耗油量的3%，则医院食堂油烟日产生量为0.63kg，年产生量为229.95kg。为了解本项目食堂油烟的排放情况，本环评委托湖南精准通检测技术有限公司于2019.8.1~2019.8.2对经油烟净化器处理后的食堂油烟进行了监测，具体监测值见下表所示。</w:t>
      </w:r>
    </w:p>
    <w:p>
      <w:pPr>
        <w:ind w:firstLine="482" w:firstLineChars="200"/>
        <w:jc w:val="center"/>
        <w:rPr>
          <w:b/>
        </w:rPr>
      </w:pPr>
      <w:r>
        <w:rPr>
          <w:rFonts w:hint="eastAsia"/>
          <w:b/>
        </w:rPr>
        <w:t>表</w:t>
      </w:r>
      <w:r>
        <w:rPr>
          <w:b/>
        </w:rPr>
        <w:fldChar w:fldCharType="begin"/>
      </w:r>
      <w:r>
        <w:rPr>
          <w:b/>
        </w:rPr>
        <w:instrText xml:space="preserve"> </w:instrText>
      </w:r>
      <w:r>
        <w:rPr>
          <w:rFonts w:hint="eastAsia"/>
          <w:b/>
        </w:rPr>
        <w:instrText xml:space="preserve">STYLEREF 2 \s</w:instrText>
      </w:r>
      <w:r>
        <w:rPr>
          <w:b/>
        </w:rPr>
        <w:instrText xml:space="preserve"> </w:instrText>
      </w:r>
      <w:r>
        <w:rPr>
          <w:b/>
        </w:rPr>
        <w:fldChar w:fldCharType="separate"/>
      </w:r>
      <w:r>
        <w:rPr>
          <w:b/>
        </w:rPr>
        <w:t>3.2</w:t>
      </w:r>
      <w:r>
        <w:rPr>
          <w:b/>
        </w:rPr>
        <w:fldChar w:fldCharType="end"/>
      </w:r>
      <w:r>
        <w:rPr>
          <w:b/>
        </w:rPr>
        <w:noBreakHyphen/>
      </w:r>
      <w:r>
        <w:rPr>
          <w:b/>
        </w:rPr>
        <w:fldChar w:fldCharType="begin"/>
      </w:r>
      <w:r>
        <w:rPr>
          <w:b/>
        </w:rPr>
        <w:instrText xml:space="preserve"> </w:instrText>
      </w:r>
      <w:r>
        <w:rPr>
          <w:rFonts w:hint="eastAsia"/>
          <w:b/>
        </w:rPr>
        <w:instrText xml:space="preserve">SEQ 表 \* ARABIC \s 2</w:instrText>
      </w:r>
      <w:r>
        <w:rPr>
          <w:b/>
        </w:rPr>
        <w:instrText xml:space="preserve"> </w:instrText>
      </w:r>
      <w:r>
        <w:rPr>
          <w:b/>
        </w:rPr>
        <w:fldChar w:fldCharType="separate"/>
      </w:r>
      <w:r>
        <w:rPr>
          <w:b/>
        </w:rPr>
        <w:t>1</w:t>
      </w:r>
      <w:r>
        <w:rPr>
          <w:b/>
        </w:rPr>
        <w:fldChar w:fldCharType="end"/>
      </w:r>
      <w:r>
        <w:rPr>
          <w:rFonts w:hint="eastAsia"/>
          <w:b/>
        </w:rPr>
        <w:t xml:space="preserve"> 油烟废气监测结果一览表</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9"/>
        <w:gridCol w:w="862"/>
        <w:gridCol w:w="1651"/>
        <w:gridCol w:w="799"/>
        <w:gridCol w:w="799"/>
        <w:gridCol w:w="799"/>
        <w:gridCol w:w="799"/>
        <w:gridCol w:w="799"/>
        <w:gridCol w:w="733"/>
        <w:gridCol w:w="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pct"/>
            <w:vMerge w:val="restart"/>
            <w:vAlign w:val="center"/>
          </w:tcPr>
          <w:p>
            <w:pPr>
              <w:adjustRightInd w:val="0"/>
              <w:snapToGrid w:val="0"/>
              <w:jc w:val="center"/>
              <w:rPr>
                <w:rFonts w:eastAsia="宋体" w:cs="Times New Roman"/>
                <w:sz w:val="21"/>
              </w:rPr>
            </w:pPr>
            <w:r>
              <w:rPr>
                <w:rFonts w:eastAsia="宋体" w:cs="Times New Roman"/>
                <w:sz w:val="21"/>
              </w:rPr>
              <w:t>采样点位</w:t>
            </w:r>
          </w:p>
        </w:tc>
        <w:tc>
          <w:tcPr>
            <w:tcW w:w="1303" w:type="pct"/>
            <w:gridSpan w:val="2"/>
            <w:vMerge w:val="restart"/>
            <w:vAlign w:val="center"/>
          </w:tcPr>
          <w:p>
            <w:pPr>
              <w:adjustRightInd w:val="0"/>
              <w:snapToGrid w:val="0"/>
              <w:jc w:val="center"/>
              <w:rPr>
                <w:rFonts w:eastAsia="宋体" w:cs="Times New Roman"/>
                <w:sz w:val="21"/>
              </w:rPr>
            </w:pPr>
            <w:r>
              <w:rPr>
                <w:rFonts w:eastAsia="宋体" w:cs="Times New Roman"/>
                <w:sz w:val="21"/>
              </w:rPr>
              <w:t>检测项目</w:t>
            </w:r>
          </w:p>
        </w:tc>
        <w:tc>
          <w:tcPr>
            <w:tcW w:w="2904" w:type="pct"/>
            <w:gridSpan w:val="7"/>
            <w:vAlign w:val="center"/>
          </w:tcPr>
          <w:p>
            <w:pPr>
              <w:adjustRightInd w:val="0"/>
              <w:snapToGrid w:val="0"/>
              <w:jc w:val="center"/>
              <w:rPr>
                <w:rFonts w:eastAsia="宋体" w:cs="Times New Roman"/>
                <w:sz w:val="21"/>
              </w:rPr>
            </w:pPr>
            <w:r>
              <w:rPr>
                <w:rFonts w:eastAsia="宋体" w:cs="Times New Roman"/>
                <w:sz w:val="21"/>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pct"/>
            <w:vMerge w:val="continue"/>
            <w:vAlign w:val="center"/>
          </w:tcPr>
          <w:p>
            <w:pPr>
              <w:adjustRightInd w:val="0"/>
              <w:snapToGrid w:val="0"/>
              <w:jc w:val="center"/>
              <w:rPr>
                <w:rFonts w:eastAsia="宋体" w:cs="Times New Roman"/>
                <w:sz w:val="21"/>
              </w:rPr>
            </w:pPr>
          </w:p>
        </w:tc>
        <w:tc>
          <w:tcPr>
            <w:tcW w:w="1303" w:type="pct"/>
            <w:gridSpan w:val="2"/>
            <w:vMerge w:val="continue"/>
            <w:vAlign w:val="center"/>
          </w:tcPr>
          <w:p>
            <w:pPr>
              <w:adjustRightInd w:val="0"/>
              <w:snapToGrid w:val="0"/>
              <w:jc w:val="center"/>
              <w:rPr>
                <w:rFonts w:eastAsia="宋体" w:cs="Times New Roman"/>
                <w:sz w:val="21"/>
              </w:rPr>
            </w:pPr>
          </w:p>
        </w:tc>
        <w:tc>
          <w:tcPr>
            <w:tcW w:w="2904" w:type="pct"/>
            <w:gridSpan w:val="7"/>
            <w:vAlign w:val="center"/>
          </w:tcPr>
          <w:p>
            <w:pPr>
              <w:adjustRightInd w:val="0"/>
              <w:snapToGrid w:val="0"/>
              <w:jc w:val="center"/>
              <w:rPr>
                <w:rFonts w:eastAsia="宋体" w:cs="Times New Roman"/>
                <w:sz w:val="21"/>
              </w:rPr>
            </w:pPr>
            <w:r>
              <w:rPr>
                <w:rFonts w:eastAsia="宋体" w:cs="Times New Roman"/>
                <w:sz w:val="21"/>
              </w:rPr>
              <w:t>2019.8.1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93" w:type="pct"/>
            <w:vMerge w:val="continue"/>
            <w:vAlign w:val="center"/>
          </w:tcPr>
          <w:p>
            <w:pPr>
              <w:adjustRightInd w:val="0"/>
              <w:snapToGrid w:val="0"/>
              <w:jc w:val="center"/>
              <w:rPr>
                <w:rFonts w:eastAsia="宋体" w:cs="Times New Roman"/>
                <w:sz w:val="21"/>
              </w:rPr>
            </w:pPr>
          </w:p>
        </w:tc>
        <w:tc>
          <w:tcPr>
            <w:tcW w:w="1303" w:type="pct"/>
            <w:gridSpan w:val="2"/>
            <w:vMerge w:val="continue"/>
            <w:vAlign w:val="center"/>
          </w:tcPr>
          <w:p>
            <w:pPr>
              <w:autoSpaceDE w:val="0"/>
              <w:autoSpaceDN w:val="0"/>
              <w:adjustRightInd w:val="0"/>
              <w:snapToGrid w:val="0"/>
              <w:jc w:val="center"/>
              <w:rPr>
                <w:rFonts w:eastAsia="宋体" w:cs="Times New Roman"/>
                <w:sz w:val="21"/>
              </w:rPr>
            </w:pPr>
          </w:p>
        </w:tc>
        <w:tc>
          <w:tcPr>
            <w:tcW w:w="414" w:type="pct"/>
            <w:vAlign w:val="center"/>
          </w:tcPr>
          <w:p>
            <w:pPr>
              <w:adjustRightInd w:val="0"/>
              <w:snapToGrid w:val="0"/>
              <w:jc w:val="center"/>
              <w:rPr>
                <w:rFonts w:eastAsia="宋体" w:cs="Times New Roman"/>
                <w:sz w:val="21"/>
              </w:rPr>
            </w:pPr>
            <w:r>
              <w:rPr>
                <w:rFonts w:eastAsia="宋体" w:cs="Times New Roman"/>
                <w:sz w:val="21"/>
              </w:rPr>
              <w:t>第一次</w:t>
            </w:r>
          </w:p>
        </w:tc>
        <w:tc>
          <w:tcPr>
            <w:tcW w:w="414" w:type="pct"/>
            <w:vAlign w:val="center"/>
          </w:tcPr>
          <w:p>
            <w:pPr>
              <w:adjustRightInd w:val="0"/>
              <w:snapToGrid w:val="0"/>
              <w:jc w:val="center"/>
              <w:rPr>
                <w:rFonts w:eastAsia="宋体" w:cs="Times New Roman"/>
                <w:sz w:val="21"/>
              </w:rPr>
            </w:pPr>
            <w:r>
              <w:rPr>
                <w:rFonts w:eastAsia="宋体" w:cs="Times New Roman"/>
                <w:sz w:val="21"/>
              </w:rPr>
              <w:t>第二次</w:t>
            </w:r>
          </w:p>
        </w:tc>
        <w:tc>
          <w:tcPr>
            <w:tcW w:w="414" w:type="pct"/>
            <w:vAlign w:val="center"/>
          </w:tcPr>
          <w:p>
            <w:pPr>
              <w:adjustRightInd w:val="0"/>
              <w:snapToGrid w:val="0"/>
              <w:jc w:val="center"/>
              <w:rPr>
                <w:rFonts w:eastAsia="宋体" w:cs="Times New Roman"/>
                <w:sz w:val="21"/>
              </w:rPr>
            </w:pPr>
            <w:r>
              <w:rPr>
                <w:rFonts w:eastAsia="宋体" w:cs="Times New Roman"/>
                <w:sz w:val="21"/>
              </w:rPr>
              <w:t>第三次</w:t>
            </w:r>
          </w:p>
        </w:tc>
        <w:tc>
          <w:tcPr>
            <w:tcW w:w="414" w:type="pct"/>
            <w:vAlign w:val="center"/>
          </w:tcPr>
          <w:p>
            <w:pPr>
              <w:adjustRightInd w:val="0"/>
              <w:snapToGrid w:val="0"/>
              <w:jc w:val="center"/>
              <w:rPr>
                <w:rFonts w:eastAsia="宋体" w:cs="Times New Roman"/>
                <w:sz w:val="21"/>
              </w:rPr>
            </w:pPr>
            <w:r>
              <w:rPr>
                <w:rFonts w:eastAsia="宋体" w:cs="Times New Roman"/>
                <w:sz w:val="21"/>
              </w:rPr>
              <w:t>第四次</w:t>
            </w:r>
          </w:p>
        </w:tc>
        <w:tc>
          <w:tcPr>
            <w:tcW w:w="414" w:type="pct"/>
            <w:vAlign w:val="center"/>
          </w:tcPr>
          <w:p>
            <w:pPr>
              <w:adjustRightInd w:val="0"/>
              <w:snapToGrid w:val="0"/>
              <w:jc w:val="center"/>
              <w:rPr>
                <w:rFonts w:eastAsia="宋体" w:cs="Times New Roman"/>
                <w:sz w:val="21"/>
              </w:rPr>
            </w:pPr>
            <w:r>
              <w:rPr>
                <w:rFonts w:eastAsia="宋体" w:cs="Times New Roman"/>
                <w:sz w:val="21"/>
              </w:rPr>
              <w:t>第五次</w:t>
            </w:r>
          </w:p>
        </w:tc>
        <w:tc>
          <w:tcPr>
            <w:tcW w:w="380" w:type="pct"/>
            <w:vAlign w:val="center"/>
          </w:tcPr>
          <w:p>
            <w:pPr>
              <w:adjustRightInd w:val="0"/>
              <w:snapToGrid w:val="0"/>
              <w:jc w:val="center"/>
              <w:rPr>
                <w:rFonts w:eastAsia="宋体" w:cs="Times New Roman"/>
                <w:sz w:val="21"/>
              </w:rPr>
            </w:pPr>
            <w:r>
              <w:rPr>
                <w:rFonts w:eastAsia="宋体" w:cs="Times New Roman"/>
                <w:sz w:val="21"/>
              </w:rPr>
              <w:t>平均值</w:t>
            </w:r>
          </w:p>
        </w:tc>
        <w:tc>
          <w:tcPr>
            <w:tcW w:w="456" w:type="pct"/>
            <w:vAlign w:val="center"/>
          </w:tcPr>
          <w:p>
            <w:pPr>
              <w:adjustRightInd w:val="0"/>
              <w:snapToGrid w:val="0"/>
              <w:jc w:val="center"/>
              <w:rPr>
                <w:rFonts w:eastAsia="宋体" w:cs="Times New Roman"/>
                <w:sz w:val="21"/>
              </w:rPr>
            </w:pPr>
            <w:r>
              <w:rPr>
                <w:rFonts w:eastAsia="宋体" w:cs="Times New Roman"/>
                <w:sz w:val="21"/>
              </w:rPr>
              <w:t>标准限制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pct"/>
            <w:vMerge w:val="restart"/>
            <w:vAlign w:val="center"/>
          </w:tcPr>
          <w:p>
            <w:pPr>
              <w:adjustRightInd w:val="0"/>
              <w:snapToGrid w:val="0"/>
              <w:jc w:val="center"/>
              <w:rPr>
                <w:rFonts w:eastAsia="宋体" w:cs="Times New Roman"/>
                <w:sz w:val="21"/>
              </w:rPr>
            </w:pPr>
            <w:r>
              <w:rPr>
                <w:rFonts w:eastAsia="宋体" w:cs="Times New Roman"/>
                <w:sz w:val="21"/>
              </w:rPr>
              <w:t>G2油烟排放检测口</w:t>
            </w:r>
          </w:p>
        </w:tc>
        <w:tc>
          <w:tcPr>
            <w:tcW w:w="1303" w:type="pct"/>
            <w:gridSpan w:val="2"/>
            <w:vAlign w:val="center"/>
          </w:tcPr>
          <w:p>
            <w:pPr>
              <w:adjustRightInd w:val="0"/>
              <w:snapToGrid w:val="0"/>
              <w:jc w:val="center"/>
              <w:rPr>
                <w:rFonts w:eastAsia="宋体" w:cs="Times New Roman"/>
                <w:sz w:val="21"/>
              </w:rPr>
            </w:pPr>
            <w:r>
              <w:rPr>
                <w:rFonts w:eastAsia="宋体" w:cs="Times New Roman"/>
                <w:kern w:val="0"/>
                <w:sz w:val="21"/>
              </w:rPr>
              <w:t>标干流量（</w:t>
            </w:r>
            <w:r>
              <w:rPr>
                <w:rFonts w:eastAsia="TimesNewRomanPSMT" w:cs="Times New Roman"/>
                <w:kern w:val="0"/>
                <w:sz w:val="21"/>
              </w:rPr>
              <w:t>N·m</w:t>
            </w:r>
            <w:r>
              <w:rPr>
                <w:rFonts w:eastAsia="TimesNewRomanPSMT" w:cs="Times New Roman"/>
                <w:kern w:val="0"/>
                <w:sz w:val="21"/>
                <w:vertAlign w:val="superscript"/>
              </w:rPr>
              <w:t>3</w:t>
            </w:r>
            <w:r>
              <w:rPr>
                <w:rFonts w:eastAsia="TimesNewRomanPSMT" w:cs="Times New Roman"/>
                <w:kern w:val="0"/>
                <w:sz w:val="21"/>
              </w:rPr>
              <w:t>/h</w:t>
            </w:r>
            <w:r>
              <w:rPr>
                <w:rFonts w:eastAsia="宋体" w:cs="Times New Roman"/>
                <w:kern w:val="0"/>
                <w:sz w:val="21"/>
              </w:rPr>
              <w:t>）</w:t>
            </w:r>
          </w:p>
        </w:tc>
        <w:tc>
          <w:tcPr>
            <w:tcW w:w="414" w:type="pct"/>
            <w:vAlign w:val="center"/>
          </w:tcPr>
          <w:p>
            <w:pPr>
              <w:adjustRightInd w:val="0"/>
              <w:snapToGrid w:val="0"/>
              <w:jc w:val="center"/>
              <w:rPr>
                <w:rFonts w:eastAsia="宋体" w:cs="Times New Roman"/>
                <w:sz w:val="21"/>
              </w:rPr>
            </w:pPr>
            <w:r>
              <w:rPr>
                <w:rFonts w:eastAsia="宋体" w:cs="Times New Roman"/>
                <w:sz w:val="21"/>
              </w:rPr>
              <w:t>9473</w:t>
            </w:r>
          </w:p>
        </w:tc>
        <w:tc>
          <w:tcPr>
            <w:tcW w:w="414" w:type="pct"/>
            <w:vAlign w:val="center"/>
          </w:tcPr>
          <w:p>
            <w:pPr>
              <w:adjustRightInd w:val="0"/>
              <w:snapToGrid w:val="0"/>
              <w:jc w:val="center"/>
              <w:rPr>
                <w:rFonts w:eastAsia="宋体" w:cs="Times New Roman"/>
                <w:sz w:val="21"/>
              </w:rPr>
            </w:pPr>
            <w:r>
              <w:rPr>
                <w:rFonts w:eastAsia="宋体" w:cs="Times New Roman"/>
                <w:sz w:val="21"/>
              </w:rPr>
              <w:t>9435</w:t>
            </w:r>
          </w:p>
        </w:tc>
        <w:tc>
          <w:tcPr>
            <w:tcW w:w="414" w:type="pct"/>
            <w:vAlign w:val="center"/>
          </w:tcPr>
          <w:p>
            <w:pPr>
              <w:adjustRightInd w:val="0"/>
              <w:snapToGrid w:val="0"/>
              <w:jc w:val="center"/>
              <w:rPr>
                <w:rFonts w:eastAsia="宋体" w:cs="Times New Roman"/>
                <w:sz w:val="21"/>
              </w:rPr>
            </w:pPr>
            <w:r>
              <w:rPr>
                <w:rFonts w:eastAsia="宋体" w:cs="Times New Roman"/>
                <w:sz w:val="21"/>
              </w:rPr>
              <w:t>9497</w:t>
            </w:r>
          </w:p>
        </w:tc>
        <w:tc>
          <w:tcPr>
            <w:tcW w:w="414" w:type="pct"/>
            <w:vAlign w:val="center"/>
          </w:tcPr>
          <w:p>
            <w:pPr>
              <w:adjustRightInd w:val="0"/>
              <w:snapToGrid w:val="0"/>
              <w:jc w:val="center"/>
              <w:rPr>
                <w:rFonts w:eastAsia="宋体" w:cs="Times New Roman"/>
                <w:sz w:val="21"/>
              </w:rPr>
            </w:pPr>
            <w:r>
              <w:rPr>
                <w:rFonts w:eastAsia="宋体" w:cs="Times New Roman"/>
                <w:sz w:val="21"/>
              </w:rPr>
              <w:t>9430</w:t>
            </w:r>
          </w:p>
        </w:tc>
        <w:tc>
          <w:tcPr>
            <w:tcW w:w="414" w:type="pct"/>
            <w:vAlign w:val="center"/>
          </w:tcPr>
          <w:p>
            <w:pPr>
              <w:adjustRightInd w:val="0"/>
              <w:snapToGrid w:val="0"/>
              <w:jc w:val="center"/>
              <w:rPr>
                <w:rFonts w:eastAsia="宋体" w:cs="Times New Roman"/>
                <w:sz w:val="21"/>
              </w:rPr>
            </w:pPr>
            <w:r>
              <w:rPr>
                <w:rFonts w:eastAsia="宋体" w:cs="Times New Roman"/>
                <w:sz w:val="21"/>
              </w:rPr>
              <w:t>9473</w:t>
            </w:r>
          </w:p>
        </w:tc>
        <w:tc>
          <w:tcPr>
            <w:tcW w:w="380" w:type="pct"/>
            <w:vAlign w:val="center"/>
          </w:tcPr>
          <w:p>
            <w:pPr>
              <w:adjustRightInd w:val="0"/>
              <w:snapToGrid w:val="0"/>
              <w:jc w:val="center"/>
              <w:rPr>
                <w:rFonts w:eastAsia="宋体" w:cs="Times New Roman"/>
                <w:sz w:val="21"/>
              </w:rPr>
            </w:pPr>
            <w:r>
              <w:rPr>
                <w:rFonts w:eastAsia="宋体" w:cs="Times New Roman"/>
                <w:sz w:val="21"/>
              </w:rPr>
              <w:t>/</w:t>
            </w:r>
          </w:p>
        </w:tc>
        <w:tc>
          <w:tcPr>
            <w:tcW w:w="456" w:type="pct"/>
            <w:vAlign w:val="center"/>
          </w:tcPr>
          <w:p>
            <w:pPr>
              <w:adjustRightInd w:val="0"/>
              <w:snapToGrid w:val="0"/>
              <w:jc w:val="center"/>
              <w:rPr>
                <w:rFonts w:eastAsia="宋体" w:cs="Times New Roman"/>
                <w:sz w:val="21"/>
              </w:rPr>
            </w:pPr>
            <w:r>
              <w:rPr>
                <w:rFonts w:eastAsia="宋体" w:cs="Times New Roman"/>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pct"/>
            <w:vMerge w:val="continue"/>
            <w:vAlign w:val="center"/>
          </w:tcPr>
          <w:p>
            <w:pPr>
              <w:adjustRightInd w:val="0"/>
              <w:snapToGrid w:val="0"/>
              <w:jc w:val="center"/>
              <w:rPr>
                <w:rFonts w:eastAsia="宋体" w:cs="Times New Roman"/>
                <w:sz w:val="21"/>
              </w:rPr>
            </w:pPr>
          </w:p>
        </w:tc>
        <w:tc>
          <w:tcPr>
            <w:tcW w:w="447" w:type="pct"/>
            <w:vMerge w:val="restart"/>
            <w:vAlign w:val="center"/>
          </w:tcPr>
          <w:p>
            <w:pPr>
              <w:autoSpaceDE w:val="0"/>
              <w:autoSpaceDN w:val="0"/>
              <w:adjustRightInd w:val="0"/>
              <w:snapToGrid w:val="0"/>
              <w:jc w:val="center"/>
              <w:rPr>
                <w:rFonts w:eastAsia="宋体" w:cs="Times New Roman"/>
                <w:sz w:val="21"/>
              </w:rPr>
            </w:pPr>
            <w:r>
              <w:rPr>
                <w:rFonts w:eastAsia="宋体" w:cs="Times New Roman"/>
                <w:kern w:val="0"/>
                <w:sz w:val="21"/>
              </w:rPr>
              <w:t>油烟浓度</w:t>
            </w:r>
          </w:p>
        </w:tc>
        <w:tc>
          <w:tcPr>
            <w:tcW w:w="855" w:type="pct"/>
            <w:vAlign w:val="center"/>
          </w:tcPr>
          <w:p>
            <w:pPr>
              <w:autoSpaceDE w:val="0"/>
              <w:autoSpaceDN w:val="0"/>
              <w:adjustRightInd w:val="0"/>
              <w:snapToGrid w:val="0"/>
              <w:jc w:val="center"/>
              <w:rPr>
                <w:rFonts w:eastAsia="宋体" w:cs="Times New Roman"/>
                <w:kern w:val="0"/>
                <w:sz w:val="21"/>
              </w:rPr>
            </w:pPr>
            <w:r>
              <w:rPr>
                <w:rFonts w:eastAsia="宋体" w:cs="Times New Roman"/>
                <w:kern w:val="0"/>
                <w:sz w:val="21"/>
              </w:rPr>
              <w:t>排放浓度</w:t>
            </w:r>
          </w:p>
          <w:p>
            <w:pPr>
              <w:adjustRightInd w:val="0"/>
              <w:snapToGrid w:val="0"/>
              <w:jc w:val="center"/>
              <w:rPr>
                <w:rFonts w:eastAsia="宋体" w:cs="Times New Roman"/>
                <w:sz w:val="21"/>
              </w:rPr>
            </w:pPr>
            <w:r>
              <w:rPr>
                <w:rFonts w:eastAsia="宋体" w:cs="Times New Roman"/>
                <w:kern w:val="0"/>
                <w:sz w:val="21"/>
              </w:rPr>
              <w:t>（</w:t>
            </w:r>
            <w:r>
              <w:rPr>
                <w:rFonts w:eastAsia="TimesNewRomanPSMT" w:cs="Times New Roman"/>
                <w:kern w:val="0"/>
                <w:sz w:val="21"/>
              </w:rPr>
              <w:t>mg/m</w:t>
            </w:r>
            <w:r>
              <w:rPr>
                <w:rFonts w:eastAsia="TimesNewRomanPSMT" w:cs="Times New Roman"/>
                <w:kern w:val="0"/>
                <w:sz w:val="21"/>
                <w:vertAlign w:val="superscript"/>
              </w:rPr>
              <w:t>3</w:t>
            </w:r>
            <w:r>
              <w:rPr>
                <w:rFonts w:eastAsia="宋体" w:cs="Times New Roman"/>
                <w:kern w:val="0"/>
                <w:sz w:val="21"/>
              </w:rPr>
              <w:t>）</w:t>
            </w:r>
          </w:p>
        </w:tc>
        <w:tc>
          <w:tcPr>
            <w:tcW w:w="414" w:type="pct"/>
            <w:vAlign w:val="center"/>
          </w:tcPr>
          <w:p>
            <w:pPr>
              <w:adjustRightInd w:val="0"/>
              <w:snapToGrid w:val="0"/>
              <w:jc w:val="center"/>
              <w:rPr>
                <w:rFonts w:eastAsia="宋体" w:cs="Times New Roman"/>
                <w:sz w:val="21"/>
              </w:rPr>
            </w:pPr>
            <w:r>
              <w:rPr>
                <w:rFonts w:eastAsia="宋体" w:cs="Times New Roman"/>
                <w:sz w:val="21"/>
              </w:rPr>
              <w:t>0.1</w:t>
            </w:r>
          </w:p>
        </w:tc>
        <w:tc>
          <w:tcPr>
            <w:tcW w:w="414" w:type="pct"/>
            <w:vAlign w:val="center"/>
          </w:tcPr>
          <w:p>
            <w:pPr>
              <w:adjustRightInd w:val="0"/>
              <w:snapToGrid w:val="0"/>
              <w:jc w:val="center"/>
              <w:rPr>
                <w:rFonts w:eastAsia="宋体" w:cs="Times New Roman"/>
                <w:sz w:val="21"/>
              </w:rPr>
            </w:pPr>
            <w:r>
              <w:rPr>
                <w:rFonts w:eastAsia="宋体" w:cs="Times New Roman"/>
                <w:sz w:val="21"/>
              </w:rPr>
              <w:t>0.2</w:t>
            </w:r>
          </w:p>
        </w:tc>
        <w:tc>
          <w:tcPr>
            <w:tcW w:w="414" w:type="pct"/>
            <w:vAlign w:val="center"/>
          </w:tcPr>
          <w:p>
            <w:pPr>
              <w:adjustRightInd w:val="0"/>
              <w:snapToGrid w:val="0"/>
              <w:jc w:val="center"/>
              <w:rPr>
                <w:rFonts w:eastAsia="宋体" w:cs="Times New Roman"/>
                <w:sz w:val="21"/>
              </w:rPr>
            </w:pPr>
            <w:r>
              <w:rPr>
                <w:rFonts w:eastAsia="宋体" w:cs="Times New Roman"/>
                <w:sz w:val="21"/>
              </w:rPr>
              <w:t>0.2</w:t>
            </w:r>
          </w:p>
        </w:tc>
        <w:tc>
          <w:tcPr>
            <w:tcW w:w="414" w:type="pct"/>
            <w:vAlign w:val="center"/>
          </w:tcPr>
          <w:p>
            <w:pPr>
              <w:adjustRightInd w:val="0"/>
              <w:snapToGrid w:val="0"/>
              <w:jc w:val="center"/>
              <w:rPr>
                <w:rFonts w:eastAsia="宋体" w:cs="Times New Roman"/>
                <w:sz w:val="21"/>
              </w:rPr>
            </w:pPr>
            <w:r>
              <w:rPr>
                <w:rFonts w:eastAsia="宋体" w:cs="Times New Roman"/>
                <w:sz w:val="21"/>
              </w:rPr>
              <w:t>0.1</w:t>
            </w:r>
          </w:p>
        </w:tc>
        <w:tc>
          <w:tcPr>
            <w:tcW w:w="414" w:type="pct"/>
            <w:vAlign w:val="center"/>
          </w:tcPr>
          <w:p>
            <w:pPr>
              <w:adjustRightInd w:val="0"/>
              <w:snapToGrid w:val="0"/>
              <w:jc w:val="center"/>
              <w:rPr>
                <w:rFonts w:eastAsia="宋体" w:cs="Times New Roman"/>
                <w:sz w:val="21"/>
              </w:rPr>
            </w:pPr>
            <w:r>
              <w:rPr>
                <w:rFonts w:eastAsia="宋体" w:cs="Times New Roman"/>
                <w:sz w:val="21"/>
              </w:rPr>
              <w:t>0.1</w:t>
            </w:r>
          </w:p>
        </w:tc>
        <w:tc>
          <w:tcPr>
            <w:tcW w:w="380" w:type="pct"/>
            <w:vAlign w:val="center"/>
          </w:tcPr>
          <w:p>
            <w:pPr>
              <w:adjustRightInd w:val="0"/>
              <w:snapToGrid w:val="0"/>
              <w:jc w:val="center"/>
              <w:rPr>
                <w:rFonts w:eastAsia="宋体" w:cs="Times New Roman"/>
                <w:sz w:val="21"/>
              </w:rPr>
            </w:pPr>
            <w:r>
              <w:rPr>
                <w:rFonts w:eastAsia="宋体" w:cs="Times New Roman"/>
                <w:sz w:val="21"/>
              </w:rPr>
              <w:t>0.1</w:t>
            </w:r>
          </w:p>
        </w:tc>
        <w:tc>
          <w:tcPr>
            <w:tcW w:w="456" w:type="pct"/>
            <w:vAlign w:val="center"/>
          </w:tcPr>
          <w:p>
            <w:pPr>
              <w:adjustRightInd w:val="0"/>
              <w:snapToGrid w:val="0"/>
              <w:jc w:val="center"/>
              <w:rPr>
                <w:rFonts w:eastAsia="宋体" w:cs="Times New Roman"/>
                <w:sz w:val="21"/>
              </w:rPr>
            </w:pPr>
            <w:r>
              <w:rPr>
                <w:rFonts w:eastAsia="宋体" w:cs="Times New Roman"/>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pct"/>
            <w:vMerge w:val="continue"/>
            <w:vAlign w:val="center"/>
          </w:tcPr>
          <w:p>
            <w:pPr>
              <w:adjustRightInd w:val="0"/>
              <w:snapToGrid w:val="0"/>
              <w:jc w:val="center"/>
              <w:rPr>
                <w:rFonts w:eastAsia="宋体" w:cs="Times New Roman"/>
                <w:sz w:val="21"/>
              </w:rPr>
            </w:pPr>
          </w:p>
        </w:tc>
        <w:tc>
          <w:tcPr>
            <w:tcW w:w="447" w:type="pct"/>
            <w:vMerge w:val="continue"/>
            <w:vAlign w:val="center"/>
          </w:tcPr>
          <w:p>
            <w:pPr>
              <w:adjustRightInd w:val="0"/>
              <w:snapToGrid w:val="0"/>
              <w:jc w:val="center"/>
              <w:rPr>
                <w:rFonts w:eastAsia="宋体" w:cs="Times New Roman"/>
                <w:sz w:val="21"/>
              </w:rPr>
            </w:pPr>
          </w:p>
        </w:tc>
        <w:tc>
          <w:tcPr>
            <w:tcW w:w="855" w:type="pct"/>
            <w:vAlign w:val="center"/>
          </w:tcPr>
          <w:p>
            <w:pPr>
              <w:autoSpaceDE w:val="0"/>
              <w:autoSpaceDN w:val="0"/>
              <w:adjustRightInd w:val="0"/>
              <w:snapToGrid w:val="0"/>
              <w:jc w:val="center"/>
              <w:rPr>
                <w:rFonts w:eastAsia="宋体" w:cs="Times New Roman"/>
                <w:kern w:val="0"/>
                <w:sz w:val="21"/>
              </w:rPr>
            </w:pPr>
            <w:r>
              <w:rPr>
                <w:rFonts w:eastAsia="宋体" w:cs="Times New Roman"/>
                <w:kern w:val="0"/>
                <w:sz w:val="21"/>
              </w:rPr>
              <w:t>折算浓度</w:t>
            </w:r>
          </w:p>
          <w:p>
            <w:pPr>
              <w:adjustRightInd w:val="0"/>
              <w:snapToGrid w:val="0"/>
              <w:jc w:val="center"/>
              <w:rPr>
                <w:rFonts w:eastAsia="宋体" w:cs="Times New Roman"/>
                <w:sz w:val="21"/>
              </w:rPr>
            </w:pPr>
            <w:r>
              <w:rPr>
                <w:rFonts w:eastAsia="宋体" w:cs="Times New Roman"/>
                <w:kern w:val="0"/>
                <w:sz w:val="21"/>
              </w:rPr>
              <w:t>（</w:t>
            </w:r>
            <w:r>
              <w:rPr>
                <w:rFonts w:eastAsia="TimesNewRomanPSMT" w:cs="Times New Roman"/>
                <w:kern w:val="0"/>
                <w:sz w:val="21"/>
              </w:rPr>
              <w:t>mg/m</w:t>
            </w:r>
            <w:r>
              <w:rPr>
                <w:rFonts w:eastAsia="TimesNewRomanPSMT" w:cs="Times New Roman"/>
                <w:kern w:val="0"/>
                <w:sz w:val="21"/>
                <w:vertAlign w:val="superscript"/>
              </w:rPr>
              <w:t>3</w:t>
            </w:r>
            <w:r>
              <w:rPr>
                <w:rFonts w:eastAsia="宋体" w:cs="Times New Roman"/>
                <w:kern w:val="0"/>
                <w:sz w:val="21"/>
              </w:rPr>
              <w:t>）</w:t>
            </w:r>
          </w:p>
        </w:tc>
        <w:tc>
          <w:tcPr>
            <w:tcW w:w="414" w:type="pct"/>
            <w:vAlign w:val="center"/>
          </w:tcPr>
          <w:p>
            <w:pPr>
              <w:adjustRightInd w:val="0"/>
              <w:snapToGrid w:val="0"/>
              <w:jc w:val="center"/>
              <w:rPr>
                <w:rFonts w:eastAsia="宋体" w:cs="Times New Roman"/>
                <w:sz w:val="21"/>
              </w:rPr>
            </w:pPr>
            <w:r>
              <w:rPr>
                <w:rFonts w:eastAsia="宋体" w:cs="Times New Roman"/>
                <w:sz w:val="21"/>
              </w:rPr>
              <w:t>0.2</w:t>
            </w:r>
          </w:p>
        </w:tc>
        <w:tc>
          <w:tcPr>
            <w:tcW w:w="414" w:type="pct"/>
            <w:vAlign w:val="center"/>
          </w:tcPr>
          <w:p>
            <w:pPr>
              <w:adjustRightInd w:val="0"/>
              <w:snapToGrid w:val="0"/>
              <w:jc w:val="center"/>
              <w:rPr>
                <w:rFonts w:eastAsia="宋体" w:cs="Times New Roman"/>
                <w:sz w:val="21"/>
              </w:rPr>
            </w:pPr>
            <w:r>
              <w:rPr>
                <w:rFonts w:eastAsia="宋体" w:cs="Times New Roman"/>
                <w:sz w:val="21"/>
              </w:rPr>
              <w:t>0.5</w:t>
            </w:r>
          </w:p>
        </w:tc>
        <w:tc>
          <w:tcPr>
            <w:tcW w:w="414" w:type="pct"/>
            <w:vAlign w:val="center"/>
          </w:tcPr>
          <w:p>
            <w:pPr>
              <w:adjustRightInd w:val="0"/>
              <w:snapToGrid w:val="0"/>
              <w:jc w:val="center"/>
              <w:rPr>
                <w:rFonts w:eastAsia="宋体" w:cs="Times New Roman"/>
                <w:sz w:val="21"/>
              </w:rPr>
            </w:pPr>
            <w:r>
              <w:rPr>
                <w:rFonts w:eastAsia="宋体" w:cs="Times New Roman"/>
                <w:sz w:val="21"/>
              </w:rPr>
              <w:t>0.5</w:t>
            </w:r>
          </w:p>
        </w:tc>
        <w:tc>
          <w:tcPr>
            <w:tcW w:w="414" w:type="pct"/>
            <w:vAlign w:val="center"/>
          </w:tcPr>
          <w:p>
            <w:pPr>
              <w:adjustRightInd w:val="0"/>
              <w:snapToGrid w:val="0"/>
              <w:jc w:val="center"/>
              <w:rPr>
                <w:rFonts w:eastAsia="宋体" w:cs="Times New Roman"/>
                <w:sz w:val="21"/>
              </w:rPr>
            </w:pPr>
            <w:r>
              <w:rPr>
                <w:rFonts w:eastAsia="宋体" w:cs="Times New Roman"/>
                <w:sz w:val="21"/>
              </w:rPr>
              <w:t>0.2</w:t>
            </w:r>
          </w:p>
        </w:tc>
        <w:tc>
          <w:tcPr>
            <w:tcW w:w="414" w:type="pct"/>
            <w:vAlign w:val="center"/>
          </w:tcPr>
          <w:p>
            <w:pPr>
              <w:adjustRightInd w:val="0"/>
              <w:snapToGrid w:val="0"/>
              <w:jc w:val="center"/>
              <w:rPr>
                <w:rFonts w:eastAsia="宋体" w:cs="Times New Roman"/>
                <w:sz w:val="21"/>
              </w:rPr>
            </w:pPr>
            <w:r>
              <w:rPr>
                <w:rFonts w:eastAsia="宋体" w:cs="Times New Roman"/>
                <w:sz w:val="21"/>
              </w:rPr>
              <w:t>0.2</w:t>
            </w:r>
          </w:p>
        </w:tc>
        <w:tc>
          <w:tcPr>
            <w:tcW w:w="380" w:type="pct"/>
            <w:vAlign w:val="center"/>
          </w:tcPr>
          <w:p>
            <w:pPr>
              <w:adjustRightInd w:val="0"/>
              <w:snapToGrid w:val="0"/>
              <w:jc w:val="center"/>
              <w:rPr>
                <w:rFonts w:eastAsia="宋体" w:cs="Times New Roman"/>
                <w:sz w:val="21"/>
              </w:rPr>
            </w:pPr>
            <w:r>
              <w:rPr>
                <w:rFonts w:eastAsia="宋体" w:cs="Times New Roman"/>
                <w:sz w:val="21"/>
              </w:rPr>
              <w:t>0.3</w:t>
            </w:r>
          </w:p>
        </w:tc>
        <w:tc>
          <w:tcPr>
            <w:tcW w:w="456" w:type="pct"/>
            <w:vAlign w:val="center"/>
          </w:tcPr>
          <w:p>
            <w:pPr>
              <w:adjustRightInd w:val="0"/>
              <w:snapToGrid w:val="0"/>
              <w:jc w:val="center"/>
              <w:rPr>
                <w:rFonts w:eastAsia="宋体" w:cs="Times New Roman"/>
                <w:sz w:val="21"/>
              </w:rPr>
            </w:pPr>
            <w:r>
              <w:rPr>
                <w:rFonts w:eastAsia="宋体" w:cs="Times New Roman"/>
                <w:sz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pct"/>
            <w:vMerge w:val="continue"/>
            <w:vAlign w:val="center"/>
          </w:tcPr>
          <w:p>
            <w:pPr>
              <w:adjustRightInd w:val="0"/>
              <w:snapToGrid w:val="0"/>
              <w:jc w:val="center"/>
              <w:rPr>
                <w:rFonts w:eastAsia="宋体" w:cs="Times New Roman"/>
                <w:sz w:val="21"/>
              </w:rPr>
            </w:pPr>
          </w:p>
        </w:tc>
        <w:tc>
          <w:tcPr>
            <w:tcW w:w="447" w:type="pct"/>
            <w:vMerge w:val="continue"/>
            <w:vAlign w:val="center"/>
          </w:tcPr>
          <w:p>
            <w:pPr>
              <w:adjustRightInd w:val="0"/>
              <w:snapToGrid w:val="0"/>
              <w:jc w:val="center"/>
              <w:rPr>
                <w:rFonts w:eastAsia="宋体" w:cs="Times New Roman"/>
                <w:sz w:val="21"/>
              </w:rPr>
            </w:pPr>
          </w:p>
        </w:tc>
        <w:tc>
          <w:tcPr>
            <w:tcW w:w="855" w:type="pct"/>
            <w:vAlign w:val="center"/>
          </w:tcPr>
          <w:p>
            <w:pPr>
              <w:autoSpaceDE w:val="0"/>
              <w:autoSpaceDN w:val="0"/>
              <w:adjustRightInd w:val="0"/>
              <w:snapToGrid w:val="0"/>
              <w:jc w:val="center"/>
              <w:rPr>
                <w:rFonts w:eastAsia="宋体" w:cs="Times New Roman"/>
                <w:kern w:val="0"/>
                <w:sz w:val="21"/>
              </w:rPr>
            </w:pPr>
            <w:r>
              <w:rPr>
                <w:rFonts w:eastAsia="宋体" w:cs="Times New Roman"/>
                <w:kern w:val="0"/>
                <w:sz w:val="21"/>
              </w:rPr>
              <w:t>排放速率</w:t>
            </w:r>
            <w:r>
              <w:rPr>
                <w:rFonts w:hint="eastAsia" w:eastAsia="宋体" w:cs="Times New Roman"/>
                <w:kern w:val="0"/>
                <w:sz w:val="21"/>
              </w:rPr>
              <w:t>（kg/h）</w:t>
            </w:r>
          </w:p>
        </w:tc>
        <w:tc>
          <w:tcPr>
            <w:tcW w:w="414" w:type="pct"/>
            <w:vAlign w:val="center"/>
          </w:tcPr>
          <w:p>
            <w:pPr>
              <w:adjustRightInd w:val="0"/>
              <w:snapToGrid w:val="0"/>
              <w:jc w:val="center"/>
              <w:rPr>
                <w:rFonts w:eastAsia="宋体" w:cs="Times New Roman"/>
                <w:sz w:val="21"/>
              </w:rPr>
            </w:pPr>
            <w:r>
              <w:rPr>
                <w:rFonts w:hint="eastAsia" w:eastAsia="宋体" w:cs="Times New Roman"/>
                <w:sz w:val="21"/>
              </w:rPr>
              <w:t>0.002</w:t>
            </w:r>
          </w:p>
        </w:tc>
        <w:tc>
          <w:tcPr>
            <w:tcW w:w="414" w:type="pct"/>
            <w:vAlign w:val="center"/>
          </w:tcPr>
          <w:p>
            <w:pPr>
              <w:adjustRightInd w:val="0"/>
              <w:snapToGrid w:val="0"/>
              <w:jc w:val="center"/>
              <w:rPr>
                <w:rFonts w:eastAsia="宋体" w:cs="Times New Roman"/>
                <w:sz w:val="21"/>
              </w:rPr>
            </w:pPr>
            <w:r>
              <w:rPr>
                <w:rFonts w:hint="eastAsia" w:eastAsia="宋体" w:cs="Times New Roman"/>
                <w:sz w:val="21"/>
              </w:rPr>
              <w:t>0.005</w:t>
            </w:r>
          </w:p>
        </w:tc>
        <w:tc>
          <w:tcPr>
            <w:tcW w:w="414" w:type="pct"/>
            <w:vAlign w:val="center"/>
          </w:tcPr>
          <w:p>
            <w:pPr>
              <w:adjustRightInd w:val="0"/>
              <w:snapToGrid w:val="0"/>
              <w:jc w:val="center"/>
              <w:rPr>
                <w:rFonts w:eastAsia="宋体" w:cs="Times New Roman"/>
                <w:sz w:val="21"/>
              </w:rPr>
            </w:pPr>
            <w:r>
              <w:rPr>
                <w:rFonts w:hint="eastAsia" w:eastAsia="宋体" w:cs="Times New Roman"/>
                <w:sz w:val="21"/>
              </w:rPr>
              <w:t>0.005</w:t>
            </w:r>
          </w:p>
        </w:tc>
        <w:tc>
          <w:tcPr>
            <w:tcW w:w="414" w:type="pct"/>
            <w:vAlign w:val="center"/>
          </w:tcPr>
          <w:p>
            <w:pPr>
              <w:adjustRightInd w:val="0"/>
              <w:snapToGrid w:val="0"/>
              <w:jc w:val="center"/>
              <w:rPr>
                <w:rFonts w:eastAsia="宋体" w:cs="Times New Roman"/>
                <w:sz w:val="21"/>
              </w:rPr>
            </w:pPr>
            <w:r>
              <w:rPr>
                <w:rFonts w:hint="eastAsia" w:eastAsia="宋体" w:cs="Times New Roman"/>
                <w:sz w:val="21"/>
              </w:rPr>
              <w:t>0.001</w:t>
            </w:r>
          </w:p>
        </w:tc>
        <w:tc>
          <w:tcPr>
            <w:tcW w:w="414" w:type="pct"/>
            <w:vAlign w:val="center"/>
          </w:tcPr>
          <w:p>
            <w:pPr>
              <w:adjustRightInd w:val="0"/>
              <w:snapToGrid w:val="0"/>
              <w:jc w:val="center"/>
              <w:rPr>
                <w:rFonts w:eastAsia="宋体" w:cs="Times New Roman"/>
                <w:sz w:val="21"/>
              </w:rPr>
            </w:pPr>
            <w:r>
              <w:rPr>
                <w:rFonts w:hint="eastAsia" w:eastAsia="宋体" w:cs="Times New Roman"/>
                <w:sz w:val="21"/>
              </w:rPr>
              <w:t>0.002</w:t>
            </w:r>
          </w:p>
        </w:tc>
        <w:tc>
          <w:tcPr>
            <w:tcW w:w="380" w:type="pct"/>
            <w:vAlign w:val="center"/>
          </w:tcPr>
          <w:p>
            <w:pPr>
              <w:adjustRightInd w:val="0"/>
              <w:snapToGrid w:val="0"/>
              <w:jc w:val="center"/>
              <w:rPr>
                <w:rFonts w:eastAsia="宋体" w:cs="Times New Roman"/>
                <w:sz w:val="21"/>
              </w:rPr>
            </w:pPr>
            <w:r>
              <w:rPr>
                <w:rFonts w:eastAsia="宋体" w:cs="Times New Roman"/>
                <w:sz w:val="21"/>
              </w:rPr>
              <w:t>/</w:t>
            </w:r>
          </w:p>
        </w:tc>
        <w:tc>
          <w:tcPr>
            <w:tcW w:w="456" w:type="pct"/>
            <w:vAlign w:val="center"/>
          </w:tcPr>
          <w:p>
            <w:pPr>
              <w:adjustRightInd w:val="0"/>
              <w:snapToGrid w:val="0"/>
              <w:jc w:val="center"/>
              <w:rPr>
                <w:rFonts w:eastAsia="宋体" w:cs="Times New Roman"/>
                <w:sz w:val="21"/>
              </w:rPr>
            </w:pPr>
            <w:r>
              <w:rPr>
                <w:rFonts w:eastAsia="宋体" w:cs="Times New Roman"/>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pct"/>
            <w:vMerge w:val="continue"/>
            <w:vAlign w:val="center"/>
          </w:tcPr>
          <w:p>
            <w:pPr>
              <w:adjustRightInd w:val="0"/>
              <w:snapToGrid w:val="0"/>
              <w:jc w:val="center"/>
              <w:rPr>
                <w:rFonts w:eastAsia="宋体" w:cs="Times New Roman"/>
                <w:sz w:val="21"/>
              </w:rPr>
            </w:pPr>
          </w:p>
        </w:tc>
        <w:tc>
          <w:tcPr>
            <w:tcW w:w="1303" w:type="pct"/>
            <w:gridSpan w:val="2"/>
            <w:vAlign w:val="center"/>
          </w:tcPr>
          <w:p>
            <w:pPr>
              <w:autoSpaceDE w:val="0"/>
              <w:autoSpaceDN w:val="0"/>
              <w:adjustRightInd w:val="0"/>
              <w:snapToGrid w:val="0"/>
              <w:jc w:val="center"/>
              <w:rPr>
                <w:rFonts w:eastAsia="宋体" w:cs="Times New Roman"/>
                <w:kern w:val="0"/>
                <w:sz w:val="21"/>
              </w:rPr>
            </w:pPr>
            <w:r>
              <w:rPr>
                <w:rFonts w:eastAsia="宋体" w:cs="Times New Roman"/>
                <w:kern w:val="0"/>
                <w:sz w:val="21"/>
              </w:rPr>
              <w:t>是否达标</w:t>
            </w:r>
          </w:p>
        </w:tc>
        <w:tc>
          <w:tcPr>
            <w:tcW w:w="414" w:type="pct"/>
            <w:vAlign w:val="center"/>
          </w:tcPr>
          <w:p>
            <w:pPr>
              <w:adjustRightInd w:val="0"/>
              <w:snapToGrid w:val="0"/>
              <w:jc w:val="center"/>
              <w:rPr>
                <w:rFonts w:eastAsia="宋体" w:cs="Times New Roman"/>
                <w:sz w:val="21"/>
              </w:rPr>
            </w:pPr>
            <w:r>
              <w:rPr>
                <w:rFonts w:hint="eastAsia" w:eastAsia="宋体" w:cs="Times New Roman"/>
                <w:sz w:val="21"/>
              </w:rPr>
              <w:t>达标</w:t>
            </w:r>
          </w:p>
        </w:tc>
        <w:tc>
          <w:tcPr>
            <w:tcW w:w="414" w:type="pct"/>
            <w:vAlign w:val="center"/>
          </w:tcPr>
          <w:p>
            <w:pPr>
              <w:adjustRightInd w:val="0"/>
              <w:snapToGrid w:val="0"/>
              <w:jc w:val="center"/>
              <w:rPr>
                <w:rFonts w:eastAsia="宋体" w:cs="Times New Roman"/>
                <w:sz w:val="21"/>
              </w:rPr>
            </w:pPr>
            <w:r>
              <w:rPr>
                <w:rFonts w:hint="eastAsia" w:eastAsia="宋体" w:cs="Times New Roman"/>
                <w:sz w:val="21"/>
              </w:rPr>
              <w:t>达标</w:t>
            </w:r>
          </w:p>
        </w:tc>
        <w:tc>
          <w:tcPr>
            <w:tcW w:w="414" w:type="pct"/>
            <w:vAlign w:val="center"/>
          </w:tcPr>
          <w:p>
            <w:pPr>
              <w:adjustRightInd w:val="0"/>
              <w:snapToGrid w:val="0"/>
              <w:jc w:val="center"/>
              <w:rPr>
                <w:rFonts w:eastAsia="宋体" w:cs="Times New Roman"/>
                <w:sz w:val="21"/>
              </w:rPr>
            </w:pPr>
            <w:r>
              <w:rPr>
                <w:rFonts w:hint="eastAsia" w:eastAsia="宋体" w:cs="Times New Roman"/>
                <w:sz w:val="21"/>
              </w:rPr>
              <w:t>达标</w:t>
            </w:r>
          </w:p>
        </w:tc>
        <w:tc>
          <w:tcPr>
            <w:tcW w:w="414" w:type="pct"/>
            <w:vAlign w:val="center"/>
          </w:tcPr>
          <w:p>
            <w:pPr>
              <w:adjustRightInd w:val="0"/>
              <w:snapToGrid w:val="0"/>
              <w:jc w:val="center"/>
              <w:rPr>
                <w:rFonts w:eastAsia="宋体" w:cs="Times New Roman"/>
                <w:sz w:val="21"/>
              </w:rPr>
            </w:pPr>
            <w:r>
              <w:rPr>
                <w:rFonts w:hint="eastAsia" w:eastAsia="宋体" w:cs="Times New Roman"/>
                <w:sz w:val="21"/>
              </w:rPr>
              <w:t>达标</w:t>
            </w:r>
          </w:p>
        </w:tc>
        <w:tc>
          <w:tcPr>
            <w:tcW w:w="414" w:type="pct"/>
            <w:vAlign w:val="center"/>
          </w:tcPr>
          <w:p>
            <w:pPr>
              <w:adjustRightInd w:val="0"/>
              <w:snapToGrid w:val="0"/>
              <w:jc w:val="center"/>
              <w:rPr>
                <w:rFonts w:eastAsia="宋体" w:cs="Times New Roman"/>
                <w:sz w:val="21"/>
              </w:rPr>
            </w:pPr>
            <w:r>
              <w:rPr>
                <w:rFonts w:hint="eastAsia" w:eastAsia="宋体" w:cs="Times New Roman"/>
                <w:sz w:val="21"/>
              </w:rPr>
              <w:t>达标</w:t>
            </w:r>
          </w:p>
        </w:tc>
        <w:tc>
          <w:tcPr>
            <w:tcW w:w="380" w:type="pct"/>
            <w:vAlign w:val="center"/>
          </w:tcPr>
          <w:p>
            <w:pPr>
              <w:adjustRightInd w:val="0"/>
              <w:snapToGrid w:val="0"/>
              <w:jc w:val="center"/>
              <w:rPr>
                <w:rFonts w:eastAsia="宋体" w:cs="Times New Roman"/>
                <w:sz w:val="21"/>
              </w:rPr>
            </w:pPr>
            <w:r>
              <w:rPr>
                <w:rFonts w:hint="eastAsia" w:eastAsia="宋体" w:cs="Times New Roman"/>
                <w:sz w:val="21"/>
              </w:rPr>
              <w:t>/</w:t>
            </w:r>
          </w:p>
        </w:tc>
        <w:tc>
          <w:tcPr>
            <w:tcW w:w="456" w:type="pct"/>
            <w:vAlign w:val="center"/>
          </w:tcPr>
          <w:p>
            <w:pPr>
              <w:adjustRightInd w:val="0"/>
              <w:snapToGrid w:val="0"/>
              <w:jc w:val="center"/>
              <w:rPr>
                <w:rFonts w:eastAsia="宋体" w:cs="Times New Roman"/>
                <w:sz w:val="21"/>
              </w:rPr>
            </w:pPr>
            <w:r>
              <w:rPr>
                <w:rFonts w:hint="eastAsia" w:eastAsia="宋体" w:cs="Times New Roman"/>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pct"/>
            <w:vMerge w:val="continue"/>
            <w:vAlign w:val="center"/>
          </w:tcPr>
          <w:p>
            <w:pPr>
              <w:adjustRightInd w:val="0"/>
              <w:snapToGrid w:val="0"/>
              <w:jc w:val="center"/>
              <w:rPr>
                <w:rFonts w:eastAsia="宋体" w:cs="Times New Roman"/>
                <w:sz w:val="21"/>
              </w:rPr>
            </w:pPr>
          </w:p>
        </w:tc>
        <w:tc>
          <w:tcPr>
            <w:tcW w:w="1303" w:type="pct"/>
            <w:gridSpan w:val="2"/>
            <w:vAlign w:val="center"/>
          </w:tcPr>
          <w:p>
            <w:pPr>
              <w:adjustRightInd w:val="0"/>
              <w:snapToGrid w:val="0"/>
              <w:jc w:val="center"/>
              <w:rPr>
                <w:rFonts w:eastAsia="宋体" w:cs="Times New Roman"/>
                <w:sz w:val="21"/>
              </w:rPr>
            </w:pPr>
            <w:r>
              <w:rPr>
                <w:rFonts w:eastAsia="宋体" w:cs="Times New Roman"/>
                <w:sz w:val="21"/>
              </w:rPr>
              <w:t>检测项目</w:t>
            </w:r>
          </w:p>
        </w:tc>
        <w:tc>
          <w:tcPr>
            <w:tcW w:w="2904" w:type="pct"/>
            <w:gridSpan w:val="7"/>
            <w:vAlign w:val="center"/>
          </w:tcPr>
          <w:p>
            <w:pPr>
              <w:adjustRightInd w:val="0"/>
              <w:snapToGrid w:val="0"/>
              <w:jc w:val="center"/>
              <w:rPr>
                <w:rFonts w:eastAsia="宋体" w:cs="Times New Roman"/>
                <w:sz w:val="21"/>
              </w:rPr>
            </w:pPr>
            <w:r>
              <w:rPr>
                <w:rFonts w:eastAsia="宋体" w:cs="Times New Roman"/>
                <w:sz w:val="21"/>
              </w:rPr>
              <w:t>2019.8.2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pct"/>
            <w:vMerge w:val="continue"/>
            <w:vAlign w:val="center"/>
          </w:tcPr>
          <w:p>
            <w:pPr>
              <w:adjustRightInd w:val="0"/>
              <w:snapToGrid w:val="0"/>
              <w:jc w:val="center"/>
              <w:rPr>
                <w:rFonts w:eastAsia="宋体" w:cs="Times New Roman"/>
                <w:sz w:val="21"/>
              </w:rPr>
            </w:pPr>
          </w:p>
        </w:tc>
        <w:tc>
          <w:tcPr>
            <w:tcW w:w="1303" w:type="pct"/>
            <w:gridSpan w:val="2"/>
            <w:vAlign w:val="center"/>
          </w:tcPr>
          <w:p>
            <w:pPr>
              <w:adjustRightInd w:val="0"/>
              <w:snapToGrid w:val="0"/>
              <w:jc w:val="center"/>
              <w:rPr>
                <w:rFonts w:eastAsia="宋体" w:cs="Times New Roman"/>
                <w:sz w:val="21"/>
              </w:rPr>
            </w:pPr>
            <w:r>
              <w:rPr>
                <w:rFonts w:eastAsia="宋体" w:cs="Times New Roman"/>
                <w:kern w:val="0"/>
                <w:sz w:val="21"/>
              </w:rPr>
              <w:t>标干流量（</w:t>
            </w:r>
            <w:r>
              <w:rPr>
                <w:rFonts w:eastAsia="TimesNewRomanPSMT" w:cs="Times New Roman"/>
                <w:kern w:val="0"/>
                <w:sz w:val="21"/>
              </w:rPr>
              <w:t>N·m</w:t>
            </w:r>
            <w:r>
              <w:rPr>
                <w:rFonts w:eastAsia="TimesNewRomanPSMT" w:cs="Times New Roman"/>
                <w:kern w:val="0"/>
                <w:sz w:val="21"/>
                <w:vertAlign w:val="superscript"/>
              </w:rPr>
              <w:t>3</w:t>
            </w:r>
            <w:r>
              <w:rPr>
                <w:rFonts w:eastAsia="TimesNewRomanPSMT" w:cs="Times New Roman"/>
                <w:kern w:val="0"/>
                <w:sz w:val="21"/>
              </w:rPr>
              <w:t>/h</w:t>
            </w:r>
            <w:r>
              <w:rPr>
                <w:rFonts w:eastAsia="宋体" w:cs="Times New Roman"/>
                <w:kern w:val="0"/>
                <w:sz w:val="21"/>
              </w:rPr>
              <w:t>）</w:t>
            </w:r>
          </w:p>
        </w:tc>
        <w:tc>
          <w:tcPr>
            <w:tcW w:w="414" w:type="pct"/>
            <w:vAlign w:val="center"/>
          </w:tcPr>
          <w:p>
            <w:pPr>
              <w:adjustRightInd w:val="0"/>
              <w:snapToGrid w:val="0"/>
              <w:jc w:val="center"/>
              <w:rPr>
                <w:rFonts w:eastAsia="宋体" w:cs="Times New Roman"/>
                <w:sz w:val="21"/>
              </w:rPr>
            </w:pPr>
            <w:r>
              <w:rPr>
                <w:rFonts w:eastAsia="宋体" w:cs="Times New Roman"/>
                <w:sz w:val="21"/>
              </w:rPr>
              <w:t>9480</w:t>
            </w:r>
          </w:p>
        </w:tc>
        <w:tc>
          <w:tcPr>
            <w:tcW w:w="414" w:type="pct"/>
            <w:vAlign w:val="center"/>
          </w:tcPr>
          <w:p>
            <w:pPr>
              <w:adjustRightInd w:val="0"/>
              <w:snapToGrid w:val="0"/>
              <w:jc w:val="center"/>
              <w:rPr>
                <w:rFonts w:eastAsia="宋体" w:cs="Times New Roman"/>
                <w:sz w:val="21"/>
              </w:rPr>
            </w:pPr>
            <w:r>
              <w:rPr>
                <w:rFonts w:eastAsia="宋体" w:cs="Times New Roman"/>
                <w:sz w:val="21"/>
              </w:rPr>
              <w:t>9546</w:t>
            </w:r>
          </w:p>
        </w:tc>
        <w:tc>
          <w:tcPr>
            <w:tcW w:w="414" w:type="pct"/>
            <w:vAlign w:val="center"/>
          </w:tcPr>
          <w:p>
            <w:pPr>
              <w:adjustRightInd w:val="0"/>
              <w:snapToGrid w:val="0"/>
              <w:jc w:val="center"/>
              <w:rPr>
                <w:rFonts w:eastAsia="宋体" w:cs="Times New Roman"/>
                <w:sz w:val="21"/>
              </w:rPr>
            </w:pPr>
            <w:r>
              <w:rPr>
                <w:rFonts w:eastAsia="宋体" w:cs="Times New Roman"/>
                <w:sz w:val="21"/>
              </w:rPr>
              <w:t>9499</w:t>
            </w:r>
          </w:p>
        </w:tc>
        <w:tc>
          <w:tcPr>
            <w:tcW w:w="414" w:type="pct"/>
            <w:vAlign w:val="center"/>
          </w:tcPr>
          <w:p>
            <w:pPr>
              <w:adjustRightInd w:val="0"/>
              <w:snapToGrid w:val="0"/>
              <w:jc w:val="center"/>
              <w:rPr>
                <w:rFonts w:eastAsia="宋体" w:cs="Times New Roman"/>
                <w:sz w:val="21"/>
              </w:rPr>
            </w:pPr>
            <w:r>
              <w:rPr>
                <w:rFonts w:eastAsia="宋体" w:cs="Times New Roman"/>
                <w:sz w:val="21"/>
              </w:rPr>
              <w:t>9449</w:t>
            </w:r>
          </w:p>
        </w:tc>
        <w:tc>
          <w:tcPr>
            <w:tcW w:w="414" w:type="pct"/>
            <w:vAlign w:val="center"/>
          </w:tcPr>
          <w:p>
            <w:pPr>
              <w:adjustRightInd w:val="0"/>
              <w:snapToGrid w:val="0"/>
              <w:jc w:val="center"/>
              <w:rPr>
                <w:rFonts w:eastAsia="宋体" w:cs="Times New Roman"/>
                <w:sz w:val="21"/>
              </w:rPr>
            </w:pPr>
            <w:r>
              <w:rPr>
                <w:rFonts w:eastAsia="宋体" w:cs="Times New Roman"/>
                <w:sz w:val="21"/>
              </w:rPr>
              <w:t>9529</w:t>
            </w:r>
          </w:p>
        </w:tc>
        <w:tc>
          <w:tcPr>
            <w:tcW w:w="380" w:type="pct"/>
            <w:vAlign w:val="center"/>
          </w:tcPr>
          <w:p>
            <w:pPr>
              <w:adjustRightInd w:val="0"/>
              <w:snapToGrid w:val="0"/>
              <w:jc w:val="center"/>
              <w:rPr>
                <w:rFonts w:eastAsia="宋体" w:cs="Times New Roman"/>
                <w:sz w:val="21"/>
              </w:rPr>
            </w:pPr>
            <w:r>
              <w:rPr>
                <w:rFonts w:eastAsia="宋体" w:cs="Times New Roman"/>
                <w:sz w:val="21"/>
              </w:rPr>
              <w:t>/</w:t>
            </w:r>
          </w:p>
        </w:tc>
        <w:tc>
          <w:tcPr>
            <w:tcW w:w="456" w:type="pct"/>
            <w:vAlign w:val="center"/>
          </w:tcPr>
          <w:p>
            <w:pPr>
              <w:adjustRightInd w:val="0"/>
              <w:snapToGrid w:val="0"/>
              <w:jc w:val="center"/>
              <w:rPr>
                <w:rFonts w:eastAsia="宋体" w:cs="Times New Roman"/>
                <w:sz w:val="21"/>
              </w:rPr>
            </w:pPr>
            <w:r>
              <w:rPr>
                <w:rFonts w:eastAsia="宋体" w:cs="Times New Roman"/>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793" w:type="pct"/>
            <w:vMerge w:val="continue"/>
            <w:vAlign w:val="center"/>
          </w:tcPr>
          <w:p>
            <w:pPr>
              <w:adjustRightInd w:val="0"/>
              <w:snapToGrid w:val="0"/>
              <w:jc w:val="center"/>
              <w:rPr>
                <w:rFonts w:eastAsia="宋体" w:cs="Times New Roman"/>
                <w:sz w:val="21"/>
              </w:rPr>
            </w:pPr>
          </w:p>
        </w:tc>
        <w:tc>
          <w:tcPr>
            <w:tcW w:w="447" w:type="pct"/>
            <w:vMerge w:val="restart"/>
            <w:vAlign w:val="center"/>
          </w:tcPr>
          <w:p>
            <w:pPr>
              <w:autoSpaceDE w:val="0"/>
              <w:autoSpaceDN w:val="0"/>
              <w:adjustRightInd w:val="0"/>
              <w:snapToGrid w:val="0"/>
              <w:jc w:val="center"/>
              <w:rPr>
                <w:rFonts w:eastAsia="宋体" w:cs="Times New Roman"/>
                <w:sz w:val="21"/>
              </w:rPr>
            </w:pPr>
            <w:r>
              <w:rPr>
                <w:rFonts w:eastAsia="宋体" w:cs="Times New Roman"/>
                <w:kern w:val="0"/>
                <w:sz w:val="21"/>
              </w:rPr>
              <w:t>油烟浓度</w:t>
            </w:r>
          </w:p>
        </w:tc>
        <w:tc>
          <w:tcPr>
            <w:tcW w:w="855" w:type="pct"/>
            <w:vAlign w:val="center"/>
          </w:tcPr>
          <w:p>
            <w:pPr>
              <w:autoSpaceDE w:val="0"/>
              <w:autoSpaceDN w:val="0"/>
              <w:adjustRightInd w:val="0"/>
              <w:snapToGrid w:val="0"/>
              <w:jc w:val="center"/>
              <w:rPr>
                <w:rFonts w:eastAsia="宋体" w:cs="Times New Roman"/>
                <w:kern w:val="0"/>
                <w:sz w:val="21"/>
              </w:rPr>
            </w:pPr>
            <w:r>
              <w:rPr>
                <w:rFonts w:eastAsia="宋体" w:cs="Times New Roman"/>
                <w:kern w:val="0"/>
                <w:sz w:val="21"/>
              </w:rPr>
              <w:t>排放浓度</w:t>
            </w:r>
          </w:p>
          <w:p>
            <w:pPr>
              <w:adjustRightInd w:val="0"/>
              <w:snapToGrid w:val="0"/>
              <w:jc w:val="center"/>
              <w:rPr>
                <w:rFonts w:eastAsia="宋体" w:cs="Times New Roman"/>
                <w:sz w:val="21"/>
              </w:rPr>
            </w:pPr>
            <w:r>
              <w:rPr>
                <w:rFonts w:eastAsia="宋体" w:cs="Times New Roman"/>
                <w:kern w:val="0"/>
                <w:sz w:val="21"/>
              </w:rPr>
              <w:t>（</w:t>
            </w:r>
            <w:r>
              <w:rPr>
                <w:rFonts w:eastAsia="TimesNewRomanPSMT" w:cs="Times New Roman"/>
                <w:kern w:val="0"/>
                <w:sz w:val="21"/>
              </w:rPr>
              <w:t>mg/m</w:t>
            </w:r>
            <w:r>
              <w:rPr>
                <w:rFonts w:eastAsia="TimesNewRomanPSMT" w:cs="Times New Roman"/>
                <w:kern w:val="0"/>
                <w:sz w:val="21"/>
                <w:vertAlign w:val="superscript"/>
              </w:rPr>
              <w:t>3</w:t>
            </w:r>
            <w:r>
              <w:rPr>
                <w:rFonts w:eastAsia="宋体" w:cs="Times New Roman"/>
                <w:kern w:val="0"/>
                <w:sz w:val="21"/>
              </w:rPr>
              <w:t>）</w:t>
            </w:r>
          </w:p>
        </w:tc>
        <w:tc>
          <w:tcPr>
            <w:tcW w:w="414" w:type="pct"/>
            <w:vAlign w:val="center"/>
          </w:tcPr>
          <w:p>
            <w:pPr>
              <w:adjustRightInd w:val="0"/>
              <w:snapToGrid w:val="0"/>
              <w:jc w:val="center"/>
              <w:rPr>
                <w:rFonts w:eastAsia="宋体" w:cs="Times New Roman"/>
                <w:sz w:val="21"/>
              </w:rPr>
            </w:pPr>
            <w:r>
              <w:rPr>
                <w:rFonts w:eastAsia="宋体" w:cs="Times New Roman"/>
                <w:sz w:val="21"/>
              </w:rPr>
              <w:t>0.1</w:t>
            </w:r>
          </w:p>
        </w:tc>
        <w:tc>
          <w:tcPr>
            <w:tcW w:w="414" w:type="pct"/>
            <w:vAlign w:val="center"/>
          </w:tcPr>
          <w:p>
            <w:pPr>
              <w:adjustRightInd w:val="0"/>
              <w:snapToGrid w:val="0"/>
              <w:jc w:val="center"/>
              <w:rPr>
                <w:rFonts w:eastAsia="宋体" w:cs="Times New Roman"/>
                <w:sz w:val="21"/>
              </w:rPr>
            </w:pPr>
            <w:r>
              <w:rPr>
                <w:rFonts w:eastAsia="宋体" w:cs="Times New Roman"/>
                <w:sz w:val="21"/>
              </w:rPr>
              <w:t>0.1</w:t>
            </w:r>
          </w:p>
        </w:tc>
        <w:tc>
          <w:tcPr>
            <w:tcW w:w="414" w:type="pct"/>
            <w:vAlign w:val="center"/>
          </w:tcPr>
          <w:p>
            <w:pPr>
              <w:adjustRightInd w:val="0"/>
              <w:snapToGrid w:val="0"/>
              <w:jc w:val="center"/>
              <w:rPr>
                <w:rFonts w:eastAsia="宋体" w:cs="Times New Roman"/>
                <w:sz w:val="21"/>
              </w:rPr>
            </w:pPr>
            <w:r>
              <w:rPr>
                <w:rFonts w:eastAsia="宋体" w:cs="Times New Roman"/>
                <w:sz w:val="21"/>
              </w:rPr>
              <w:t>0.1</w:t>
            </w:r>
          </w:p>
        </w:tc>
        <w:tc>
          <w:tcPr>
            <w:tcW w:w="414" w:type="pct"/>
            <w:vAlign w:val="center"/>
          </w:tcPr>
          <w:p>
            <w:pPr>
              <w:adjustRightInd w:val="0"/>
              <w:snapToGrid w:val="0"/>
              <w:jc w:val="center"/>
              <w:rPr>
                <w:rFonts w:eastAsia="宋体" w:cs="Times New Roman"/>
                <w:sz w:val="21"/>
              </w:rPr>
            </w:pPr>
            <w:r>
              <w:rPr>
                <w:rFonts w:eastAsia="宋体" w:cs="Times New Roman"/>
                <w:sz w:val="21"/>
              </w:rPr>
              <w:t>0.2</w:t>
            </w:r>
          </w:p>
        </w:tc>
        <w:tc>
          <w:tcPr>
            <w:tcW w:w="414" w:type="pct"/>
            <w:vAlign w:val="center"/>
          </w:tcPr>
          <w:p>
            <w:pPr>
              <w:adjustRightInd w:val="0"/>
              <w:snapToGrid w:val="0"/>
              <w:jc w:val="center"/>
              <w:rPr>
                <w:rFonts w:eastAsia="宋体" w:cs="Times New Roman"/>
                <w:sz w:val="21"/>
              </w:rPr>
            </w:pPr>
            <w:r>
              <w:rPr>
                <w:rFonts w:eastAsia="宋体" w:cs="Times New Roman"/>
                <w:sz w:val="21"/>
              </w:rPr>
              <w:t>0.2</w:t>
            </w:r>
          </w:p>
        </w:tc>
        <w:tc>
          <w:tcPr>
            <w:tcW w:w="380" w:type="pct"/>
            <w:vAlign w:val="center"/>
          </w:tcPr>
          <w:p>
            <w:pPr>
              <w:adjustRightInd w:val="0"/>
              <w:snapToGrid w:val="0"/>
              <w:jc w:val="center"/>
              <w:rPr>
                <w:rFonts w:eastAsia="宋体" w:cs="Times New Roman"/>
                <w:sz w:val="21"/>
              </w:rPr>
            </w:pPr>
            <w:r>
              <w:rPr>
                <w:rFonts w:eastAsia="宋体" w:cs="Times New Roman"/>
                <w:sz w:val="21"/>
              </w:rPr>
              <w:t>0.1</w:t>
            </w:r>
          </w:p>
        </w:tc>
        <w:tc>
          <w:tcPr>
            <w:tcW w:w="456" w:type="pct"/>
            <w:vAlign w:val="center"/>
          </w:tcPr>
          <w:p>
            <w:pPr>
              <w:adjustRightInd w:val="0"/>
              <w:snapToGrid w:val="0"/>
              <w:jc w:val="center"/>
              <w:rPr>
                <w:rFonts w:eastAsia="宋体" w:cs="Times New Roman"/>
                <w:sz w:val="21"/>
              </w:rPr>
            </w:pPr>
            <w:r>
              <w:rPr>
                <w:rFonts w:eastAsia="宋体" w:cs="Times New Roman"/>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793" w:type="pct"/>
            <w:vMerge w:val="continue"/>
            <w:vAlign w:val="center"/>
          </w:tcPr>
          <w:p>
            <w:pPr>
              <w:adjustRightInd w:val="0"/>
              <w:snapToGrid w:val="0"/>
              <w:jc w:val="center"/>
              <w:rPr>
                <w:rFonts w:eastAsia="宋体" w:cs="Times New Roman"/>
                <w:sz w:val="21"/>
              </w:rPr>
            </w:pPr>
          </w:p>
        </w:tc>
        <w:tc>
          <w:tcPr>
            <w:tcW w:w="447" w:type="pct"/>
            <w:vMerge w:val="continue"/>
            <w:vAlign w:val="center"/>
          </w:tcPr>
          <w:p>
            <w:pPr>
              <w:adjustRightInd w:val="0"/>
              <w:snapToGrid w:val="0"/>
              <w:jc w:val="center"/>
              <w:rPr>
                <w:rFonts w:eastAsia="宋体" w:cs="Times New Roman"/>
                <w:sz w:val="21"/>
              </w:rPr>
            </w:pPr>
          </w:p>
        </w:tc>
        <w:tc>
          <w:tcPr>
            <w:tcW w:w="855" w:type="pct"/>
            <w:vAlign w:val="center"/>
          </w:tcPr>
          <w:p>
            <w:pPr>
              <w:autoSpaceDE w:val="0"/>
              <w:autoSpaceDN w:val="0"/>
              <w:adjustRightInd w:val="0"/>
              <w:snapToGrid w:val="0"/>
              <w:jc w:val="center"/>
              <w:rPr>
                <w:rFonts w:eastAsia="宋体" w:cs="Times New Roman"/>
                <w:kern w:val="0"/>
                <w:sz w:val="21"/>
              </w:rPr>
            </w:pPr>
            <w:r>
              <w:rPr>
                <w:rFonts w:eastAsia="宋体" w:cs="Times New Roman"/>
                <w:kern w:val="0"/>
                <w:sz w:val="21"/>
              </w:rPr>
              <w:t>折算浓度</w:t>
            </w:r>
          </w:p>
          <w:p>
            <w:pPr>
              <w:adjustRightInd w:val="0"/>
              <w:snapToGrid w:val="0"/>
              <w:jc w:val="center"/>
              <w:rPr>
                <w:rFonts w:eastAsia="宋体" w:cs="Times New Roman"/>
                <w:sz w:val="21"/>
              </w:rPr>
            </w:pPr>
            <w:r>
              <w:rPr>
                <w:rFonts w:eastAsia="宋体" w:cs="Times New Roman"/>
                <w:kern w:val="0"/>
                <w:sz w:val="21"/>
              </w:rPr>
              <w:t>（</w:t>
            </w:r>
            <w:r>
              <w:rPr>
                <w:rFonts w:eastAsia="TimesNewRomanPSMT" w:cs="Times New Roman"/>
                <w:kern w:val="0"/>
                <w:sz w:val="21"/>
              </w:rPr>
              <w:t>mg/m</w:t>
            </w:r>
            <w:r>
              <w:rPr>
                <w:rFonts w:eastAsia="TimesNewRomanPSMT" w:cs="Times New Roman"/>
                <w:kern w:val="0"/>
                <w:sz w:val="21"/>
                <w:vertAlign w:val="superscript"/>
              </w:rPr>
              <w:t>3</w:t>
            </w:r>
            <w:r>
              <w:rPr>
                <w:rFonts w:eastAsia="宋体" w:cs="Times New Roman"/>
                <w:kern w:val="0"/>
                <w:sz w:val="21"/>
              </w:rPr>
              <w:t>）</w:t>
            </w:r>
          </w:p>
        </w:tc>
        <w:tc>
          <w:tcPr>
            <w:tcW w:w="414" w:type="pct"/>
            <w:vAlign w:val="center"/>
          </w:tcPr>
          <w:p>
            <w:pPr>
              <w:adjustRightInd w:val="0"/>
              <w:snapToGrid w:val="0"/>
              <w:jc w:val="center"/>
              <w:rPr>
                <w:rFonts w:eastAsia="宋体" w:cs="Times New Roman"/>
                <w:sz w:val="21"/>
              </w:rPr>
            </w:pPr>
            <w:r>
              <w:rPr>
                <w:rFonts w:eastAsia="宋体" w:cs="Times New Roman"/>
                <w:sz w:val="21"/>
              </w:rPr>
              <w:t>0.2</w:t>
            </w:r>
          </w:p>
        </w:tc>
        <w:tc>
          <w:tcPr>
            <w:tcW w:w="414" w:type="pct"/>
            <w:vAlign w:val="center"/>
          </w:tcPr>
          <w:p>
            <w:pPr>
              <w:adjustRightInd w:val="0"/>
              <w:snapToGrid w:val="0"/>
              <w:jc w:val="center"/>
              <w:rPr>
                <w:rFonts w:eastAsia="宋体" w:cs="Times New Roman"/>
                <w:sz w:val="21"/>
              </w:rPr>
            </w:pPr>
            <w:r>
              <w:rPr>
                <w:rFonts w:eastAsia="宋体" w:cs="Times New Roman"/>
                <w:sz w:val="21"/>
              </w:rPr>
              <w:t>0.2</w:t>
            </w:r>
          </w:p>
        </w:tc>
        <w:tc>
          <w:tcPr>
            <w:tcW w:w="414" w:type="pct"/>
            <w:vAlign w:val="center"/>
          </w:tcPr>
          <w:p>
            <w:pPr>
              <w:adjustRightInd w:val="0"/>
              <w:snapToGrid w:val="0"/>
              <w:jc w:val="center"/>
              <w:rPr>
                <w:rFonts w:eastAsia="宋体" w:cs="Times New Roman"/>
                <w:sz w:val="21"/>
              </w:rPr>
            </w:pPr>
            <w:r>
              <w:rPr>
                <w:rFonts w:eastAsia="宋体" w:cs="Times New Roman"/>
                <w:sz w:val="21"/>
              </w:rPr>
              <w:t>0.2</w:t>
            </w:r>
          </w:p>
        </w:tc>
        <w:tc>
          <w:tcPr>
            <w:tcW w:w="414" w:type="pct"/>
            <w:vAlign w:val="center"/>
          </w:tcPr>
          <w:p>
            <w:pPr>
              <w:adjustRightInd w:val="0"/>
              <w:snapToGrid w:val="0"/>
              <w:jc w:val="center"/>
              <w:rPr>
                <w:rFonts w:eastAsia="宋体" w:cs="Times New Roman"/>
                <w:sz w:val="21"/>
              </w:rPr>
            </w:pPr>
            <w:r>
              <w:rPr>
                <w:rFonts w:eastAsia="宋体" w:cs="Times New Roman"/>
                <w:sz w:val="21"/>
              </w:rPr>
              <w:t>0.5</w:t>
            </w:r>
          </w:p>
        </w:tc>
        <w:tc>
          <w:tcPr>
            <w:tcW w:w="414" w:type="pct"/>
            <w:vAlign w:val="center"/>
          </w:tcPr>
          <w:p>
            <w:pPr>
              <w:adjustRightInd w:val="0"/>
              <w:snapToGrid w:val="0"/>
              <w:jc w:val="center"/>
              <w:rPr>
                <w:rFonts w:eastAsia="宋体" w:cs="Times New Roman"/>
                <w:sz w:val="21"/>
              </w:rPr>
            </w:pPr>
            <w:r>
              <w:rPr>
                <w:rFonts w:eastAsia="宋体" w:cs="Times New Roman"/>
                <w:sz w:val="21"/>
              </w:rPr>
              <w:t>0.5</w:t>
            </w:r>
          </w:p>
        </w:tc>
        <w:tc>
          <w:tcPr>
            <w:tcW w:w="380" w:type="pct"/>
            <w:vAlign w:val="center"/>
          </w:tcPr>
          <w:p>
            <w:pPr>
              <w:adjustRightInd w:val="0"/>
              <w:snapToGrid w:val="0"/>
              <w:jc w:val="center"/>
              <w:rPr>
                <w:rFonts w:eastAsia="宋体" w:cs="Times New Roman"/>
                <w:sz w:val="21"/>
              </w:rPr>
            </w:pPr>
            <w:r>
              <w:rPr>
                <w:rFonts w:eastAsia="宋体" w:cs="Times New Roman"/>
                <w:sz w:val="21"/>
              </w:rPr>
              <w:t>0.3</w:t>
            </w:r>
          </w:p>
        </w:tc>
        <w:tc>
          <w:tcPr>
            <w:tcW w:w="456" w:type="pct"/>
            <w:vAlign w:val="center"/>
          </w:tcPr>
          <w:p>
            <w:pPr>
              <w:adjustRightInd w:val="0"/>
              <w:snapToGrid w:val="0"/>
              <w:jc w:val="center"/>
              <w:rPr>
                <w:rFonts w:eastAsia="宋体" w:cs="Times New Roman"/>
                <w:sz w:val="21"/>
              </w:rPr>
            </w:pPr>
            <w:r>
              <w:rPr>
                <w:rFonts w:eastAsia="宋体" w:cs="Times New Roman"/>
                <w:sz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pct"/>
            <w:vMerge w:val="continue"/>
            <w:vAlign w:val="center"/>
          </w:tcPr>
          <w:p>
            <w:pPr>
              <w:adjustRightInd w:val="0"/>
              <w:snapToGrid w:val="0"/>
              <w:jc w:val="center"/>
              <w:rPr>
                <w:rFonts w:eastAsia="宋体" w:cs="Times New Roman"/>
                <w:sz w:val="21"/>
              </w:rPr>
            </w:pPr>
          </w:p>
        </w:tc>
        <w:tc>
          <w:tcPr>
            <w:tcW w:w="447" w:type="pct"/>
            <w:vMerge w:val="continue"/>
            <w:vAlign w:val="center"/>
          </w:tcPr>
          <w:p>
            <w:pPr>
              <w:adjustRightInd w:val="0"/>
              <w:snapToGrid w:val="0"/>
              <w:jc w:val="center"/>
              <w:rPr>
                <w:rFonts w:eastAsia="宋体" w:cs="Times New Roman"/>
                <w:sz w:val="21"/>
              </w:rPr>
            </w:pPr>
          </w:p>
        </w:tc>
        <w:tc>
          <w:tcPr>
            <w:tcW w:w="855" w:type="pct"/>
            <w:vAlign w:val="center"/>
          </w:tcPr>
          <w:p>
            <w:pPr>
              <w:autoSpaceDE w:val="0"/>
              <w:autoSpaceDN w:val="0"/>
              <w:adjustRightInd w:val="0"/>
              <w:snapToGrid w:val="0"/>
              <w:jc w:val="center"/>
              <w:rPr>
                <w:rFonts w:eastAsia="宋体" w:cs="Times New Roman"/>
                <w:kern w:val="0"/>
                <w:sz w:val="21"/>
              </w:rPr>
            </w:pPr>
            <w:r>
              <w:rPr>
                <w:rFonts w:eastAsia="宋体" w:cs="Times New Roman"/>
                <w:kern w:val="0"/>
                <w:sz w:val="21"/>
              </w:rPr>
              <w:t>排放速率</w:t>
            </w:r>
            <w:r>
              <w:rPr>
                <w:rFonts w:hint="eastAsia" w:eastAsia="宋体" w:cs="Times New Roman"/>
                <w:kern w:val="0"/>
                <w:sz w:val="21"/>
              </w:rPr>
              <w:t>（kg/h）</w:t>
            </w:r>
          </w:p>
        </w:tc>
        <w:tc>
          <w:tcPr>
            <w:tcW w:w="414" w:type="pct"/>
            <w:vAlign w:val="center"/>
          </w:tcPr>
          <w:p>
            <w:pPr>
              <w:adjustRightInd w:val="0"/>
              <w:snapToGrid w:val="0"/>
              <w:jc w:val="center"/>
              <w:rPr>
                <w:rFonts w:eastAsia="宋体" w:cs="Times New Roman"/>
                <w:sz w:val="21"/>
              </w:rPr>
            </w:pPr>
            <w:r>
              <w:rPr>
                <w:rFonts w:hint="eastAsia" w:eastAsia="宋体" w:cs="Times New Roman"/>
                <w:sz w:val="21"/>
              </w:rPr>
              <w:t>0.002</w:t>
            </w:r>
          </w:p>
        </w:tc>
        <w:tc>
          <w:tcPr>
            <w:tcW w:w="414" w:type="pct"/>
            <w:vAlign w:val="center"/>
          </w:tcPr>
          <w:p>
            <w:pPr>
              <w:adjustRightInd w:val="0"/>
              <w:snapToGrid w:val="0"/>
              <w:jc w:val="center"/>
              <w:rPr>
                <w:rFonts w:eastAsia="宋体" w:cs="Times New Roman"/>
                <w:sz w:val="21"/>
              </w:rPr>
            </w:pPr>
            <w:r>
              <w:rPr>
                <w:rFonts w:hint="eastAsia" w:eastAsia="宋体" w:cs="Times New Roman"/>
                <w:sz w:val="21"/>
              </w:rPr>
              <w:t>0.002</w:t>
            </w:r>
          </w:p>
        </w:tc>
        <w:tc>
          <w:tcPr>
            <w:tcW w:w="414" w:type="pct"/>
            <w:vAlign w:val="center"/>
          </w:tcPr>
          <w:p>
            <w:pPr>
              <w:adjustRightInd w:val="0"/>
              <w:snapToGrid w:val="0"/>
              <w:jc w:val="center"/>
              <w:rPr>
                <w:rFonts w:eastAsia="宋体" w:cs="Times New Roman"/>
                <w:sz w:val="21"/>
              </w:rPr>
            </w:pPr>
            <w:r>
              <w:rPr>
                <w:rFonts w:hint="eastAsia" w:eastAsia="宋体" w:cs="Times New Roman"/>
                <w:sz w:val="21"/>
              </w:rPr>
              <w:t>0.002</w:t>
            </w:r>
          </w:p>
        </w:tc>
        <w:tc>
          <w:tcPr>
            <w:tcW w:w="414" w:type="pct"/>
            <w:vAlign w:val="center"/>
          </w:tcPr>
          <w:p>
            <w:pPr>
              <w:adjustRightInd w:val="0"/>
              <w:snapToGrid w:val="0"/>
              <w:jc w:val="center"/>
              <w:rPr>
                <w:rFonts w:eastAsia="宋体" w:cs="Times New Roman"/>
                <w:sz w:val="21"/>
              </w:rPr>
            </w:pPr>
            <w:r>
              <w:rPr>
                <w:rFonts w:hint="eastAsia" w:eastAsia="宋体" w:cs="Times New Roman"/>
                <w:sz w:val="21"/>
              </w:rPr>
              <w:t>0.005</w:t>
            </w:r>
          </w:p>
        </w:tc>
        <w:tc>
          <w:tcPr>
            <w:tcW w:w="414" w:type="pct"/>
            <w:vAlign w:val="center"/>
          </w:tcPr>
          <w:p>
            <w:pPr>
              <w:adjustRightInd w:val="0"/>
              <w:snapToGrid w:val="0"/>
              <w:jc w:val="center"/>
              <w:rPr>
                <w:rFonts w:eastAsia="宋体" w:cs="Times New Roman"/>
                <w:sz w:val="21"/>
              </w:rPr>
            </w:pPr>
            <w:r>
              <w:rPr>
                <w:rFonts w:hint="eastAsia" w:eastAsia="宋体" w:cs="Times New Roman"/>
                <w:sz w:val="21"/>
              </w:rPr>
              <w:t>0.005</w:t>
            </w:r>
          </w:p>
        </w:tc>
        <w:tc>
          <w:tcPr>
            <w:tcW w:w="380" w:type="pct"/>
            <w:vAlign w:val="center"/>
          </w:tcPr>
          <w:p>
            <w:pPr>
              <w:adjustRightInd w:val="0"/>
              <w:snapToGrid w:val="0"/>
              <w:jc w:val="center"/>
              <w:rPr>
                <w:rFonts w:eastAsia="宋体" w:cs="Times New Roman"/>
                <w:sz w:val="21"/>
              </w:rPr>
            </w:pPr>
            <w:r>
              <w:rPr>
                <w:rFonts w:eastAsia="宋体" w:cs="Times New Roman"/>
                <w:sz w:val="21"/>
              </w:rPr>
              <w:t>/</w:t>
            </w:r>
          </w:p>
        </w:tc>
        <w:tc>
          <w:tcPr>
            <w:tcW w:w="456" w:type="pct"/>
            <w:vAlign w:val="center"/>
          </w:tcPr>
          <w:p>
            <w:pPr>
              <w:adjustRightInd w:val="0"/>
              <w:snapToGrid w:val="0"/>
              <w:jc w:val="center"/>
              <w:rPr>
                <w:rFonts w:eastAsia="宋体" w:cs="Times New Roman"/>
                <w:sz w:val="21"/>
              </w:rPr>
            </w:pPr>
            <w:r>
              <w:rPr>
                <w:rFonts w:eastAsia="宋体" w:cs="Times New Roman"/>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pct"/>
            <w:vMerge w:val="continue"/>
            <w:vAlign w:val="center"/>
          </w:tcPr>
          <w:p>
            <w:pPr>
              <w:adjustRightInd w:val="0"/>
              <w:snapToGrid w:val="0"/>
              <w:jc w:val="center"/>
              <w:rPr>
                <w:rFonts w:eastAsia="宋体" w:cs="Times New Roman"/>
                <w:sz w:val="21"/>
              </w:rPr>
            </w:pPr>
          </w:p>
        </w:tc>
        <w:tc>
          <w:tcPr>
            <w:tcW w:w="1303" w:type="pct"/>
            <w:gridSpan w:val="2"/>
            <w:vAlign w:val="center"/>
          </w:tcPr>
          <w:p>
            <w:pPr>
              <w:autoSpaceDE w:val="0"/>
              <w:autoSpaceDN w:val="0"/>
              <w:adjustRightInd w:val="0"/>
              <w:snapToGrid w:val="0"/>
              <w:jc w:val="center"/>
              <w:rPr>
                <w:rFonts w:eastAsia="宋体" w:cs="Times New Roman"/>
                <w:kern w:val="0"/>
                <w:sz w:val="21"/>
              </w:rPr>
            </w:pPr>
            <w:r>
              <w:rPr>
                <w:rFonts w:eastAsia="宋体" w:cs="Times New Roman"/>
                <w:kern w:val="0"/>
                <w:sz w:val="21"/>
              </w:rPr>
              <w:t>是否达标</w:t>
            </w:r>
          </w:p>
        </w:tc>
        <w:tc>
          <w:tcPr>
            <w:tcW w:w="414" w:type="pct"/>
            <w:vAlign w:val="center"/>
          </w:tcPr>
          <w:p>
            <w:pPr>
              <w:adjustRightInd w:val="0"/>
              <w:snapToGrid w:val="0"/>
              <w:jc w:val="center"/>
              <w:rPr>
                <w:rFonts w:eastAsia="宋体" w:cs="Times New Roman"/>
                <w:sz w:val="21"/>
              </w:rPr>
            </w:pPr>
            <w:r>
              <w:rPr>
                <w:rFonts w:hint="eastAsia" w:eastAsia="宋体" w:cs="Times New Roman"/>
                <w:sz w:val="21"/>
              </w:rPr>
              <w:t>达标</w:t>
            </w:r>
          </w:p>
        </w:tc>
        <w:tc>
          <w:tcPr>
            <w:tcW w:w="414" w:type="pct"/>
            <w:vAlign w:val="center"/>
          </w:tcPr>
          <w:p>
            <w:pPr>
              <w:adjustRightInd w:val="0"/>
              <w:snapToGrid w:val="0"/>
              <w:jc w:val="center"/>
              <w:rPr>
                <w:rFonts w:eastAsia="宋体" w:cs="Times New Roman"/>
                <w:sz w:val="21"/>
              </w:rPr>
            </w:pPr>
            <w:r>
              <w:rPr>
                <w:rFonts w:hint="eastAsia" w:eastAsia="宋体" w:cs="Times New Roman"/>
                <w:sz w:val="21"/>
              </w:rPr>
              <w:t>达标</w:t>
            </w:r>
          </w:p>
        </w:tc>
        <w:tc>
          <w:tcPr>
            <w:tcW w:w="414" w:type="pct"/>
            <w:vAlign w:val="center"/>
          </w:tcPr>
          <w:p>
            <w:pPr>
              <w:adjustRightInd w:val="0"/>
              <w:snapToGrid w:val="0"/>
              <w:jc w:val="center"/>
              <w:rPr>
                <w:rFonts w:eastAsia="宋体" w:cs="Times New Roman"/>
                <w:sz w:val="21"/>
              </w:rPr>
            </w:pPr>
            <w:r>
              <w:rPr>
                <w:rFonts w:hint="eastAsia" w:eastAsia="宋体" w:cs="Times New Roman"/>
                <w:sz w:val="21"/>
              </w:rPr>
              <w:t>达标</w:t>
            </w:r>
          </w:p>
        </w:tc>
        <w:tc>
          <w:tcPr>
            <w:tcW w:w="414" w:type="pct"/>
            <w:vAlign w:val="center"/>
          </w:tcPr>
          <w:p>
            <w:pPr>
              <w:adjustRightInd w:val="0"/>
              <w:snapToGrid w:val="0"/>
              <w:jc w:val="center"/>
              <w:rPr>
                <w:rFonts w:eastAsia="宋体" w:cs="Times New Roman"/>
                <w:sz w:val="21"/>
              </w:rPr>
            </w:pPr>
            <w:r>
              <w:rPr>
                <w:rFonts w:hint="eastAsia" w:eastAsia="宋体" w:cs="Times New Roman"/>
                <w:sz w:val="21"/>
              </w:rPr>
              <w:t>达标</w:t>
            </w:r>
          </w:p>
        </w:tc>
        <w:tc>
          <w:tcPr>
            <w:tcW w:w="414" w:type="pct"/>
            <w:vAlign w:val="center"/>
          </w:tcPr>
          <w:p>
            <w:pPr>
              <w:adjustRightInd w:val="0"/>
              <w:snapToGrid w:val="0"/>
              <w:jc w:val="center"/>
              <w:rPr>
                <w:rFonts w:eastAsia="宋体" w:cs="Times New Roman"/>
                <w:sz w:val="21"/>
              </w:rPr>
            </w:pPr>
            <w:r>
              <w:rPr>
                <w:rFonts w:hint="eastAsia" w:eastAsia="宋体" w:cs="Times New Roman"/>
                <w:sz w:val="21"/>
              </w:rPr>
              <w:t>达标</w:t>
            </w:r>
          </w:p>
        </w:tc>
        <w:tc>
          <w:tcPr>
            <w:tcW w:w="380" w:type="pct"/>
            <w:vAlign w:val="center"/>
          </w:tcPr>
          <w:p>
            <w:pPr>
              <w:adjustRightInd w:val="0"/>
              <w:snapToGrid w:val="0"/>
              <w:jc w:val="center"/>
              <w:rPr>
                <w:rFonts w:eastAsia="宋体" w:cs="Times New Roman"/>
                <w:sz w:val="21"/>
              </w:rPr>
            </w:pPr>
            <w:r>
              <w:rPr>
                <w:rFonts w:hint="eastAsia" w:eastAsia="宋体" w:cs="Times New Roman"/>
                <w:sz w:val="21"/>
              </w:rPr>
              <w:t>/</w:t>
            </w:r>
          </w:p>
        </w:tc>
        <w:tc>
          <w:tcPr>
            <w:tcW w:w="456" w:type="pct"/>
            <w:vAlign w:val="center"/>
          </w:tcPr>
          <w:p>
            <w:pPr>
              <w:adjustRightInd w:val="0"/>
              <w:snapToGrid w:val="0"/>
              <w:jc w:val="center"/>
              <w:rPr>
                <w:rFonts w:eastAsia="宋体" w:cs="Times New Roman"/>
                <w:sz w:val="21"/>
              </w:rPr>
            </w:pPr>
            <w:r>
              <w:rPr>
                <w:rFonts w:hint="eastAsia" w:eastAsia="宋体" w:cs="Times New Roman"/>
                <w:sz w:val="21"/>
              </w:rPr>
              <w:t>/</w:t>
            </w:r>
          </w:p>
        </w:tc>
      </w:tr>
    </w:tbl>
    <w:p>
      <w:pPr>
        <w:autoSpaceDE w:val="0"/>
        <w:autoSpaceDN w:val="0"/>
        <w:adjustRightInd w:val="0"/>
        <w:spacing w:line="360" w:lineRule="auto"/>
        <w:ind w:firstLine="480" w:firstLineChars="200"/>
        <w:rPr>
          <w:rFonts w:eastAsia="宋体" w:cs="Times New Roman"/>
          <w:color w:val="000000"/>
          <w:kern w:val="0"/>
          <w:szCs w:val="24"/>
        </w:rPr>
      </w:pPr>
      <w:r>
        <w:rPr>
          <w:rFonts w:cs="Times New Roman"/>
          <w:color w:val="000000" w:themeColor="text1"/>
          <w:kern w:val="0"/>
          <w:szCs w:val="24"/>
        </w:rPr>
        <w:t>根据监测结果可知，本项目食堂油烟可满足</w:t>
      </w:r>
      <w:r>
        <w:rPr>
          <w:rFonts w:cs="Times New Roman"/>
          <w:szCs w:val="24"/>
        </w:rPr>
        <w:t>《饮食业油烟排放标准》（GB18483-2001）中相关规模标准要求</w:t>
      </w:r>
      <w:r>
        <w:rPr>
          <w:rFonts w:eastAsia="宋体" w:cs="Times New Roman"/>
          <w:color w:val="000000"/>
          <w:kern w:val="0"/>
          <w:szCs w:val="24"/>
        </w:rPr>
        <w:t>(油烟最高允许排放浓度2.0mg/Nm</w:t>
      </w:r>
      <w:r>
        <w:rPr>
          <w:rFonts w:eastAsia="宋体" w:cs="Times New Roman"/>
          <w:color w:val="000000"/>
          <w:kern w:val="0"/>
          <w:szCs w:val="24"/>
          <w:vertAlign w:val="superscript"/>
        </w:rPr>
        <w:t>3</w:t>
      </w:r>
      <w:r>
        <w:rPr>
          <w:rFonts w:eastAsia="宋体" w:cs="Times New Roman"/>
          <w:color w:val="000000"/>
          <w:kern w:val="0"/>
          <w:szCs w:val="24"/>
        </w:rPr>
        <w:t>)。本项目经油烟净化器处理后的油烟排放速率为0.005kg/h，油烟排放量为0.0073t/a。</w:t>
      </w:r>
    </w:p>
    <w:p>
      <w:pPr>
        <w:widowControl/>
        <w:spacing w:line="360" w:lineRule="auto"/>
        <w:ind w:firstLine="482"/>
        <w:rPr>
          <w:color w:val="000000" w:themeColor="text1"/>
          <w:kern w:val="0"/>
        </w:rPr>
      </w:pPr>
      <w:r>
        <w:rPr>
          <w:rFonts w:hint="eastAsia"/>
          <w:color w:val="000000" w:themeColor="text1"/>
          <w:kern w:val="0"/>
        </w:rPr>
        <w:t>（2）汽车尾气</w:t>
      </w:r>
    </w:p>
    <w:p>
      <w:pPr>
        <w:spacing w:line="360" w:lineRule="auto"/>
        <w:ind w:firstLine="480" w:firstLineChars="200"/>
        <w:rPr>
          <w:rFonts w:cs="Times New Roman"/>
        </w:rPr>
      </w:pPr>
      <w:r>
        <w:rPr>
          <w:rFonts w:cs="Times New Roman"/>
          <w:kern w:val="0"/>
          <w:szCs w:val="24"/>
        </w:rPr>
        <w:t>医院内设有地面停车位95个。根据国内外有关汽车尾气排放系数，小型汽车在低速行驶时的汽车尾气排放系数为：NO</w:t>
      </w:r>
      <w:r>
        <w:rPr>
          <w:rFonts w:cs="Times New Roman"/>
          <w:kern w:val="0"/>
          <w:szCs w:val="24"/>
          <w:vertAlign w:val="subscript"/>
        </w:rPr>
        <w:t>X</w:t>
      </w:r>
      <w:r>
        <w:rPr>
          <w:rFonts w:cs="Times New Roman"/>
          <w:kern w:val="0"/>
          <w:szCs w:val="24"/>
        </w:rPr>
        <w:t>：1.06g/km</w:t>
      </w:r>
      <w:r>
        <w:rPr>
          <w:rFonts w:hint="eastAsia" w:cs="Times New Roman"/>
          <w:kern w:val="0"/>
          <w:szCs w:val="24"/>
        </w:rPr>
        <w:t>，</w:t>
      </w:r>
      <w:r>
        <w:rPr>
          <w:rFonts w:cs="Times New Roman"/>
          <w:kern w:val="0"/>
          <w:szCs w:val="24"/>
        </w:rPr>
        <w:t>CO：25.04g/km</w:t>
      </w:r>
      <w:r>
        <w:rPr>
          <w:rFonts w:hint="eastAsia" w:cs="Times New Roman"/>
          <w:kern w:val="0"/>
          <w:szCs w:val="24"/>
        </w:rPr>
        <w:t>，</w:t>
      </w:r>
      <w:r>
        <w:rPr>
          <w:rFonts w:cs="Times New Roman"/>
          <w:kern w:val="0"/>
          <w:szCs w:val="24"/>
        </w:rPr>
        <w:t>THC：1.53g/km。按行驶距离为100m、每个车位平均每天利用4次、全年365天计算，地面停车场NO</w:t>
      </w:r>
      <w:r>
        <w:rPr>
          <w:rFonts w:cs="Times New Roman"/>
          <w:kern w:val="0"/>
          <w:szCs w:val="24"/>
          <w:vertAlign w:val="subscript"/>
        </w:rPr>
        <w:t>x</w:t>
      </w:r>
      <w:r>
        <w:rPr>
          <w:rFonts w:cs="Times New Roman"/>
          <w:kern w:val="0"/>
          <w:szCs w:val="24"/>
        </w:rPr>
        <w:t>、CO和THC的年排放量分别为：0.001t/a、0.36t/a和0.21t/a。</w:t>
      </w:r>
    </w:p>
    <w:p>
      <w:pPr>
        <w:widowControl/>
        <w:spacing w:line="360" w:lineRule="auto"/>
        <w:ind w:firstLine="482"/>
        <w:rPr>
          <w:color w:val="000000" w:themeColor="text1"/>
          <w:kern w:val="0"/>
        </w:rPr>
      </w:pPr>
      <w:r>
        <w:rPr>
          <w:rFonts w:hint="eastAsia"/>
          <w:color w:val="000000" w:themeColor="text1"/>
          <w:kern w:val="0"/>
        </w:rPr>
        <w:t>（3）锅炉烟气</w:t>
      </w:r>
    </w:p>
    <w:p>
      <w:pPr>
        <w:spacing w:line="360" w:lineRule="auto"/>
        <w:ind w:firstLine="480" w:firstLineChars="200"/>
        <w:rPr>
          <w:rFonts w:cs="Times New Roman"/>
        </w:rPr>
      </w:pPr>
      <w:r>
        <w:rPr>
          <w:rFonts w:cs="Times New Roman"/>
          <w:color w:val="000000" w:themeColor="text1"/>
          <w:kern w:val="0"/>
        </w:rPr>
        <w:t>本医院设置</w:t>
      </w:r>
      <w:r>
        <w:rPr>
          <w:rFonts w:hint="eastAsia" w:cs="Times New Roman"/>
          <w:color w:val="000000" w:themeColor="text1"/>
          <w:kern w:val="0"/>
        </w:rPr>
        <w:t>4</w:t>
      </w:r>
      <w:r>
        <w:rPr>
          <w:rFonts w:cs="Times New Roman"/>
          <w:color w:val="000000" w:themeColor="text1"/>
          <w:kern w:val="0"/>
        </w:rPr>
        <w:t>台</w:t>
      </w:r>
      <w:r>
        <w:rPr>
          <w:rFonts w:hint="eastAsia" w:cs="Times New Roman"/>
          <w:color w:val="000000" w:themeColor="text1"/>
          <w:kern w:val="0"/>
        </w:rPr>
        <w:t>功率为605kw的燃气热水锅炉，分别位于精神大楼旁（一备一用）和老年呵护大楼（一备一用），</w:t>
      </w:r>
      <w:r>
        <w:rPr>
          <w:rFonts w:cs="Times New Roman"/>
          <w:color w:val="000000" w:themeColor="text1"/>
          <w:kern w:val="0"/>
        </w:rPr>
        <w:t>锅炉</w:t>
      </w:r>
      <w:r>
        <w:rPr>
          <w:rFonts w:hint="eastAsia" w:cs="Times New Roman"/>
          <w:color w:val="000000" w:themeColor="text1"/>
          <w:kern w:val="0"/>
        </w:rPr>
        <w:t>的</w:t>
      </w:r>
      <w:r>
        <w:rPr>
          <w:rFonts w:cs="Times New Roman"/>
          <w:color w:val="000000" w:themeColor="text1"/>
          <w:kern w:val="0"/>
        </w:rPr>
        <w:t>主要用途是</w:t>
      </w:r>
      <w:r>
        <w:rPr>
          <w:rFonts w:hint="eastAsia" w:cs="Times New Roman"/>
          <w:color w:val="000000" w:themeColor="text1"/>
          <w:kern w:val="0"/>
        </w:rPr>
        <w:t>：冬天供暖</w:t>
      </w:r>
      <w:r>
        <w:rPr>
          <w:rFonts w:cs="Times New Roman"/>
          <w:color w:val="000000" w:themeColor="text1"/>
          <w:kern w:val="0"/>
        </w:rPr>
        <w:t>和</w:t>
      </w:r>
      <w:r>
        <w:rPr>
          <w:rFonts w:hint="eastAsia" w:cs="Times New Roman"/>
          <w:color w:val="000000" w:themeColor="text1"/>
          <w:kern w:val="0"/>
        </w:rPr>
        <w:t>为</w:t>
      </w:r>
      <w:r>
        <w:rPr>
          <w:rFonts w:cs="Times New Roman"/>
          <w:color w:val="000000" w:themeColor="text1"/>
          <w:kern w:val="0"/>
        </w:rPr>
        <w:t>病房提供热水（</w:t>
      </w:r>
      <w:r>
        <w:rPr>
          <w:rFonts w:hAnsi="宋体" w:cs="Times New Roman"/>
          <w:kern w:val="0"/>
          <w:szCs w:val="24"/>
        </w:rPr>
        <w:t>医院内锅炉按每天最大运行</w:t>
      </w:r>
      <w:r>
        <w:rPr>
          <w:rFonts w:cs="Times New Roman"/>
          <w:kern w:val="0"/>
          <w:szCs w:val="24"/>
        </w:rPr>
        <w:t>8h</w:t>
      </w:r>
      <w:r>
        <w:rPr>
          <w:rFonts w:cs="Times New Roman"/>
          <w:color w:val="000000" w:themeColor="text1"/>
          <w:kern w:val="0"/>
        </w:rPr>
        <w:t>）。为了解天然气锅炉废气的排放情况，</w:t>
      </w:r>
      <w:r>
        <w:rPr>
          <w:rFonts w:cs="Times New Roman"/>
          <w:szCs w:val="24"/>
        </w:rPr>
        <w:t>本环评委托湖南精准通检测技术有限公司于2019.8.1~2019.8.2对锅炉排放口进行监测，监测数据见下表所示。</w:t>
      </w:r>
    </w:p>
    <w:p>
      <w:pPr>
        <w:pStyle w:val="14"/>
        <w:spacing w:line="240" w:lineRule="auto"/>
        <w:rPr>
          <w:rFonts w:cs="Times New Roman"/>
          <w:kern w:val="0"/>
        </w:rPr>
      </w:pPr>
      <w:r>
        <w:rPr>
          <w:rFonts w:cs="Times New Roman"/>
          <w:kern w:val="0"/>
        </w:rPr>
        <w:t>表</w:t>
      </w:r>
      <w:r>
        <w:rPr>
          <w:rFonts w:cs="Times New Roman"/>
          <w:kern w:val="0"/>
        </w:rPr>
        <w:fldChar w:fldCharType="begin"/>
      </w:r>
      <w:r>
        <w:rPr>
          <w:rFonts w:cs="Times New Roman"/>
          <w:kern w:val="0"/>
        </w:rPr>
        <w:instrText xml:space="preserve"> STYLEREF 2 \s </w:instrText>
      </w:r>
      <w:r>
        <w:rPr>
          <w:rFonts w:cs="Times New Roman"/>
          <w:kern w:val="0"/>
        </w:rPr>
        <w:fldChar w:fldCharType="separate"/>
      </w:r>
      <w:r>
        <w:rPr>
          <w:rFonts w:cs="Times New Roman"/>
          <w:kern w:val="0"/>
        </w:rPr>
        <w:t>3.2</w:t>
      </w:r>
      <w:r>
        <w:rPr>
          <w:rFonts w:cs="Times New Roman"/>
          <w:kern w:val="0"/>
        </w:rPr>
        <w:fldChar w:fldCharType="end"/>
      </w:r>
      <w:r>
        <w:rPr>
          <w:rFonts w:cs="Times New Roman"/>
          <w:kern w:val="0"/>
        </w:rPr>
        <w:noBreakHyphen/>
      </w:r>
      <w:r>
        <w:rPr>
          <w:rFonts w:cs="Times New Roman"/>
          <w:kern w:val="0"/>
        </w:rPr>
        <w:fldChar w:fldCharType="begin"/>
      </w:r>
      <w:r>
        <w:rPr>
          <w:rFonts w:cs="Times New Roman"/>
          <w:kern w:val="0"/>
        </w:rPr>
        <w:instrText xml:space="preserve"> SEQ 表 \* ARABIC \s 2 </w:instrText>
      </w:r>
      <w:r>
        <w:rPr>
          <w:rFonts w:cs="Times New Roman"/>
          <w:kern w:val="0"/>
        </w:rPr>
        <w:fldChar w:fldCharType="separate"/>
      </w:r>
      <w:r>
        <w:rPr>
          <w:rFonts w:cs="Times New Roman"/>
          <w:kern w:val="0"/>
        </w:rPr>
        <w:t>2</w:t>
      </w:r>
      <w:r>
        <w:rPr>
          <w:rFonts w:cs="Times New Roman"/>
          <w:kern w:val="0"/>
        </w:rPr>
        <w:fldChar w:fldCharType="end"/>
      </w:r>
      <w:r>
        <w:rPr>
          <w:rFonts w:cs="Times New Roman"/>
          <w:kern w:val="0"/>
        </w:rPr>
        <w:t xml:space="preserve">  锅炉废气监测结果一览表</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134"/>
        <w:gridCol w:w="2244"/>
        <w:gridCol w:w="1540"/>
        <w:gridCol w:w="1541"/>
        <w:gridCol w:w="1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vAlign w:val="center"/>
          </w:tcPr>
          <w:p>
            <w:pPr>
              <w:pStyle w:val="14"/>
              <w:snapToGrid w:val="0"/>
              <w:spacing w:line="240" w:lineRule="auto"/>
              <w:rPr>
                <w:b w:val="0"/>
                <w:kern w:val="0"/>
                <w:sz w:val="21"/>
                <w:szCs w:val="21"/>
              </w:rPr>
            </w:pPr>
            <w:r>
              <w:rPr>
                <w:b w:val="0"/>
                <w:kern w:val="0"/>
                <w:sz w:val="21"/>
                <w:szCs w:val="21"/>
              </w:rPr>
              <w:t>采样点位</w:t>
            </w:r>
          </w:p>
        </w:tc>
        <w:tc>
          <w:tcPr>
            <w:tcW w:w="3378" w:type="dxa"/>
            <w:gridSpan w:val="2"/>
            <w:vMerge w:val="restart"/>
            <w:vAlign w:val="center"/>
          </w:tcPr>
          <w:p>
            <w:pPr>
              <w:pStyle w:val="14"/>
              <w:snapToGrid w:val="0"/>
              <w:spacing w:line="240" w:lineRule="auto"/>
              <w:rPr>
                <w:b w:val="0"/>
                <w:kern w:val="0"/>
                <w:sz w:val="21"/>
                <w:szCs w:val="21"/>
              </w:rPr>
            </w:pPr>
            <w:r>
              <w:rPr>
                <w:b w:val="0"/>
                <w:kern w:val="0"/>
                <w:sz w:val="21"/>
                <w:szCs w:val="21"/>
              </w:rPr>
              <w:t>检测项目</w:t>
            </w:r>
          </w:p>
        </w:tc>
        <w:tc>
          <w:tcPr>
            <w:tcW w:w="3081" w:type="dxa"/>
            <w:gridSpan w:val="2"/>
            <w:vAlign w:val="center"/>
          </w:tcPr>
          <w:p>
            <w:pPr>
              <w:pStyle w:val="14"/>
              <w:snapToGrid w:val="0"/>
              <w:spacing w:line="240" w:lineRule="auto"/>
              <w:rPr>
                <w:b w:val="0"/>
                <w:kern w:val="0"/>
                <w:sz w:val="21"/>
                <w:szCs w:val="21"/>
              </w:rPr>
            </w:pPr>
            <w:r>
              <w:rPr>
                <w:b w:val="0"/>
                <w:kern w:val="0"/>
                <w:sz w:val="21"/>
                <w:szCs w:val="21"/>
              </w:rPr>
              <w:t>检测结果</w:t>
            </w:r>
          </w:p>
        </w:tc>
        <w:tc>
          <w:tcPr>
            <w:tcW w:w="1541" w:type="dxa"/>
            <w:vMerge w:val="restart"/>
            <w:vAlign w:val="center"/>
          </w:tcPr>
          <w:p>
            <w:pPr>
              <w:pStyle w:val="14"/>
              <w:snapToGrid w:val="0"/>
              <w:spacing w:line="240" w:lineRule="auto"/>
              <w:rPr>
                <w:b w:val="0"/>
                <w:kern w:val="0"/>
                <w:sz w:val="21"/>
                <w:szCs w:val="21"/>
              </w:rPr>
            </w:pPr>
            <w:r>
              <w:rPr>
                <w:b w:val="0"/>
                <w:kern w:val="0"/>
                <w:sz w:val="21"/>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pPr>
              <w:pStyle w:val="14"/>
              <w:snapToGrid w:val="0"/>
              <w:spacing w:line="240" w:lineRule="auto"/>
              <w:rPr>
                <w:b w:val="0"/>
                <w:kern w:val="0"/>
                <w:sz w:val="21"/>
                <w:szCs w:val="21"/>
              </w:rPr>
            </w:pPr>
          </w:p>
        </w:tc>
        <w:tc>
          <w:tcPr>
            <w:tcW w:w="3378" w:type="dxa"/>
            <w:gridSpan w:val="2"/>
            <w:vMerge w:val="continue"/>
            <w:vAlign w:val="center"/>
          </w:tcPr>
          <w:p>
            <w:pPr>
              <w:pStyle w:val="14"/>
              <w:snapToGrid w:val="0"/>
              <w:spacing w:line="240" w:lineRule="auto"/>
              <w:rPr>
                <w:b w:val="0"/>
                <w:kern w:val="0"/>
                <w:sz w:val="21"/>
                <w:szCs w:val="21"/>
              </w:rPr>
            </w:pPr>
          </w:p>
        </w:tc>
        <w:tc>
          <w:tcPr>
            <w:tcW w:w="1540" w:type="dxa"/>
            <w:vAlign w:val="center"/>
          </w:tcPr>
          <w:p>
            <w:pPr>
              <w:pStyle w:val="14"/>
              <w:snapToGrid w:val="0"/>
              <w:spacing w:line="240" w:lineRule="auto"/>
              <w:rPr>
                <w:b w:val="0"/>
                <w:kern w:val="0"/>
                <w:sz w:val="21"/>
                <w:szCs w:val="21"/>
              </w:rPr>
            </w:pPr>
            <w:r>
              <w:rPr>
                <w:rFonts w:hint="eastAsia"/>
                <w:b w:val="0"/>
                <w:kern w:val="0"/>
                <w:sz w:val="21"/>
                <w:szCs w:val="21"/>
              </w:rPr>
              <w:t>2019.8.1</w:t>
            </w:r>
          </w:p>
        </w:tc>
        <w:tc>
          <w:tcPr>
            <w:tcW w:w="1541" w:type="dxa"/>
            <w:vAlign w:val="center"/>
          </w:tcPr>
          <w:p>
            <w:pPr>
              <w:pStyle w:val="14"/>
              <w:snapToGrid w:val="0"/>
              <w:spacing w:line="240" w:lineRule="auto"/>
              <w:rPr>
                <w:b w:val="0"/>
                <w:kern w:val="0"/>
                <w:sz w:val="21"/>
                <w:szCs w:val="21"/>
              </w:rPr>
            </w:pPr>
            <w:r>
              <w:rPr>
                <w:rFonts w:hint="eastAsia"/>
                <w:b w:val="0"/>
                <w:kern w:val="0"/>
                <w:sz w:val="21"/>
                <w:szCs w:val="21"/>
              </w:rPr>
              <w:t>2019.8.2</w:t>
            </w:r>
          </w:p>
        </w:tc>
        <w:tc>
          <w:tcPr>
            <w:tcW w:w="1541" w:type="dxa"/>
            <w:vMerge w:val="continue"/>
            <w:vAlign w:val="center"/>
          </w:tcPr>
          <w:p>
            <w:pPr>
              <w:pStyle w:val="14"/>
              <w:snapToGrid w:val="0"/>
              <w:spacing w:line="240" w:lineRule="auto"/>
              <w:rPr>
                <w:b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vAlign w:val="center"/>
          </w:tcPr>
          <w:p>
            <w:pPr>
              <w:pStyle w:val="14"/>
              <w:snapToGrid w:val="0"/>
              <w:spacing w:line="240" w:lineRule="auto"/>
              <w:rPr>
                <w:b w:val="0"/>
                <w:kern w:val="0"/>
                <w:sz w:val="21"/>
                <w:szCs w:val="21"/>
              </w:rPr>
            </w:pPr>
            <w:r>
              <w:rPr>
                <w:rFonts w:hint="eastAsia"/>
                <w:b w:val="0"/>
                <w:kern w:val="0"/>
                <w:sz w:val="21"/>
                <w:szCs w:val="21"/>
              </w:rPr>
              <w:t>G3锅炉废气排放口</w:t>
            </w:r>
          </w:p>
        </w:tc>
        <w:tc>
          <w:tcPr>
            <w:tcW w:w="3378" w:type="dxa"/>
            <w:gridSpan w:val="2"/>
            <w:vAlign w:val="center"/>
          </w:tcPr>
          <w:p>
            <w:pPr>
              <w:pStyle w:val="14"/>
              <w:snapToGrid w:val="0"/>
              <w:spacing w:line="240" w:lineRule="auto"/>
              <w:rPr>
                <w:b w:val="0"/>
                <w:kern w:val="0"/>
                <w:sz w:val="21"/>
                <w:szCs w:val="21"/>
              </w:rPr>
            </w:pPr>
            <w:r>
              <w:rPr>
                <w:rFonts w:hint="eastAsia" w:ascii="宋体" w:cs="宋体" w:hAnsiTheme="minorHAnsi"/>
                <w:b w:val="0"/>
                <w:kern w:val="0"/>
                <w:sz w:val="21"/>
                <w:szCs w:val="21"/>
              </w:rPr>
              <w:t>标干流量（</w:t>
            </w:r>
            <w:r>
              <w:rPr>
                <w:rFonts w:ascii="TimesNewRomanPSMT" w:eastAsia="TimesNewRomanPSMT" w:cs="TimesNewRomanPSMT" w:hAnsiTheme="minorHAnsi"/>
                <w:b w:val="0"/>
                <w:kern w:val="0"/>
                <w:sz w:val="21"/>
                <w:szCs w:val="21"/>
              </w:rPr>
              <w:t>N</w:t>
            </w:r>
            <w:r>
              <w:rPr>
                <w:rFonts w:hint="eastAsia" w:ascii="TimesNewRomanPSMT" w:eastAsia="TimesNewRomanPSMT" w:cs="TimesNewRomanPSMT" w:hAnsiTheme="minorHAnsi"/>
                <w:b w:val="0"/>
                <w:kern w:val="0"/>
                <w:sz w:val="21"/>
                <w:szCs w:val="21"/>
              </w:rPr>
              <w:t>·</w:t>
            </w:r>
            <w:r>
              <w:rPr>
                <w:rFonts w:ascii="TimesNewRomanPSMT" w:eastAsia="TimesNewRomanPSMT" w:cs="TimesNewRomanPSMT" w:hAnsiTheme="minorHAnsi"/>
                <w:b w:val="0"/>
                <w:kern w:val="0"/>
                <w:sz w:val="21"/>
                <w:szCs w:val="21"/>
              </w:rPr>
              <w:t>m</w:t>
            </w:r>
            <w:r>
              <w:rPr>
                <w:rFonts w:ascii="TimesNewRomanPSMT" w:eastAsia="TimesNewRomanPSMT" w:cs="TimesNewRomanPSMT" w:hAnsiTheme="minorHAnsi"/>
                <w:b w:val="0"/>
                <w:kern w:val="0"/>
                <w:sz w:val="21"/>
                <w:szCs w:val="21"/>
                <w:vertAlign w:val="superscript"/>
              </w:rPr>
              <w:t>3</w:t>
            </w:r>
            <w:r>
              <w:rPr>
                <w:rFonts w:ascii="TimesNewRomanPSMT" w:eastAsia="TimesNewRomanPSMT" w:cs="TimesNewRomanPSMT" w:hAnsiTheme="minorHAnsi"/>
                <w:b w:val="0"/>
                <w:kern w:val="0"/>
                <w:sz w:val="21"/>
                <w:szCs w:val="21"/>
              </w:rPr>
              <w:t>/h</w:t>
            </w:r>
            <w:r>
              <w:rPr>
                <w:rFonts w:hint="eastAsia" w:ascii="宋体" w:cs="宋体" w:hAnsiTheme="minorHAnsi"/>
                <w:b w:val="0"/>
                <w:kern w:val="0"/>
                <w:sz w:val="21"/>
                <w:szCs w:val="21"/>
              </w:rPr>
              <w:t>）</w:t>
            </w:r>
          </w:p>
        </w:tc>
        <w:tc>
          <w:tcPr>
            <w:tcW w:w="1540" w:type="dxa"/>
            <w:vAlign w:val="center"/>
          </w:tcPr>
          <w:p>
            <w:pPr>
              <w:pStyle w:val="14"/>
              <w:snapToGrid w:val="0"/>
              <w:spacing w:line="240" w:lineRule="auto"/>
              <w:rPr>
                <w:b w:val="0"/>
                <w:kern w:val="0"/>
                <w:sz w:val="21"/>
                <w:szCs w:val="21"/>
              </w:rPr>
            </w:pPr>
            <w:r>
              <w:rPr>
                <w:rFonts w:hint="eastAsia"/>
                <w:b w:val="0"/>
                <w:kern w:val="0"/>
                <w:sz w:val="21"/>
                <w:szCs w:val="21"/>
              </w:rPr>
              <w:t>308</w:t>
            </w:r>
          </w:p>
        </w:tc>
        <w:tc>
          <w:tcPr>
            <w:tcW w:w="1541" w:type="dxa"/>
            <w:vAlign w:val="center"/>
          </w:tcPr>
          <w:p>
            <w:pPr>
              <w:pStyle w:val="14"/>
              <w:snapToGrid w:val="0"/>
              <w:spacing w:line="240" w:lineRule="auto"/>
              <w:rPr>
                <w:b w:val="0"/>
                <w:kern w:val="0"/>
                <w:sz w:val="21"/>
                <w:szCs w:val="21"/>
              </w:rPr>
            </w:pPr>
            <w:r>
              <w:rPr>
                <w:rFonts w:hint="eastAsia"/>
                <w:b w:val="0"/>
                <w:kern w:val="0"/>
                <w:sz w:val="21"/>
                <w:szCs w:val="21"/>
              </w:rPr>
              <w:t>435</w:t>
            </w:r>
          </w:p>
        </w:tc>
        <w:tc>
          <w:tcPr>
            <w:tcW w:w="1541" w:type="dxa"/>
            <w:vAlign w:val="center"/>
          </w:tcPr>
          <w:p>
            <w:pPr>
              <w:pStyle w:val="14"/>
              <w:snapToGrid w:val="0"/>
              <w:spacing w:line="240" w:lineRule="auto"/>
              <w:rPr>
                <w:b w:val="0"/>
                <w:kern w:val="0"/>
                <w:sz w:val="21"/>
                <w:szCs w:val="21"/>
              </w:rPr>
            </w:pPr>
            <w:r>
              <w:rPr>
                <w:rFonts w:hint="eastAsia"/>
                <w:b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pPr>
              <w:pStyle w:val="14"/>
              <w:snapToGrid w:val="0"/>
              <w:spacing w:line="240" w:lineRule="auto"/>
              <w:rPr>
                <w:b w:val="0"/>
                <w:kern w:val="0"/>
                <w:sz w:val="21"/>
                <w:szCs w:val="21"/>
              </w:rPr>
            </w:pPr>
          </w:p>
        </w:tc>
        <w:tc>
          <w:tcPr>
            <w:tcW w:w="3378" w:type="dxa"/>
            <w:gridSpan w:val="2"/>
            <w:vAlign w:val="center"/>
          </w:tcPr>
          <w:p>
            <w:pPr>
              <w:pStyle w:val="14"/>
              <w:snapToGrid w:val="0"/>
              <w:spacing w:line="240" w:lineRule="auto"/>
              <w:rPr>
                <w:b w:val="0"/>
                <w:kern w:val="0"/>
                <w:sz w:val="21"/>
                <w:szCs w:val="21"/>
              </w:rPr>
            </w:pPr>
            <w:r>
              <w:rPr>
                <w:rFonts w:hint="eastAsia" w:ascii="宋体" w:cs="宋体" w:hAnsiTheme="minorHAnsi"/>
                <w:b w:val="0"/>
                <w:kern w:val="0"/>
                <w:sz w:val="21"/>
                <w:szCs w:val="21"/>
              </w:rPr>
              <w:t>含氧量（</w:t>
            </w:r>
            <w:r>
              <w:rPr>
                <w:rFonts w:ascii="TimesNewRomanPSMT" w:eastAsia="TimesNewRomanPSMT" w:cs="TimesNewRomanPSMT" w:hAnsiTheme="minorHAnsi"/>
                <w:b w:val="0"/>
                <w:kern w:val="0"/>
                <w:sz w:val="21"/>
                <w:szCs w:val="21"/>
              </w:rPr>
              <w:t>%</w:t>
            </w:r>
            <w:r>
              <w:rPr>
                <w:rFonts w:hint="eastAsia" w:ascii="宋体" w:cs="宋体" w:hAnsiTheme="minorHAnsi"/>
                <w:b w:val="0"/>
                <w:kern w:val="0"/>
                <w:sz w:val="21"/>
                <w:szCs w:val="21"/>
              </w:rPr>
              <w:t>）</w:t>
            </w:r>
          </w:p>
        </w:tc>
        <w:tc>
          <w:tcPr>
            <w:tcW w:w="1540" w:type="dxa"/>
            <w:vAlign w:val="center"/>
          </w:tcPr>
          <w:p>
            <w:pPr>
              <w:pStyle w:val="14"/>
              <w:snapToGrid w:val="0"/>
              <w:spacing w:line="240" w:lineRule="auto"/>
              <w:rPr>
                <w:b w:val="0"/>
                <w:kern w:val="0"/>
                <w:sz w:val="21"/>
                <w:szCs w:val="21"/>
              </w:rPr>
            </w:pPr>
            <w:r>
              <w:rPr>
                <w:rFonts w:hint="eastAsia"/>
                <w:b w:val="0"/>
                <w:kern w:val="0"/>
                <w:sz w:val="21"/>
                <w:szCs w:val="21"/>
              </w:rPr>
              <w:t>8.2</w:t>
            </w:r>
          </w:p>
        </w:tc>
        <w:tc>
          <w:tcPr>
            <w:tcW w:w="1541" w:type="dxa"/>
            <w:vAlign w:val="center"/>
          </w:tcPr>
          <w:p>
            <w:pPr>
              <w:pStyle w:val="14"/>
              <w:snapToGrid w:val="0"/>
              <w:spacing w:line="240" w:lineRule="auto"/>
              <w:rPr>
                <w:b w:val="0"/>
                <w:kern w:val="0"/>
                <w:sz w:val="21"/>
                <w:szCs w:val="21"/>
              </w:rPr>
            </w:pPr>
            <w:r>
              <w:rPr>
                <w:rFonts w:hint="eastAsia"/>
                <w:b w:val="0"/>
                <w:kern w:val="0"/>
                <w:sz w:val="21"/>
                <w:szCs w:val="21"/>
              </w:rPr>
              <w:t>8.3</w:t>
            </w:r>
          </w:p>
        </w:tc>
        <w:tc>
          <w:tcPr>
            <w:tcW w:w="1541" w:type="dxa"/>
            <w:vAlign w:val="center"/>
          </w:tcPr>
          <w:p>
            <w:pPr>
              <w:pStyle w:val="14"/>
              <w:snapToGrid w:val="0"/>
              <w:spacing w:line="240" w:lineRule="auto"/>
              <w:rPr>
                <w:b w:val="0"/>
                <w:kern w:val="0"/>
                <w:sz w:val="21"/>
                <w:szCs w:val="21"/>
              </w:rPr>
            </w:pPr>
            <w:r>
              <w:rPr>
                <w:rFonts w:hint="eastAsia"/>
                <w:b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pPr>
              <w:pStyle w:val="14"/>
              <w:snapToGrid w:val="0"/>
              <w:spacing w:line="240" w:lineRule="auto"/>
              <w:rPr>
                <w:b w:val="0"/>
                <w:kern w:val="0"/>
                <w:sz w:val="21"/>
                <w:szCs w:val="21"/>
              </w:rPr>
            </w:pPr>
          </w:p>
        </w:tc>
        <w:tc>
          <w:tcPr>
            <w:tcW w:w="1134" w:type="dxa"/>
            <w:vMerge w:val="restart"/>
            <w:vAlign w:val="center"/>
          </w:tcPr>
          <w:p>
            <w:pPr>
              <w:pStyle w:val="14"/>
              <w:snapToGrid w:val="0"/>
              <w:spacing w:line="240" w:lineRule="auto"/>
              <w:rPr>
                <w:b w:val="0"/>
                <w:kern w:val="0"/>
                <w:sz w:val="21"/>
                <w:szCs w:val="21"/>
              </w:rPr>
            </w:pPr>
            <w:r>
              <w:rPr>
                <w:b w:val="0"/>
                <w:kern w:val="0"/>
                <w:sz w:val="21"/>
                <w:szCs w:val="21"/>
              </w:rPr>
              <w:t>颗粒物</w:t>
            </w:r>
          </w:p>
        </w:tc>
        <w:tc>
          <w:tcPr>
            <w:tcW w:w="2244" w:type="dxa"/>
            <w:vAlign w:val="center"/>
          </w:tcPr>
          <w:p>
            <w:pPr>
              <w:pStyle w:val="14"/>
              <w:snapToGrid w:val="0"/>
              <w:spacing w:line="240" w:lineRule="auto"/>
              <w:rPr>
                <w:rFonts w:cs="Times New Roman"/>
                <w:b w:val="0"/>
                <w:kern w:val="0"/>
                <w:sz w:val="21"/>
                <w:szCs w:val="21"/>
              </w:rPr>
            </w:pPr>
            <w:r>
              <w:rPr>
                <w:rFonts w:cs="Times New Roman"/>
                <w:b w:val="0"/>
                <w:kern w:val="0"/>
                <w:sz w:val="21"/>
                <w:szCs w:val="21"/>
              </w:rPr>
              <w:t>实测浓度（mg/m</w:t>
            </w:r>
            <w:r>
              <w:rPr>
                <w:rFonts w:cs="Times New Roman"/>
                <w:b w:val="0"/>
                <w:kern w:val="0"/>
                <w:sz w:val="21"/>
                <w:szCs w:val="21"/>
                <w:vertAlign w:val="superscript"/>
              </w:rPr>
              <w:t>3</w:t>
            </w:r>
            <w:r>
              <w:rPr>
                <w:rFonts w:cs="Times New Roman"/>
                <w:b w:val="0"/>
                <w:kern w:val="0"/>
                <w:sz w:val="21"/>
                <w:szCs w:val="21"/>
              </w:rPr>
              <w:t>）</w:t>
            </w:r>
          </w:p>
        </w:tc>
        <w:tc>
          <w:tcPr>
            <w:tcW w:w="1540" w:type="dxa"/>
            <w:vAlign w:val="center"/>
          </w:tcPr>
          <w:p>
            <w:pPr>
              <w:pStyle w:val="14"/>
              <w:snapToGrid w:val="0"/>
              <w:spacing w:line="240" w:lineRule="auto"/>
              <w:rPr>
                <w:b w:val="0"/>
                <w:kern w:val="0"/>
                <w:sz w:val="21"/>
                <w:szCs w:val="21"/>
              </w:rPr>
            </w:pPr>
            <w:r>
              <w:rPr>
                <w:rFonts w:hint="eastAsia"/>
                <w:b w:val="0"/>
                <w:kern w:val="0"/>
                <w:sz w:val="21"/>
                <w:szCs w:val="21"/>
              </w:rPr>
              <w:t>4.4</w:t>
            </w:r>
          </w:p>
        </w:tc>
        <w:tc>
          <w:tcPr>
            <w:tcW w:w="1541" w:type="dxa"/>
            <w:vAlign w:val="center"/>
          </w:tcPr>
          <w:p>
            <w:pPr>
              <w:pStyle w:val="14"/>
              <w:snapToGrid w:val="0"/>
              <w:spacing w:line="240" w:lineRule="auto"/>
              <w:rPr>
                <w:b w:val="0"/>
                <w:kern w:val="0"/>
                <w:sz w:val="21"/>
                <w:szCs w:val="21"/>
              </w:rPr>
            </w:pPr>
            <w:r>
              <w:rPr>
                <w:rFonts w:hint="eastAsia"/>
                <w:b w:val="0"/>
                <w:kern w:val="0"/>
                <w:sz w:val="21"/>
                <w:szCs w:val="21"/>
              </w:rPr>
              <w:t>6.2</w:t>
            </w:r>
          </w:p>
        </w:tc>
        <w:tc>
          <w:tcPr>
            <w:tcW w:w="1541" w:type="dxa"/>
            <w:vAlign w:val="center"/>
          </w:tcPr>
          <w:p>
            <w:pPr>
              <w:pStyle w:val="14"/>
              <w:snapToGrid w:val="0"/>
              <w:spacing w:line="240" w:lineRule="auto"/>
              <w:rPr>
                <w:b w:val="0"/>
                <w:kern w:val="0"/>
                <w:sz w:val="21"/>
                <w:szCs w:val="21"/>
              </w:rPr>
            </w:pPr>
            <w:r>
              <w:rPr>
                <w:rFonts w:hint="eastAsia"/>
                <w:b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pPr>
              <w:pStyle w:val="14"/>
              <w:snapToGrid w:val="0"/>
              <w:spacing w:line="240" w:lineRule="auto"/>
              <w:rPr>
                <w:b w:val="0"/>
                <w:kern w:val="0"/>
                <w:sz w:val="21"/>
                <w:szCs w:val="21"/>
              </w:rPr>
            </w:pPr>
          </w:p>
        </w:tc>
        <w:tc>
          <w:tcPr>
            <w:tcW w:w="1134" w:type="dxa"/>
            <w:vMerge w:val="continue"/>
            <w:vAlign w:val="center"/>
          </w:tcPr>
          <w:p>
            <w:pPr>
              <w:pStyle w:val="14"/>
              <w:snapToGrid w:val="0"/>
              <w:spacing w:line="240" w:lineRule="auto"/>
              <w:rPr>
                <w:b w:val="0"/>
                <w:kern w:val="0"/>
                <w:sz w:val="21"/>
                <w:szCs w:val="21"/>
              </w:rPr>
            </w:pPr>
          </w:p>
        </w:tc>
        <w:tc>
          <w:tcPr>
            <w:tcW w:w="2244" w:type="dxa"/>
            <w:vAlign w:val="center"/>
          </w:tcPr>
          <w:p>
            <w:pPr>
              <w:pStyle w:val="14"/>
              <w:snapToGrid w:val="0"/>
              <w:spacing w:line="240" w:lineRule="auto"/>
              <w:rPr>
                <w:rFonts w:cs="Times New Roman"/>
                <w:b w:val="0"/>
                <w:kern w:val="0"/>
                <w:sz w:val="21"/>
                <w:szCs w:val="21"/>
              </w:rPr>
            </w:pPr>
            <w:r>
              <w:rPr>
                <w:rFonts w:cs="Times New Roman"/>
                <w:b w:val="0"/>
                <w:kern w:val="0"/>
                <w:sz w:val="21"/>
                <w:szCs w:val="21"/>
              </w:rPr>
              <w:t>折算浓度（mg/m</w:t>
            </w:r>
            <w:r>
              <w:rPr>
                <w:rFonts w:cs="Times New Roman"/>
                <w:b w:val="0"/>
                <w:kern w:val="0"/>
                <w:sz w:val="21"/>
                <w:szCs w:val="21"/>
                <w:vertAlign w:val="superscript"/>
              </w:rPr>
              <w:t>3</w:t>
            </w:r>
            <w:r>
              <w:rPr>
                <w:rFonts w:cs="Times New Roman"/>
                <w:b w:val="0"/>
                <w:kern w:val="0"/>
                <w:sz w:val="21"/>
                <w:szCs w:val="21"/>
              </w:rPr>
              <w:t>）</w:t>
            </w:r>
          </w:p>
        </w:tc>
        <w:tc>
          <w:tcPr>
            <w:tcW w:w="1540" w:type="dxa"/>
            <w:vAlign w:val="center"/>
          </w:tcPr>
          <w:p>
            <w:pPr>
              <w:pStyle w:val="14"/>
              <w:snapToGrid w:val="0"/>
              <w:spacing w:line="240" w:lineRule="auto"/>
              <w:rPr>
                <w:b w:val="0"/>
                <w:kern w:val="0"/>
                <w:sz w:val="21"/>
                <w:szCs w:val="21"/>
              </w:rPr>
            </w:pPr>
            <w:r>
              <w:rPr>
                <w:rFonts w:hint="eastAsia"/>
                <w:b w:val="0"/>
                <w:kern w:val="0"/>
                <w:sz w:val="21"/>
                <w:szCs w:val="21"/>
              </w:rPr>
              <w:t>6.0</w:t>
            </w:r>
          </w:p>
        </w:tc>
        <w:tc>
          <w:tcPr>
            <w:tcW w:w="1541" w:type="dxa"/>
            <w:vAlign w:val="center"/>
          </w:tcPr>
          <w:p>
            <w:pPr>
              <w:pStyle w:val="14"/>
              <w:snapToGrid w:val="0"/>
              <w:spacing w:line="240" w:lineRule="auto"/>
              <w:rPr>
                <w:b w:val="0"/>
                <w:kern w:val="0"/>
                <w:sz w:val="21"/>
                <w:szCs w:val="21"/>
              </w:rPr>
            </w:pPr>
            <w:r>
              <w:rPr>
                <w:rFonts w:hint="eastAsia"/>
                <w:b w:val="0"/>
                <w:kern w:val="0"/>
                <w:sz w:val="21"/>
                <w:szCs w:val="21"/>
              </w:rPr>
              <w:t>8.5</w:t>
            </w:r>
          </w:p>
        </w:tc>
        <w:tc>
          <w:tcPr>
            <w:tcW w:w="1541" w:type="dxa"/>
            <w:vAlign w:val="center"/>
          </w:tcPr>
          <w:p>
            <w:pPr>
              <w:pStyle w:val="14"/>
              <w:snapToGrid w:val="0"/>
              <w:spacing w:line="240" w:lineRule="auto"/>
              <w:rPr>
                <w:b w:val="0"/>
                <w:kern w:val="0"/>
                <w:sz w:val="21"/>
                <w:szCs w:val="21"/>
              </w:rPr>
            </w:pPr>
            <w:r>
              <w:rPr>
                <w:rFonts w:hint="eastAsia"/>
                <w:b w:val="0"/>
                <w:kern w:val="0"/>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pPr>
              <w:pStyle w:val="14"/>
              <w:snapToGrid w:val="0"/>
              <w:spacing w:line="240" w:lineRule="auto"/>
              <w:rPr>
                <w:b w:val="0"/>
                <w:kern w:val="0"/>
                <w:sz w:val="21"/>
                <w:szCs w:val="21"/>
              </w:rPr>
            </w:pPr>
          </w:p>
        </w:tc>
        <w:tc>
          <w:tcPr>
            <w:tcW w:w="1134" w:type="dxa"/>
            <w:vMerge w:val="continue"/>
            <w:vAlign w:val="center"/>
          </w:tcPr>
          <w:p>
            <w:pPr>
              <w:pStyle w:val="14"/>
              <w:snapToGrid w:val="0"/>
              <w:spacing w:line="240" w:lineRule="auto"/>
              <w:rPr>
                <w:b w:val="0"/>
                <w:kern w:val="0"/>
                <w:sz w:val="21"/>
                <w:szCs w:val="21"/>
              </w:rPr>
            </w:pPr>
          </w:p>
        </w:tc>
        <w:tc>
          <w:tcPr>
            <w:tcW w:w="2244" w:type="dxa"/>
            <w:vAlign w:val="center"/>
          </w:tcPr>
          <w:p>
            <w:pPr>
              <w:pStyle w:val="14"/>
              <w:snapToGrid w:val="0"/>
              <w:spacing w:line="240" w:lineRule="auto"/>
              <w:rPr>
                <w:rFonts w:cs="Times New Roman"/>
                <w:b w:val="0"/>
                <w:kern w:val="0"/>
                <w:sz w:val="21"/>
                <w:szCs w:val="21"/>
              </w:rPr>
            </w:pPr>
            <w:r>
              <w:rPr>
                <w:rFonts w:hint="eastAsia" w:ascii="宋体" w:cs="宋体" w:hAnsiTheme="minorHAnsi"/>
                <w:b w:val="0"/>
                <w:kern w:val="0"/>
                <w:sz w:val="21"/>
                <w:szCs w:val="21"/>
              </w:rPr>
              <w:t>排放速率（</w:t>
            </w:r>
            <w:r>
              <w:rPr>
                <w:rFonts w:ascii="TimesNewRomanPSMT" w:eastAsia="TimesNewRomanPSMT" w:cs="TimesNewRomanPSMT" w:hAnsiTheme="minorHAnsi"/>
                <w:b w:val="0"/>
                <w:kern w:val="0"/>
                <w:sz w:val="21"/>
                <w:szCs w:val="21"/>
              </w:rPr>
              <w:t>kg/h</w:t>
            </w:r>
            <w:r>
              <w:rPr>
                <w:rFonts w:hint="eastAsia" w:ascii="宋体" w:cs="宋体" w:hAnsiTheme="minorHAnsi"/>
                <w:b w:val="0"/>
                <w:kern w:val="0"/>
                <w:sz w:val="21"/>
                <w:szCs w:val="21"/>
              </w:rPr>
              <w:t>）</w:t>
            </w:r>
          </w:p>
        </w:tc>
        <w:tc>
          <w:tcPr>
            <w:tcW w:w="1540" w:type="dxa"/>
            <w:vAlign w:val="center"/>
          </w:tcPr>
          <w:p>
            <w:pPr>
              <w:pStyle w:val="14"/>
              <w:snapToGrid w:val="0"/>
              <w:spacing w:line="240" w:lineRule="auto"/>
              <w:rPr>
                <w:b w:val="0"/>
                <w:kern w:val="0"/>
                <w:sz w:val="21"/>
                <w:szCs w:val="21"/>
              </w:rPr>
            </w:pPr>
            <w:r>
              <w:rPr>
                <w:rFonts w:hint="eastAsia"/>
                <w:b w:val="0"/>
                <w:kern w:val="0"/>
                <w:sz w:val="21"/>
                <w:szCs w:val="21"/>
              </w:rPr>
              <w:t>0.0014</w:t>
            </w:r>
          </w:p>
        </w:tc>
        <w:tc>
          <w:tcPr>
            <w:tcW w:w="1541" w:type="dxa"/>
            <w:vAlign w:val="center"/>
          </w:tcPr>
          <w:p>
            <w:pPr>
              <w:pStyle w:val="14"/>
              <w:snapToGrid w:val="0"/>
              <w:spacing w:line="240" w:lineRule="auto"/>
              <w:rPr>
                <w:b w:val="0"/>
                <w:kern w:val="0"/>
                <w:sz w:val="21"/>
                <w:szCs w:val="21"/>
              </w:rPr>
            </w:pPr>
            <w:r>
              <w:rPr>
                <w:rFonts w:hint="eastAsia"/>
                <w:b w:val="0"/>
                <w:kern w:val="0"/>
                <w:sz w:val="21"/>
                <w:szCs w:val="21"/>
              </w:rPr>
              <w:t>0.0027</w:t>
            </w:r>
          </w:p>
        </w:tc>
        <w:tc>
          <w:tcPr>
            <w:tcW w:w="1541" w:type="dxa"/>
            <w:vAlign w:val="center"/>
          </w:tcPr>
          <w:p>
            <w:pPr>
              <w:pStyle w:val="14"/>
              <w:snapToGrid w:val="0"/>
              <w:spacing w:line="240" w:lineRule="auto"/>
              <w:rPr>
                <w:b w:val="0"/>
                <w:kern w:val="0"/>
                <w:sz w:val="21"/>
                <w:szCs w:val="21"/>
              </w:rPr>
            </w:pPr>
            <w:r>
              <w:rPr>
                <w:rFonts w:hint="eastAsia"/>
                <w:b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pPr>
              <w:pStyle w:val="14"/>
              <w:snapToGrid w:val="0"/>
              <w:spacing w:line="240" w:lineRule="auto"/>
              <w:rPr>
                <w:b w:val="0"/>
                <w:kern w:val="0"/>
                <w:sz w:val="21"/>
                <w:szCs w:val="21"/>
              </w:rPr>
            </w:pPr>
          </w:p>
        </w:tc>
        <w:tc>
          <w:tcPr>
            <w:tcW w:w="1134" w:type="dxa"/>
            <w:vMerge w:val="continue"/>
            <w:vAlign w:val="center"/>
          </w:tcPr>
          <w:p>
            <w:pPr>
              <w:pStyle w:val="14"/>
              <w:snapToGrid w:val="0"/>
              <w:spacing w:line="240" w:lineRule="auto"/>
              <w:rPr>
                <w:b w:val="0"/>
                <w:kern w:val="0"/>
                <w:sz w:val="21"/>
                <w:szCs w:val="21"/>
              </w:rPr>
            </w:pPr>
          </w:p>
        </w:tc>
        <w:tc>
          <w:tcPr>
            <w:tcW w:w="2244" w:type="dxa"/>
            <w:vAlign w:val="center"/>
          </w:tcPr>
          <w:p>
            <w:pPr>
              <w:pStyle w:val="14"/>
              <w:snapToGrid w:val="0"/>
              <w:spacing w:line="240" w:lineRule="auto"/>
              <w:rPr>
                <w:rFonts w:cs="Times New Roman"/>
                <w:b w:val="0"/>
                <w:kern w:val="0"/>
                <w:sz w:val="21"/>
                <w:szCs w:val="21"/>
              </w:rPr>
            </w:pPr>
            <w:r>
              <w:rPr>
                <w:rFonts w:cs="Times New Roman"/>
                <w:b w:val="0"/>
                <w:kern w:val="0"/>
                <w:sz w:val="21"/>
                <w:szCs w:val="21"/>
              </w:rPr>
              <w:t>排放量（t/a）</w:t>
            </w:r>
          </w:p>
        </w:tc>
        <w:tc>
          <w:tcPr>
            <w:tcW w:w="1540" w:type="dxa"/>
            <w:vAlign w:val="center"/>
          </w:tcPr>
          <w:p>
            <w:pPr>
              <w:pStyle w:val="14"/>
              <w:snapToGrid w:val="0"/>
              <w:spacing w:line="240" w:lineRule="auto"/>
              <w:rPr>
                <w:b w:val="0"/>
                <w:kern w:val="0"/>
                <w:sz w:val="21"/>
                <w:szCs w:val="21"/>
              </w:rPr>
            </w:pPr>
            <w:r>
              <w:rPr>
                <w:rFonts w:hint="eastAsia"/>
                <w:b w:val="0"/>
                <w:kern w:val="0"/>
                <w:sz w:val="21"/>
                <w:szCs w:val="21"/>
              </w:rPr>
              <w:t>0.004</w:t>
            </w:r>
          </w:p>
        </w:tc>
        <w:tc>
          <w:tcPr>
            <w:tcW w:w="1541" w:type="dxa"/>
            <w:vAlign w:val="center"/>
          </w:tcPr>
          <w:p>
            <w:pPr>
              <w:pStyle w:val="14"/>
              <w:snapToGrid w:val="0"/>
              <w:spacing w:line="240" w:lineRule="auto"/>
              <w:rPr>
                <w:b w:val="0"/>
                <w:kern w:val="0"/>
                <w:sz w:val="21"/>
                <w:szCs w:val="21"/>
              </w:rPr>
            </w:pPr>
            <w:r>
              <w:rPr>
                <w:rFonts w:hint="eastAsia"/>
                <w:b w:val="0"/>
                <w:kern w:val="0"/>
                <w:sz w:val="21"/>
                <w:szCs w:val="21"/>
              </w:rPr>
              <w:t>0.008</w:t>
            </w:r>
          </w:p>
        </w:tc>
        <w:tc>
          <w:tcPr>
            <w:tcW w:w="1541" w:type="dxa"/>
            <w:vAlign w:val="center"/>
          </w:tcPr>
          <w:p>
            <w:pPr>
              <w:pStyle w:val="14"/>
              <w:snapToGrid w:val="0"/>
              <w:spacing w:line="240" w:lineRule="auto"/>
              <w:rPr>
                <w:b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pPr>
              <w:pStyle w:val="14"/>
              <w:snapToGrid w:val="0"/>
              <w:spacing w:line="240" w:lineRule="auto"/>
              <w:rPr>
                <w:b w:val="0"/>
                <w:kern w:val="0"/>
                <w:sz w:val="21"/>
                <w:szCs w:val="21"/>
              </w:rPr>
            </w:pPr>
          </w:p>
        </w:tc>
        <w:tc>
          <w:tcPr>
            <w:tcW w:w="1134" w:type="dxa"/>
            <w:vMerge w:val="restart"/>
            <w:vAlign w:val="center"/>
          </w:tcPr>
          <w:p>
            <w:pPr>
              <w:pStyle w:val="14"/>
              <w:snapToGrid w:val="0"/>
              <w:spacing w:line="240" w:lineRule="auto"/>
              <w:rPr>
                <w:b w:val="0"/>
                <w:kern w:val="0"/>
                <w:sz w:val="21"/>
                <w:szCs w:val="21"/>
              </w:rPr>
            </w:pPr>
            <w:r>
              <w:rPr>
                <w:b w:val="0"/>
                <w:kern w:val="0"/>
                <w:sz w:val="21"/>
                <w:szCs w:val="21"/>
              </w:rPr>
              <w:t>二氧化硫</w:t>
            </w:r>
          </w:p>
        </w:tc>
        <w:tc>
          <w:tcPr>
            <w:tcW w:w="2244" w:type="dxa"/>
            <w:vAlign w:val="center"/>
          </w:tcPr>
          <w:p>
            <w:pPr>
              <w:pStyle w:val="14"/>
              <w:snapToGrid w:val="0"/>
              <w:spacing w:line="240" w:lineRule="auto"/>
              <w:rPr>
                <w:rFonts w:cs="Times New Roman"/>
                <w:b w:val="0"/>
                <w:kern w:val="0"/>
                <w:sz w:val="21"/>
                <w:szCs w:val="21"/>
              </w:rPr>
            </w:pPr>
            <w:r>
              <w:rPr>
                <w:rFonts w:hint="eastAsia" w:cs="Times New Roman"/>
                <w:b w:val="0"/>
                <w:kern w:val="0"/>
                <w:sz w:val="21"/>
                <w:szCs w:val="21"/>
              </w:rPr>
              <w:t>实测浓度（</w:t>
            </w:r>
            <w:r>
              <w:rPr>
                <w:rFonts w:cs="Times New Roman"/>
                <w:b w:val="0"/>
                <w:kern w:val="0"/>
                <w:sz w:val="21"/>
                <w:szCs w:val="21"/>
              </w:rPr>
              <w:t>mg/m</w:t>
            </w:r>
            <w:r>
              <w:rPr>
                <w:rFonts w:cs="Times New Roman"/>
                <w:b w:val="0"/>
                <w:kern w:val="0"/>
                <w:sz w:val="21"/>
                <w:szCs w:val="21"/>
                <w:vertAlign w:val="superscript"/>
              </w:rPr>
              <w:t>3</w:t>
            </w:r>
            <w:r>
              <w:rPr>
                <w:rFonts w:hint="eastAsia" w:cs="Times New Roman"/>
                <w:b w:val="0"/>
                <w:kern w:val="0"/>
                <w:sz w:val="21"/>
                <w:szCs w:val="21"/>
              </w:rPr>
              <w:t>）</w:t>
            </w:r>
          </w:p>
        </w:tc>
        <w:tc>
          <w:tcPr>
            <w:tcW w:w="1540" w:type="dxa"/>
            <w:vAlign w:val="center"/>
          </w:tcPr>
          <w:p>
            <w:pPr>
              <w:pStyle w:val="14"/>
              <w:snapToGrid w:val="0"/>
              <w:spacing w:line="240" w:lineRule="auto"/>
              <w:rPr>
                <w:b w:val="0"/>
                <w:kern w:val="0"/>
                <w:sz w:val="21"/>
                <w:szCs w:val="21"/>
              </w:rPr>
            </w:pPr>
            <w:r>
              <w:rPr>
                <w:rFonts w:hint="eastAsia"/>
                <w:b w:val="0"/>
                <w:kern w:val="0"/>
                <w:sz w:val="21"/>
                <w:szCs w:val="21"/>
              </w:rPr>
              <w:t>36</w:t>
            </w:r>
          </w:p>
        </w:tc>
        <w:tc>
          <w:tcPr>
            <w:tcW w:w="1541" w:type="dxa"/>
            <w:vAlign w:val="center"/>
          </w:tcPr>
          <w:p>
            <w:pPr>
              <w:pStyle w:val="14"/>
              <w:snapToGrid w:val="0"/>
              <w:spacing w:line="240" w:lineRule="auto"/>
              <w:rPr>
                <w:b w:val="0"/>
                <w:kern w:val="0"/>
                <w:sz w:val="21"/>
                <w:szCs w:val="21"/>
              </w:rPr>
            </w:pPr>
            <w:r>
              <w:rPr>
                <w:rFonts w:hint="eastAsia"/>
                <w:b w:val="0"/>
                <w:kern w:val="0"/>
                <w:sz w:val="21"/>
                <w:szCs w:val="21"/>
              </w:rPr>
              <w:t>34</w:t>
            </w:r>
          </w:p>
        </w:tc>
        <w:tc>
          <w:tcPr>
            <w:tcW w:w="1541" w:type="dxa"/>
            <w:vAlign w:val="center"/>
          </w:tcPr>
          <w:p>
            <w:pPr>
              <w:pStyle w:val="14"/>
              <w:snapToGrid w:val="0"/>
              <w:spacing w:line="240" w:lineRule="auto"/>
              <w:rPr>
                <w:b w:val="0"/>
                <w:kern w:val="0"/>
                <w:sz w:val="21"/>
                <w:szCs w:val="21"/>
              </w:rPr>
            </w:pPr>
            <w:r>
              <w:rPr>
                <w:rFonts w:hint="eastAsia"/>
                <w:b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pPr>
              <w:pStyle w:val="14"/>
              <w:snapToGrid w:val="0"/>
              <w:spacing w:line="240" w:lineRule="auto"/>
              <w:rPr>
                <w:b w:val="0"/>
                <w:kern w:val="0"/>
                <w:sz w:val="21"/>
                <w:szCs w:val="21"/>
              </w:rPr>
            </w:pPr>
          </w:p>
        </w:tc>
        <w:tc>
          <w:tcPr>
            <w:tcW w:w="1134" w:type="dxa"/>
            <w:vMerge w:val="continue"/>
            <w:vAlign w:val="center"/>
          </w:tcPr>
          <w:p>
            <w:pPr>
              <w:pStyle w:val="14"/>
              <w:snapToGrid w:val="0"/>
              <w:spacing w:line="240" w:lineRule="auto"/>
              <w:rPr>
                <w:b w:val="0"/>
                <w:kern w:val="0"/>
                <w:sz w:val="21"/>
                <w:szCs w:val="21"/>
              </w:rPr>
            </w:pPr>
          </w:p>
        </w:tc>
        <w:tc>
          <w:tcPr>
            <w:tcW w:w="2244" w:type="dxa"/>
            <w:vAlign w:val="center"/>
          </w:tcPr>
          <w:p>
            <w:pPr>
              <w:pStyle w:val="14"/>
              <w:snapToGrid w:val="0"/>
              <w:spacing w:line="240" w:lineRule="auto"/>
              <w:rPr>
                <w:rFonts w:cs="Times New Roman"/>
                <w:b w:val="0"/>
                <w:kern w:val="0"/>
                <w:sz w:val="21"/>
                <w:szCs w:val="21"/>
              </w:rPr>
            </w:pPr>
            <w:r>
              <w:rPr>
                <w:rFonts w:hint="eastAsia" w:cs="Times New Roman"/>
                <w:b w:val="0"/>
                <w:kern w:val="0"/>
                <w:sz w:val="21"/>
                <w:szCs w:val="21"/>
              </w:rPr>
              <w:t>折算浓度（</w:t>
            </w:r>
            <w:r>
              <w:rPr>
                <w:rFonts w:cs="Times New Roman"/>
                <w:b w:val="0"/>
                <w:kern w:val="0"/>
                <w:sz w:val="21"/>
                <w:szCs w:val="21"/>
              </w:rPr>
              <w:t>mg/m</w:t>
            </w:r>
            <w:r>
              <w:rPr>
                <w:rFonts w:cs="Times New Roman"/>
                <w:b w:val="0"/>
                <w:kern w:val="0"/>
                <w:sz w:val="21"/>
                <w:szCs w:val="21"/>
                <w:vertAlign w:val="superscript"/>
              </w:rPr>
              <w:t>3</w:t>
            </w:r>
            <w:r>
              <w:rPr>
                <w:rFonts w:hint="eastAsia" w:cs="Times New Roman"/>
                <w:b w:val="0"/>
                <w:kern w:val="0"/>
                <w:sz w:val="21"/>
                <w:szCs w:val="21"/>
              </w:rPr>
              <w:t>）</w:t>
            </w:r>
          </w:p>
        </w:tc>
        <w:tc>
          <w:tcPr>
            <w:tcW w:w="1540" w:type="dxa"/>
            <w:vAlign w:val="center"/>
          </w:tcPr>
          <w:p>
            <w:pPr>
              <w:pStyle w:val="14"/>
              <w:snapToGrid w:val="0"/>
              <w:spacing w:line="240" w:lineRule="auto"/>
              <w:rPr>
                <w:b w:val="0"/>
                <w:kern w:val="0"/>
                <w:sz w:val="21"/>
                <w:szCs w:val="21"/>
              </w:rPr>
            </w:pPr>
            <w:r>
              <w:rPr>
                <w:rFonts w:hint="eastAsia"/>
                <w:b w:val="0"/>
                <w:kern w:val="0"/>
                <w:sz w:val="21"/>
                <w:szCs w:val="21"/>
              </w:rPr>
              <w:t>46</w:t>
            </w:r>
          </w:p>
        </w:tc>
        <w:tc>
          <w:tcPr>
            <w:tcW w:w="1541" w:type="dxa"/>
            <w:vAlign w:val="center"/>
          </w:tcPr>
          <w:p>
            <w:pPr>
              <w:pStyle w:val="14"/>
              <w:snapToGrid w:val="0"/>
              <w:spacing w:line="240" w:lineRule="auto"/>
              <w:rPr>
                <w:b w:val="0"/>
                <w:kern w:val="0"/>
                <w:sz w:val="21"/>
                <w:szCs w:val="21"/>
              </w:rPr>
            </w:pPr>
            <w:r>
              <w:rPr>
                <w:rFonts w:hint="eastAsia"/>
                <w:b w:val="0"/>
                <w:kern w:val="0"/>
                <w:sz w:val="21"/>
                <w:szCs w:val="21"/>
              </w:rPr>
              <w:t>44</w:t>
            </w:r>
          </w:p>
        </w:tc>
        <w:tc>
          <w:tcPr>
            <w:tcW w:w="1541" w:type="dxa"/>
            <w:vAlign w:val="center"/>
          </w:tcPr>
          <w:p>
            <w:pPr>
              <w:pStyle w:val="14"/>
              <w:snapToGrid w:val="0"/>
              <w:spacing w:line="240" w:lineRule="auto"/>
              <w:rPr>
                <w:b w:val="0"/>
                <w:kern w:val="0"/>
                <w:sz w:val="21"/>
                <w:szCs w:val="21"/>
              </w:rPr>
            </w:pPr>
            <w:r>
              <w:rPr>
                <w:rFonts w:hint="eastAsia"/>
                <w:b w:val="0"/>
                <w:kern w:val="0"/>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pPr>
              <w:pStyle w:val="14"/>
              <w:snapToGrid w:val="0"/>
              <w:spacing w:line="240" w:lineRule="auto"/>
              <w:rPr>
                <w:b w:val="0"/>
                <w:kern w:val="0"/>
                <w:sz w:val="21"/>
                <w:szCs w:val="21"/>
              </w:rPr>
            </w:pPr>
          </w:p>
        </w:tc>
        <w:tc>
          <w:tcPr>
            <w:tcW w:w="1134" w:type="dxa"/>
            <w:vMerge w:val="continue"/>
            <w:vAlign w:val="center"/>
          </w:tcPr>
          <w:p>
            <w:pPr>
              <w:pStyle w:val="14"/>
              <w:snapToGrid w:val="0"/>
              <w:spacing w:line="240" w:lineRule="auto"/>
              <w:rPr>
                <w:b w:val="0"/>
                <w:kern w:val="0"/>
                <w:sz w:val="21"/>
                <w:szCs w:val="21"/>
              </w:rPr>
            </w:pPr>
          </w:p>
        </w:tc>
        <w:tc>
          <w:tcPr>
            <w:tcW w:w="2244" w:type="dxa"/>
            <w:vAlign w:val="center"/>
          </w:tcPr>
          <w:p>
            <w:pPr>
              <w:pStyle w:val="14"/>
              <w:snapToGrid w:val="0"/>
              <w:spacing w:line="240" w:lineRule="auto"/>
              <w:rPr>
                <w:rFonts w:cs="Times New Roman"/>
                <w:b w:val="0"/>
                <w:kern w:val="0"/>
                <w:sz w:val="21"/>
                <w:szCs w:val="21"/>
              </w:rPr>
            </w:pPr>
            <w:r>
              <w:rPr>
                <w:rFonts w:hint="eastAsia" w:ascii="宋体" w:cs="宋体" w:hAnsiTheme="minorHAnsi"/>
                <w:b w:val="0"/>
                <w:kern w:val="0"/>
                <w:sz w:val="21"/>
                <w:szCs w:val="21"/>
              </w:rPr>
              <w:t>排放速率（</w:t>
            </w:r>
            <w:r>
              <w:rPr>
                <w:rFonts w:ascii="TimesNewRomanPSMT" w:eastAsia="TimesNewRomanPSMT" w:cs="TimesNewRomanPSMT" w:hAnsiTheme="minorHAnsi"/>
                <w:b w:val="0"/>
                <w:kern w:val="0"/>
                <w:sz w:val="21"/>
                <w:szCs w:val="21"/>
              </w:rPr>
              <w:t>kg/h</w:t>
            </w:r>
            <w:r>
              <w:rPr>
                <w:rFonts w:hint="eastAsia" w:ascii="宋体" w:cs="宋体" w:hAnsiTheme="minorHAnsi"/>
                <w:b w:val="0"/>
                <w:kern w:val="0"/>
                <w:sz w:val="21"/>
                <w:szCs w:val="21"/>
              </w:rPr>
              <w:t>）</w:t>
            </w:r>
          </w:p>
        </w:tc>
        <w:tc>
          <w:tcPr>
            <w:tcW w:w="1540" w:type="dxa"/>
            <w:vAlign w:val="center"/>
          </w:tcPr>
          <w:p>
            <w:pPr>
              <w:pStyle w:val="14"/>
              <w:snapToGrid w:val="0"/>
              <w:spacing w:line="240" w:lineRule="auto"/>
              <w:rPr>
                <w:b w:val="0"/>
                <w:kern w:val="0"/>
                <w:sz w:val="21"/>
                <w:szCs w:val="21"/>
              </w:rPr>
            </w:pPr>
            <w:r>
              <w:rPr>
                <w:rFonts w:hint="eastAsia"/>
                <w:b w:val="0"/>
                <w:kern w:val="0"/>
                <w:sz w:val="21"/>
                <w:szCs w:val="21"/>
              </w:rPr>
              <w:t>0.011</w:t>
            </w:r>
          </w:p>
        </w:tc>
        <w:tc>
          <w:tcPr>
            <w:tcW w:w="1541" w:type="dxa"/>
            <w:vAlign w:val="center"/>
          </w:tcPr>
          <w:p>
            <w:pPr>
              <w:pStyle w:val="14"/>
              <w:snapToGrid w:val="0"/>
              <w:spacing w:line="240" w:lineRule="auto"/>
              <w:rPr>
                <w:b w:val="0"/>
                <w:kern w:val="0"/>
                <w:sz w:val="21"/>
                <w:szCs w:val="21"/>
              </w:rPr>
            </w:pPr>
            <w:r>
              <w:rPr>
                <w:rFonts w:hint="eastAsia"/>
                <w:b w:val="0"/>
                <w:kern w:val="0"/>
                <w:sz w:val="21"/>
                <w:szCs w:val="21"/>
              </w:rPr>
              <w:t>0.015</w:t>
            </w:r>
          </w:p>
        </w:tc>
        <w:tc>
          <w:tcPr>
            <w:tcW w:w="1541" w:type="dxa"/>
            <w:vAlign w:val="center"/>
          </w:tcPr>
          <w:p>
            <w:pPr>
              <w:pStyle w:val="14"/>
              <w:snapToGrid w:val="0"/>
              <w:spacing w:line="240" w:lineRule="auto"/>
              <w:rPr>
                <w:b w:val="0"/>
                <w:kern w:val="0"/>
                <w:sz w:val="21"/>
                <w:szCs w:val="21"/>
              </w:rPr>
            </w:pPr>
            <w:r>
              <w:rPr>
                <w:rFonts w:hint="eastAsia"/>
                <w:b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pPr>
              <w:pStyle w:val="14"/>
              <w:snapToGrid w:val="0"/>
              <w:spacing w:line="240" w:lineRule="auto"/>
              <w:rPr>
                <w:b w:val="0"/>
                <w:kern w:val="0"/>
                <w:sz w:val="21"/>
                <w:szCs w:val="21"/>
              </w:rPr>
            </w:pPr>
          </w:p>
        </w:tc>
        <w:tc>
          <w:tcPr>
            <w:tcW w:w="1134" w:type="dxa"/>
            <w:vMerge w:val="continue"/>
            <w:vAlign w:val="center"/>
          </w:tcPr>
          <w:p>
            <w:pPr>
              <w:pStyle w:val="14"/>
              <w:snapToGrid w:val="0"/>
              <w:spacing w:line="240" w:lineRule="auto"/>
              <w:rPr>
                <w:b w:val="0"/>
                <w:kern w:val="0"/>
                <w:sz w:val="21"/>
                <w:szCs w:val="21"/>
              </w:rPr>
            </w:pPr>
          </w:p>
        </w:tc>
        <w:tc>
          <w:tcPr>
            <w:tcW w:w="2244" w:type="dxa"/>
            <w:vAlign w:val="center"/>
          </w:tcPr>
          <w:p>
            <w:pPr>
              <w:pStyle w:val="14"/>
              <w:snapToGrid w:val="0"/>
              <w:spacing w:line="240" w:lineRule="auto"/>
              <w:rPr>
                <w:rFonts w:ascii="宋体" w:cs="宋体" w:hAnsiTheme="minorHAnsi"/>
                <w:b w:val="0"/>
                <w:kern w:val="0"/>
                <w:sz w:val="21"/>
                <w:szCs w:val="21"/>
              </w:rPr>
            </w:pPr>
            <w:r>
              <w:rPr>
                <w:rFonts w:hint="eastAsia" w:ascii="宋体" w:cs="宋体" w:hAnsiTheme="minorHAnsi"/>
                <w:b w:val="0"/>
                <w:kern w:val="0"/>
                <w:sz w:val="21"/>
                <w:szCs w:val="21"/>
              </w:rPr>
              <w:t>排放量</w:t>
            </w:r>
            <w:r>
              <w:rPr>
                <w:rFonts w:cs="Times New Roman"/>
                <w:b w:val="0"/>
                <w:kern w:val="0"/>
                <w:sz w:val="21"/>
                <w:szCs w:val="21"/>
              </w:rPr>
              <w:t>（t/a）</w:t>
            </w:r>
          </w:p>
        </w:tc>
        <w:tc>
          <w:tcPr>
            <w:tcW w:w="1540" w:type="dxa"/>
            <w:vAlign w:val="center"/>
          </w:tcPr>
          <w:p>
            <w:pPr>
              <w:pStyle w:val="14"/>
              <w:snapToGrid w:val="0"/>
              <w:spacing w:line="240" w:lineRule="auto"/>
              <w:rPr>
                <w:b w:val="0"/>
                <w:kern w:val="0"/>
                <w:sz w:val="21"/>
                <w:szCs w:val="21"/>
              </w:rPr>
            </w:pPr>
            <w:r>
              <w:rPr>
                <w:rFonts w:hint="eastAsia"/>
                <w:b w:val="0"/>
                <w:kern w:val="0"/>
                <w:sz w:val="21"/>
                <w:szCs w:val="21"/>
              </w:rPr>
              <w:t>0.032</w:t>
            </w:r>
          </w:p>
        </w:tc>
        <w:tc>
          <w:tcPr>
            <w:tcW w:w="1541" w:type="dxa"/>
            <w:vAlign w:val="center"/>
          </w:tcPr>
          <w:p>
            <w:pPr>
              <w:pStyle w:val="14"/>
              <w:snapToGrid w:val="0"/>
              <w:spacing w:line="240" w:lineRule="auto"/>
              <w:rPr>
                <w:b w:val="0"/>
                <w:kern w:val="0"/>
                <w:sz w:val="21"/>
                <w:szCs w:val="21"/>
              </w:rPr>
            </w:pPr>
            <w:r>
              <w:rPr>
                <w:rFonts w:hint="eastAsia"/>
                <w:b w:val="0"/>
                <w:kern w:val="0"/>
                <w:sz w:val="21"/>
                <w:szCs w:val="21"/>
              </w:rPr>
              <w:t>0.044</w:t>
            </w:r>
          </w:p>
        </w:tc>
        <w:tc>
          <w:tcPr>
            <w:tcW w:w="1541" w:type="dxa"/>
            <w:vAlign w:val="center"/>
          </w:tcPr>
          <w:p>
            <w:pPr>
              <w:pStyle w:val="14"/>
              <w:snapToGrid w:val="0"/>
              <w:spacing w:line="240" w:lineRule="auto"/>
              <w:rPr>
                <w:b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pPr>
              <w:pStyle w:val="14"/>
              <w:snapToGrid w:val="0"/>
              <w:spacing w:line="240" w:lineRule="auto"/>
              <w:rPr>
                <w:b w:val="0"/>
                <w:kern w:val="0"/>
                <w:sz w:val="21"/>
                <w:szCs w:val="21"/>
              </w:rPr>
            </w:pPr>
          </w:p>
        </w:tc>
        <w:tc>
          <w:tcPr>
            <w:tcW w:w="1134" w:type="dxa"/>
            <w:vMerge w:val="restart"/>
            <w:vAlign w:val="center"/>
          </w:tcPr>
          <w:p>
            <w:pPr>
              <w:pStyle w:val="14"/>
              <w:snapToGrid w:val="0"/>
              <w:spacing w:line="240" w:lineRule="auto"/>
              <w:rPr>
                <w:b w:val="0"/>
                <w:kern w:val="0"/>
                <w:sz w:val="21"/>
                <w:szCs w:val="21"/>
              </w:rPr>
            </w:pPr>
            <w:r>
              <w:rPr>
                <w:b w:val="0"/>
                <w:kern w:val="0"/>
                <w:sz w:val="21"/>
                <w:szCs w:val="21"/>
              </w:rPr>
              <w:t>氮氧化物</w:t>
            </w:r>
          </w:p>
        </w:tc>
        <w:tc>
          <w:tcPr>
            <w:tcW w:w="2244" w:type="dxa"/>
            <w:vAlign w:val="center"/>
          </w:tcPr>
          <w:p>
            <w:pPr>
              <w:pStyle w:val="14"/>
              <w:snapToGrid w:val="0"/>
              <w:spacing w:line="240" w:lineRule="auto"/>
              <w:rPr>
                <w:rFonts w:cs="Times New Roman"/>
                <w:b w:val="0"/>
                <w:kern w:val="0"/>
                <w:sz w:val="21"/>
                <w:szCs w:val="21"/>
              </w:rPr>
            </w:pPr>
            <w:r>
              <w:rPr>
                <w:rFonts w:hint="eastAsia" w:cs="Times New Roman"/>
                <w:b w:val="0"/>
                <w:kern w:val="0"/>
                <w:sz w:val="21"/>
                <w:szCs w:val="21"/>
              </w:rPr>
              <w:t>实测浓度（</w:t>
            </w:r>
            <w:r>
              <w:rPr>
                <w:rFonts w:cs="Times New Roman"/>
                <w:b w:val="0"/>
                <w:kern w:val="0"/>
                <w:sz w:val="21"/>
                <w:szCs w:val="21"/>
              </w:rPr>
              <w:t>mg/m</w:t>
            </w:r>
            <w:r>
              <w:rPr>
                <w:rFonts w:cs="Times New Roman"/>
                <w:b w:val="0"/>
                <w:kern w:val="0"/>
                <w:sz w:val="21"/>
                <w:szCs w:val="21"/>
                <w:vertAlign w:val="superscript"/>
              </w:rPr>
              <w:t>3</w:t>
            </w:r>
            <w:r>
              <w:rPr>
                <w:rFonts w:hint="eastAsia" w:cs="Times New Roman"/>
                <w:b w:val="0"/>
                <w:kern w:val="0"/>
                <w:sz w:val="21"/>
                <w:szCs w:val="21"/>
              </w:rPr>
              <w:t>）</w:t>
            </w:r>
          </w:p>
        </w:tc>
        <w:tc>
          <w:tcPr>
            <w:tcW w:w="1540" w:type="dxa"/>
            <w:vAlign w:val="center"/>
          </w:tcPr>
          <w:p>
            <w:pPr>
              <w:pStyle w:val="14"/>
              <w:snapToGrid w:val="0"/>
              <w:spacing w:line="240" w:lineRule="auto"/>
              <w:rPr>
                <w:b w:val="0"/>
                <w:kern w:val="0"/>
                <w:sz w:val="21"/>
                <w:szCs w:val="21"/>
              </w:rPr>
            </w:pPr>
            <w:r>
              <w:rPr>
                <w:rFonts w:hint="eastAsia"/>
                <w:b w:val="0"/>
                <w:kern w:val="0"/>
                <w:sz w:val="21"/>
                <w:szCs w:val="21"/>
              </w:rPr>
              <w:t>87</w:t>
            </w:r>
          </w:p>
        </w:tc>
        <w:tc>
          <w:tcPr>
            <w:tcW w:w="1541" w:type="dxa"/>
            <w:vAlign w:val="center"/>
          </w:tcPr>
          <w:p>
            <w:pPr>
              <w:pStyle w:val="14"/>
              <w:snapToGrid w:val="0"/>
              <w:spacing w:line="240" w:lineRule="auto"/>
              <w:rPr>
                <w:b w:val="0"/>
                <w:kern w:val="0"/>
                <w:sz w:val="21"/>
                <w:szCs w:val="21"/>
              </w:rPr>
            </w:pPr>
            <w:r>
              <w:rPr>
                <w:rFonts w:hint="eastAsia"/>
                <w:b w:val="0"/>
                <w:kern w:val="0"/>
                <w:sz w:val="21"/>
                <w:szCs w:val="21"/>
              </w:rPr>
              <w:t>84</w:t>
            </w:r>
          </w:p>
        </w:tc>
        <w:tc>
          <w:tcPr>
            <w:tcW w:w="1541" w:type="dxa"/>
            <w:vAlign w:val="center"/>
          </w:tcPr>
          <w:p>
            <w:pPr>
              <w:pStyle w:val="14"/>
              <w:snapToGrid w:val="0"/>
              <w:spacing w:line="240" w:lineRule="auto"/>
              <w:rPr>
                <w:b w:val="0"/>
                <w:kern w:val="0"/>
                <w:sz w:val="21"/>
                <w:szCs w:val="21"/>
              </w:rPr>
            </w:pPr>
            <w:r>
              <w:rPr>
                <w:rFonts w:hint="eastAsia"/>
                <w:b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pPr>
              <w:pStyle w:val="14"/>
              <w:snapToGrid w:val="0"/>
              <w:spacing w:line="240" w:lineRule="auto"/>
              <w:rPr>
                <w:b w:val="0"/>
                <w:kern w:val="0"/>
                <w:sz w:val="21"/>
                <w:szCs w:val="21"/>
              </w:rPr>
            </w:pPr>
          </w:p>
        </w:tc>
        <w:tc>
          <w:tcPr>
            <w:tcW w:w="1134" w:type="dxa"/>
            <w:vMerge w:val="continue"/>
            <w:vAlign w:val="center"/>
          </w:tcPr>
          <w:p>
            <w:pPr>
              <w:pStyle w:val="14"/>
              <w:snapToGrid w:val="0"/>
              <w:spacing w:line="240" w:lineRule="auto"/>
              <w:rPr>
                <w:b w:val="0"/>
                <w:kern w:val="0"/>
                <w:sz w:val="21"/>
                <w:szCs w:val="21"/>
              </w:rPr>
            </w:pPr>
          </w:p>
        </w:tc>
        <w:tc>
          <w:tcPr>
            <w:tcW w:w="2244" w:type="dxa"/>
            <w:vAlign w:val="center"/>
          </w:tcPr>
          <w:p>
            <w:pPr>
              <w:pStyle w:val="14"/>
              <w:snapToGrid w:val="0"/>
              <w:spacing w:line="240" w:lineRule="auto"/>
              <w:rPr>
                <w:rFonts w:cs="Times New Roman"/>
                <w:b w:val="0"/>
                <w:kern w:val="0"/>
                <w:sz w:val="21"/>
                <w:szCs w:val="21"/>
              </w:rPr>
            </w:pPr>
            <w:r>
              <w:rPr>
                <w:rFonts w:hint="eastAsia" w:cs="Times New Roman"/>
                <w:b w:val="0"/>
                <w:kern w:val="0"/>
                <w:sz w:val="21"/>
                <w:szCs w:val="21"/>
              </w:rPr>
              <w:t>折算浓度（</w:t>
            </w:r>
            <w:r>
              <w:rPr>
                <w:rFonts w:cs="Times New Roman"/>
                <w:b w:val="0"/>
                <w:kern w:val="0"/>
                <w:sz w:val="21"/>
                <w:szCs w:val="21"/>
              </w:rPr>
              <w:t>mg/m</w:t>
            </w:r>
            <w:r>
              <w:rPr>
                <w:rFonts w:cs="Times New Roman"/>
                <w:b w:val="0"/>
                <w:kern w:val="0"/>
                <w:sz w:val="21"/>
                <w:szCs w:val="21"/>
                <w:vertAlign w:val="superscript"/>
              </w:rPr>
              <w:t>3</w:t>
            </w:r>
            <w:r>
              <w:rPr>
                <w:rFonts w:hint="eastAsia" w:cs="Times New Roman"/>
                <w:b w:val="0"/>
                <w:kern w:val="0"/>
                <w:sz w:val="21"/>
                <w:szCs w:val="21"/>
              </w:rPr>
              <w:t>）</w:t>
            </w:r>
          </w:p>
        </w:tc>
        <w:tc>
          <w:tcPr>
            <w:tcW w:w="1540" w:type="dxa"/>
            <w:vAlign w:val="center"/>
          </w:tcPr>
          <w:p>
            <w:pPr>
              <w:pStyle w:val="14"/>
              <w:snapToGrid w:val="0"/>
              <w:spacing w:line="240" w:lineRule="auto"/>
              <w:rPr>
                <w:b w:val="0"/>
                <w:kern w:val="0"/>
                <w:sz w:val="21"/>
                <w:szCs w:val="21"/>
              </w:rPr>
            </w:pPr>
            <w:r>
              <w:rPr>
                <w:rFonts w:hint="eastAsia"/>
                <w:b w:val="0"/>
                <w:kern w:val="0"/>
                <w:sz w:val="21"/>
                <w:szCs w:val="21"/>
              </w:rPr>
              <w:t>112</w:t>
            </w:r>
          </w:p>
        </w:tc>
        <w:tc>
          <w:tcPr>
            <w:tcW w:w="1541" w:type="dxa"/>
            <w:vAlign w:val="center"/>
          </w:tcPr>
          <w:p>
            <w:pPr>
              <w:pStyle w:val="14"/>
              <w:snapToGrid w:val="0"/>
              <w:spacing w:line="240" w:lineRule="auto"/>
              <w:rPr>
                <w:b w:val="0"/>
                <w:kern w:val="0"/>
                <w:sz w:val="21"/>
                <w:szCs w:val="21"/>
              </w:rPr>
            </w:pPr>
            <w:r>
              <w:rPr>
                <w:rFonts w:hint="eastAsia"/>
                <w:b w:val="0"/>
                <w:kern w:val="0"/>
                <w:sz w:val="21"/>
                <w:szCs w:val="21"/>
              </w:rPr>
              <w:t>109</w:t>
            </w:r>
          </w:p>
        </w:tc>
        <w:tc>
          <w:tcPr>
            <w:tcW w:w="1541" w:type="dxa"/>
            <w:vAlign w:val="center"/>
          </w:tcPr>
          <w:p>
            <w:pPr>
              <w:pStyle w:val="14"/>
              <w:snapToGrid w:val="0"/>
              <w:spacing w:line="240" w:lineRule="auto"/>
              <w:rPr>
                <w:b w:val="0"/>
                <w:kern w:val="0"/>
                <w:sz w:val="21"/>
                <w:szCs w:val="21"/>
              </w:rPr>
            </w:pPr>
            <w:r>
              <w:rPr>
                <w:rFonts w:hint="eastAsia"/>
                <w:b w:val="0"/>
                <w:kern w:val="0"/>
                <w:sz w:val="21"/>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pPr>
              <w:pStyle w:val="14"/>
              <w:snapToGrid w:val="0"/>
              <w:spacing w:line="240" w:lineRule="auto"/>
              <w:rPr>
                <w:b w:val="0"/>
                <w:kern w:val="0"/>
                <w:sz w:val="21"/>
                <w:szCs w:val="21"/>
              </w:rPr>
            </w:pPr>
          </w:p>
        </w:tc>
        <w:tc>
          <w:tcPr>
            <w:tcW w:w="1134" w:type="dxa"/>
            <w:vMerge w:val="continue"/>
            <w:vAlign w:val="center"/>
          </w:tcPr>
          <w:p>
            <w:pPr>
              <w:pStyle w:val="14"/>
              <w:snapToGrid w:val="0"/>
              <w:spacing w:line="240" w:lineRule="auto"/>
              <w:rPr>
                <w:b w:val="0"/>
                <w:kern w:val="0"/>
                <w:sz w:val="21"/>
                <w:szCs w:val="21"/>
              </w:rPr>
            </w:pPr>
          </w:p>
        </w:tc>
        <w:tc>
          <w:tcPr>
            <w:tcW w:w="2244" w:type="dxa"/>
            <w:vAlign w:val="center"/>
          </w:tcPr>
          <w:p>
            <w:pPr>
              <w:pStyle w:val="14"/>
              <w:snapToGrid w:val="0"/>
              <w:spacing w:line="240" w:lineRule="auto"/>
              <w:rPr>
                <w:b w:val="0"/>
                <w:kern w:val="0"/>
                <w:sz w:val="21"/>
                <w:szCs w:val="21"/>
              </w:rPr>
            </w:pPr>
            <w:r>
              <w:rPr>
                <w:rFonts w:hint="eastAsia" w:cs="Times New Roman"/>
                <w:b w:val="0"/>
                <w:kern w:val="0"/>
                <w:sz w:val="21"/>
                <w:szCs w:val="21"/>
              </w:rPr>
              <w:t>排放速率（</w:t>
            </w:r>
            <w:r>
              <w:rPr>
                <w:rFonts w:cs="Times New Roman"/>
                <w:b w:val="0"/>
                <w:kern w:val="0"/>
                <w:sz w:val="21"/>
                <w:szCs w:val="21"/>
              </w:rPr>
              <w:t>kg/h</w:t>
            </w:r>
            <w:r>
              <w:rPr>
                <w:rFonts w:hint="eastAsia" w:cs="Times New Roman"/>
                <w:b w:val="0"/>
                <w:kern w:val="0"/>
                <w:sz w:val="21"/>
                <w:szCs w:val="21"/>
              </w:rPr>
              <w:t>）</w:t>
            </w:r>
          </w:p>
        </w:tc>
        <w:tc>
          <w:tcPr>
            <w:tcW w:w="1540" w:type="dxa"/>
            <w:vAlign w:val="center"/>
          </w:tcPr>
          <w:p>
            <w:pPr>
              <w:pStyle w:val="14"/>
              <w:snapToGrid w:val="0"/>
              <w:spacing w:line="240" w:lineRule="auto"/>
              <w:rPr>
                <w:b w:val="0"/>
                <w:kern w:val="0"/>
                <w:sz w:val="21"/>
                <w:szCs w:val="21"/>
              </w:rPr>
            </w:pPr>
            <w:r>
              <w:rPr>
                <w:rFonts w:hint="eastAsia"/>
                <w:b w:val="0"/>
                <w:kern w:val="0"/>
                <w:sz w:val="21"/>
                <w:szCs w:val="21"/>
              </w:rPr>
              <w:t>0.027</w:t>
            </w:r>
          </w:p>
        </w:tc>
        <w:tc>
          <w:tcPr>
            <w:tcW w:w="1541" w:type="dxa"/>
            <w:vAlign w:val="center"/>
          </w:tcPr>
          <w:p>
            <w:pPr>
              <w:pStyle w:val="14"/>
              <w:snapToGrid w:val="0"/>
              <w:spacing w:line="240" w:lineRule="auto"/>
              <w:rPr>
                <w:b w:val="0"/>
                <w:kern w:val="0"/>
                <w:sz w:val="21"/>
                <w:szCs w:val="21"/>
              </w:rPr>
            </w:pPr>
            <w:r>
              <w:rPr>
                <w:rFonts w:hint="eastAsia"/>
                <w:b w:val="0"/>
                <w:kern w:val="0"/>
                <w:sz w:val="21"/>
                <w:szCs w:val="21"/>
              </w:rPr>
              <w:t>0.037</w:t>
            </w:r>
          </w:p>
        </w:tc>
        <w:tc>
          <w:tcPr>
            <w:tcW w:w="1541" w:type="dxa"/>
            <w:vAlign w:val="center"/>
          </w:tcPr>
          <w:p>
            <w:pPr>
              <w:pStyle w:val="14"/>
              <w:snapToGrid w:val="0"/>
              <w:spacing w:line="240" w:lineRule="auto"/>
              <w:rPr>
                <w:b w:val="0"/>
                <w:kern w:val="0"/>
                <w:sz w:val="21"/>
                <w:szCs w:val="21"/>
              </w:rPr>
            </w:pPr>
            <w:r>
              <w:rPr>
                <w:rFonts w:hint="eastAsia"/>
                <w:b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pPr>
              <w:pStyle w:val="14"/>
              <w:snapToGrid w:val="0"/>
              <w:spacing w:line="240" w:lineRule="auto"/>
              <w:rPr>
                <w:b w:val="0"/>
                <w:kern w:val="0"/>
                <w:sz w:val="21"/>
                <w:szCs w:val="21"/>
              </w:rPr>
            </w:pPr>
          </w:p>
        </w:tc>
        <w:tc>
          <w:tcPr>
            <w:tcW w:w="1134" w:type="dxa"/>
            <w:vMerge w:val="continue"/>
            <w:vAlign w:val="center"/>
          </w:tcPr>
          <w:p>
            <w:pPr>
              <w:pStyle w:val="14"/>
              <w:snapToGrid w:val="0"/>
              <w:spacing w:line="240" w:lineRule="auto"/>
              <w:rPr>
                <w:b w:val="0"/>
                <w:kern w:val="0"/>
                <w:sz w:val="21"/>
                <w:szCs w:val="21"/>
              </w:rPr>
            </w:pPr>
          </w:p>
        </w:tc>
        <w:tc>
          <w:tcPr>
            <w:tcW w:w="2244" w:type="dxa"/>
            <w:vAlign w:val="center"/>
          </w:tcPr>
          <w:p>
            <w:pPr>
              <w:pStyle w:val="14"/>
              <w:snapToGrid w:val="0"/>
              <w:spacing w:line="240" w:lineRule="auto"/>
              <w:rPr>
                <w:rFonts w:cs="Times New Roman"/>
                <w:b w:val="0"/>
                <w:kern w:val="0"/>
                <w:sz w:val="21"/>
                <w:szCs w:val="21"/>
              </w:rPr>
            </w:pPr>
            <w:r>
              <w:rPr>
                <w:rFonts w:cs="Times New Roman"/>
                <w:b w:val="0"/>
                <w:kern w:val="0"/>
                <w:sz w:val="21"/>
                <w:szCs w:val="21"/>
              </w:rPr>
              <w:t>排放量（t/a）</w:t>
            </w:r>
          </w:p>
        </w:tc>
        <w:tc>
          <w:tcPr>
            <w:tcW w:w="1540" w:type="dxa"/>
            <w:vAlign w:val="center"/>
          </w:tcPr>
          <w:p>
            <w:pPr>
              <w:pStyle w:val="14"/>
              <w:snapToGrid w:val="0"/>
              <w:spacing w:line="240" w:lineRule="auto"/>
              <w:rPr>
                <w:b w:val="0"/>
                <w:kern w:val="0"/>
                <w:sz w:val="21"/>
                <w:szCs w:val="21"/>
              </w:rPr>
            </w:pPr>
            <w:r>
              <w:rPr>
                <w:rFonts w:hint="eastAsia"/>
                <w:b w:val="0"/>
                <w:kern w:val="0"/>
                <w:sz w:val="21"/>
                <w:szCs w:val="21"/>
              </w:rPr>
              <w:t>0.08</w:t>
            </w:r>
          </w:p>
        </w:tc>
        <w:tc>
          <w:tcPr>
            <w:tcW w:w="1541" w:type="dxa"/>
            <w:vAlign w:val="center"/>
          </w:tcPr>
          <w:p>
            <w:pPr>
              <w:pStyle w:val="14"/>
              <w:snapToGrid w:val="0"/>
              <w:spacing w:line="240" w:lineRule="auto"/>
              <w:rPr>
                <w:b w:val="0"/>
                <w:kern w:val="0"/>
                <w:sz w:val="21"/>
                <w:szCs w:val="21"/>
              </w:rPr>
            </w:pPr>
            <w:r>
              <w:rPr>
                <w:rFonts w:hint="eastAsia"/>
                <w:b w:val="0"/>
                <w:kern w:val="0"/>
                <w:sz w:val="21"/>
                <w:szCs w:val="21"/>
              </w:rPr>
              <w:t>0.11</w:t>
            </w:r>
          </w:p>
        </w:tc>
        <w:tc>
          <w:tcPr>
            <w:tcW w:w="1541" w:type="dxa"/>
            <w:vAlign w:val="center"/>
          </w:tcPr>
          <w:p>
            <w:pPr>
              <w:pStyle w:val="14"/>
              <w:snapToGrid w:val="0"/>
              <w:spacing w:line="240" w:lineRule="auto"/>
              <w:rPr>
                <w:b w:val="0"/>
                <w:kern w:val="0"/>
                <w:sz w:val="21"/>
                <w:szCs w:val="21"/>
              </w:rPr>
            </w:pPr>
          </w:p>
        </w:tc>
      </w:tr>
    </w:tbl>
    <w:p>
      <w:pPr>
        <w:pStyle w:val="14"/>
        <w:ind w:firstLine="480" w:firstLineChars="200"/>
        <w:jc w:val="left"/>
        <w:rPr>
          <w:rFonts w:cs="Times New Roman"/>
          <w:b w:val="0"/>
          <w:kern w:val="0"/>
        </w:rPr>
      </w:pPr>
      <w:r>
        <w:rPr>
          <w:rFonts w:cs="Times New Roman"/>
          <w:b w:val="0"/>
          <w:color w:val="000000" w:themeColor="text1"/>
          <w:kern w:val="0"/>
        </w:rPr>
        <w:t>根据监测结果可知，本项目锅炉废气排放浓度可满足</w:t>
      </w:r>
      <w:r>
        <w:rPr>
          <w:rFonts w:cs="Times New Roman"/>
          <w:b w:val="0"/>
          <w:bCs/>
          <w:color w:val="000000" w:themeColor="text1"/>
          <w:kern w:val="0"/>
        </w:rPr>
        <w:t>锅炉大气污染物排放标准》（GB13271-2014）表3新建燃气锅炉大气污染物排放浓度限值的要求，根据检测值计算可得，本项目锅炉废气中颗粒物的排放量为0.008t/a，SO</w:t>
      </w:r>
      <w:r>
        <w:rPr>
          <w:rFonts w:cs="Times New Roman"/>
          <w:b w:val="0"/>
          <w:bCs/>
          <w:color w:val="000000" w:themeColor="text1"/>
          <w:kern w:val="0"/>
          <w:vertAlign w:val="subscript"/>
        </w:rPr>
        <w:t>2</w:t>
      </w:r>
      <w:r>
        <w:rPr>
          <w:rFonts w:cs="Times New Roman"/>
          <w:b w:val="0"/>
          <w:bCs/>
          <w:color w:val="000000" w:themeColor="text1"/>
          <w:kern w:val="0"/>
        </w:rPr>
        <w:t>的排放量为0.044t/a，NO</w:t>
      </w:r>
      <w:r>
        <w:rPr>
          <w:rFonts w:cs="Times New Roman"/>
          <w:b w:val="0"/>
          <w:bCs/>
          <w:color w:val="000000" w:themeColor="text1"/>
          <w:kern w:val="0"/>
          <w:vertAlign w:val="subscript"/>
        </w:rPr>
        <w:t>x</w:t>
      </w:r>
      <w:r>
        <w:rPr>
          <w:rFonts w:cs="Times New Roman"/>
          <w:b w:val="0"/>
          <w:bCs/>
          <w:color w:val="000000" w:themeColor="text1"/>
          <w:kern w:val="0"/>
        </w:rPr>
        <w:t>的排放量为0.11t/a。本项目共有4台同样型号和功率的热水锅炉，分别一备一用，同时使用的共两台锅炉，则污染物的产生量按照两台来算，则锅炉废气中颗粒物的排放量为0.016t/a，SO</w:t>
      </w:r>
      <w:r>
        <w:rPr>
          <w:rFonts w:cs="Times New Roman"/>
          <w:b w:val="0"/>
          <w:bCs/>
          <w:color w:val="000000" w:themeColor="text1"/>
          <w:kern w:val="0"/>
          <w:vertAlign w:val="subscript"/>
        </w:rPr>
        <w:t>2</w:t>
      </w:r>
      <w:r>
        <w:rPr>
          <w:rFonts w:cs="Times New Roman"/>
          <w:b w:val="0"/>
          <w:bCs/>
          <w:color w:val="000000" w:themeColor="text1"/>
          <w:kern w:val="0"/>
        </w:rPr>
        <w:t>的排放量为0.088t/a，NO</w:t>
      </w:r>
      <w:r>
        <w:rPr>
          <w:rFonts w:cs="Times New Roman"/>
          <w:b w:val="0"/>
          <w:bCs/>
          <w:color w:val="000000" w:themeColor="text1"/>
          <w:kern w:val="0"/>
          <w:vertAlign w:val="subscript"/>
        </w:rPr>
        <w:t>x</w:t>
      </w:r>
      <w:r>
        <w:rPr>
          <w:rFonts w:cs="Times New Roman"/>
          <w:b w:val="0"/>
          <w:bCs/>
          <w:color w:val="000000" w:themeColor="text1"/>
          <w:kern w:val="0"/>
        </w:rPr>
        <w:t>的排放量为0.22t/a。</w:t>
      </w:r>
    </w:p>
    <w:p>
      <w:pPr>
        <w:spacing w:line="360" w:lineRule="auto"/>
        <w:ind w:firstLine="480" w:firstLineChars="200"/>
      </w:pPr>
      <w:r>
        <w:rPr>
          <w:rFonts w:hint="eastAsia"/>
        </w:rPr>
        <w:t>（4）备用发电机燃油废气</w:t>
      </w:r>
    </w:p>
    <w:p>
      <w:pPr>
        <w:spacing w:line="360" w:lineRule="auto"/>
        <w:ind w:firstLine="480" w:firstLineChars="200"/>
      </w:pPr>
      <w:r>
        <w:t>本项目</w:t>
      </w:r>
      <w:r>
        <w:rPr>
          <w:rFonts w:hint="eastAsia"/>
        </w:rPr>
        <w:t>在</w:t>
      </w:r>
      <w:r>
        <w:t>精神病大楼地下室</w:t>
      </w:r>
      <w:r>
        <w:rPr>
          <w:rFonts w:hint="eastAsia"/>
        </w:rPr>
        <w:t>的设施备用房内设置</w:t>
      </w:r>
      <w:r>
        <w:rPr>
          <w:rFonts w:hint="eastAsia" w:hAnsi="宋体"/>
        </w:rPr>
        <w:t>1台单机容量为500kW的发电机</w:t>
      </w:r>
      <w:r>
        <w:t>，作为一级负荷的备用电源，其小时耗油量为</w:t>
      </w:r>
      <w:r>
        <w:rPr>
          <w:rFonts w:hint="eastAsia"/>
        </w:rPr>
        <w:t>660</w:t>
      </w:r>
      <w:r>
        <w:t>kg/h。由于岳阳市的供电比较正常，因此备用柴油发电机的启用次数不多，每个月使用时间小于8h。本环评为便于计算，按每月发电一次，每次运行8h计，则年总耗油量为</w:t>
      </w:r>
      <w:r>
        <w:rPr>
          <w:rFonts w:hint="eastAsia"/>
        </w:rPr>
        <w:t>660</w:t>
      </w:r>
      <w:r>
        <w:t>kg/h×8小时/次×12月/年=</w:t>
      </w:r>
      <w:r>
        <w:rPr>
          <w:rFonts w:hint="eastAsia"/>
        </w:rPr>
        <w:t>63.36</w:t>
      </w:r>
      <w:r>
        <w:t>t/a。</w:t>
      </w:r>
    </w:p>
    <w:p>
      <w:pPr>
        <w:spacing w:line="360" w:lineRule="auto"/>
        <w:ind w:firstLine="480" w:firstLineChars="200"/>
        <w:rPr>
          <w:kern w:val="0"/>
        </w:rPr>
      </w:pPr>
      <w:r>
        <w:rPr>
          <w:kern w:val="0"/>
        </w:rPr>
        <w:t>参照北京市环境保护科学研究院世行课题组编制的《北京环境总体规划研究》中确定的排放系数，即燃烧1t油NO</w:t>
      </w:r>
      <w:r>
        <w:rPr>
          <w:kern w:val="0"/>
          <w:vertAlign w:val="subscript"/>
        </w:rPr>
        <w:t>X</w:t>
      </w:r>
      <w:r>
        <w:rPr>
          <w:kern w:val="0"/>
        </w:rPr>
        <w:t>的排放量为2.94kg，CO的排放量为1.73kg，SO</w:t>
      </w:r>
      <w:r>
        <w:rPr>
          <w:kern w:val="0"/>
          <w:vertAlign w:val="subscript"/>
        </w:rPr>
        <w:t>2</w:t>
      </w:r>
      <w:r>
        <w:rPr>
          <w:kern w:val="0"/>
        </w:rPr>
        <w:t>的排放量为4.57kg，烟尘的排放量为0.81kg，计算得到NO</w:t>
      </w:r>
      <w:r>
        <w:rPr>
          <w:kern w:val="0"/>
          <w:vertAlign w:val="subscript"/>
        </w:rPr>
        <w:t>X</w:t>
      </w:r>
      <w:r>
        <w:rPr>
          <w:kern w:val="0"/>
        </w:rPr>
        <w:t>的排放量为</w:t>
      </w:r>
      <w:r>
        <w:rPr>
          <w:rFonts w:hint="eastAsia"/>
          <w:kern w:val="0"/>
        </w:rPr>
        <w:t>186.28</w:t>
      </w:r>
      <w:r>
        <w:rPr>
          <w:kern w:val="0"/>
        </w:rPr>
        <w:t>kg/a，CO的排放量为</w:t>
      </w:r>
      <w:r>
        <w:rPr>
          <w:rFonts w:hint="eastAsia"/>
          <w:kern w:val="0"/>
        </w:rPr>
        <w:t>109.62</w:t>
      </w:r>
      <w:r>
        <w:rPr>
          <w:kern w:val="0"/>
        </w:rPr>
        <w:t>kg/a，SO</w:t>
      </w:r>
      <w:r>
        <w:rPr>
          <w:kern w:val="0"/>
          <w:vertAlign w:val="subscript"/>
        </w:rPr>
        <w:t>2</w:t>
      </w:r>
      <w:r>
        <w:rPr>
          <w:kern w:val="0"/>
        </w:rPr>
        <w:t>的排放量为</w:t>
      </w:r>
      <w:r>
        <w:rPr>
          <w:rFonts w:hint="eastAsia"/>
          <w:kern w:val="0"/>
        </w:rPr>
        <w:t>289.56</w:t>
      </w:r>
      <w:r>
        <w:rPr>
          <w:kern w:val="0"/>
        </w:rPr>
        <w:t>kg/a，烟尘的排放量为</w:t>
      </w:r>
      <w:r>
        <w:rPr>
          <w:rFonts w:hint="eastAsia"/>
          <w:kern w:val="0"/>
        </w:rPr>
        <w:t>51.32</w:t>
      </w:r>
      <w:r>
        <w:rPr>
          <w:kern w:val="0"/>
        </w:rPr>
        <w:t>kg。发电机尾气</w:t>
      </w:r>
      <w:r>
        <w:rPr>
          <w:rFonts w:hint="eastAsia"/>
          <w:kern w:val="0"/>
        </w:rPr>
        <w:t>拟</w:t>
      </w:r>
      <w:r>
        <w:rPr>
          <w:kern w:val="0"/>
        </w:rPr>
        <w:t>由内置专用烟道引至发电机房所在构筑物楼顶排放。</w:t>
      </w:r>
      <w:r>
        <w:rPr>
          <w:rFonts w:hint="eastAsia"/>
        </w:rPr>
        <w:t>能够满足</w:t>
      </w:r>
      <w:r>
        <w:t>《</w:t>
      </w:r>
      <w:r>
        <w:rPr>
          <w:rFonts w:ascii="Tahoma" w:hAnsi="Tahoma" w:cs="Tahoma"/>
        </w:rPr>
        <w:t>非道路移动机械用柴油机排气污染物排放限值及测量方法(中国第三、四阶段）</w:t>
      </w:r>
      <w:r>
        <w:t>》(GB 20891</w:t>
      </w:r>
      <w:r>
        <w:rPr>
          <w:rFonts w:hint="eastAsia"/>
        </w:rPr>
        <w:t>-</w:t>
      </w:r>
      <w:r>
        <w:t>2014)中</w:t>
      </w:r>
      <w:r>
        <w:rPr>
          <w:rFonts w:hint="eastAsia"/>
        </w:rPr>
        <w:t>第三阶段标准要求</w:t>
      </w:r>
      <w:r>
        <w:rPr>
          <w:kern w:val="0"/>
        </w:rPr>
        <w:t>。</w:t>
      </w:r>
    </w:p>
    <w:p>
      <w:pPr>
        <w:pStyle w:val="14"/>
        <w:spacing w:line="240" w:lineRule="auto"/>
      </w:pPr>
      <w:r>
        <w:rPr>
          <w:rFonts w:hint="eastAsia"/>
          <w:kern w:val="0"/>
        </w:rPr>
        <w:t>表</w:t>
      </w:r>
      <w:r>
        <w:rPr>
          <w:kern w:val="0"/>
        </w:rPr>
        <w:fldChar w:fldCharType="begin"/>
      </w:r>
      <w:r>
        <w:rPr>
          <w:kern w:val="0"/>
        </w:rPr>
        <w:instrText xml:space="preserve"> </w:instrText>
      </w:r>
      <w:r>
        <w:rPr>
          <w:rFonts w:hint="eastAsia"/>
          <w:kern w:val="0"/>
        </w:rPr>
        <w:instrText xml:space="preserve">STYLEREF 2 \s</w:instrText>
      </w:r>
      <w:r>
        <w:rPr>
          <w:kern w:val="0"/>
        </w:rPr>
        <w:instrText xml:space="preserve"> </w:instrText>
      </w:r>
      <w:r>
        <w:rPr>
          <w:kern w:val="0"/>
        </w:rPr>
        <w:fldChar w:fldCharType="separate"/>
      </w:r>
      <w:r>
        <w:rPr>
          <w:kern w:val="0"/>
        </w:rPr>
        <w:t>3.2</w:t>
      </w:r>
      <w:r>
        <w:rPr>
          <w:kern w:val="0"/>
        </w:rPr>
        <w:fldChar w:fldCharType="end"/>
      </w:r>
      <w:r>
        <w:rPr>
          <w:kern w:val="0"/>
        </w:rPr>
        <w:noBreakHyphen/>
      </w:r>
      <w:r>
        <w:rPr>
          <w:kern w:val="0"/>
        </w:rPr>
        <w:fldChar w:fldCharType="begin"/>
      </w:r>
      <w:r>
        <w:rPr>
          <w:kern w:val="0"/>
        </w:rPr>
        <w:instrText xml:space="preserve"> </w:instrText>
      </w:r>
      <w:r>
        <w:rPr>
          <w:rFonts w:hint="eastAsia"/>
          <w:kern w:val="0"/>
        </w:rPr>
        <w:instrText xml:space="preserve">SEQ 表 \* ARABIC \s 2</w:instrText>
      </w:r>
      <w:r>
        <w:rPr>
          <w:kern w:val="0"/>
        </w:rPr>
        <w:instrText xml:space="preserve"> </w:instrText>
      </w:r>
      <w:r>
        <w:rPr>
          <w:kern w:val="0"/>
        </w:rPr>
        <w:fldChar w:fldCharType="separate"/>
      </w:r>
      <w:r>
        <w:rPr>
          <w:kern w:val="0"/>
        </w:rPr>
        <w:t>3</w:t>
      </w:r>
      <w:r>
        <w:rPr>
          <w:kern w:val="0"/>
        </w:rPr>
        <w:fldChar w:fldCharType="end"/>
      </w:r>
      <w:r>
        <w:rPr>
          <w:szCs w:val="24"/>
        </w:rPr>
        <w:t>备用柴油发电机</w:t>
      </w:r>
      <w:r>
        <w:rPr>
          <w:rFonts w:hint="eastAsia"/>
          <w:szCs w:val="24"/>
        </w:rPr>
        <w:t>燃油废气污染物</w:t>
      </w:r>
      <w:r>
        <w:rPr>
          <w:szCs w:val="24"/>
        </w:rPr>
        <w:t>产排</w:t>
      </w:r>
      <w:r>
        <w:rPr>
          <w:rFonts w:hint="eastAsia"/>
          <w:szCs w:val="24"/>
        </w:rPr>
        <w:t>污</w:t>
      </w:r>
      <w:r>
        <w:rPr>
          <w:szCs w:val="24"/>
        </w:rPr>
        <w:t>情况一览表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27"/>
        <w:gridCol w:w="1466"/>
        <w:gridCol w:w="1300"/>
        <w:gridCol w:w="1393"/>
        <w:gridCol w:w="1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39" w:type="pct"/>
            <w:vAlign w:val="center"/>
          </w:tcPr>
          <w:p>
            <w:pPr>
              <w:jc w:val="center"/>
              <w:rPr>
                <w:rFonts w:cs="Times New Roman"/>
                <w:sz w:val="21"/>
              </w:rPr>
            </w:pPr>
            <w:r>
              <w:rPr>
                <w:rFonts w:cs="Times New Roman"/>
                <w:sz w:val="21"/>
              </w:rPr>
              <w:t>污染物</w:t>
            </w:r>
          </w:p>
        </w:tc>
        <w:tc>
          <w:tcPr>
            <w:tcW w:w="760" w:type="pct"/>
            <w:vAlign w:val="center"/>
          </w:tcPr>
          <w:p>
            <w:pPr>
              <w:jc w:val="center"/>
              <w:rPr>
                <w:rFonts w:cs="Times New Roman"/>
                <w:sz w:val="21"/>
              </w:rPr>
            </w:pPr>
            <w:r>
              <w:rPr>
                <w:rFonts w:cs="Times New Roman"/>
                <w:sz w:val="21"/>
              </w:rPr>
              <w:t>SO</w:t>
            </w:r>
            <w:r>
              <w:rPr>
                <w:rFonts w:cs="Times New Roman"/>
                <w:sz w:val="21"/>
                <w:vertAlign w:val="subscript"/>
              </w:rPr>
              <w:t>2</w:t>
            </w:r>
          </w:p>
        </w:tc>
        <w:tc>
          <w:tcPr>
            <w:tcW w:w="674" w:type="pct"/>
            <w:vAlign w:val="center"/>
          </w:tcPr>
          <w:p>
            <w:pPr>
              <w:jc w:val="center"/>
              <w:rPr>
                <w:rFonts w:cs="Times New Roman"/>
                <w:sz w:val="21"/>
              </w:rPr>
            </w:pPr>
            <w:r>
              <w:rPr>
                <w:rFonts w:cs="Times New Roman"/>
                <w:sz w:val="21"/>
              </w:rPr>
              <w:t>NO</w:t>
            </w:r>
            <w:r>
              <w:rPr>
                <w:rFonts w:cs="Times New Roman"/>
                <w:kern w:val="0"/>
                <w:vertAlign w:val="subscript"/>
              </w:rPr>
              <w:t>X</w:t>
            </w:r>
          </w:p>
        </w:tc>
        <w:tc>
          <w:tcPr>
            <w:tcW w:w="722" w:type="pct"/>
            <w:vAlign w:val="center"/>
          </w:tcPr>
          <w:p>
            <w:pPr>
              <w:jc w:val="center"/>
              <w:rPr>
                <w:rFonts w:cs="Times New Roman"/>
                <w:sz w:val="21"/>
              </w:rPr>
            </w:pPr>
            <w:r>
              <w:rPr>
                <w:rFonts w:cs="Times New Roman"/>
                <w:sz w:val="21"/>
              </w:rPr>
              <w:t>CO</w:t>
            </w:r>
          </w:p>
        </w:tc>
        <w:tc>
          <w:tcPr>
            <w:tcW w:w="705" w:type="pct"/>
            <w:vAlign w:val="center"/>
          </w:tcPr>
          <w:p>
            <w:pPr>
              <w:jc w:val="center"/>
              <w:rPr>
                <w:rFonts w:cs="Times New Roman"/>
                <w:sz w:val="21"/>
              </w:rPr>
            </w:pPr>
            <w:r>
              <w:rPr>
                <w:rFonts w:cs="Times New Roman"/>
                <w:sz w:val="21"/>
              </w:rPr>
              <w:t>烟尘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39" w:type="pct"/>
            <w:vAlign w:val="center"/>
          </w:tcPr>
          <w:p>
            <w:pPr>
              <w:jc w:val="center"/>
              <w:rPr>
                <w:rFonts w:cs="Times New Roman"/>
                <w:sz w:val="21"/>
              </w:rPr>
            </w:pPr>
            <w:r>
              <w:rPr>
                <w:rFonts w:cs="Times New Roman"/>
                <w:sz w:val="21"/>
              </w:rPr>
              <w:t>产生量</w:t>
            </w:r>
          </w:p>
        </w:tc>
        <w:tc>
          <w:tcPr>
            <w:tcW w:w="760" w:type="pct"/>
            <w:vAlign w:val="center"/>
          </w:tcPr>
          <w:p>
            <w:pPr>
              <w:jc w:val="center"/>
              <w:rPr>
                <w:rFonts w:cs="Times New Roman"/>
                <w:sz w:val="21"/>
              </w:rPr>
            </w:pPr>
            <w:r>
              <w:rPr>
                <w:rFonts w:cs="Times New Roman"/>
                <w:sz w:val="21"/>
              </w:rPr>
              <w:t>289.56kg/a</w:t>
            </w:r>
          </w:p>
        </w:tc>
        <w:tc>
          <w:tcPr>
            <w:tcW w:w="674" w:type="pct"/>
            <w:vAlign w:val="center"/>
          </w:tcPr>
          <w:p>
            <w:pPr>
              <w:jc w:val="center"/>
              <w:rPr>
                <w:rFonts w:cs="Times New Roman"/>
                <w:sz w:val="21"/>
              </w:rPr>
            </w:pPr>
            <w:r>
              <w:rPr>
                <w:rFonts w:cs="Times New Roman"/>
                <w:sz w:val="21"/>
              </w:rPr>
              <w:t>186.28kg/a</w:t>
            </w:r>
          </w:p>
        </w:tc>
        <w:tc>
          <w:tcPr>
            <w:tcW w:w="722" w:type="pct"/>
            <w:vAlign w:val="center"/>
          </w:tcPr>
          <w:p>
            <w:pPr>
              <w:jc w:val="center"/>
              <w:rPr>
                <w:rFonts w:cs="Times New Roman"/>
                <w:sz w:val="21"/>
              </w:rPr>
            </w:pPr>
            <w:r>
              <w:rPr>
                <w:rFonts w:cs="Times New Roman"/>
                <w:sz w:val="21"/>
              </w:rPr>
              <w:t>109.62kg/a</w:t>
            </w:r>
          </w:p>
        </w:tc>
        <w:tc>
          <w:tcPr>
            <w:tcW w:w="705" w:type="pct"/>
            <w:vAlign w:val="center"/>
          </w:tcPr>
          <w:p>
            <w:pPr>
              <w:jc w:val="center"/>
              <w:rPr>
                <w:rFonts w:cs="Times New Roman"/>
                <w:sz w:val="21"/>
              </w:rPr>
            </w:pPr>
            <w:r>
              <w:rPr>
                <w:rFonts w:cs="Times New Roman"/>
                <w:sz w:val="21"/>
              </w:rPr>
              <w:t>51.32kg/a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39" w:type="pct"/>
            <w:vAlign w:val="center"/>
          </w:tcPr>
          <w:p>
            <w:pPr>
              <w:jc w:val="center"/>
              <w:rPr>
                <w:rFonts w:cs="Times New Roman"/>
                <w:sz w:val="21"/>
              </w:rPr>
            </w:pPr>
            <w:r>
              <w:rPr>
                <w:rFonts w:cs="Times New Roman"/>
                <w:sz w:val="21"/>
              </w:rPr>
              <w:t>治理措施</w:t>
            </w:r>
          </w:p>
        </w:tc>
        <w:tc>
          <w:tcPr>
            <w:tcW w:w="2861" w:type="pct"/>
            <w:gridSpan w:val="4"/>
            <w:vAlign w:val="center"/>
          </w:tcPr>
          <w:p>
            <w:pPr>
              <w:jc w:val="center"/>
              <w:rPr>
                <w:rFonts w:cs="Times New Roman"/>
                <w:sz w:val="21"/>
              </w:rPr>
            </w:pPr>
            <w:r>
              <w:rPr>
                <w:rFonts w:cs="Times New Roman"/>
                <w:sz w:val="21"/>
              </w:rPr>
              <w:t>拟由内置专用烟道引至发电机房所在构筑物楼顶排放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39" w:type="pct"/>
            <w:vAlign w:val="center"/>
          </w:tcPr>
          <w:p>
            <w:pPr>
              <w:jc w:val="center"/>
              <w:rPr>
                <w:rFonts w:cs="Times New Roman"/>
                <w:sz w:val="21"/>
              </w:rPr>
            </w:pPr>
            <w:r>
              <w:rPr>
                <w:rFonts w:cs="Times New Roman"/>
                <w:sz w:val="21"/>
              </w:rPr>
              <w:t>排放量</w:t>
            </w:r>
          </w:p>
        </w:tc>
        <w:tc>
          <w:tcPr>
            <w:tcW w:w="760" w:type="pct"/>
            <w:vAlign w:val="center"/>
          </w:tcPr>
          <w:p>
            <w:pPr>
              <w:jc w:val="center"/>
              <w:rPr>
                <w:rFonts w:cs="Times New Roman"/>
                <w:sz w:val="21"/>
              </w:rPr>
            </w:pPr>
            <w:r>
              <w:rPr>
                <w:rFonts w:cs="Times New Roman"/>
                <w:sz w:val="21"/>
              </w:rPr>
              <w:t>289.56kg/a 1.01g/kw.h</w:t>
            </w:r>
          </w:p>
        </w:tc>
        <w:tc>
          <w:tcPr>
            <w:tcW w:w="674" w:type="pct"/>
            <w:vAlign w:val="center"/>
          </w:tcPr>
          <w:p>
            <w:pPr>
              <w:jc w:val="center"/>
              <w:rPr>
                <w:rFonts w:cs="Times New Roman"/>
                <w:sz w:val="21"/>
              </w:rPr>
            </w:pPr>
            <w:r>
              <w:rPr>
                <w:rFonts w:cs="Times New Roman"/>
                <w:sz w:val="21"/>
              </w:rPr>
              <w:t>186.28kg/a 0.65g/kw.h</w:t>
            </w:r>
          </w:p>
        </w:tc>
        <w:tc>
          <w:tcPr>
            <w:tcW w:w="722" w:type="pct"/>
            <w:vAlign w:val="center"/>
          </w:tcPr>
          <w:p>
            <w:pPr>
              <w:jc w:val="center"/>
              <w:rPr>
                <w:rFonts w:cs="Times New Roman"/>
                <w:sz w:val="21"/>
              </w:rPr>
            </w:pPr>
            <w:r>
              <w:rPr>
                <w:rFonts w:cs="Times New Roman"/>
                <w:sz w:val="21"/>
              </w:rPr>
              <w:t>109.62kg/a 0.38g/kw.h</w:t>
            </w:r>
          </w:p>
        </w:tc>
        <w:tc>
          <w:tcPr>
            <w:tcW w:w="705" w:type="pct"/>
            <w:vAlign w:val="center"/>
          </w:tcPr>
          <w:p>
            <w:pPr>
              <w:jc w:val="center"/>
              <w:rPr>
                <w:rFonts w:cs="Times New Roman"/>
                <w:sz w:val="21"/>
              </w:rPr>
            </w:pPr>
            <w:r>
              <w:rPr>
                <w:rFonts w:cs="Times New Roman"/>
                <w:sz w:val="21"/>
              </w:rPr>
              <w:t>51.32kg/a 0.18g/kw.h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39" w:type="pct"/>
            <w:vAlign w:val="center"/>
          </w:tcPr>
          <w:p>
            <w:pPr>
              <w:jc w:val="center"/>
              <w:rPr>
                <w:rFonts w:cs="Times New Roman"/>
                <w:sz w:val="21"/>
              </w:rPr>
            </w:pPr>
            <w:r>
              <w:rPr>
                <w:rFonts w:cs="Times New Roman"/>
                <w:sz w:val="21"/>
              </w:rPr>
              <w:t>《非道路移动机械用柴油机排气污染物排放限值及测量方法》(GB 20891—2014)中第三阶段标准（g/kw.h）</w:t>
            </w:r>
          </w:p>
        </w:tc>
        <w:tc>
          <w:tcPr>
            <w:tcW w:w="760" w:type="pct"/>
            <w:vAlign w:val="center"/>
          </w:tcPr>
          <w:p>
            <w:pPr>
              <w:jc w:val="center"/>
              <w:rPr>
                <w:rFonts w:cs="Times New Roman"/>
                <w:sz w:val="21"/>
              </w:rPr>
            </w:pPr>
            <w:r>
              <w:rPr>
                <w:rFonts w:cs="Times New Roman"/>
                <w:sz w:val="21"/>
              </w:rPr>
              <w:t>/</w:t>
            </w:r>
          </w:p>
        </w:tc>
        <w:tc>
          <w:tcPr>
            <w:tcW w:w="674" w:type="pct"/>
            <w:vAlign w:val="center"/>
          </w:tcPr>
          <w:p>
            <w:pPr>
              <w:jc w:val="center"/>
              <w:rPr>
                <w:rFonts w:cs="Times New Roman"/>
                <w:sz w:val="21"/>
              </w:rPr>
            </w:pPr>
            <w:r>
              <w:rPr>
                <w:rFonts w:cs="Times New Roman"/>
                <w:sz w:val="21"/>
              </w:rPr>
              <w:t>/</w:t>
            </w:r>
          </w:p>
        </w:tc>
        <w:tc>
          <w:tcPr>
            <w:tcW w:w="722" w:type="pct"/>
            <w:vAlign w:val="center"/>
          </w:tcPr>
          <w:p>
            <w:pPr>
              <w:jc w:val="center"/>
              <w:rPr>
                <w:rFonts w:cs="Times New Roman"/>
                <w:sz w:val="21"/>
              </w:rPr>
            </w:pPr>
            <w:r>
              <w:rPr>
                <w:rFonts w:cs="Times New Roman"/>
                <w:sz w:val="21"/>
              </w:rPr>
              <w:t>3.5</w:t>
            </w:r>
          </w:p>
        </w:tc>
        <w:tc>
          <w:tcPr>
            <w:tcW w:w="705" w:type="pct"/>
            <w:vAlign w:val="center"/>
          </w:tcPr>
          <w:p>
            <w:pPr>
              <w:jc w:val="center"/>
              <w:rPr>
                <w:rFonts w:cs="Times New Roman"/>
                <w:sz w:val="21"/>
              </w:rPr>
            </w:pPr>
            <w:r>
              <w:rPr>
                <w:rFonts w:cs="Times New Roman"/>
                <w:sz w:val="21"/>
              </w:rPr>
              <w:t>0.20</w:t>
            </w:r>
          </w:p>
        </w:tc>
      </w:tr>
    </w:tbl>
    <w:p>
      <w:pPr>
        <w:pStyle w:val="14"/>
        <w:ind w:firstLine="480" w:firstLineChars="200"/>
        <w:jc w:val="left"/>
        <w:rPr>
          <w:b w:val="0"/>
        </w:rPr>
      </w:pPr>
      <w:r>
        <w:rPr>
          <w:rFonts w:hint="eastAsia"/>
          <w:b w:val="0"/>
        </w:rPr>
        <w:t>（5）污水处理站恶臭</w:t>
      </w:r>
    </w:p>
    <w:p>
      <w:pPr>
        <w:pStyle w:val="73"/>
        <w:spacing w:line="360" w:lineRule="auto"/>
        <w:ind w:firstLine="480" w:firstLineChars="200"/>
        <w:jc w:val="both"/>
      </w:pPr>
      <w:r>
        <w:t>污水处理站废水收集后有一定的恶臭气体，主要成为NH</w:t>
      </w:r>
      <w:r>
        <w:rPr>
          <w:vertAlign w:val="subscript"/>
        </w:rPr>
        <w:t>3</w:t>
      </w:r>
      <w:r>
        <w:t>和H</w:t>
      </w:r>
      <w:r>
        <w:rPr>
          <w:vertAlign w:val="subscript"/>
        </w:rPr>
        <w:t>2</w:t>
      </w:r>
      <w:r>
        <w:t>S，因此</w:t>
      </w:r>
      <w:r>
        <w:rPr>
          <w:rFonts w:eastAsia="宋体"/>
        </w:rPr>
        <w:t>本评价以NH</w:t>
      </w:r>
      <w:r>
        <w:rPr>
          <w:rFonts w:eastAsia="宋体"/>
          <w:vertAlign w:val="subscript"/>
        </w:rPr>
        <w:t>3</w:t>
      </w:r>
      <w:r>
        <w:rPr>
          <w:rFonts w:eastAsia="宋体"/>
        </w:rPr>
        <w:t>、H</w:t>
      </w:r>
      <w:r>
        <w:rPr>
          <w:rFonts w:eastAsia="宋体"/>
          <w:vertAlign w:val="subscript"/>
        </w:rPr>
        <w:t>2</w:t>
      </w:r>
      <w:r>
        <w:rPr>
          <w:rFonts w:eastAsia="宋体"/>
        </w:rPr>
        <w:t>S两个因子来分析评价恶臭影响。参照医院类项目恶臭源强分析，</w:t>
      </w:r>
      <w:r>
        <w:t>NH</w:t>
      </w:r>
      <w:r>
        <w:rPr>
          <w:vertAlign w:val="subscript"/>
        </w:rPr>
        <w:t>3</w:t>
      </w:r>
      <w:r>
        <w:t>和H</w:t>
      </w:r>
      <w:r>
        <w:rPr>
          <w:vertAlign w:val="subscript"/>
        </w:rPr>
        <w:t>2</w:t>
      </w:r>
      <w:r>
        <w:t>S产生量按每处理1g</w:t>
      </w:r>
      <w:r>
        <w:rPr>
          <w:rFonts w:eastAsia="宋体"/>
        </w:rPr>
        <w:t>的COD，约产生0.0031g的NH</w:t>
      </w:r>
      <w:r>
        <w:rPr>
          <w:rFonts w:eastAsia="宋体"/>
          <w:vertAlign w:val="subscript"/>
        </w:rPr>
        <w:t>3</w:t>
      </w:r>
      <w:r>
        <w:rPr>
          <w:rFonts w:eastAsia="宋体"/>
        </w:rPr>
        <w:t>、0.00012g的H</w:t>
      </w:r>
      <w:r>
        <w:rPr>
          <w:rFonts w:eastAsia="宋体"/>
          <w:vertAlign w:val="subscript"/>
        </w:rPr>
        <w:t>2</w:t>
      </w:r>
      <w:r>
        <w:rPr>
          <w:rFonts w:eastAsia="宋体"/>
        </w:rPr>
        <w:t>S进行估算，根据工程分析中废水中COD的去除量为14.2t/a，根据计算恶臭源强中NH</w:t>
      </w:r>
      <w:r>
        <w:rPr>
          <w:rFonts w:eastAsia="宋体"/>
          <w:vertAlign w:val="subscript"/>
        </w:rPr>
        <w:t>3</w:t>
      </w:r>
      <w:r>
        <w:rPr>
          <w:rFonts w:eastAsia="宋体"/>
        </w:rPr>
        <w:t>产生量为</w:t>
      </w:r>
      <w:r>
        <w:rPr>
          <w:rFonts w:hint="eastAsia" w:eastAsia="宋体"/>
        </w:rPr>
        <w:t>0.04</w:t>
      </w:r>
      <w:r>
        <w:rPr>
          <w:rFonts w:eastAsia="宋体"/>
        </w:rPr>
        <w:t>t/a，</w:t>
      </w:r>
      <w:r>
        <w:t>H</w:t>
      </w:r>
      <w:r>
        <w:rPr>
          <w:vertAlign w:val="subscript"/>
        </w:rPr>
        <w:t>2</w:t>
      </w:r>
      <w:r>
        <w:t>S的产生量为</w:t>
      </w:r>
      <w:r>
        <w:rPr>
          <w:rFonts w:hint="eastAsia"/>
        </w:rPr>
        <w:t>0.0017</w:t>
      </w:r>
      <w:r>
        <w:t>t/a。本项目的</w:t>
      </w:r>
      <w:r>
        <w:rPr>
          <w:rFonts w:hint="eastAsia"/>
        </w:rPr>
        <w:t>医院</w:t>
      </w:r>
      <w:r>
        <w:t>自建污水处理站主要存于密闭</w:t>
      </w:r>
      <w:r>
        <w:rPr>
          <w:rFonts w:hint="eastAsia"/>
        </w:rPr>
        <w:t>的</w:t>
      </w:r>
      <w:r>
        <w:t>房间中</w:t>
      </w:r>
      <w:r>
        <w:rPr>
          <w:rFonts w:hint="eastAsia"/>
        </w:rPr>
        <w:t>，</w:t>
      </w:r>
      <w:r>
        <w:t>只有少数的臭味</w:t>
      </w:r>
      <w:r>
        <w:rPr>
          <w:rFonts w:hint="eastAsia"/>
        </w:rPr>
        <w:t>，浓度较低。</w:t>
      </w:r>
    </w:p>
    <w:p>
      <w:pPr>
        <w:pStyle w:val="73"/>
        <w:spacing w:line="360" w:lineRule="auto"/>
        <w:ind w:firstLine="480" w:firstLineChars="200"/>
        <w:jc w:val="both"/>
      </w:pPr>
      <w:r>
        <w:rPr>
          <w:rFonts w:hint="eastAsia"/>
        </w:rPr>
        <w:t>本项目使用二氧化氯进行消毒，不会产生氯气。</w:t>
      </w:r>
      <w:r>
        <w:t>本项目依据</w:t>
      </w:r>
      <w:r>
        <w:rPr>
          <w:rFonts w:hint="eastAsia"/>
        </w:rPr>
        <w:t>《医院污水处理技术指南》以及《医疗机构水污染物排放标准》（GB18466-2005），为防病毒从水处理构筑物表面挥发到大气中造成病毒的二次传播污染，建设单位将自建的污水处理站设于室内，并定期喷洒化学除臭剂以消毒除臭气，该法处理效率约为80%。本项目污水处理站臭气排放情况一览表见下表所示。</w:t>
      </w:r>
    </w:p>
    <w:p>
      <w:pPr>
        <w:pStyle w:val="14"/>
        <w:spacing w:line="240" w:lineRule="auto"/>
        <w:rPr>
          <w:rFonts w:cs="Times New Roman"/>
        </w:rPr>
      </w:pPr>
      <w:r>
        <w:rPr>
          <w:rFonts w:hint="eastAsia"/>
        </w:rPr>
        <w:t>表</w:t>
      </w:r>
      <w:r>
        <w:fldChar w:fldCharType="begin"/>
      </w:r>
      <w:r>
        <w:instrText xml:space="preserve"> STYLEREF 2 \s </w:instrText>
      </w:r>
      <w:r>
        <w:fldChar w:fldCharType="separate"/>
      </w:r>
      <w:r>
        <w:t>3.2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4</w:t>
      </w:r>
      <w:r>
        <w:fldChar w:fldCharType="end"/>
      </w:r>
      <w:r>
        <w:rPr>
          <w:rFonts w:hint="eastAsia"/>
        </w:rPr>
        <w:t xml:space="preserve">  污水处理站臭气产排情况一览表</w:t>
      </w:r>
    </w:p>
    <w:tbl>
      <w:tblPr>
        <w:tblStyle w:val="39"/>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44"/>
        <w:gridCol w:w="891"/>
        <w:gridCol w:w="1871"/>
        <w:gridCol w:w="1561"/>
        <w:gridCol w:w="1038"/>
        <w:gridCol w:w="2077"/>
        <w:gridCol w:w="15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235" w:type="pct"/>
            <w:vMerge w:val="restart"/>
            <w:vAlign w:val="center"/>
          </w:tcPr>
          <w:p>
            <w:pPr>
              <w:pStyle w:val="140"/>
              <w:spacing w:line="268" w:lineRule="exac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序号</w:t>
            </w:r>
          </w:p>
        </w:tc>
        <w:tc>
          <w:tcPr>
            <w:tcW w:w="472" w:type="pct"/>
            <w:vMerge w:val="restart"/>
            <w:vAlign w:val="center"/>
          </w:tcPr>
          <w:p>
            <w:pPr>
              <w:pStyle w:val="140"/>
              <w:spacing w:line="253" w:lineRule="exact"/>
              <w:ind w:left="136" w:right="136"/>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污染物</w:t>
            </w:r>
          </w:p>
        </w:tc>
        <w:tc>
          <w:tcPr>
            <w:tcW w:w="1818" w:type="pct"/>
            <w:gridSpan w:val="2"/>
            <w:vAlign w:val="center"/>
          </w:tcPr>
          <w:p>
            <w:pPr>
              <w:pStyle w:val="140"/>
              <w:spacing w:line="251" w:lineRule="exact"/>
              <w:ind w:left="1121" w:right="1116"/>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产生情况</w:t>
            </w:r>
          </w:p>
        </w:tc>
        <w:tc>
          <w:tcPr>
            <w:tcW w:w="550" w:type="pct"/>
            <w:vMerge w:val="restart"/>
            <w:vAlign w:val="center"/>
          </w:tcPr>
          <w:p>
            <w:pPr>
              <w:pStyle w:val="140"/>
              <w:spacing w:line="268" w:lineRule="exact"/>
              <w:ind w:left="150" w:right="144"/>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处理效率</w:t>
            </w:r>
          </w:p>
        </w:tc>
        <w:tc>
          <w:tcPr>
            <w:tcW w:w="1925" w:type="pct"/>
            <w:gridSpan w:val="2"/>
            <w:vAlign w:val="center"/>
          </w:tcPr>
          <w:p>
            <w:pPr>
              <w:pStyle w:val="140"/>
              <w:spacing w:line="251" w:lineRule="exact"/>
              <w:ind w:left="1211" w:right="1209"/>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排放情况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235" w:type="pct"/>
            <w:vMerge w:val="continue"/>
            <w:vAlign w:val="center"/>
          </w:tcPr>
          <w:p>
            <w:pPr>
              <w:widowControl/>
              <w:jc w:val="center"/>
              <w:rPr>
                <w:rFonts w:cs="Times New Roman"/>
                <w:bCs/>
                <w:sz w:val="21"/>
              </w:rPr>
            </w:pPr>
          </w:p>
        </w:tc>
        <w:tc>
          <w:tcPr>
            <w:tcW w:w="472" w:type="pct"/>
            <w:vMerge w:val="continue"/>
            <w:vAlign w:val="center"/>
          </w:tcPr>
          <w:p>
            <w:pPr>
              <w:pStyle w:val="140"/>
              <w:spacing w:line="253" w:lineRule="exact"/>
              <w:ind w:left="136" w:right="136"/>
              <w:rPr>
                <w:rFonts w:ascii="Times New Roman" w:hAnsi="Times New Roman" w:cs="Times New Roman" w:eastAsiaTheme="minorEastAsia"/>
                <w:bCs/>
                <w:sz w:val="21"/>
                <w:szCs w:val="21"/>
              </w:rPr>
            </w:pPr>
          </w:p>
        </w:tc>
        <w:tc>
          <w:tcPr>
            <w:tcW w:w="991" w:type="pct"/>
            <w:vAlign w:val="center"/>
          </w:tcPr>
          <w:p>
            <w:pPr>
              <w:pStyle w:val="140"/>
              <w:spacing w:line="253" w:lineRule="exact"/>
              <w:ind w:left="136" w:right="136"/>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产生速率(kg/h)</w:t>
            </w:r>
          </w:p>
        </w:tc>
        <w:tc>
          <w:tcPr>
            <w:tcW w:w="827" w:type="pct"/>
            <w:vAlign w:val="center"/>
          </w:tcPr>
          <w:p>
            <w:pPr>
              <w:pStyle w:val="140"/>
              <w:spacing w:line="253" w:lineRule="exact"/>
              <w:ind w:left="192" w:right="182"/>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产生量(t/a)</w:t>
            </w:r>
          </w:p>
        </w:tc>
        <w:tc>
          <w:tcPr>
            <w:tcW w:w="550" w:type="pct"/>
            <w:vMerge w:val="continue"/>
            <w:vAlign w:val="center"/>
          </w:tcPr>
          <w:p>
            <w:pPr>
              <w:widowControl/>
              <w:jc w:val="center"/>
              <w:rPr>
                <w:rFonts w:cs="Times New Roman"/>
                <w:bCs/>
                <w:sz w:val="21"/>
              </w:rPr>
            </w:pPr>
          </w:p>
        </w:tc>
        <w:tc>
          <w:tcPr>
            <w:tcW w:w="1100" w:type="pct"/>
            <w:vAlign w:val="center"/>
          </w:tcPr>
          <w:p>
            <w:pPr>
              <w:pStyle w:val="140"/>
              <w:spacing w:line="253" w:lineRule="exact"/>
              <w:ind w:left="229" w:right="225"/>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排放速率(kg/h)</w:t>
            </w:r>
          </w:p>
        </w:tc>
        <w:tc>
          <w:tcPr>
            <w:tcW w:w="825" w:type="pct"/>
            <w:vAlign w:val="center"/>
          </w:tcPr>
          <w:p>
            <w:pPr>
              <w:pStyle w:val="140"/>
              <w:spacing w:line="253" w:lineRule="exact"/>
              <w:ind w:left="189" w:right="186"/>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排放量(t/a)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235" w:type="pct"/>
            <w:vAlign w:val="center"/>
          </w:tcPr>
          <w:p>
            <w:pPr>
              <w:pStyle w:val="140"/>
              <w:spacing w:line="222" w:lineRule="exact"/>
              <w:rPr>
                <w:rFonts w:ascii="Times New Roman" w:hAnsi="Times New Roman" w:cs="Times New Roman" w:eastAsiaTheme="minorEastAsia"/>
                <w:sz w:val="21"/>
                <w:szCs w:val="21"/>
              </w:rPr>
            </w:pPr>
            <w:r>
              <w:rPr>
                <w:rFonts w:ascii="Times New Roman" w:hAnsi="Times New Roman" w:cs="Times New Roman" w:eastAsiaTheme="minorEastAsia"/>
                <w:sz w:val="21"/>
                <w:szCs w:val="21"/>
              </w:rPr>
              <w:t>1</w:t>
            </w:r>
          </w:p>
        </w:tc>
        <w:tc>
          <w:tcPr>
            <w:tcW w:w="472" w:type="pct"/>
            <w:vAlign w:val="center"/>
          </w:tcPr>
          <w:p>
            <w:pPr>
              <w:pStyle w:val="140"/>
              <w:spacing w:line="253" w:lineRule="exact"/>
              <w:ind w:left="136" w:right="136"/>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H</w:t>
            </w:r>
            <w:r>
              <w:rPr>
                <w:rFonts w:ascii="Times New Roman" w:hAnsi="Times New Roman" w:cs="Times New Roman" w:eastAsiaTheme="minorEastAsia"/>
                <w:bCs/>
                <w:sz w:val="21"/>
                <w:szCs w:val="21"/>
                <w:vertAlign w:val="subscript"/>
              </w:rPr>
              <w:t>2</w:t>
            </w:r>
            <w:r>
              <w:rPr>
                <w:rFonts w:ascii="Times New Roman" w:hAnsi="Times New Roman" w:cs="Times New Roman" w:eastAsiaTheme="minorEastAsia"/>
                <w:bCs/>
                <w:sz w:val="21"/>
                <w:szCs w:val="21"/>
              </w:rPr>
              <w:t>S</w:t>
            </w:r>
          </w:p>
        </w:tc>
        <w:tc>
          <w:tcPr>
            <w:tcW w:w="991" w:type="pct"/>
            <w:vAlign w:val="center"/>
          </w:tcPr>
          <w:p>
            <w:pPr>
              <w:pStyle w:val="140"/>
              <w:spacing w:line="222" w:lineRule="exact"/>
              <w:ind w:left="136" w:right="132"/>
              <w:rPr>
                <w:rFonts w:ascii="Times New Roman" w:hAnsi="Times New Roman" w:cs="Times New Roman" w:eastAsiaTheme="minorEastAsia"/>
                <w:sz w:val="21"/>
                <w:szCs w:val="21"/>
              </w:rPr>
            </w:pPr>
            <w:r>
              <w:rPr>
                <w:rFonts w:ascii="Times New Roman" w:hAnsi="Times New Roman" w:cs="Times New Roman" w:eastAsiaTheme="minorEastAsia"/>
                <w:sz w:val="21"/>
                <w:szCs w:val="21"/>
              </w:rPr>
              <w:t>0.0046</w:t>
            </w:r>
          </w:p>
        </w:tc>
        <w:tc>
          <w:tcPr>
            <w:tcW w:w="827" w:type="pct"/>
            <w:vAlign w:val="center"/>
          </w:tcPr>
          <w:p>
            <w:pPr>
              <w:pStyle w:val="140"/>
              <w:spacing w:line="222" w:lineRule="exact"/>
              <w:ind w:left="191" w:right="182"/>
              <w:rPr>
                <w:rFonts w:ascii="Times New Roman" w:hAnsi="Times New Roman" w:cs="Times New Roman" w:eastAsiaTheme="minorEastAsia"/>
                <w:sz w:val="21"/>
                <w:szCs w:val="21"/>
              </w:rPr>
            </w:pPr>
            <w:r>
              <w:rPr>
                <w:rFonts w:ascii="Times New Roman" w:hAnsi="Times New Roman" w:cs="Times New Roman" w:eastAsiaTheme="minorEastAsia"/>
                <w:sz w:val="21"/>
                <w:szCs w:val="21"/>
              </w:rPr>
              <w:t>0.0017</w:t>
            </w:r>
          </w:p>
        </w:tc>
        <w:tc>
          <w:tcPr>
            <w:tcW w:w="550" w:type="pct"/>
            <w:vMerge w:val="restart"/>
            <w:vAlign w:val="center"/>
          </w:tcPr>
          <w:p>
            <w:pPr>
              <w:pStyle w:val="140"/>
              <w:spacing w:before="118"/>
              <w:rPr>
                <w:rFonts w:ascii="Times New Roman" w:hAnsi="Times New Roman" w:cs="Times New Roman" w:eastAsiaTheme="minorEastAsia"/>
                <w:sz w:val="21"/>
                <w:szCs w:val="21"/>
              </w:rPr>
            </w:pPr>
            <w:r>
              <w:rPr>
                <w:rFonts w:ascii="Times New Roman" w:hAnsi="Times New Roman" w:cs="Times New Roman" w:eastAsiaTheme="minorEastAsia"/>
                <w:sz w:val="21"/>
                <w:szCs w:val="21"/>
              </w:rPr>
              <w:t>80%</w:t>
            </w:r>
          </w:p>
        </w:tc>
        <w:tc>
          <w:tcPr>
            <w:tcW w:w="1100" w:type="pct"/>
            <w:vAlign w:val="center"/>
          </w:tcPr>
          <w:p>
            <w:pPr>
              <w:pStyle w:val="140"/>
              <w:spacing w:line="222" w:lineRule="exact"/>
              <w:ind w:left="228" w:right="225"/>
              <w:rPr>
                <w:rFonts w:ascii="Times New Roman" w:hAnsi="Times New Roman" w:cs="Times New Roman" w:eastAsiaTheme="minorEastAsia"/>
                <w:sz w:val="21"/>
                <w:szCs w:val="21"/>
              </w:rPr>
            </w:pPr>
            <w:r>
              <w:rPr>
                <w:rFonts w:ascii="Times New Roman" w:hAnsi="Times New Roman" w:cs="Times New Roman" w:eastAsiaTheme="minorEastAsia"/>
                <w:sz w:val="21"/>
                <w:szCs w:val="21"/>
              </w:rPr>
              <w:t>0.0000039</w:t>
            </w:r>
          </w:p>
        </w:tc>
        <w:tc>
          <w:tcPr>
            <w:tcW w:w="825" w:type="pct"/>
            <w:vAlign w:val="center"/>
          </w:tcPr>
          <w:p>
            <w:pPr>
              <w:pStyle w:val="140"/>
              <w:spacing w:line="222" w:lineRule="exact"/>
              <w:ind w:left="187" w:right="186"/>
              <w:rPr>
                <w:rFonts w:ascii="Times New Roman" w:hAnsi="Times New Roman" w:cs="Times New Roman" w:eastAsiaTheme="minorEastAsia"/>
                <w:sz w:val="21"/>
                <w:szCs w:val="21"/>
              </w:rPr>
            </w:pPr>
            <w:r>
              <w:rPr>
                <w:rFonts w:ascii="Times New Roman" w:hAnsi="Times New Roman" w:cs="Times New Roman" w:eastAsiaTheme="minorEastAsia"/>
                <w:sz w:val="21"/>
                <w:szCs w:val="21"/>
              </w:rPr>
              <w:t>0.00034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235" w:type="pct"/>
            <w:vAlign w:val="center"/>
          </w:tcPr>
          <w:p>
            <w:pPr>
              <w:pStyle w:val="140"/>
              <w:spacing w:line="222" w:lineRule="exact"/>
              <w:rPr>
                <w:rFonts w:ascii="Times New Roman" w:hAnsi="Times New Roman" w:cs="Times New Roman" w:eastAsiaTheme="minorEastAsia"/>
                <w:sz w:val="21"/>
                <w:szCs w:val="21"/>
              </w:rPr>
            </w:pPr>
            <w:r>
              <w:rPr>
                <w:rFonts w:ascii="Times New Roman" w:hAnsi="Times New Roman" w:cs="Times New Roman" w:eastAsiaTheme="minorEastAsia"/>
                <w:sz w:val="21"/>
                <w:szCs w:val="21"/>
              </w:rPr>
              <w:t>2</w:t>
            </w:r>
          </w:p>
        </w:tc>
        <w:tc>
          <w:tcPr>
            <w:tcW w:w="472" w:type="pct"/>
            <w:vAlign w:val="center"/>
          </w:tcPr>
          <w:p>
            <w:pPr>
              <w:pStyle w:val="140"/>
              <w:spacing w:line="253" w:lineRule="exact"/>
              <w:ind w:left="136" w:right="136"/>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NH</w:t>
            </w:r>
            <w:r>
              <w:rPr>
                <w:rFonts w:ascii="Times New Roman" w:hAnsi="Times New Roman" w:cs="Times New Roman" w:eastAsiaTheme="minorEastAsia"/>
                <w:bCs/>
                <w:sz w:val="21"/>
                <w:szCs w:val="21"/>
                <w:vertAlign w:val="subscript"/>
              </w:rPr>
              <w:t>3</w:t>
            </w:r>
          </w:p>
        </w:tc>
        <w:tc>
          <w:tcPr>
            <w:tcW w:w="991" w:type="pct"/>
            <w:vAlign w:val="center"/>
          </w:tcPr>
          <w:p>
            <w:pPr>
              <w:pStyle w:val="140"/>
              <w:spacing w:line="222" w:lineRule="exact"/>
              <w:ind w:left="136" w:right="135"/>
              <w:rPr>
                <w:rFonts w:ascii="Times New Roman" w:hAnsi="Times New Roman" w:cs="Times New Roman" w:eastAsiaTheme="minorEastAsia"/>
                <w:sz w:val="21"/>
                <w:szCs w:val="21"/>
              </w:rPr>
            </w:pPr>
            <w:r>
              <w:rPr>
                <w:rFonts w:ascii="Times New Roman" w:hAnsi="Times New Roman" w:cs="Times New Roman" w:eastAsiaTheme="minorEastAsia"/>
                <w:sz w:val="21"/>
                <w:szCs w:val="21"/>
              </w:rPr>
              <w:t>0.0001</w:t>
            </w:r>
          </w:p>
        </w:tc>
        <w:tc>
          <w:tcPr>
            <w:tcW w:w="827" w:type="pct"/>
            <w:vAlign w:val="center"/>
          </w:tcPr>
          <w:p>
            <w:pPr>
              <w:pStyle w:val="140"/>
              <w:spacing w:line="222" w:lineRule="exact"/>
              <w:ind w:left="191" w:right="182"/>
              <w:rPr>
                <w:rFonts w:ascii="Times New Roman" w:hAnsi="Times New Roman" w:cs="Times New Roman" w:eastAsiaTheme="minorEastAsia"/>
                <w:sz w:val="21"/>
                <w:szCs w:val="21"/>
              </w:rPr>
            </w:pPr>
            <w:r>
              <w:rPr>
                <w:rFonts w:ascii="Times New Roman" w:hAnsi="Times New Roman" w:cs="Times New Roman" w:eastAsiaTheme="minorEastAsia"/>
                <w:sz w:val="21"/>
                <w:szCs w:val="21"/>
              </w:rPr>
              <w:t>0.04</w:t>
            </w:r>
          </w:p>
        </w:tc>
        <w:tc>
          <w:tcPr>
            <w:tcW w:w="550" w:type="pct"/>
            <w:vMerge w:val="continue"/>
            <w:vAlign w:val="center"/>
          </w:tcPr>
          <w:p>
            <w:pPr>
              <w:widowControl/>
              <w:jc w:val="center"/>
              <w:rPr>
                <w:rFonts w:cs="Times New Roman"/>
                <w:sz w:val="21"/>
              </w:rPr>
            </w:pPr>
          </w:p>
        </w:tc>
        <w:tc>
          <w:tcPr>
            <w:tcW w:w="1100" w:type="pct"/>
            <w:vAlign w:val="center"/>
          </w:tcPr>
          <w:p>
            <w:pPr>
              <w:pStyle w:val="140"/>
              <w:spacing w:line="222" w:lineRule="exact"/>
              <w:ind w:left="229" w:right="223"/>
              <w:rPr>
                <w:rFonts w:ascii="Times New Roman" w:hAnsi="Times New Roman" w:cs="Times New Roman" w:eastAsiaTheme="minorEastAsia"/>
                <w:sz w:val="21"/>
                <w:szCs w:val="21"/>
              </w:rPr>
            </w:pPr>
            <w:r>
              <w:rPr>
                <w:rFonts w:ascii="Times New Roman" w:hAnsi="Times New Roman" w:cs="Times New Roman" w:eastAsiaTheme="minorEastAsia"/>
                <w:sz w:val="21"/>
                <w:szCs w:val="21"/>
              </w:rPr>
              <w:t>0.000092</w:t>
            </w:r>
          </w:p>
        </w:tc>
        <w:tc>
          <w:tcPr>
            <w:tcW w:w="825" w:type="pct"/>
            <w:vAlign w:val="center"/>
          </w:tcPr>
          <w:p>
            <w:pPr>
              <w:pStyle w:val="140"/>
              <w:spacing w:line="222" w:lineRule="exact"/>
              <w:ind w:left="189" w:right="186"/>
              <w:rPr>
                <w:rFonts w:ascii="Times New Roman" w:hAnsi="Times New Roman" w:cs="Times New Roman" w:eastAsiaTheme="minorEastAsia"/>
                <w:sz w:val="21"/>
                <w:szCs w:val="21"/>
              </w:rPr>
            </w:pPr>
            <w:r>
              <w:rPr>
                <w:rFonts w:ascii="Times New Roman" w:hAnsi="Times New Roman" w:cs="Times New Roman" w:eastAsiaTheme="minorEastAsia"/>
                <w:sz w:val="21"/>
                <w:szCs w:val="21"/>
              </w:rPr>
              <w:t>0.008</w:t>
            </w:r>
          </w:p>
        </w:tc>
      </w:tr>
    </w:tbl>
    <w:p>
      <w:pPr>
        <w:pStyle w:val="73"/>
        <w:snapToGrid w:val="0"/>
        <w:spacing w:line="360" w:lineRule="auto"/>
        <w:ind w:firstLine="480" w:firstLineChars="200"/>
        <w:jc w:val="both"/>
      </w:pPr>
      <w:r>
        <w:t>为了解本项目污水处理站周围臭气的产生情况</w:t>
      </w:r>
      <w:r>
        <w:rPr>
          <w:rFonts w:hint="eastAsia"/>
        </w:rPr>
        <w:t>，</w:t>
      </w:r>
      <w:r>
        <w:t>本环评委托湖南精准通检测技术有限公司于2019.8.1~</w:t>
      </w:r>
      <w:r>
        <w:rPr>
          <w:rFonts w:hint="eastAsia"/>
        </w:rPr>
        <w:t>2019.8.2对医院污水处理站进行了</w:t>
      </w:r>
      <w:r>
        <w:t>H</w:t>
      </w:r>
      <w:r>
        <w:rPr>
          <w:vertAlign w:val="subscript"/>
        </w:rPr>
        <w:t>2</w:t>
      </w:r>
      <w:r>
        <w:t>S、NH</w:t>
      </w:r>
      <w:r>
        <w:rPr>
          <w:vertAlign w:val="subscript"/>
        </w:rPr>
        <w:t>3</w:t>
      </w:r>
      <w:r>
        <w:t>浓度监测，具体监测结果如下：</w:t>
      </w:r>
    </w:p>
    <w:p>
      <w:pPr>
        <w:pStyle w:val="73"/>
        <w:jc w:val="center"/>
        <w:rPr>
          <w:b/>
        </w:rPr>
      </w:pPr>
    </w:p>
    <w:p>
      <w:pPr>
        <w:pStyle w:val="73"/>
        <w:jc w:val="center"/>
        <w:rPr>
          <w:b/>
        </w:rPr>
      </w:pPr>
    </w:p>
    <w:p>
      <w:pPr>
        <w:pStyle w:val="73"/>
        <w:jc w:val="center"/>
        <w:rPr>
          <w:b/>
          <w:sz w:val="14"/>
          <w:szCs w:val="14"/>
        </w:rPr>
      </w:pPr>
      <w:r>
        <w:rPr>
          <w:rFonts w:hint="eastAsia"/>
          <w:b/>
        </w:rPr>
        <w:t>表</w:t>
      </w:r>
      <w:r>
        <w:rPr>
          <w:b/>
        </w:rPr>
        <w:fldChar w:fldCharType="begin"/>
      </w:r>
      <w:r>
        <w:rPr>
          <w:b/>
        </w:rPr>
        <w:instrText xml:space="preserve"> </w:instrText>
      </w:r>
      <w:r>
        <w:rPr>
          <w:rFonts w:hint="eastAsia"/>
          <w:b/>
        </w:rPr>
        <w:instrText xml:space="preserve">STYLEREF 2 \s</w:instrText>
      </w:r>
      <w:r>
        <w:rPr>
          <w:b/>
        </w:rPr>
        <w:instrText xml:space="preserve"> </w:instrText>
      </w:r>
      <w:r>
        <w:rPr>
          <w:b/>
        </w:rPr>
        <w:fldChar w:fldCharType="separate"/>
      </w:r>
      <w:r>
        <w:rPr>
          <w:b/>
        </w:rPr>
        <w:t>3.2</w:t>
      </w:r>
      <w:r>
        <w:rPr>
          <w:b/>
        </w:rPr>
        <w:fldChar w:fldCharType="end"/>
      </w:r>
      <w:r>
        <w:rPr>
          <w:b/>
        </w:rPr>
        <w:noBreakHyphen/>
      </w:r>
      <w:r>
        <w:rPr>
          <w:b/>
        </w:rPr>
        <w:fldChar w:fldCharType="begin"/>
      </w:r>
      <w:r>
        <w:rPr>
          <w:b/>
        </w:rPr>
        <w:instrText xml:space="preserve"> </w:instrText>
      </w:r>
      <w:r>
        <w:rPr>
          <w:rFonts w:hint="eastAsia"/>
          <w:b/>
        </w:rPr>
        <w:instrText xml:space="preserve">SEQ 表 \* ARABIC \s 2</w:instrText>
      </w:r>
      <w:r>
        <w:rPr>
          <w:b/>
        </w:rPr>
        <w:instrText xml:space="preserve"> </w:instrText>
      </w:r>
      <w:r>
        <w:rPr>
          <w:b/>
        </w:rPr>
        <w:fldChar w:fldCharType="separate"/>
      </w:r>
      <w:r>
        <w:rPr>
          <w:b/>
        </w:rPr>
        <w:t>5</w:t>
      </w:r>
      <w:r>
        <w:rPr>
          <w:b/>
        </w:rPr>
        <w:fldChar w:fldCharType="end"/>
      </w:r>
      <w:r>
        <w:rPr>
          <w:rFonts w:hint="eastAsia"/>
          <w:b/>
        </w:rPr>
        <w:t xml:space="preserve">  项目臭气浓度监测结果表  单位（</w:t>
      </w:r>
      <w:r>
        <w:rPr>
          <w:b/>
          <w:bCs/>
          <w:sz w:val="21"/>
          <w:szCs w:val="21"/>
        </w:rPr>
        <w:t>mg/m</w:t>
      </w:r>
      <w:r>
        <w:rPr>
          <w:b/>
          <w:bCs/>
          <w:vertAlign w:val="superscript"/>
        </w:rPr>
        <w:t>3</w:t>
      </w:r>
      <w:r>
        <w:rPr>
          <w:rFonts w:hint="eastAsia"/>
          <w:b/>
        </w:rPr>
        <w:t>）</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1"/>
        <w:gridCol w:w="2411"/>
        <w:gridCol w:w="2412"/>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Merge w:val="restart"/>
            <w:vAlign w:val="center"/>
          </w:tcPr>
          <w:p>
            <w:pPr>
              <w:pStyle w:val="14"/>
              <w:rPr>
                <w:rFonts w:cs="Times New Roman"/>
                <w:b w:val="0"/>
                <w:kern w:val="0"/>
                <w:sz w:val="21"/>
                <w:szCs w:val="21"/>
              </w:rPr>
            </w:pPr>
            <w:r>
              <w:rPr>
                <w:rFonts w:cs="Times New Roman"/>
                <w:b w:val="0"/>
                <w:kern w:val="0"/>
                <w:sz w:val="21"/>
                <w:szCs w:val="21"/>
              </w:rPr>
              <w:t>采样点位</w:t>
            </w:r>
          </w:p>
        </w:tc>
        <w:tc>
          <w:tcPr>
            <w:tcW w:w="1250" w:type="pct"/>
            <w:vMerge w:val="restart"/>
            <w:vAlign w:val="center"/>
          </w:tcPr>
          <w:p>
            <w:pPr>
              <w:pStyle w:val="14"/>
              <w:rPr>
                <w:rFonts w:cs="Times New Roman"/>
                <w:b w:val="0"/>
                <w:kern w:val="0"/>
                <w:sz w:val="21"/>
                <w:szCs w:val="21"/>
              </w:rPr>
            </w:pPr>
            <w:r>
              <w:rPr>
                <w:rFonts w:cs="Times New Roman"/>
                <w:b w:val="0"/>
                <w:kern w:val="0"/>
                <w:sz w:val="21"/>
                <w:szCs w:val="21"/>
              </w:rPr>
              <w:t>采样日期</w:t>
            </w:r>
          </w:p>
        </w:tc>
        <w:tc>
          <w:tcPr>
            <w:tcW w:w="2501" w:type="pct"/>
            <w:gridSpan w:val="2"/>
            <w:vAlign w:val="center"/>
          </w:tcPr>
          <w:p>
            <w:pPr>
              <w:pStyle w:val="14"/>
              <w:rPr>
                <w:rFonts w:cs="Times New Roman"/>
                <w:b w:val="0"/>
                <w:kern w:val="0"/>
                <w:sz w:val="21"/>
                <w:szCs w:val="21"/>
              </w:rPr>
            </w:pPr>
            <w:r>
              <w:rPr>
                <w:rFonts w:cs="Times New Roman"/>
                <w:b w:val="0"/>
                <w:kern w:val="0"/>
                <w:sz w:val="21"/>
                <w:szCs w:val="21"/>
              </w:rPr>
              <w:t>检测结果mg/m</w:t>
            </w:r>
            <w:r>
              <w:rPr>
                <w:rFonts w:cs="Times New Roman"/>
                <w:b w:val="0"/>
                <w:kern w:val="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Merge w:val="continue"/>
            <w:vAlign w:val="center"/>
          </w:tcPr>
          <w:p>
            <w:pPr>
              <w:pStyle w:val="14"/>
              <w:rPr>
                <w:rFonts w:cs="Times New Roman"/>
                <w:b w:val="0"/>
                <w:kern w:val="0"/>
                <w:sz w:val="21"/>
                <w:szCs w:val="21"/>
              </w:rPr>
            </w:pPr>
          </w:p>
        </w:tc>
        <w:tc>
          <w:tcPr>
            <w:tcW w:w="1250" w:type="pct"/>
            <w:vMerge w:val="continue"/>
            <w:vAlign w:val="center"/>
          </w:tcPr>
          <w:p>
            <w:pPr>
              <w:pStyle w:val="14"/>
              <w:rPr>
                <w:rFonts w:cs="Times New Roman"/>
                <w:b w:val="0"/>
                <w:kern w:val="0"/>
                <w:sz w:val="21"/>
                <w:szCs w:val="21"/>
              </w:rPr>
            </w:pPr>
          </w:p>
        </w:tc>
        <w:tc>
          <w:tcPr>
            <w:tcW w:w="1250" w:type="pct"/>
            <w:vAlign w:val="center"/>
          </w:tcPr>
          <w:p>
            <w:pPr>
              <w:pStyle w:val="14"/>
              <w:rPr>
                <w:rFonts w:cs="Times New Roman"/>
                <w:b w:val="0"/>
                <w:kern w:val="0"/>
                <w:sz w:val="21"/>
                <w:szCs w:val="21"/>
              </w:rPr>
            </w:pPr>
            <w:r>
              <w:rPr>
                <w:rFonts w:cs="Times New Roman"/>
                <w:b w:val="0"/>
                <w:bCs/>
                <w:kern w:val="0"/>
                <w:sz w:val="21"/>
                <w:szCs w:val="21"/>
              </w:rPr>
              <w:t>NH</w:t>
            </w:r>
            <w:r>
              <w:rPr>
                <w:rFonts w:cs="Times New Roman"/>
                <w:b w:val="0"/>
                <w:bCs/>
                <w:kern w:val="0"/>
                <w:sz w:val="21"/>
                <w:szCs w:val="21"/>
                <w:vertAlign w:val="subscript"/>
              </w:rPr>
              <w:t>3</w:t>
            </w:r>
          </w:p>
        </w:tc>
        <w:tc>
          <w:tcPr>
            <w:tcW w:w="1250" w:type="pct"/>
            <w:vAlign w:val="center"/>
          </w:tcPr>
          <w:p>
            <w:pPr>
              <w:pStyle w:val="14"/>
              <w:rPr>
                <w:rFonts w:cs="Times New Roman"/>
                <w:b w:val="0"/>
                <w:kern w:val="0"/>
                <w:sz w:val="21"/>
                <w:szCs w:val="21"/>
              </w:rPr>
            </w:pPr>
            <w:r>
              <w:rPr>
                <w:rFonts w:cs="Times New Roman"/>
                <w:b w:val="0"/>
                <w:bCs/>
                <w:kern w:val="0"/>
                <w:sz w:val="21"/>
                <w:szCs w:val="21"/>
              </w:rPr>
              <w:t>H</w:t>
            </w:r>
            <w:r>
              <w:rPr>
                <w:rFonts w:cs="Times New Roman"/>
                <w:b w:val="0"/>
                <w:bCs/>
                <w:kern w:val="0"/>
                <w:sz w:val="21"/>
                <w:szCs w:val="21"/>
                <w:vertAlign w:val="subscript"/>
              </w:rPr>
              <w:t>2</w:t>
            </w:r>
            <w:r>
              <w:rPr>
                <w:rFonts w:cs="Times New Roman"/>
                <w:b w:val="0"/>
                <w:bCs/>
                <w:kern w:val="0"/>
                <w:sz w:val="21"/>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Merge w:val="restart"/>
            <w:vAlign w:val="center"/>
          </w:tcPr>
          <w:p>
            <w:pPr>
              <w:pStyle w:val="14"/>
              <w:rPr>
                <w:rFonts w:cs="Times New Roman"/>
                <w:b w:val="0"/>
                <w:kern w:val="0"/>
                <w:sz w:val="21"/>
                <w:szCs w:val="21"/>
              </w:rPr>
            </w:pPr>
            <w:r>
              <w:rPr>
                <w:rFonts w:cs="Times New Roman"/>
                <w:b w:val="0"/>
                <w:kern w:val="0"/>
                <w:sz w:val="21"/>
                <w:szCs w:val="21"/>
              </w:rPr>
              <w:t>G1医院污水处理站</w:t>
            </w:r>
          </w:p>
        </w:tc>
        <w:tc>
          <w:tcPr>
            <w:tcW w:w="1250" w:type="pct"/>
            <w:vAlign w:val="center"/>
          </w:tcPr>
          <w:p>
            <w:pPr>
              <w:pStyle w:val="14"/>
              <w:rPr>
                <w:rFonts w:cs="Times New Roman"/>
                <w:b w:val="0"/>
                <w:kern w:val="0"/>
                <w:sz w:val="21"/>
                <w:szCs w:val="21"/>
              </w:rPr>
            </w:pPr>
            <w:r>
              <w:rPr>
                <w:rFonts w:cs="Times New Roman"/>
                <w:b w:val="0"/>
                <w:kern w:val="0"/>
                <w:sz w:val="21"/>
                <w:szCs w:val="21"/>
              </w:rPr>
              <w:t>2019.8.1</w:t>
            </w:r>
          </w:p>
        </w:tc>
        <w:tc>
          <w:tcPr>
            <w:tcW w:w="1250" w:type="pct"/>
            <w:vAlign w:val="center"/>
          </w:tcPr>
          <w:p>
            <w:pPr>
              <w:pStyle w:val="14"/>
              <w:rPr>
                <w:rFonts w:cs="Times New Roman"/>
                <w:b w:val="0"/>
                <w:kern w:val="0"/>
                <w:sz w:val="21"/>
                <w:szCs w:val="21"/>
              </w:rPr>
            </w:pPr>
            <w:r>
              <w:rPr>
                <w:rFonts w:cs="Times New Roman"/>
                <w:b w:val="0"/>
                <w:kern w:val="0"/>
                <w:sz w:val="21"/>
                <w:szCs w:val="21"/>
              </w:rPr>
              <w:t>0.57</w:t>
            </w:r>
          </w:p>
        </w:tc>
        <w:tc>
          <w:tcPr>
            <w:tcW w:w="1250" w:type="pct"/>
            <w:vAlign w:val="center"/>
          </w:tcPr>
          <w:p>
            <w:pPr>
              <w:pStyle w:val="14"/>
              <w:rPr>
                <w:rFonts w:cs="Times New Roman"/>
                <w:b w:val="0"/>
                <w:kern w:val="0"/>
                <w:sz w:val="21"/>
                <w:szCs w:val="21"/>
              </w:rPr>
            </w:pPr>
            <w:r>
              <w:rPr>
                <w:rFonts w:cs="Times New Roman"/>
                <w:b w:val="0"/>
                <w:kern w:val="0"/>
                <w:sz w:val="21"/>
                <w:szCs w:val="21"/>
              </w:rPr>
              <w:t>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Merge w:val="continue"/>
            <w:vAlign w:val="center"/>
          </w:tcPr>
          <w:p>
            <w:pPr>
              <w:pStyle w:val="14"/>
              <w:rPr>
                <w:rFonts w:cs="Times New Roman"/>
                <w:b w:val="0"/>
                <w:kern w:val="0"/>
                <w:sz w:val="21"/>
                <w:szCs w:val="21"/>
              </w:rPr>
            </w:pPr>
          </w:p>
        </w:tc>
        <w:tc>
          <w:tcPr>
            <w:tcW w:w="1250" w:type="pct"/>
            <w:vAlign w:val="center"/>
          </w:tcPr>
          <w:p>
            <w:pPr>
              <w:pStyle w:val="14"/>
              <w:rPr>
                <w:rFonts w:cs="Times New Roman"/>
                <w:b w:val="0"/>
                <w:kern w:val="0"/>
                <w:sz w:val="21"/>
                <w:szCs w:val="21"/>
              </w:rPr>
            </w:pPr>
            <w:r>
              <w:rPr>
                <w:rFonts w:cs="Times New Roman"/>
                <w:b w:val="0"/>
                <w:kern w:val="0"/>
                <w:sz w:val="21"/>
                <w:szCs w:val="21"/>
              </w:rPr>
              <w:t>2019.8.2</w:t>
            </w:r>
          </w:p>
        </w:tc>
        <w:tc>
          <w:tcPr>
            <w:tcW w:w="1250" w:type="pct"/>
            <w:vAlign w:val="center"/>
          </w:tcPr>
          <w:p>
            <w:pPr>
              <w:pStyle w:val="14"/>
              <w:rPr>
                <w:rFonts w:cs="Times New Roman"/>
                <w:b w:val="0"/>
                <w:kern w:val="0"/>
                <w:sz w:val="21"/>
                <w:szCs w:val="21"/>
              </w:rPr>
            </w:pPr>
            <w:r>
              <w:rPr>
                <w:rFonts w:cs="Times New Roman"/>
                <w:b w:val="0"/>
                <w:kern w:val="0"/>
                <w:sz w:val="21"/>
                <w:szCs w:val="21"/>
              </w:rPr>
              <w:t>0.55</w:t>
            </w:r>
          </w:p>
        </w:tc>
        <w:tc>
          <w:tcPr>
            <w:tcW w:w="1250" w:type="pct"/>
            <w:vAlign w:val="center"/>
          </w:tcPr>
          <w:p>
            <w:pPr>
              <w:pStyle w:val="14"/>
              <w:rPr>
                <w:rFonts w:cs="Times New Roman"/>
                <w:b w:val="0"/>
                <w:kern w:val="0"/>
                <w:sz w:val="21"/>
                <w:szCs w:val="21"/>
              </w:rPr>
            </w:pPr>
            <w:r>
              <w:rPr>
                <w:rFonts w:cs="Times New Roman"/>
                <w:b w:val="0"/>
                <w:kern w:val="0"/>
                <w:sz w:val="21"/>
                <w:szCs w:val="21"/>
              </w:rP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pPr>
              <w:pStyle w:val="14"/>
              <w:rPr>
                <w:rFonts w:cs="Times New Roman"/>
                <w:b w:val="0"/>
                <w:kern w:val="0"/>
                <w:sz w:val="21"/>
                <w:szCs w:val="21"/>
              </w:rPr>
            </w:pPr>
            <w:r>
              <w:rPr>
                <w:rFonts w:cs="Times New Roman"/>
                <w:b w:val="0"/>
                <w:kern w:val="0"/>
                <w:sz w:val="21"/>
                <w:szCs w:val="21"/>
              </w:rPr>
              <w:t>标准限值</w:t>
            </w:r>
          </w:p>
        </w:tc>
        <w:tc>
          <w:tcPr>
            <w:tcW w:w="1250" w:type="pct"/>
            <w:vAlign w:val="center"/>
          </w:tcPr>
          <w:p>
            <w:pPr>
              <w:pStyle w:val="14"/>
              <w:rPr>
                <w:rFonts w:cs="Times New Roman"/>
                <w:b w:val="0"/>
                <w:kern w:val="0"/>
                <w:sz w:val="21"/>
                <w:szCs w:val="21"/>
              </w:rPr>
            </w:pPr>
            <w:r>
              <w:rPr>
                <w:rFonts w:cs="Times New Roman"/>
                <w:b w:val="0"/>
                <w:kern w:val="0"/>
                <w:sz w:val="21"/>
                <w:szCs w:val="21"/>
              </w:rPr>
              <w:t>-</w:t>
            </w:r>
          </w:p>
        </w:tc>
        <w:tc>
          <w:tcPr>
            <w:tcW w:w="1250" w:type="pct"/>
            <w:vAlign w:val="center"/>
          </w:tcPr>
          <w:p>
            <w:pPr>
              <w:pStyle w:val="14"/>
              <w:rPr>
                <w:rFonts w:cs="Times New Roman"/>
                <w:b w:val="0"/>
                <w:kern w:val="0"/>
                <w:sz w:val="21"/>
                <w:szCs w:val="21"/>
              </w:rPr>
            </w:pPr>
            <w:r>
              <w:rPr>
                <w:rFonts w:hint="eastAsia" w:cs="Times New Roman"/>
                <w:b w:val="0"/>
                <w:kern w:val="0"/>
                <w:sz w:val="21"/>
                <w:szCs w:val="21"/>
              </w:rPr>
              <w:t>1</w:t>
            </w:r>
          </w:p>
        </w:tc>
        <w:tc>
          <w:tcPr>
            <w:tcW w:w="1250" w:type="pct"/>
            <w:vAlign w:val="center"/>
          </w:tcPr>
          <w:p>
            <w:pPr>
              <w:pStyle w:val="14"/>
              <w:rPr>
                <w:rFonts w:cs="Times New Roman"/>
                <w:b w:val="0"/>
                <w:kern w:val="0"/>
                <w:sz w:val="21"/>
                <w:szCs w:val="21"/>
              </w:rPr>
            </w:pPr>
            <w:r>
              <w:rPr>
                <w:rFonts w:hint="eastAsia" w:cs="Times New Roman"/>
                <w:b w:val="0"/>
                <w:kern w:val="0"/>
                <w:sz w:val="21"/>
                <w:szCs w:val="21"/>
              </w:rPr>
              <w:t>0.03</w:t>
            </w:r>
          </w:p>
        </w:tc>
      </w:tr>
    </w:tbl>
    <w:p>
      <w:pPr>
        <w:spacing w:line="360" w:lineRule="auto"/>
        <w:ind w:firstLine="480" w:firstLineChars="200"/>
        <w:rPr>
          <w:rFonts w:cs="Times New Roman"/>
          <w:kern w:val="0"/>
        </w:rPr>
      </w:pPr>
      <w:r>
        <w:rPr>
          <w:rFonts w:cs="Times New Roman"/>
          <w:kern w:val="0"/>
        </w:rPr>
        <w:t>根据监测结果可知</w:t>
      </w:r>
      <w:r>
        <w:rPr>
          <w:rFonts w:hint="eastAsia" w:cs="Times New Roman"/>
          <w:kern w:val="0"/>
        </w:rPr>
        <w:t>，</w:t>
      </w:r>
      <w:r>
        <w:rPr>
          <w:rFonts w:cs="Times New Roman"/>
          <w:kern w:val="0"/>
        </w:rPr>
        <w:t>本项目污水处理站周边臭气浓度可以满足</w:t>
      </w:r>
      <w:r>
        <w:rPr>
          <w:rFonts w:hint="eastAsia" w:cs="Times New Roman"/>
          <w:kern w:val="0"/>
        </w:rPr>
        <w:t>《医疗机构水污染物排放标准》（GB18466-2005）表3污水处理站周边大气污染物最该允许浓度标准限值要求。</w:t>
      </w:r>
    </w:p>
    <w:p>
      <w:pPr>
        <w:spacing w:line="360" w:lineRule="auto"/>
        <w:ind w:firstLine="480" w:firstLineChars="200"/>
        <w:rPr>
          <w:rFonts w:cs="Times New Roman"/>
          <w:kern w:val="0"/>
        </w:rPr>
      </w:pPr>
      <w:r>
        <w:rPr>
          <w:rFonts w:hint="eastAsia" w:cs="Times New Roman"/>
          <w:kern w:val="0"/>
        </w:rPr>
        <w:t>（6）垃圾收集站臭气</w:t>
      </w:r>
    </w:p>
    <w:p>
      <w:pPr>
        <w:spacing w:line="360" w:lineRule="auto"/>
        <w:ind w:firstLine="496" w:firstLineChars="200"/>
      </w:pPr>
      <w:r>
        <w:rPr>
          <w:rFonts w:hint="eastAsia"/>
          <w:spacing w:val="4"/>
        </w:rPr>
        <w:t>医院内设有垃圾收集站，</w:t>
      </w:r>
      <w:r>
        <w:rPr>
          <w:kern w:val="0"/>
        </w:rPr>
        <w:t>站内收集的垃圾长时间堆积会发酵变质散发恶臭异味。恶臭污染物主要指一切刺激嗅觉器官引起人们不愉快及损害生活环境的气体物质。垃圾收集站恶臭的主要成分为氨、硫化氢和甲硫醇等脂肪族类物质。</w:t>
      </w:r>
      <w:r>
        <w:rPr>
          <w:rFonts w:hint="eastAsia"/>
        </w:rPr>
        <w:t>环评</w:t>
      </w:r>
      <w:r>
        <w:t>要求</w:t>
      </w:r>
      <w:r>
        <w:rPr>
          <w:rFonts w:hint="eastAsia"/>
        </w:rPr>
        <w:t>院内</w:t>
      </w:r>
      <w:r>
        <w:t>实行垃圾袋装化，并由专人定时负责运送</w:t>
      </w:r>
      <w:r>
        <w:rPr>
          <w:rFonts w:hint="eastAsia"/>
        </w:rPr>
        <w:t>，并在其</w:t>
      </w:r>
      <w:r>
        <w:t>周围</w:t>
      </w:r>
      <w:r>
        <w:rPr>
          <w:rFonts w:hint="eastAsia"/>
        </w:rPr>
        <w:t>采用</w:t>
      </w:r>
      <w:r>
        <w:t>乔灌木绿化隔离。</w:t>
      </w:r>
    </w:p>
    <w:p>
      <w:pPr>
        <w:pStyle w:val="5"/>
      </w:pPr>
      <w:r>
        <w:rPr>
          <w:rFonts w:hint="eastAsia"/>
        </w:rPr>
        <w:t>水污染源分析</w:t>
      </w:r>
    </w:p>
    <w:p>
      <w:pPr>
        <w:pStyle w:val="56"/>
      </w:pPr>
      <w:r>
        <w:rPr>
          <w:rFonts w:hint="eastAsia"/>
        </w:rPr>
        <w:t>运营期水污染源分析</w:t>
      </w:r>
    </w:p>
    <w:p>
      <w:pPr>
        <w:spacing w:line="360" w:lineRule="auto"/>
        <w:ind w:firstLine="480" w:firstLineChars="200"/>
      </w:pPr>
      <w:r>
        <w:rPr>
          <w:rFonts w:hint="eastAsia"/>
        </w:rPr>
        <w:t>岳阳康复医院放射科采用数码打印成像，不产生洗片废液；</w:t>
      </w:r>
      <w:r>
        <w:rPr>
          <w:rFonts w:hint="eastAsia" w:eastAsia="宋体" w:cs="Times New Roman"/>
          <w:szCs w:val="24"/>
        </w:rPr>
        <w:t>本项目产生放射性废水由建设单位另行委托辐射专项环评，不属于本报告书的评价内容。</w:t>
      </w:r>
    </w:p>
    <w:p>
      <w:pPr>
        <w:spacing w:line="360" w:lineRule="auto"/>
        <w:ind w:firstLine="480" w:firstLineChars="200"/>
      </w:pPr>
      <w:r>
        <w:rPr>
          <w:rFonts w:hint="eastAsia"/>
        </w:rPr>
        <w:t>因此项目产生的废水主要为生活污水（包括餐饮废水和一般生活废水）及医疗废水，医疗废水主要分为检验室产生的废水、精神大楼门诊产生的废水、住院病人产生的废水、美沙酮门诊产生的废水和医院洗衣房产生的废水。</w:t>
      </w:r>
    </w:p>
    <w:p>
      <w:pPr>
        <w:spacing w:line="360" w:lineRule="auto"/>
        <w:ind w:firstLine="480" w:firstLineChars="200"/>
        <w:rPr>
          <w:rFonts w:cs="Times New Roman"/>
        </w:rPr>
      </w:pPr>
      <w:r>
        <w:rPr>
          <w:rFonts w:cs="Times New Roman" w:hAnsiTheme="minorEastAsia"/>
        </w:rPr>
        <w:t>（</w:t>
      </w:r>
      <w:r>
        <w:rPr>
          <w:rFonts w:cs="Times New Roman"/>
        </w:rPr>
        <w:t>1</w:t>
      </w:r>
      <w:r>
        <w:rPr>
          <w:rFonts w:cs="Times New Roman" w:hAnsiTheme="minorEastAsia"/>
        </w:rPr>
        <w:t>）生活污水</w:t>
      </w:r>
    </w:p>
    <w:p>
      <w:pPr>
        <w:spacing w:line="360" w:lineRule="auto"/>
        <w:ind w:firstLine="480" w:firstLineChars="200"/>
        <w:rPr>
          <w:rFonts w:cs="Times New Roman"/>
        </w:rPr>
      </w:pPr>
      <w:r>
        <w:rPr>
          <w:rFonts w:cs="Times New Roman" w:hAnsiTheme="minorEastAsia"/>
        </w:rPr>
        <w:t>本项目生活污水主要来自</w:t>
      </w:r>
      <w:r>
        <w:rPr>
          <w:rFonts w:cs="Times New Roman"/>
          <w:szCs w:val="24"/>
        </w:rPr>
        <w:t>职工公寓及食堂产生的生活污水和餐厅的餐饮废水。生活污水排入医院内化粪池，经化粪池净化处理后排至市政污水管网最终排入马壕污水处理厂进行达标处理。厨房的餐饮废水先经隔油池预处理后再排入化粪池处理排入市政污水管网最终排入马壕污水处理厂处理。</w:t>
      </w:r>
    </w:p>
    <w:p>
      <w:pPr>
        <w:spacing w:line="360" w:lineRule="auto"/>
        <w:ind w:firstLine="480" w:firstLineChars="200"/>
        <w:rPr>
          <w:rFonts w:cs="Times New Roman"/>
          <w:szCs w:val="24"/>
        </w:rPr>
      </w:pPr>
      <w:r>
        <w:rPr>
          <w:rFonts w:hAnsi="宋体" w:eastAsia="宋体" w:cs="Times New Roman"/>
          <w:szCs w:val="24"/>
        </w:rPr>
        <w:t>（</w:t>
      </w:r>
      <w:r>
        <w:rPr>
          <w:rFonts w:eastAsia="宋体" w:cs="Times New Roman"/>
          <w:szCs w:val="24"/>
        </w:rPr>
        <w:t>2</w:t>
      </w:r>
      <w:r>
        <w:rPr>
          <w:rFonts w:hAnsi="宋体" w:eastAsia="宋体" w:cs="Times New Roman"/>
          <w:szCs w:val="24"/>
        </w:rPr>
        <w:t>）医院综合医疗废水</w:t>
      </w:r>
    </w:p>
    <w:p>
      <w:pPr>
        <w:spacing w:line="360" w:lineRule="auto"/>
        <w:ind w:firstLine="480" w:firstLineChars="200"/>
        <w:rPr>
          <w:rFonts w:cs="Times New Roman"/>
          <w:color w:val="000000" w:themeColor="text1"/>
          <w:szCs w:val="24"/>
        </w:rPr>
      </w:pPr>
      <w:r>
        <w:rPr>
          <w:rFonts w:hint="eastAsia" w:cs="Times New Roman"/>
          <w:color w:val="000000" w:themeColor="text1"/>
          <w:szCs w:val="24"/>
        </w:rPr>
        <w:t>医院</w:t>
      </w:r>
      <w:r>
        <w:rPr>
          <w:rFonts w:cs="Times New Roman"/>
          <w:color w:val="000000" w:themeColor="text1"/>
          <w:szCs w:val="24"/>
        </w:rPr>
        <w:t>综合医疗废水主要由医疗区医务人员、病房、门诊废水及洗衣废水构成，主要污染因子为COD、BOD</w:t>
      </w:r>
      <w:r>
        <w:rPr>
          <w:rFonts w:cs="Times New Roman"/>
          <w:color w:val="000000" w:themeColor="text1"/>
          <w:szCs w:val="24"/>
          <w:vertAlign w:val="subscript"/>
        </w:rPr>
        <w:t>5</w:t>
      </w:r>
      <w:r>
        <w:rPr>
          <w:rFonts w:cs="Times New Roman"/>
          <w:color w:val="000000" w:themeColor="text1"/>
          <w:szCs w:val="24"/>
        </w:rPr>
        <w:t>、SS、NH</w:t>
      </w:r>
      <w:r>
        <w:rPr>
          <w:rFonts w:cs="Times New Roman"/>
          <w:color w:val="000000" w:themeColor="text1"/>
          <w:szCs w:val="24"/>
          <w:vertAlign w:val="subscript"/>
        </w:rPr>
        <w:t>3</w:t>
      </w:r>
      <w:r>
        <w:rPr>
          <w:rFonts w:cs="Times New Roman"/>
          <w:color w:val="000000" w:themeColor="text1"/>
          <w:szCs w:val="24"/>
        </w:rPr>
        <w:t>-N、动植物油、粪大肠杆菌，此外，废水中含有一定量的病原菌。</w:t>
      </w:r>
      <w:r>
        <w:rPr>
          <w:rFonts w:hint="eastAsia" w:cs="Times New Roman"/>
          <w:color w:val="000000" w:themeColor="text1"/>
          <w:szCs w:val="24"/>
        </w:rPr>
        <w:t>医院</w:t>
      </w:r>
      <w:r>
        <w:rPr>
          <w:rFonts w:cs="Times New Roman"/>
          <w:color w:val="000000" w:themeColor="text1"/>
          <w:szCs w:val="24"/>
        </w:rPr>
        <w:t>综合医疗废水须经自建污水处理站预处理在排入市政污水管网最终排入马壕污水处理厂进行达标处理。</w:t>
      </w:r>
    </w:p>
    <w:p>
      <w:pPr>
        <w:spacing w:line="360" w:lineRule="auto"/>
        <w:ind w:firstLine="480" w:firstLineChars="200"/>
        <w:rPr>
          <w:color w:val="000000" w:themeColor="text1"/>
          <w:szCs w:val="24"/>
        </w:rPr>
      </w:pPr>
      <w:r>
        <w:rPr>
          <w:rFonts w:hint="eastAsia" w:asciiTheme="minorEastAsia" w:hAnsiTheme="minorEastAsia"/>
          <w:color w:val="000000" w:themeColor="text1"/>
          <w:szCs w:val="24"/>
        </w:rPr>
        <w:t>①</w:t>
      </w:r>
      <w:r>
        <w:rPr>
          <w:rFonts w:hint="eastAsia"/>
          <w:color w:val="000000" w:themeColor="text1"/>
          <w:szCs w:val="24"/>
        </w:rPr>
        <w:t>检验</w:t>
      </w:r>
      <w:r>
        <w:rPr>
          <w:color w:val="000000" w:themeColor="text1"/>
          <w:szCs w:val="24"/>
        </w:rPr>
        <w:t>废水</w:t>
      </w:r>
    </w:p>
    <w:p>
      <w:pPr>
        <w:spacing w:line="360" w:lineRule="auto"/>
        <w:ind w:firstLine="480" w:firstLineChars="200"/>
        <w:rPr>
          <w:color w:val="000000" w:themeColor="text1"/>
        </w:rPr>
      </w:pPr>
      <w:r>
        <w:rPr>
          <w:color w:val="000000" w:themeColor="text1"/>
          <w:szCs w:val="24"/>
        </w:rPr>
        <w:t>检验室采用先进的检验试剂和方法</w:t>
      </w:r>
      <w:r>
        <w:rPr>
          <w:rFonts w:hint="eastAsia"/>
          <w:color w:val="000000" w:themeColor="text1"/>
          <w:szCs w:val="24"/>
        </w:rPr>
        <w:t>，</w:t>
      </w:r>
      <w:r>
        <w:rPr>
          <w:color w:val="000000" w:themeColor="text1"/>
          <w:szCs w:val="24"/>
        </w:rPr>
        <w:t>使用直接购进成套的试剂盒</w:t>
      </w:r>
      <w:r>
        <w:rPr>
          <w:rFonts w:hint="eastAsia"/>
          <w:color w:val="000000" w:themeColor="text1"/>
          <w:szCs w:val="24"/>
        </w:rPr>
        <w:t>，</w:t>
      </w:r>
      <w:r>
        <w:rPr>
          <w:color w:val="000000" w:themeColor="text1"/>
          <w:szCs w:val="24"/>
        </w:rPr>
        <w:t>试剂盒内药品的主要成分包括生物酶</w:t>
      </w:r>
      <w:r>
        <w:rPr>
          <w:rFonts w:hint="eastAsia"/>
          <w:color w:val="000000" w:themeColor="text1"/>
          <w:szCs w:val="24"/>
        </w:rPr>
        <w:t>、</w:t>
      </w:r>
      <w:r>
        <w:rPr>
          <w:color w:val="000000" w:themeColor="text1"/>
          <w:szCs w:val="24"/>
        </w:rPr>
        <w:t>有机物和缓冲液等</w:t>
      </w:r>
      <w:r>
        <w:rPr>
          <w:rFonts w:eastAsia="宋体" w:cs="Times New Roman"/>
          <w:color w:val="000000" w:themeColor="text1"/>
          <w:szCs w:val="24"/>
        </w:rPr>
        <w:t>，不含氰化物和重金属</w:t>
      </w:r>
      <w:r>
        <w:rPr>
          <w:rFonts w:hint="eastAsia" w:eastAsia="宋体" w:cs="Times New Roman"/>
          <w:color w:val="000000" w:themeColor="text1"/>
          <w:szCs w:val="24"/>
        </w:rPr>
        <w:t>；</w:t>
      </w:r>
      <w:r>
        <w:rPr>
          <w:rFonts w:eastAsia="宋体" w:cs="Times New Roman"/>
          <w:color w:val="000000" w:themeColor="text1"/>
          <w:szCs w:val="24"/>
        </w:rPr>
        <w:t>血样</w:t>
      </w:r>
      <w:r>
        <w:rPr>
          <w:rFonts w:hint="eastAsia" w:eastAsia="宋体" w:cs="Times New Roman"/>
          <w:color w:val="000000" w:themeColor="text1"/>
          <w:szCs w:val="24"/>
        </w:rPr>
        <w:t>检验</w:t>
      </w:r>
      <w:r>
        <w:rPr>
          <w:rFonts w:eastAsia="宋体" w:cs="Times New Roman"/>
          <w:color w:val="000000" w:themeColor="text1"/>
          <w:szCs w:val="24"/>
        </w:rPr>
        <w:t>采用无氰试剂</w:t>
      </w:r>
      <w:r>
        <w:rPr>
          <w:rFonts w:hint="eastAsia" w:eastAsia="宋体" w:cs="Times New Roman"/>
          <w:color w:val="000000" w:themeColor="text1"/>
          <w:szCs w:val="24"/>
        </w:rPr>
        <w:t>。</w:t>
      </w:r>
      <w:r>
        <w:rPr>
          <w:rFonts w:eastAsia="宋体" w:cs="Times New Roman"/>
          <w:color w:val="000000" w:themeColor="text1"/>
          <w:szCs w:val="24"/>
        </w:rPr>
        <w:t>因此</w:t>
      </w:r>
      <w:r>
        <w:rPr>
          <w:rFonts w:hint="eastAsia" w:eastAsia="宋体" w:cs="Times New Roman"/>
          <w:color w:val="000000" w:themeColor="text1"/>
          <w:szCs w:val="24"/>
        </w:rPr>
        <w:t>检验</w:t>
      </w:r>
      <w:r>
        <w:rPr>
          <w:rFonts w:eastAsia="宋体" w:cs="Times New Roman"/>
          <w:color w:val="000000" w:themeColor="text1"/>
          <w:szCs w:val="24"/>
        </w:rPr>
        <w:t>废水中无氰化物和重金属</w:t>
      </w:r>
      <w:r>
        <w:rPr>
          <w:rFonts w:hint="eastAsia" w:eastAsia="宋体" w:cs="Times New Roman"/>
          <w:color w:val="000000" w:themeColor="text1"/>
          <w:szCs w:val="24"/>
        </w:rPr>
        <w:t>。检验</w:t>
      </w:r>
      <w:r>
        <w:rPr>
          <w:rFonts w:eastAsia="宋体" w:cs="Times New Roman"/>
          <w:color w:val="000000" w:themeColor="text1"/>
          <w:szCs w:val="24"/>
        </w:rPr>
        <w:t>使用的废有机溶剂</w:t>
      </w:r>
      <w:r>
        <w:rPr>
          <w:rFonts w:hint="eastAsia" w:eastAsia="宋体" w:cs="Times New Roman"/>
          <w:color w:val="000000" w:themeColor="text1"/>
          <w:szCs w:val="24"/>
        </w:rPr>
        <w:t>、</w:t>
      </w:r>
      <w:r>
        <w:rPr>
          <w:rFonts w:eastAsia="宋体" w:cs="Times New Roman"/>
          <w:color w:val="000000" w:themeColor="text1"/>
          <w:szCs w:val="24"/>
        </w:rPr>
        <w:t>成套试剂盒用后残余品及少量清洗水均单独收集后作为危险废物处置</w:t>
      </w:r>
      <w:r>
        <w:rPr>
          <w:rFonts w:hint="eastAsia" w:eastAsia="宋体" w:cs="Times New Roman"/>
          <w:color w:val="000000" w:themeColor="text1"/>
          <w:szCs w:val="24"/>
        </w:rPr>
        <w:t>，根据调查得知，</w:t>
      </w:r>
      <w:r>
        <w:rPr>
          <w:rFonts w:eastAsia="宋体" w:cs="Times New Roman"/>
          <w:color w:val="000000" w:themeColor="text1"/>
          <w:szCs w:val="24"/>
        </w:rPr>
        <w:t>检验室用水量约为36.5t/a（0.1t/d），排污系数按</w:t>
      </w:r>
      <w:r>
        <w:rPr>
          <w:rFonts w:hint="eastAsia" w:eastAsia="宋体" w:cs="Times New Roman"/>
          <w:color w:val="000000" w:themeColor="text1"/>
          <w:szCs w:val="24"/>
        </w:rPr>
        <w:t>0.85</w:t>
      </w:r>
      <w:r>
        <w:rPr>
          <w:rFonts w:eastAsia="宋体" w:cs="Times New Roman"/>
          <w:color w:val="000000" w:themeColor="text1"/>
          <w:szCs w:val="24"/>
        </w:rPr>
        <w:t>计，则检验室废水排放量为</w:t>
      </w:r>
      <w:r>
        <w:rPr>
          <w:rFonts w:hint="eastAsia" w:eastAsia="宋体" w:cs="Times New Roman"/>
          <w:color w:val="000000" w:themeColor="text1"/>
          <w:szCs w:val="24"/>
        </w:rPr>
        <w:t>31.025</w:t>
      </w:r>
      <w:r>
        <w:rPr>
          <w:rFonts w:eastAsia="宋体" w:cs="Times New Roman"/>
          <w:color w:val="000000" w:themeColor="text1"/>
          <w:szCs w:val="24"/>
        </w:rPr>
        <w:t>t/a（</w:t>
      </w:r>
      <w:r>
        <w:rPr>
          <w:rFonts w:hint="eastAsia" w:eastAsia="宋体" w:cs="Times New Roman"/>
          <w:color w:val="000000" w:themeColor="text1"/>
          <w:szCs w:val="24"/>
        </w:rPr>
        <w:t>0.085</w:t>
      </w:r>
      <w:r>
        <w:rPr>
          <w:rFonts w:eastAsia="宋体" w:cs="Times New Roman"/>
          <w:color w:val="000000" w:themeColor="text1"/>
          <w:szCs w:val="24"/>
        </w:rPr>
        <w:t>t/d）。检验废水主要为酸性废水</w:t>
      </w:r>
      <w:r>
        <w:rPr>
          <w:rFonts w:hint="eastAsia" w:eastAsia="宋体" w:cs="Times New Roman"/>
          <w:color w:val="000000" w:themeColor="text1"/>
          <w:szCs w:val="24"/>
        </w:rPr>
        <w:t>，</w:t>
      </w:r>
      <w:r>
        <w:rPr>
          <w:rFonts w:hint="eastAsia"/>
          <w:color w:val="000000" w:themeColor="text1"/>
        </w:rPr>
        <w:t>中和池主要加碱进行中和反应，降低检验废水的PH值，经过中和池预处理的废水再排入医院自建的废水处理站处理。</w:t>
      </w:r>
    </w:p>
    <w:p>
      <w:pPr>
        <w:spacing w:line="360" w:lineRule="auto"/>
        <w:ind w:firstLine="480" w:firstLineChars="200"/>
        <w:rPr>
          <w:rFonts w:asciiTheme="minorEastAsia" w:hAnsiTheme="minorEastAsia"/>
          <w:color w:val="000000" w:themeColor="text1"/>
          <w:szCs w:val="24"/>
        </w:rPr>
      </w:pPr>
      <w:r>
        <w:rPr>
          <w:rFonts w:hint="eastAsia" w:asciiTheme="minorEastAsia" w:hAnsiTheme="minorEastAsia"/>
          <w:color w:val="000000" w:themeColor="text1"/>
          <w:szCs w:val="24"/>
        </w:rPr>
        <w:t>②美沙酮门诊废水</w:t>
      </w:r>
    </w:p>
    <w:p>
      <w:pPr>
        <w:spacing w:line="360" w:lineRule="auto"/>
        <w:ind w:firstLine="480" w:firstLineChars="200"/>
        <w:rPr>
          <w:rFonts w:asciiTheme="minorEastAsia" w:hAnsiTheme="minorEastAsia"/>
          <w:color w:val="000000" w:themeColor="text1"/>
          <w:szCs w:val="24"/>
        </w:rPr>
      </w:pPr>
      <w:r>
        <w:rPr>
          <w:rFonts w:hint="eastAsia"/>
          <w:color w:val="000000" w:themeColor="text1"/>
          <w:u w:val="single"/>
        </w:rPr>
        <w:t>美沙酮门诊主要是将美沙酮药物卖给自愿戒毒的病人，然后看病人服下药物，无其他医疗项目，</w:t>
      </w:r>
      <w:r>
        <w:rPr>
          <w:color w:val="000000" w:themeColor="text1"/>
          <w:u w:val="single"/>
        </w:rPr>
        <w:t>美沙酮门诊产生的废水主要是来</w:t>
      </w:r>
      <w:r>
        <w:rPr>
          <w:rFonts w:hint="eastAsia"/>
          <w:color w:val="000000" w:themeColor="text1"/>
          <w:u w:val="single"/>
        </w:rPr>
        <w:t>就诊</w:t>
      </w:r>
      <w:r>
        <w:rPr>
          <w:color w:val="000000" w:themeColor="text1"/>
          <w:u w:val="single"/>
        </w:rPr>
        <w:t>的病人上厕所和医护人员上厕所产生的的废水</w:t>
      </w:r>
      <w:r>
        <w:rPr>
          <w:rFonts w:hint="eastAsia"/>
          <w:color w:val="000000" w:themeColor="text1"/>
          <w:u w:val="single"/>
        </w:rPr>
        <w:t>。根据现场踏看调查，美沙酮门诊的废水量按照</w:t>
      </w:r>
      <w:r>
        <w:rPr>
          <w:bCs/>
          <w:color w:val="000000" w:themeColor="text1"/>
          <w:u w:val="single"/>
        </w:rPr>
        <w:t>15L/人.次计算</w:t>
      </w:r>
      <w:r>
        <w:rPr>
          <w:rFonts w:hint="eastAsia"/>
          <w:bCs/>
          <w:color w:val="000000" w:themeColor="text1"/>
          <w:u w:val="single"/>
        </w:rPr>
        <w:t>，</w:t>
      </w:r>
      <w:r>
        <w:rPr>
          <w:bCs/>
          <w:color w:val="000000" w:themeColor="text1"/>
          <w:u w:val="single"/>
        </w:rPr>
        <w:t>就诊人数为</w:t>
      </w:r>
      <w:r>
        <w:rPr>
          <w:rFonts w:hint="eastAsia"/>
          <w:bCs/>
          <w:color w:val="000000" w:themeColor="text1"/>
          <w:u w:val="single"/>
        </w:rPr>
        <w:t>50</w:t>
      </w:r>
      <w:r>
        <w:rPr>
          <w:bCs/>
          <w:color w:val="000000" w:themeColor="text1"/>
          <w:u w:val="single"/>
        </w:rPr>
        <w:t>人次/天</w:t>
      </w:r>
      <w:r>
        <w:rPr>
          <w:rFonts w:hint="eastAsia"/>
          <w:bCs/>
          <w:color w:val="000000" w:themeColor="text1"/>
          <w:u w:val="single"/>
        </w:rPr>
        <w:t>，</w:t>
      </w:r>
      <w:r>
        <w:rPr>
          <w:bCs/>
          <w:color w:val="000000" w:themeColor="text1"/>
          <w:u w:val="single"/>
        </w:rPr>
        <w:t>用水量为</w:t>
      </w:r>
      <w:r>
        <w:rPr>
          <w:rFonts w:hint="eastAsia"/>
          <w:bCs/>
          <w:color w:val="000000" w:themeColor="text1"/>
          <w:u w:val="single"/>
        </w:rPr>
        <w:t>0.75</w:t>
      </w:r>
      <w:r>
        <w:rPr>
          <w:bCs/>
          <w:color w:val="000000" w:themeColor="text1"/>
          <w:u w:val="single"/>
        </w:rPr>
        <w:t>m</w:t>
      </w:r>
      <w:r>
        <w:rPr>
          <w:bCs/>
          <w:color w:val="000000" w:themeColor="text1"/>
          <w:u w:val="single"/>
          <w:vertAlign w:val="superscript"/>
        </w:rPr>
        <w:t>3</w:t>
      </w:r>
      <w:r>
        <w:rPr>
          <w:bCs/>
          <w:color w:val="000000" w:themeColor="text1"/>
          <w:u w:val="single"/>
        </w:rPr>
        <w:t>/d</w:t>
      </w:r>
      <w:r>
        <w:rPr>
          <w:rFonts w:hint="eastAsia"/>
          <w:bCs/>
          <w:color w:val="000000" w:themeColor="text1"/>
          <w:u w:val="single"/>
        </w:rPr>
        <w:t>，排污系数按照0.85计算，则美沙酮门诊的废水排放量为0.64</w:t>
      </w:r>
      <w:r>
        <w:rPr>
          <w:bCs/>
          <w:color w:val="000000" w:themeColor="text1"/>
          <w:u w:val="single"/>
        </w:rPr>
        <w:t>m</w:t>
      </w:r>
      <w:r>
        <w:rPr>
          <w:bCs/>
          <w:color w:val="000000" w:themeColor="text1"/>
          <w:u w:val="single"/>
          <w:vertAlign w:val="superscript"/>
        </w:rPr>
        <w:t>3</w:t>
      </w:r>
      <w:r>
        <w:rPr>
          <w:bCs/>
          <w:color w:val="000000" w:themeColor="text1"/>
          <w:u w:val="single"/>
        </w:rPr>
        <w:t>/d</w:t>
      </w:r>
      <w:r>
        <w:rPr>
          <w:rFonts w:hint="eastAsia"/>
          <w:bCs/>
          <w:color w:val="000000" w:themeColor="text1"/>
          <w:u w:val="single"/>
        </w:rPr>
        <w:t>。本项目要求对美沙酮门诊产生的废水经化粪池处理之后再纳管接入医院自建的污水处理站处理。</w:t>
      </w:r>
    </w:p>
    <w:p>
      <w:pPr>
        <w:spacing w:line="360" w:lineRule="auto"/>
        <w:ind w:firstLine="480" w:firstLineChars="200"/>
        <w:rPr>
          <w:rFonts w:asciiTheme="minorEastAsia" w:hAnsiTheme="minorEastAsia"/>
          <w:color w:val="000000" w:themeColor="text1"/>
          <w:szCs w:val="24"/>
        </w:rPr>
      </w:pPr>
      <w:r>
        <w:rPr>
          <w:rFonts w:hint="eastAsia" w:asciiTheme="minorEastAsia" w:hAnsiTheme="minorEastAsia"/>
          <w:color w:val="000000" w:themeColor="text1"/>
          <w:szCs w:val="24"/>
        </w:rPr>
        <w:t>③精神科大楼门诊废水</w:t>
      </w:r>
    </w:p>
    <w:p>
      <w:pPr>
        <w:spacing w:line="360" w:lineRule="auto"/>
        <w:ind w:firstLine="480" w:firstLineChars="200"/>
        <w:rPr>
          <w:rFonts w:cs="Times New Roman"/>
          <w:color w:val="000000" w:themeColor="text1"/>
          <w:szCs w:val="24"/>
        </w:rPr>
      </w:pPr>
      <w:r>
        <w:rPr>
          <w:rFonts w:cs="Times New Roman" w:hAnsiTheme="minorEastAsia"/>
          <w:color w:val="000000" w:themeColor="text1"/>
          <w:szCs w:val="24"/>
        </w:rPr>
        <w:t>根据现场踏勘，精神大楼门诊的废水量按照</w:t>
      </w:r>
      <w:r>
        <w:rPr>
          <w:rFonts w:hint="eastAsia" w:cs="Times New Roman"/>
          <w:bCs/>
          <w:color w:val="000000" w:themeColor="text1"/>
          <w:szCs w:val="24"/>
        </w:rPr>
        <w:t>400</w:t>
      </w:r>
      <w:r>
        <w:rPr>
          <w:rFonts w:cs="Times New Roman"/>
          <w:bCs/>
          <w:color w:val="000000" w:themeColor="text1"/>
          <w:szCs w:val="24"/>
        </w:rPr>
        <w:t>L/</w:t>
      </w:r>
      <w:r>
        <w:rPr>
          <w:rFonts w:cs="Times New Roman" w:hAnsiTheme="minorEastAsia"/>
          <w:bCs/>
          <w:color w:val="000000" w:themeColor="text1"/>
          <w:szCs w:val="24"/>
        </w:rPr>
        <w:t>人</w:t>
      </w:r>
      <w:r>
        <w:rPr>
          <w:rFonts w:cs="Times New Roman"/>
          <w:bCs/>
          <w:color w:val="000000" w:themeColor="text1"/>
          <w:szCs w:val="24"/>
        </w:rPr>
        <w:t>.</w:t>
      </w:r>
      <w:r>
        <w:rPr>
          <w:rFonts w:cs="Times New Roman" w:hAnsiTheme="minorEastAsia"/>
          <w:bCs/>
          <w:color w:val="000000" w:themeColor="text1"/>
          <w:szCs w:val="24"/>
        </w:rPr>
        <w:t>次</w:t>
      </w:r>
      <w:r>
        <w:rPr>
          <w:rFonts w:cs="Times New Roman" w:hAnsiTheme="minorEastAsia"/>
          <w:color w:val="000000" w:themeColor="text1"/>
          <w:szCs w:val="24"/>
        </w:rPr>
        <w:t>计算，住院病人和人数为</w:t>
      </w:r>
      <w:r>
        <w:rPr>
          <w:rFonts w:hint="eastAsia" w:cs="Times New Roman"/>
          <w:bCs/>
          <w:color w:val="000000" w:themeColor="text1"/>
          <w:szCs w:val="24"/>
        </w:rPr>
        <w:t>100</w:t>
      </w:r>
      <w:r>
        <w:rPr>
          <w:rFonts w:cs="Times New Roman" w:hAnsiTheme="minorEastAsia"/>
          <w:bCs/>
          <w:color w:val="000000" w:themeColor="text1"/>
          <w:szCs w:val="24"/>
        </w:rPr>
        <w:t>人次</w:t>
      </w:r>
      <w:r>
        <w:rPr>
          <w:rFonts w:cs="Times New Roman"/>
          <w:bCs/>
          <w:color w:val="000000" w:themeColor="text1"/>
          <w:szCs w:val="24"/>
        </w:rPr>
        <w:t>/</w:t>
      </w:r>
      <w:r>
        <w:rPr>
          <w:rFonts w:cs="Times New Roman" w:hAnsiTheme="minorEastAsia"/>
          <w:bCs/>
          <w:color w:val="000000" w:themeColor="text1"/>
          <w:szCs w:val="24"/>
        </w:rPr>
        <w:t>天</w:t>
      </w:r>
      <w:r>
        <w:rPr>
          <w:rFonts w:cs="Times New Roman" w:hAnsiTheme="minorEastAsia"/>
          <w:color w:val="000000" w:themeColor="text1"/>
          <w:szCs w:val="24"/>
        </w:rPr>
        <w:t>，用水量为</w:t>
      </w:r>
      <w:r>
        <w:rPr>
          <w:rFonts w:hint="eastAsia" w:cs="Times New Roman"/>
          <w:bCs/>
          <w:color w:val="000000" w:themeColor="text1"/>
          <w:szCs w:val="24"/>
        </w:rPr>
        <w:t>1.5</w:t>
      </w:r>
      <w:r>
        <w:rPr>
          <w:rFonts w:cs="Times New Roman"/>
          <w:bCs/>
          <w:color w:val="000000" w:themeColor="text1"/>
          <w:szCs w:val="24"/>
        </w:rPr>
        <w:t>m</w:t>
      </w:r>
      <w:r>
        <w:rPr>
          <w:rFonts w:cs="Times New Roman"/>
          <w:bCs/>
          <w:color w:val="000000" w:themeColor="text1"/>
          <w:szCs w:val="24"/>
          <w:vertAlign w:val="superscript"/>
        </w:rPr>
        <w:t>3</w:t>
      </w:r>
      <w:r>
        <w:rPr>
          <w:rFonts w:cs="Times New Roman"/>
          <w:bCs/>
          <w:color w:val="000000" w:themeColor="text1"/>
          <w:szCs w:val="24"/>
        </w:rPr>
        <w:t>/d</w:t>
      </w:r>
      <w:r>
        <w:rPr>
          <w:rFonts w:cs="Times New Roman" w:hAnsiTheme="minorEastAsia"/>
          <w:color w:val="000000" w:themeColor="text1"/>
          <w:szCs w:val="24"/>
        </w:rPr>
        <w:t>，</w:t>
      </w:r>
      <w:r>
        <w:rPr>
          <w:rFonts w:hint="eastAsia"/>
          <w:bCs/>
          <w:color w:val="000000" w:themeColor="text1"/>
        </w:rPr>
        <w:t>排污系数按照0.85计算，则精神科大楼门诊产生的废水排放量为1.257</w:t>
      </w:r>
      <w:r>
        <w:rPr>
          <w:bCs/>
          <w:color w:val="000000" w:themeColor="text1"/>
        </w:rPr>
        <w:t>m</w:t>
      </w:r>
      <w:r>
        <w:rPr>
          <w:bCs/>
          <w:color w:val="000000" w:themeColor="text1"/>
          <w:vertAlign w:val="superscript"/>
        </w:rPr>
        <w:t>3</w:t>
      </w:r>
      <w:r>
        <w:rPr>
          <w:bCs/>
          <w:color w:val="000000" w:themeColor="text1"/>
        </w:rPr>
        <w:t>/d</w:t>
      </w:r>
      <w:r>
        <w:rPr>
          <w:rFonts w:hint="eastAsia"/>
          <w:bCs/>
          <w:color w:val="000000" w:themeColor="text1"/>
        </w:rPr>
        <w:t>。精神科大楼门诊的废水经化粪池处理之后排入医院自建的污水处理站的处理。</w:t>
      </w:r>
    </w:p>
    <w:p>
      <w:pPr>
        <w:spacing w:line="360" w:lineRule="auto"/>
        <w:ind w:firstLine="480" w:firstLineChars="200"/>
        <w:rPr>
          <w:rFonts w:asciiTheme="minorEastAsia" w:hAnsiTheme="minorEastAsia"/>
          <w:color w:val="000000" w:themeColor="text1"/>
          <w:szCs w:val="24"/>
        </w:rPr>
      </w:pPr>
      <w:r>
        <w:rPr>
          <w:rFonts w:hint="eastAsia" w:asciiTheme="minorEastAsia" w:hAnsiTheme="minorEastAsia"/>
          <w:color w:val="000000" w:themeColor="text1"/>
          <w:szCs w:val="24"/>
        </w:rPr>
        <w:t>④住院病人和陪护人员废水</w:t>
      </w:r>
    </w:p>
    <w:p>
      <w:pPr>
        <w:spacing w:line="360" w:lineRule="auto"/>
        <w:ind w:firstLine="480" w:firstLineChars="200"/>
        <w:rPr>
          <w:rFonts w:cs="Times New Roman" w:hAnsiTheme="minorEastAsia"/>
          <w:color w:val="000000" w:themeColor="text1"/>
          <w:szCs w:val="24"/>
        </w:rPr>
      </w:pPr>
      <w:r>
        <w:rPr>
          <w:rFonts w:hint="eastAsia" w:cs="Times New Roman" w:hAnsiTheme="minorEastAsia"/>
          <w:color w:val="000000" w:themeColor="text1"/>
          <w:szCs w:val="24"/>
        </w:rPr>
        <w:t xml:space="preserve"> </w:t>
      </w:r>
      <w:r>
        <w:rPr>
          <w:rFonts w:cs="Times New Roman" w:hAnsiTheme="minorEastAsia"/>
          <w:color w:val="000000" w:themeColor="text1"/>
          <w:szCs w:val="24"/>
        </w:rPr>
        <w:t>根据现场踏勘，精神大楼门诊的废水量按照</w:t>
      </w:r>
      <w:r>
        <w:rPr>
          <w:rFonts w:hint="eastAsia" w:cs="Times New Roman" w:hAnsiTheme="minorEastAsia"/>
          <w:color w:val="000000" w:themeColor="text1"/>
          <w:szCs w:val="24"/>
        </w:rPr>
        <w:t>400</w:t>
      </w:r>
      <w:r>
        <w:rPr>
          <w:rFonts w:cs="Times New Roman" w:hAnsiTheme="minorEastAsia"/>
          <w:color w:val="000000" w:themeColor="text1"/>
          <w:szCs w:val="24"/>
        </w:rPr>
        <w:t>L/人.次计算，</w:t>
      </w:r>
      <w:r>
        <w:rPr>
          <w:rFonts w:hint="eastAsia" w:cs="Times New Roman" w:hAnsiTheme="minorEastAsia"/>
          <w:color w:val="000000" w:themeColor="text1"/>
          <w:szCs w:val="24"/>
        </w:rPr>
        <w:t>医院</w:t>
      </w:r>
      <w:r>
        <w:rPr>
          <w:rFonts w:cs="Times New Roman" w:hAnsiTheme="minorEastAsia"/>
          <w:color w:val="000000" w:themeColor="text1"/>
          <w:szCs w:val="24"/>
        </w:rPr>
        <w:t>床位为</w:t>
      </w:r>
      <w:r>
        <w:rPr>
          <w:rFonts w:hint="eastAsia" w:cs="Times New Roman" w:hAnsiTheme="minorEastAsia"/>
          <w:color w:val="000000" w:themeColor="text1"/>
          <w:szCs w:val="24"/>
        </w:rPr>
        <w:t>768张</w:t>
      </w:r>
      <w:r>
        <w:rPr>
          <w:rFonts w:cs="Times New Roman" w:hAnsiTheme="minorEastAsia"/>
          <w:color w:val="000000" w:themeColor="text1"/>
          <w:szCs w:val="24"/>
        </w:rPr>
        <w:t>，则用水量为</w:t>
      </w:r>
      <w:r>
        <w:rPr>
          <w:rFonts w:hint="eastAsia" w:cs="Times New Roman" w:hAnsiTheme="minorEastAsia"/>
          <w:color w:val="000000" w:themeColor="text1"/>
          <w:szCs w:val="24"/>
        </w:rPr>
        <w:t>307.2</w:t>
      </w:r>
      <w:r>
        <w:rPr>
          <w:rFonts w:cs="Times New Roman" w:hAnsiTheme="minorEastAsia"/>
          <w:color w:val="000000" w:themeColor="text1"/>
          <w:szCs w:val="24"/>
        </w:rPr>
        <w:t>m</w:t>
      </w:r>
      <w:r>
        <w:rPr>
          <w:rFonts w:cs="Times New Roman" w:hAnsiTheme="minorEastAsia"/>
          <w:color w:val="000000" w:themeColor="text1"/>
          <w:szCs w:val="24"/>
          <w:vertAlign w:val="superscript"/>
        </w:rPr>
        <w:t>3</w:t>
      </w:r>
      <w:r>
        <w:rPr>
          <w:rFonts w:cs="Times New Roman" w:hAnsiTheme="minorEastAsia"/>
          <w:color w:val="000000" w:themeColor="text1"/>
          <w:szCs w:val="24"/>
        </w:rPr>
        <w:t>/d，</w:t>
      </w:r>
      <w:r>
        <w:rPr>
          <w:rFonts w:hint="eastAsia" w:cs="Times New Roman" w:hAnsiTheme="minorEastAsia"/>
          <w:color w:val="000000" w:themeColor="text1"/>
          <w:szCs w:val="24"/>
        </w:rPr>
        <w:t>排污系数按照0.85计算，则住院病人和陪护人员的废水排放量为261.132m</w:t>
      </w:r>
      <w:r>
        <w:rPr>
          <w:rFonts w:hint="eastAsia" w:cs="Times New Roman" w:hAnsiTheme="minorEastAsia"/>
          <w:color w:val="000000" w:themeColor="text1"/>
          <w:szCs w:val="24"/>
          <w:vertAlign w:val="superscript"/>
        </w:rPr>
        <w:t>3</w:t>
      </w:r>
      <w:r>
        <w:rPr>
          <w:rFonts w:hint="eastAsia" w:cs="Times New Roman" w:hAnsiTheme="minorEastAsia"/>
          <w:color w:val="000000" w:themeColor="text1"/>
          <w:szCs w:val="24"/>
        </w:rPr>
        <w:t xml:space="preserve">/d。住院病人和陪护人员废水经化粪池处理之后排入医院自建的污水处理站的处理。 </w:t>
      </w:r>
    </w:p>
    <w:p>
      <w:pPr>
        <w:spacing w:line="360" w:lineRule="auto"/>
        <w:ind w:firstLine="480" w:firstLineChars="200"/>
        <w:rPr>
          <w:rFonts w:cs="Times New Roman" w:asciiTheme="minorEastAsia" w:hAnsiTheme="minorEastAsia"/>
          <w:color w:val="000000" w:themeColor="text1"/>
          <w:szCs w:val="24"/>
        </w:rPr>
      </w:pPr>
      <w:r>
        <w:rPr>
          <w:rFonts w:hint="eastAsia" w:cs="Times New Roman" w:asciiTheme="minorEastAsia" w:hAnsiTheme="minorEastAsia"/>
          <w:color w:val="000000" w:themeColor="text1"/>
          <w:szCs w:val="24"/>
        </w:rPr>
        <w:t>⑤洗衣房废水</w:t>
      </w:r>
    </w:p>
    <w:p>
      <w:pPr>
        <w:spacing w:line="360" w:lineRule="auto"/>
        <w:ind w:firstLine="480" w:firstLineChars="200"/>
        <w:rPr>
          <w:rFonts w:cs="Times New Roman"/>
          <w:color w:val="000000" w:themeColor="text1"/>
          <w:szCs w:val="24"/>
        </w:rPr>
      </w:pPr>
      <w:r>
        <w:rPr>
          <w:rFonts w:cs="Times New Roman"/>
          <w:color w:val="000000" w:themeColor="text1"/>
          <w:szCs w:val="24"/>
        </w:rPr>
        <w:t>本医院一天清洗衣服和</w:t>
      </w:r>
      <w:r>
        <w:rPr>
          <w:rFonts w:hint="eastAsia" w:cs="Times New Roman"/>
          <w:color w:val="000000" w:themeColor="text1"/>
          <w:szCs w:val="24"/>
        </w:rPr>
        <w:t>医院</w:t>
      </w:r>
      <w:r>
        <w:rPr>
          <w:rFonts w:cs="Times New Roman"/>
          <w:color w:val="000000" w:themeColor="text1"/>
          <w:szCs w:val="24"/>
        </w:rPr>
        <w:t>被套的</w:t>
      </w:r>
      <w:r>
        <w:rPr>
          <w:rFonts w:hint="eastAsia" w:cs="Times New Roman"/>
          <w:color w:val="000000" w:themeColor="text1"/>
          <w:szCs w:val="24"/>
        </w:rPr>
        <w:t>重量</w:t>
      </w:r>
      <w:r>
        <w:rPr>
          <w:rFonts w:cs="Times New Roman"/>
          <w:color w:val="000000" w:themeColor="text1"/>
          <w:szCs w:val="24"/>
        </w:rPr>
        <w:t>为500kg，用水量按照60L/kg计算，则用水量为</w:t>
      </w:r>
      <w:r>
        <w:rPr>
          <w:rFonts w:cs="Times New Roman"/>
          <w:bCs/>
          <w:color w:val="000000" w:themeColor="text1"/>
          <w:szCs w:val="24"/>
        </w:rPr>
        <w:t>30m</w:t>
      </w:r>
      <w:r>
        <w:rPr>
          <w:rFonts w:cs="Times New Roman"/>
          <w:bCs/>
          <w:color w:val="000000" w:themeColor="text1"/>
          <w:szCs w:val="24"/>
          <w:vertAlign w:val="superscript"/>
        </w:rPr>
        <w:t>3</w:t>
      </w:r>
      <w:r>
        <w:rPr>
          <w:rFonts w:cs="Times New Roman"/>
          <w:bCs/>
          <w:color w:val="000000" w:themeColor="text1"/>
          <w:szCs w:val="24"/>
        </w:rPr>
        <w:t>/d</w:t>
      </w:r>
      <w:r>
        <w:rPr>
          <w:rFonts w:cs="Times New Roman"/>
          <w:color w:val="000000" w:themeColor="text1"/>
          <w:szCs w:val="24"/>
        </w:rPr>
        <w:t>，排污系数按照0.85计算，本项目洗衣房的污水量为</w:t>
      </w:r>
      <w:r>
        <w:rPr>
          <w:rFonts w:hint="eastAsia" w:cs="Times New Roman"/>
          <w:color w:val="000000" w:themeColor="text1"/>
          <w:szCs w:val="24"/>
        </w:rPr>
        <w:t>25.5</w:t>
      </w:r>
      <w:r>
        <w:rPr>
          <w:rFonts w:cs="Times New Roman"/>
          <w:bCs/>
          <w:color w:val="000000" w:themeColor="text1"/>
          <w:szCs w:val="24"/>
        </w:rPr>
        <w:t>m</w:t>
      </w:r>
      <w:r>
        <w:rPr>
          <w:rFonts w:cs="Times New Roman"/>
          <w:bCs/>
          <w:color w:val="000000" w:themeColor="text1"/>
          <w:szCs w:val="24"/>
          <w:vertAlign w:val="superscript"/>
        </w:rPr>
        <w:t>3</w:t>
      </w:r>
      <w:r>
        <w:rPr>
          <w:rFonts w:cs="Times New Roman"/>
          <w:bCs/>
          <w:color w:val="000000" w:themeColor="text1"/>
          <w:szCs w:val="24"/>
        </w:rPr>
        <w:t>/d</w:t>
      </w:r>
      <w:r>
        <w:rPr>
          <w:rFonts w:hint="eastAsia" w:cs="Times New Roman"/>
          <w:color w:val="000000" w:themeColor="text1"/>
          <w:szCs w:val="24"/>
        </w:rPr>
        <w:t>。洗衣房废水排入医院自建的污水处理站处理。</w:t>
      </w:r>
      <w:r>
        <w:rPr>
          <w:rFonts w:cs="Times New Roman"/>
          <w:color w:val="000000" w:themeColor="text1"/>
          <w:szCs w:val="24"/>
        </w:rPr>
        <w:t xml:space="preserve">               </w:t>
      </w:r>
    </w:p>
    <w:p>
      <w:pPr>
        <w:pStyle w:val="56"/>
      </w:pPr>
      <w:r>
        <w:rPr>
          <w:rFonts w:hint="eastAsia"/>
        </w:rPr>
        <w:t>废水水质</w:t>
      </w:r>
    </w:p>
    <w:p>
      <w:pPr>
        <w:adjustRightInd w:val="0"/>
        <w:snapToGrid w:val="0"/>
        <w:spacing w:line="360" w:lineRule="auto"/>
        <w:ind w:firstLine="480" w:firstLineChars="200"/>
        <w:rPr>
          <w:szCs w:val="24"/>
        </w:rPr>
      </w:pPr>
      <w:r>
        <w:rPr>
          <w:rFonts w:hint="eastAsia" w:ascii="宋体" w:hAnsi="宋体" w:eastAsia="宋体" w:cs="宋体"/>
          <w:szCs w:val="24"/>
        </w:rPr>
        <w:t>①</w:t>
      </w:r>
      <w:r>
        <w:rPr>
          <w:szCs w:val="24"/>
        </w:rPr>
        <w:t>生活废水</w:t>
      </w:r>
    </w:p>
    <w:p>
      <w:pPr>
        <w:adjustRightInd w:val="0"/>
        <w:snapToGrid w:val="0"/>
        <w:spacing w:line="360" w:lineRule="auto"/>
        <w:ind w:firstLine="480" w:firstLineChars="200"/>
        <w:rPr>
          <w:szCs w:val="24"/>
        </w:rPr>
      </w:pPr>
      <w:r>
        <w:rPr>
          <w:rFonts w:hint="eastAsia"/>
          <w:szCs w:val="24"/>
        </w:rPr>
        <w:t>由上表及项目水平衡可知，本项目营运期生活废水排放量为23.8</w:t>
      </w:r>
      <w:r>
        <w:rPr>
          <w:szCs w:val="24"/>
        </w:rPr>
        <w:t>m</w:t>
      </w:r>
      <w:r>
        <w:rPr>
          <w:szCs w:val="24"/>
          <w:vertAlign w:val="superscript"/>
        </w:rPr>
        <w:t>3</w:t>
      </w:r>
      <w:r>
        <w:rPr>
          <w:szCs w:val="24"/>
        </w:rPr>
        <w:t>/d</w:t>
      </w:r>
      <w:r>
        <w:rPr>
          <w:rFonts w:hint="eastAsia"/>
          <w:szCs w:val="24"/>
        </w:rPr>
        <w:t>（8687</w:t>
      </w:r>
      <w:r>
        <w:rPr>
          <w:szCs w:val="24"/>
        </w:rPr>
        <w:t>m</w:t>
      </w:r>
      <w:r>
        <w:rPr>
          <w:szCs w:val="24"/>
          <w:vertAlign w:val="superscript"/>
        </w:rPr>
        <w:t>3</w:t>
      </w:r>
      <w:r>
        <w:rPr>
          <w:szCs w:val="24"/>
        </w:rPr>
        <w:t>/</w:t>
      </w:r>
      <w:r>
        <w:rPr>
          <w:rFonts w:hint="eastAsia"/>
          <w:szCs w:val="24"/>
        </w:rPr>
        <w:t>a）</w:t>
      </w:r>
      <w:r>
        <w:rPr>
          <w:szCs w:val="24"/>
        </w:rPr>
        <w:t>类比同类项目污水水质，COD</w:t>
      </w:r>
      <w:r>
        <w:rPr>
          <w:szCs w:val="24"/>
          <w:vertAlign w:val="subscript"/>
        </w:rPr>
        <w:t>Cr</w:t>
      </w:r>
      <w:r>
        <w:rPr>
          <w:szCs w:val="24"/>
        </w:rPr>
        <w:t>、BOD</w:t>
      </w:r>
      <w:r>
        <w:rPr>
          <w:szCs w:val="24"/>
          <w:vertAlign w:val="subscript"/>
        </w:rPr>
        <w:t>5</w:t>
      </w:r>
      <w:r>
        <w:rPr>
          <w:szCs w:val="24"/>
        </w:rPr>
        <w:t>、SS、氨氮、动植物油产生浓度为300mg/L、150mg/L、200mg/L、30mg/L、20mg/L，则COD</w:t>
      </w:r>
      <w:r>
        <w:rPr>
          <w:szCs w:val="24"/>
          <w:vertAlign w:val="subscript"/>
        </w:rPr>
        <w:t>Cr</w:t>
      </w:r>
      <w:r>
        <w:rPr>
          <w:szCs w:val="24"/>
        </w:rPr>
        <w:t>、BOD</w:t>
      </w:r>
      <w:r>
        <w:rPr>
          <w:szCs w:val="24"/>
          <w:vertAlign w:val="subscript"/>
        </w:rPr>
        <w:t>5</w:t>
      </w:r>
      <w:r>
        <w:rPr>
          <w:szCs w:val="24"/>
        </w:rPr>
        <w:t>、SS、氨氮、动植物油污染物产生量为：</w:t>
      </w:r>
      <w:r>
        <w:rPr>
          <w:rFonts w:hint="eastAsia"/>
          <w:szCs w:val="24"/>
        </w:rPr>
        <w:t>2.6</w:t>
      </w:r>
      <w:r>
        <w:rPr>
          <w:szCs w:val="24"/>
        </w:rPr>
        <w:t>t/a、</w:t>
      </w:r>
      <w:r>
        <w:rPr>
          <w:rFonts w:hint="eastAsia"/>
          <w:szCs w:val="24"/>
        </w:rPr>
        <w:t>1.3</w:t>
      </w:r>
      <w:r>
        <w:rPr>
          <w:szCs w:val="24"/>
        </w:rPr>
        <w:t>t/a、</w:t>
      </w:r>
      <w:r>
        <w:rPr>
          <w:rFonts w:hint="eastAsia"/>
          <w:szCs w:val="24"/>
        </w:rPr>
        <w:t>1.7</w:t>
      </w:r>
      <w:r>
        <w:rPr>
          <w:szCs w:val="24"/>
        </w:rPr>
        <w:t>t/a、</w:t>
      </w:r>
      <w:r>
        <w:rPr>
          <w:rFonts w:hint="eastAsia"/>
          <w:szCs w:val="24"/>
        </w:rPr>
        <w:t>0.26</w:t>
      </w:r>
      <w:r>
        <w:rPr>
          <w:szCs w:val="24"/>
        </w:rPr>
        <w:t>t/a、</w:t>
      </w:r>
      <w:r>
        <w:rPr>
          <w:rFonts w:hint="eastAsia"/>
          <w:szCs w:val="24"/>
        </w:rPr>
        <w:t>0.17</w:t>
      </w:r>
      <w:r>
        <w:rPr>
          <w:szCs w:val="24"/>
        </w:rPr>
        <w:t>t/a。</w:t>
      </w:r>
    </w:p>
    <w:p>
      <w:pPr>
        <w:adjustRightInd w:val="0"/>
        <w:snapToGrid w:val="0"/>
        <w:spacing w:line="360" w:lineRule="auto"/>
        <w:ind w:firstLine="480" w:firstLineChars="200"/>
      </w:pPr>
      <w:r>
        <w:rPr>
          <w:rFonts w:hint="eastAsia"/>
          <w:szCs w:val="24"/>
        </w:rPr>
        <w:t>院内餐饮废水采用隔油沉淀池处理后再排入化粪池，经化粪池处理后</w:t>
      </w:r>
      <w:r>
        <w:rPr>
          <w:szCs w:val="24"/>
        </w:rPr>
        <w:t>达《污水综合排放标准》（GB8978-1996）中三级排放标准并满足马壕污水处理厂处理接管标准要求后排入市政污水管网最终排入马壕污水处理厂处理</w:t>
      </w:r>
      <w:r>
        <w:rPr>
          <w:rFonts w:hint="eastAsia"/>
          <w:szCs w:val="24"/>
        </w:rPr>
        <w:t>，</w:t>
      </w:r>
      <w:r>
        <w:rPr>
          <w:szCs w:val="24"/>
        </w:rPr>
        <w:t>达标后排入东风湖</w:t>
      </w:r>
      <w:r>
        <w:rPr>
          <w:rFonts w:hint="eastAsia"/>
          <w:szCs w:val="24"/>
        </w:rPr>
        <w:t>。</w:t>
      </w:r>
      <w:r>
        <w:rPr>
          <w:szCs w:val="24"/>
        </w:rPr>
        <w:t>类比</w:t>
      </w:r>
      <w:r>
        <w:rPr>
          <w:rFonts w:hint="eastAsia"/>
          <w:szCs w:val="24"/>
        </w:rPr>
        <w:t>同类</w:t>
      </w:r>
      <w:r>
        <w:rPr>
          <w:szCs w:val="24"/>
        </w:rPr>
        <w:t>项目的生活污水经隔油池、化粪池处理后的监测数据，确定医院生活污水COD</w:t>
      </w:r>
      <w:r>
        <w:rPr>
          <w:szCs w:val="24"/>
          <w:vertAlign w:val="subscript"/>
        </w:rPr>
        <w:t>Cr</w:t>
      </w:r>
      <w:r>
        <w:rPr>
          <w:szCs w:val="24"/>
        </w:rPr>
        <w:t>、BOD</w:t>
      </w:r>
      <w:r>
        <w:rPr>
          <w:szCs w:val="24"/>
          <w:vertAlign w:val="subscript"/>
        </w:rPr>
        <w:t>5</w:t>
      </w:r>
      <w:r>
        <w:rPr>
          <w:szCs w:val="24"/>
        </w:rPr>
        <w:t>、SS、氨氮、动植物油排放浓度为250mg/L、120mg/L、100mg/L、20mg/L、10mg/L，去除效率分别为16.7%、20%、50%、23.3%、50%，处理后的污染物排放量分别为</w:t>
      </w:r>
      <w:r>
        <w:rPr>
          <w:rFonts w:hint="eastAsia"/>
          <w:szCs w:val="24"/>
        </w:rPr>
        <w:t>2.17</w:t>
      </w:r>
      <w:r>
        <w:rPr>
          <w:szCs w:val="24"/>
        </w:rPr>
        <w:t>t/a、</w:t>
      </w:r>
      <w:r>
        <w:rPr>
          <w:rFonts w:hint="eastAsia"/>
          <w:szCs w:val="24"/>
        </w:rPr>
        <w:t>1.04</w:t>
      </w:r>
      <w:r>
        <w:rPr>
          <w:szCs w:val="24"/>
        </w:rPr>
        <w:t>t/a、</w:t>
      </w:r>
      <w:r>
        <w:rPr>
          <w:rFonts w:hint="eastAsia"/>
          <w:szCs w:val="24"/>
        </w:rPr>
        <w:t>0.87</w:t>
      </w:r>
      <w:r>
        <w:rPr>
          <w:szCs w:val="24"/>
        </w:rPr>
        <w:t>t/a、</w:t>
      </w:r>
      <w:r>
        <w:rPr>
          <w:rFonts w:hint="eastAsia"/>
          <w:szCs w:val="24"/>
        </w:rPr>
        <w:t>0.17</w:t>
      </w:r>
      <w:r>
        <w:rPr>
          <w:szCs w:val="24"/>
        </w:rPr>
        <w:t>t/a、</w:t>
      </w:r>
      <w:r>
        <w:rPr>
          <w:rFonts w:hint="eastAsia"/>
          <w:szCs w:val="24"/>
        </w:rPr>
        <w:t>0.09</w:t>
      </w:r>
      <w:r>
        <w:rPr>
          <w:szCs w:val="24"/>
        </w:rPr>
        <w:t>t/a。</w:t>
      </w:r>
    </w:p>
    <w:p>
      <w:pPr>
        <w:spacing w:line="360" w:lineRule="auto"/>
        <w:ind w:firstLine="480" w:firstLineChars="200"/>
        <w:rPr>
          <w:rFonts w:cs="Times New Roman"/>
          <w:szCs w:val="24"/>
        </w:rPr>
      </w:pPr>
      <w:r>
        <w:rPr>
          <w:rFonts w:hint="eastAsia" w:cs="Times New Roman" w:asciiTheme="minorEastAsia" w:hAnsiTheme="minorEastAsia"/>
          <w:szCs w:val="24"/>
        </w:rPr>
        <w:t>②</w:t>
      </w:r>
      <w:r>
        <w:rPr>
          <w:rFonts w:cs="Times New Roman"/>
          <w:szCs w:val="24"/>
        </w:rPr>
        <w:t>医疗废水</w:t>
      </w:r>
    </w:p>
    <w:p>
      <w:pPr>
        <w:spacing w:line="360" w:lineRule="auto"/>
        <w:ind w:firstLine="480" w:firstLineChars="200"/>
        <w:rPr>
          <w:rFonts w:cs="Times New Roman"/>
          <w:color w:val="FF0000"/>
          <w:szCs w:val="24"/>
        </w:rPr>
      </w:pPr>
      <w:r>
        <w:rPr>
          <w:rFonts w:cs="Times New Roman"/>
          <w:szCs w:val="24"/>
        </w:rPr>
        <w:t>由上表及项目水平衡可知医院营运期医疗废水排放量为</w:t>
      </w:r>
      <w:r>
        <w:rPr>
          <w:rFonts w:hint="eastAsia" w:cs="Times New Roman"/>
          <w:szCs w:val="24"/>
        </w:rPr>
        <w:t>328.097</w:t>
      </w:r>
      <w:r>
        <w:rPr>
          <w:rFonts w:cs="Times New Roman"/>
          <w:szCs w:val="24"/>
        </w:rPr>
        <w:t>m</w:t>
      </w:r>
      <w:r>
        <w:rPr>
          <w:rFonts w:cs="Times New Roman"/>
          <w:szCs w:val="24"/>
          <w:vertAlign w:val="superscript"/>
        </w:rPr>
        <w:t>3</w:t>
      </w:r>
      <w:r>
        <w:rPr>
          <w:rFonts w:cs="Times New Roman"/>
          <w:szCs w:val="24"/>
        </w:rPr>
        <w:t>/d（</w:t>
      </w:r>
      <w:r>
        <w:rPr>
          <w:rFonts w:hint="eastAsia" w:cs="Times New Roman"/>
          <w:szCs w:val="24"/>
        </w:rPr>
        <w:t>119755.405</w:t>
      </w:r>
      <w:r>
        <w:rPr>
          <w:rFonts w:cs="Times New Roman"/>
          <w:szCs w:val="24"/>
        </w:rPr>
        <w:t>m</w:t>
      </w:r>
      <w:r>
        <w:rPr>
          <w:rFonts w:cs="Times New Roman"/>
          <w:szCs w:val="24"/>
          <w:vertAlign w:val="superscript"/>
        </w:rPr>
        <w:t>3</w:t>
      </w:r>
      <w:r>
        <w:rPr>
          <w:rFonts w:cs="Times New Roman"/>
          <w:szCs w:val="24"/>
        </w:rPr>
        <w:t>/a）。根据岳阳市康复医院废水监测数据，确定医疗废水水质如下：COD：</w:t>
      </w:r>
      <w:r>
        <w:rPr>
          <w:rFonts w:hint="eastAsia" w:cs="Times New Roman"/>
          <w:szCs w:val="24"/>
        </w:rPr>
        <w:t>162</w:t>
      </w:r>
      <w:r>
        <w:rPr>
          <w:rFonts w:cs="Times New Roman"/>
          <w:szCs w:val="24"/>
        </w:rPr>
        <w:t>mg/L、BOD</w:t>
      </w:r>
      <w:r>
        <w:rPr>
          <w:rFonts w:cs="Times New Roman"/>
          <w:szCs w:val="24"/>
          <w:vertAlign w:val="subscript"/>
        </w:rPr>
        <w:t>5</w:t>
      </w:r>
      <w:r>
        <w:rPr>
          <w:rFonts w:cs="Times New Roman"/>
          <w:szCs w:val="24"/>
        </w:rPr>
        <w:t>：</w:t>
      </w:r>
      <w:r>
        <w:rPr>
          <w:rFonts w:hint="eastAsia" w:cs="Times New Roman"/>
          <w:szCs w:val="24"/>
        </w:rPr>
        <w:t>49.5</w:t>
      </w:r>
      <w:r>
        <w:rPr>
          <w:rFonts w:cs="Times New Roman"/>
          <w:szCs w:val="24"/>
        </w:rPr>
        <w:t>mg/L、SS：</w:t>
      </w:r>
      <w:r>
        <w:rPr>
          <w:rFonts w:hint="eastAsia" w:cs="Times New Roman"/>
          <w:szCs w:val="24"/>
        </w:rPr>
        <w:t>40</w:t>
      </w:r>
      <w:r>
        <w:rPr>
          <w:rFonts w:cs="Times New Roman"/>
          <w:szCs w:val="24"/>
        </w:rPr>
        <w:t>mg/L、氨氮：</w:t>
      </w:r>
      <w:r>
        <w:rPr>
          <w:rFonts w:hint="eastAsia" w:cs="Times New Roman"/>
          <w:szCs w:val="24"/>
        </w:rPr>
        <w:t>14.4</w:t>
      </w:r>
      <w:r>
        <w:rPr>
          <w:rFonts w:cs="Times New Roman"/>
          <w:szCs w:val="24"/>
        </w:rPr>
        <w:t>mg/L、粪大肠杆菌：</w:t>
      </w:r>
      <w:r>
        <w:rPr>
          <w:rFonts w:hint="eastAsia" w:cs="Times New Roman"/>
          <w:szCs w:val="24"/>
        </w:rPr>
        <w:t>4700</w:t>
      </w:r>
      <w:r>
        <w:rPr>
          <w:rFonts w:cs="Times New Roman"/>
          <w:szCs w:val="24"/>
        </w:rPr>
        <w:t>个/L</w:t>
      </w:r>
      <w:r>
        <w:rPr>
          <w:rFonts w:hint="eastAsia" w:cs="Times New Roman"/>
          <w:szCs w:val="24"/>
        </w:rPr>
        <w:t>、</w:t>
      </w:r>
      <w:r>
        <w:rPr>
          <w:rFonts w:cs="Times New Roman"/>
          <w:szCs w:val="24"/>
        </w:rPr>
        <w:t>总氮</w:t>
      </w:r>
      <w:r>
        <w:rPr>
          <w:rFonts w:hint="eastAsia" w:cs="Times New Roman"/>
          <w:szCs w:val="24"/>
        </w:rPr>
        <w:t>25.3</w:t>
      </w:r>
      <w:r>
        <w:rPr>
          <w:rFonts w:cs="Times New Roman"/>
          <w:szCs w:val="24"/>
        </w:rPr>
        <w:t>mg/L</w:t>
      </w:r>
      <w:r>
        <w:rPr>
          <w:rFonts w:hint="eastAsia" w:cs="Times New Roman"/>
          <w:szCs w:val="24"/>
        </w:rPr>
        <w:t>、总磷1.2</w:t>
      </w:r>
      <w:r>
        <w:rPr>
          <w:rFonts w:cs="Times New Roman"/>
          <w:szCs w:val="24"/>
        </w:rPr>
        <w:t>mg/L</w:t>
      </w:r>
      <w:r>
        <w:rPr>
          <w:rFonts w:hint="eastAsia" w:cs="Times New Roman"/>
          <w:szCs w:val="24"/>
        </w:rPr>
        <w:t>、</w:t>
      </w:r>
      <w:r>
        <w:rPr>
          <w:rFonts w:cs="Times New Roman"/>
          <w:szCs w:val="24"/>
        </w:rPr>
        <w:t>阴离子表面活性剂</w:t>
      </w:r>
      <w:r>
        <w:rPr>
          <w:rFonts w:hint="eastAsia" w:cs="Times New Roman"/>
          <w:szCs w:val="24"/>
        </w:rPr>
        <w:t>0.2</w:t>
      </w:r>
      <w:r>
        <w:rPr>
          <w:rFonts w:cs="Times New Roman"/>
          <w:szCs w:val="24"/>
        </w:rPr>
        <w:t>mg/L</w:t>
      </w:r>
      <w:r>
        <w:rPr>
          <w:rFonts w:hint="eastAsia" w:cs="Times New Roman"/>
          <w:szCs w:val="24"/>
        </w:rPr>
        <w:t>、总余氯0.04</w:t>
      </w:r>
      <w:r>
        <w:rPr>
          <w:rFonts w:cs="Times New Roman"/>
          <w:szCs w:val="24"/>
        </w:rPr>
        <w:t>mg/L</w:t>
      </w:r>
      <w:r>
        <w:rPr>
          <w:rFonts w:hint="eastAsia" w:cs="Times New Roman"/>
          <w:szCs w:val="24"/>
        </w:rPr>
        <w:t>、</w:t>
      </w:r>
      <w:r>
        <w:rPr>
          <w:rFonts w:cs="Times New Roman"/>
          <w:szCs w:val="24"/>
        </w:rPr>
        <w:t>总氰化物</w:t>
      </w:r>
      <w:r>
        <w:rPr>
          <w:rFonts w:hint="eastAsia" w:cs="Times New Roman"/>
          <w:szCs w:val="24"/>
        </w:rPr>
        <w:t>0.001L</w:t>
      </w:r>
      <w:r>
        <w:rPr>
          <w:rFonts w:cs="Times New Roman"/>
          <w:szCs w:val="24"/>
        </w:rPr>
        <w:t>。</w:t>
      </w:r>
      <w:r>
        <w:rPr>
          <w:rFonts w:cs="Times New Roman"/>
          <w:color w:val="000000" w:themeColor="text1"/>
          <w:szCs w:val="24"/>
        </w:rPr>
        <w:t>则各污染物的产生量为</w:t>
      </w:r>
      <w:r>
        <w:rPr>
          <w:rFonts w:hint="eastAsia" w:cs="Times New Roman"/>
          <w:color w:val="000000" w:themeColor="text1"/>
          <w:szCs w:val="24"/>
        </w:rPr>
        <w:t>：</w:t>
      </w:r>
      <w:r>
        <w:rPr>
          <w:rFonts w:cs="Times New Roman"/>
          <w:color w:val="000000" w:themeColor="text1"/>
          <w:szCs w:val="24"/>
        </w:rPr>
        <w:t>COD</w:t>
      </w:r>
      <w:r>
        <w:rPr>
          <w:rFonts w:hint="eastAsia" w:cs="Times New Roman"/>
          <w:color w:val="000000" w:themeColor="text1"/>
          <w:szCs w:val="24"/>
        </w:rPr>
        <w:t>：19.4t/a、</w:t>
      </w:r>
      <w:r>
        <w:rPr>
          <w:rFonts w:cs="Times New Roman"/>
          <w:color w:val="000000" w:themeColor="text1"/>
          <w:szCs w:val="24"/>
        </w:rPr>
        <w:t>BOD</w:t>
      </w:r>
      <w:r>
        <w:rPr>
          <w:rFonts w:cs="Times New Roman"/>
          <w:color w:val="000000" w:themeColor="text1"/>
          <w:szCs w:val="24"/>
          <w:vertAlign w:val="subscript"/>
        </w:rPr>
        <w:t>5</w:t>
      </w:r>
      <w:r>
        <w:rPr>
          <w:rFonts w:cs="Times New Roman"/>
          <w:color w:val="000000" w:themeColor="text1"/>
          <w:szCs w:val="24"/>
        </w:rPr>
        <w:t>：</w:t>
      </w:r>
      <w:r>
        <w:rPr>
          <w:rFonts w:hint="eastAsia" w:cs="Times New Roman"/>
          <w:color w:val="000000" w:themeColor="text1"/>
          <w:szCs w:val="24"/>
        </w:rPr>
        <w:t>5.93t/a、</w:t>
      </w:r>
      <w:r>
        <w:rPr>
          <w:rFonts w:cs="Times New Roman"/>
          <w:color w:val="000000" w:themeColor="text1"/>
          <w:szCs w:val="24"/>
        </w:rPr>
        <w:t>SS：</w:t>
      </w:r>
      <w:r>
        <w:rPr>
          <w:rFonts w:hint="eastAsia" w:cs="Times New Roman"/>
          <w:color w:val="000000" w:themeColor="text1"/>
          <w:szCs w:val="24"/>
        </w:rPr>
        <w:t>4.8t/a、</w:t>
      </w:r>
      <w:r>
        <w:rPr>
          <w:rFonts w:cs="Times New Roman"/>
          <w:color w:val="000000" w:themeColor="text1"/>
          <w:szCs w:val="24"/>
        </w:rPr>
        <w:t>氨氮：</w:t>
      </w:r>
      <w:r>
        <w:rPr>
          <w:rFonts w:hint="eastAsia" w:cs="Times New Roman"/>
          <w:color w:val="000000" w:themeColor="text1"/>
          <w:szCs w:val="24"/>
        </w:rPr>
        <w:t>1.72t/a、</w:t>
      </w:r>
      <w:r>
        <w:rPr>
          <w:rFonts w:cs="Times New Roman"/>
          <w:color w:val="000000" w:themeColor="text1"/>
          <w:szCs w:val="24"/>
        </w:rPr>
        <w:t>粪大肠杆菌：</w:t>
      </w:r>
      <w:r>
        <w:rPr>
          <w:rFonts w:hint="eastAsia" w:cs="Times New Roman"/>
          <w:color w:val="000000" w:themeColor="text1"/>
          <w:szCs w:val="24"/>
        </w:rPr>
        <w:t>561.8</w:t>
      </w:r>
      <w:r>
        <w:rPr>
          <w:rFonts w:cs="Times New Roman"/>
          <w:color w:val="000000" w:themeColor="text1"/>
          <w:szCs w:val="24"/>
        </w:rPr>
        <w:t>个</w:t>
      </w:r>
      <w:r>
        <w:rPr>
          <w:rFonts w:hint="eastAsia" w:cs="Times New Roman"/>
          <w:color w:val="000000" w:themeColor="text1"/>
          <w:szCs w:val="24"/>
        </w:rPr>
        <w:t>/L、</w:t>
      </w:r>
      <w:r>
        <w:rPr>
          <w:rFonts w:cs="Times New Roman"/>
          <w:color w:val="000000" w:themeColor="text1"/>
          <w:szCs w:val="24"/>
        </w:rPr>
        <w:t>总氮</w:t>
      </w:r>
      <w:r>
        <w:rPr>
          <w:rFonts w:hint="eastAsia" w:cs="Times New Roman"/>
          <w:color w:val="000000" w:themeColor="text1"/>
          <w:szCs w:val="24"/>
        </w:rPr>
        <w:t>：3.02t/a、总磷：0.14t/a、</w:t>
      </w:r>
      <w:r>
        <w:rPr>
          <w:rFonts w:cs="Times New Roman"/>
          <w:color w:val="000000" w:themeColor="text1"/>
          <w:szCs w:val="24"/>
        </w:rPr>
        <w:t>阴离子表面活性剂</w:t>
      </w:r>
      <w:r>
        <w:rPr>
          <w:rFonts w:hint="eastAsia" w:cs="Times New Roman"/>
          <w:color w:val="000000" w:themeColor="text1"/>
          <w:szCs w:val="24"/>
        </w:rPr>
        <w:t>：0.024t/a、总余氯：0.005t/a、</w:t>
      </w:r>
      <w:r>
        <w:rPr>
          <w:rFonts w:cs="Times New Roman"/>
          <w:color w:val="000000" w:themeColor="text1"/>
          <w:szCs w:val="24"/>
        </w:rPr>
        <w:t>总氰化物</w:t>
      </w:r>
      <w:r>
        <w:rPr>
          <w:rFonts w:hint="eastAsia" w:cs="Times New Roman"/>
          <w:color w:val="000000" w:themeColor="text1"/>
          <w:szCs w:val="24"/>
        </w:rPr>
        <w:t>0.0001。</w:t>
      </w:r>
    </w:p>
    <w:p>
      <w:pPr>
        <w:spacing w:line="360" w:lineRule="auto"/>
        <w:ind w:firstLine="480" w:firstLineChars="200"/>
        <w:rPr>
          <w:rFonts w:cs="Times New Roman"/>
          <w:szCs w:val="24"/>
        </w:rPr>
      </w:pPr>
      <w:r>
        <w:rPr>
          <w:rFonts w:hint="eastAsia" w:cs="Times New Roman"/>
          <w:szCs w:val="24"/>
        </w:rPr>
        <w:t>本项目废水监测结果见下表所示。</w:t>
      </w:r>
    </w:p>
    <w:p>
      <w:pPr>
        <w:pStyle w:val="14"/>
        <w:spacing w:line="240" w:lineRule="auto"/>
        <w:rPr>
          <w:rFonts w:cs="Times New Roman"/>
        </w:rPr>
      </w:pPr>
      <w:r>
        <w:rPr>
          <w:rFonts w:cs="Times New Roman" w:hAnsiTheme="minorEastAsia"/>
        </w:rPr>
        <w:t>表</w:t>
      </w:r>
      <w:r>
        <w:rPr>
          <w:rFonts w:cs="Times New Roman" w:hAnsiTheme="minorEastAsia"/>
        </w:rPr>
        <w:fldChar w:fldCharType="begin"/>
      </w:r>
      <w:r>
        <w:rPr>
          <w:rFonts w:cs="Times New Roman" w:hAnsiTheme="minorEastAsia"/>
        </w:rPr>
        <w:instrText xml:space="preserve"> STYLEREF 2 \s </w:instrText>
      </w:r>
      <w:r>
        <w:rPr>
          <w:rFonts w:cs="Times New Roman" w:hAnsiTheme="minorEastAsia"/>
        </w:rPr>
        <w:fldChar w:fldCharType="separate"/>
      </w:r>
      <w:r>
        <w:rPr>
          <w:rFonts w:cs="Times New Roman" w:hAnsiTheme="minorEastAsia"/>
        </w:rPr>
        <w:t>3.2</w:t>
      </w:r>
      <w:r>
        <w:rPr>
          <w:rFonts w:cs="Times New Roman" w:hAnsiTheme="minorEastAsia"/>
        </w:rPr>
        <w:fldChar w:fldCharType="end"/>
      </w:r>
      <w:r>
        <w:rPr>
          <w:rFonts w:cs="Times New Roman" w:hAnsiTheme="minorEastAsia"/>
        </w:rPr>
        <w:noBreakHyphen/>
      </w:r>
      <w:r>
        <w:rPr>
          <w:rFonts w:cs="Times New Roman" w:hAnsiTheme="minorEastAsia"/>
        </w:rPr>
        <w:fldChar w:fldCharType="begin"/>
      </w:r>
      <w:r>
        <w:rPr>
          <w:rFonts w:cs="Times New Roman" w:hAnsiTheme="minorEastAsia"/>
        </w:rPr>
        <w:instrText xml:space="preserve"> SEQ 表 \* ARABIC \s 2 </w:instrText>
      </w:r>
      <w:r>
        <w:rPr>
          <w:rFonts w:cs="Times New Roman" w:hAnsiTheme="minorEastAsia"/>
        </w:rPr>
        <w:fldChar w:fldCharType="separate"/>
      </w:r>
      <w:r>
        <w:rPr>
          <w:rFonts w:cs="Times New Roman" w:hAnsiTheme="minorEastAsia"/>
        </w:rPr>
        <w:t>6</w:t>
      </w:r>
      <w:r>
        <w:rPr>
          <w:rFonts w:cs="Times New Roman" w:hAnsiTheme="minorEastAsia"/>
        </w:rPr>
        <w:fldChar w:fldCharType="end"/>
      </w:r>
      <w:r>
        <w:rPr>
          <w:rFonts w:hint="eastAsia" w:cs="Times New Roman" w:hAnsiTheme="minorEastAsia"/>
        </w:rPr>
        <w:t xml:space="preserve">  </w:t>
      </w:r>
      <w:r>
        <w:rPr>
          <w:rFonts w:cs="Times New Roman" w:hAnsiTheme="minorEastAsia"/>
        </w:rPr>
        <w:t>废水监测结果一览表</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951"/>
        <w:gridCol w:w="484"/>
        <w:gridCol w:w="606"/>
        <w:gridCol w:w="632"/>
        <w:gridCol w:w="736"/>
        <w:gridCol w:w="591"/>
        <w:gridCol w:w="484"/>
        <w:gridCol w:w="591"/>
        <w:gridCol w:w="591"/>
        <w:gridCol w:w="1008"/>
        <w:gridCol w:w="765"/>
        <w:gridCol w:w="621"/>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pStyle w:val="14"/>
              <w:adjustRightInd w:val="0"/>
              <w:snapToGrid w:val="0"/>
              <w:spacing w:line="240" w:lineRule="auto"/>
              <w:rPr>
                <w:rFonts w:cs="Times New Roman"/>
                <w:b w:val="0"/>
                <w:sz w:val="21"/>
                <w:szCs w:val="21"/>
              </w:rPr>
            </w:pPr>
            <w:r>
              <w:rPr>
                <w:rFonts w:cs="Times New Roman"/>
                <w:b w:val="0"/>
                <w:sz w:val="21"/>
                <w:szCs w:val="21"/>
              </w:rPr>
              <w:t>氨氮采样点位</w:t>
            </w:r>
          </w:p>
        </w:tc>
        <w:tc>
          <w:tcPr>
            <w:tcW w:w="0" w:type="auto"/>
            <w:gridSpan w:val="2"/>
            <w:vMerge w:val="restart"/>
            <w:vAlign w:val="center"/>
          </w:tcPr>
          <w:p>
            <w:pPr>
              <w:pStyle w:val="14"/>
              <w:adjustRightInd w:val="0"/>
              <w:snapToGrid w:val="0"/>
              <w:spacing w:line="240" w:lineRule="auto"/>
              <w:rPr>
                <w:rFonts w:cs="Times New Roman"/>
                <w:b w:val="0"/>
                <w:sz w:val="21"/>
                <w:szCs w:val="21"/>
              </w:rPr>
            </w:pPr>
            <w:r>
              <w:rPr>
                <w:rFonts w:cs="Times New Roman"/>
                <w:b w:val="0"/>
                <w:sz w:val="21"/>
                <w:szCs w:val="21"/>
              </w:rPr>
              <w:t>采样日期</w:t>
            </w:r>
          </w:p>
        </w:tc>
        <w:tc>
          <w:tcPr>
            <w:tcW w:w="0" w:type="auto"/>
            <w:gridSpan w:val="11"/>
            <w:vAlign w:val="center"/>
          </w:tcPr>
          <w:p>
            <w:pPr>
              <w:pStyle w:val="14"/>
              <w:adjustRightInd w:val="0"/>
              <w:snapToGrid w:val="0"/>
              <w:spacing w:line="240" w:lineRule="auto"/>
              <w:rPr>
                <w:rFonts w:cs="Times New Roman"/>
                <w:b w:val="0"/>
                <w:sz w:val="21"/>
                <w:szCs w:val="21"/>
              </w:rPr>
            </w:pPr>
            <w:r>
              <w:rPr>
                <w:rFonts w:cs="Times New Roman"/>
                <w:b w:val="0"/>
                <w:sz w:val="21"/>
                <w:szCs w:val="21"/>
              </w:rPr>
              <w:t>检测结果</w:t>
            </w:r>
            <w:r>
              <w:rPr>
                <w:rFonts w:hint="eastAsia" w:cs="Times New Roman"/>
                <w:b w:val="0"/>
                <w:sz w:val="21"/>
                <w:szCs w:val="21"/>
              </w:rPr>
              <w:t>（mg/L，PH值，无量纲，类大肠菌群、MPN/L）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14"/>
              <w:adjustRightInd w:val="0"/>
              <w:snapToGrid w:val="0"/>
              <w:spacing w:line="240" w:lineRule="auto"/>
              <w:rPr>
                <w:rFonts w:cs="Times New Roman"/>
                <w:b w:val="0"/>
                <w:sz w:val="21"/>
                <w:szCs w:val="21"/>
              </w:rPr>
            </w:pPr>
          </w:p>
        </w:tc>
        <w:tc>
          <w:tcPr>
            <w:tcW w:w="0" w:type="auto"/>
            <w:gridSpan w:val="2"/>
            <w:vMerge w:val="continue"/>
            <w:vAlign w:val="center"/>
          </w:tcPr>
          <w:p>
            <w:pPr>
              <w:pStyle w:val="14"/>
              <w:adjustRightInd w:val="0"/>
              <w:snapToGrid w:val="0"/>
              <w:spacing w:line="240" w:lineRule="auto"/>
              <w:rPr>
                <w:rFonts w:cs="Times New Roman"/>
                <w:b w:val="0"/>
                <w:sz w:val="21"/>
                <w:szCs w:val="21"/>
              </w:rPr>
            </w:pPr>
          </w:p>
        </w:tc>
        <w:tc>
          <w:tcPr>
            <w:tcW w:w="0" w:type="auto"/>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PH值</w:t>
            </w:r>
          </w:p>
        </w:tc>
        <w:tc>
          <w:tcPr>
            <w:tcW w:w="0" w:type="auto"/>
            <w:vAlign w:val="center"/>
          </w:tcPr>
          <w:p>
            <w:pPr>
              <w:pStyle w:val="14"/>
              <w:adjustRightInd w:val="0"/>
              <w:snapToGrid w:val="0"/>
              <w:spacing w:line="240" w:lineRule="auto"/>
              <w:rPr>
                <w:rFonts w:cs="Times New Roman"/>
                <w:b w:val="0"/>
                <w:sz w:val="21"/>
                <w:szCs w:val="21"/>
              </w:rPr>
            </w:pPr>
            <w:r>
              <w:rPr>
                <w:rFonts w:cs="Times New Roman"/>
                <w:b w:val="0"/>
                <w:sz w:val="21"/>
                <w:szCs w:val="21"/>
              </w:rPr>
              <w:t>化学需氧量</w:t>
            </w:r>
          </w:p>
        </w:tc>
        <w:tc>
          <w:tcPr>
            <w:tcW w:w="0" w:type="auto"/>
            <w:vAlign w:val="center"/>
          </w:tcPr>
          <w:p>
            <w:pPr>
              <w:pStyle w:val="14"/>
              <w:adjustRightInd w:val="0"/>
              <w:snapToGrid w:val="0"/>
              <w:spacing w:line="240" w:lineRule="auto"/>
              <w:rPr>
                <w:rFonts w:cs="Times New Roman"/>
                <w:b w:val="0"/>
                <w:sz w:val="21"/>
                <w:szCs w:val="21"/>
              </w:rPr>
            </w:pPr>
            <w:r>
              <w:rPr>
                <w:rFonts w:cs="Times New Roman"/>
                <w:b w:val="0"/>
                <w:sz w:val="21"/>
                <w:szCs w:val="21"/>
              </w:rPr>
              <w:t>五日生化需氧量</w:t>
            </w:r>
          </w:p>
        </w:tc>
        <w:tc>
          <w:tcPr>
            <w:tcW w:w="0" w:type="auto"/>
            <w:vAlign w:val="center"/>
          </w:tcPr>
          <w:p>
            <w:pPr>
              <w:pStyle w:val="14"/>
              <w:adjustRightInd w:val="0"/>
              <w:snapToGrid w:val="0"/>
              <w:spacing w:line="240" w:lineRule="auto"/>
              <w:rPr>
                <w:rFonts w:cs="Times New Roman"/>
                <w:b w:val="0"/>
                <w:sz w:val="21"/>
                <w:szCs w:val="21"/>
              </w:rPr>
            </w:pPr>
            <w:r>
              <w:rPr>
                <w:rFonts w:cs="Times New Roman"/>
                <w:b w:val="0"/>
                <w:sz w:val="21"/>
                <w:szCs w:val="21"/>
              </w:rPr>
              <w:t>氨氮</w:t>
            </w:r>
          </w:p>
        </w:tc>
        <w:tc>
          <w:tcPr>
            <w:tcW w:w="0" w:type="auto"/>
            <w:vAlign w:val="center"/>
          </w:tcPr>
          <w:p>
            <w:pPr>
              <w:pStyle w:val="14"/>
              <w:adjustRightInd w:val="0"/>
              <w:snapToGrid w:val="0"/>
              <w:spacing w:line="240" w:lineRule="auto"/>
              <w:rPr>
                <w:rFonts w:cs="Times New Roman"/>
                <w:b w:val="0"/>
                <w:sz w:val="21"/>
                <w:szCs w:val="21"/>
              </w:rPr>
            </w:pPr>
            <w:r>
              <w:rPr>
                <w:rFonts w:cs="Times New Roman"/>
                <w:b w:val="0"/>
                <w:sz w:val="21"/>
                <w:szCs w:val="21"/>
              </w:rPr>
              <w:t>悬浮物</w:t>
            </w:r>
          </w:p>
        </w:tc>
        <w:tc>
          <w:tcPr>
            <w:tcW w:w="0" w:type="auto"/>
            <w:vAlign w:val="center"/>
          </w:tcPr>
          <w:p>
            <w:pPr>
              <w:pStyle w:val="14"/>
              <w:adjustRightInd w:val="0"/>
              <w:snapToGrid w:val="0"/>
              <w:spacing w:line="240" w:lineRule="auto"/>
              <w:rPr>
                <w:rFonts w:cs="Times New Roman"/>
                <w:b w:val="0"/>
                <w:sz w:val="21"/>
                <w:szCs w:val="21"/>
              </w:rPr>
            </w:pPr>
            <w:r>
              <w:rPr>
                <w:rFonts w:cs="Times New Roman"/>
                <w:b w:val="0"/>
                <w:sz w:val="21"/>
                <w:szCs w:val="21"/>
              </w:rPr>
              <w:t>总氮</w:t>
            </w:r>
          </w:p>
        </w:tc>
        <w:tc>
          <w:tcPr>
            <w:tcW w:w="0" w:type="auto"/>
            <w:vAlign w:val="center"/>
          </w:tcPr>
          <w:p>
            <w:pPr>
              <w:pStyle w:val="14"/>
              <w:adjustRightInd w:val="0"/>
              <w:snapToGrid w:val="0"/>
              <w:spacing w:line="240" w:lineRule="auto"/>
              <w:rPr>
                <w:rFonts w:cs="Times New Roman"/>
                <w:b w:val="0"/>
                <w:sz w:val="21"/>
                <w:szCs w:val="21"/>
              </w:rPr>
            </w:pPr>
            <w:r>
              <w:rPr>
                <w:rFonts w:cs="Times New Roman"/>
                <w:b w:val="0"/>
                <w:sz w:val="21"/>
                <w:szCs w:val="21"/>
              </w:rPr>
              <w:t>总磷</w:t>
            </w:r>
          </w:p>
        </w:tc>
        <w:tc>
          <w:tcPr>
            <w:tcW w:w="0" w:type="auto"/>
            <w:vAlign w:val="center"/>
          </w:tcPr>
          <w:p>
            <w:pPr>
              <w:pStyle w:val="14"/>
              <w:adjustRightInd w:val="0"/>
              <w:snapToGrid w:val="0"/>
              <w:spacing w:line="240" w:lineRule="auto"/>
              <w:rPr>
                <w:rFonts w:cs="Times New Roman"/>
                <w:b w:val="0"/>
                <w:sz w:val="21"/>
                <w:szCs w:val="21"/>
              </w:rPr>
            </w:pPr>
            <w:r>
              <w:rPr>
                <w:rFonts w:cs="Times New Roman"/>
                <w:b w:val="0"/>
                <w:sz w:val="21"/>
                <w:szCs w:val="21"/>
              </w:rPr>
              <w:t>类大肠菌群</w:t>
            </w:r>
          </w:p>
        </w:tc>
        <w:tc>
          <w:tcPr>
            <w:tcW w:w="0" w:type="auto"/>
            <w:vAlign w:val="center"/>
          </w:tcPr>
          <w:p>
            <w:pPr>
              <w:pStyle w:val="14"/>
              <w:adjustRightInd w:val="0"/>
              <w:snapToGrid w:val="0"/>
              <w:spacing w:line="240" w:lineRule="auto"/>
              <w:rPr>
                <w:rFonts w:cs="Times New Roman"/>
                <w:b w:val="0"/>
                <w:sz w:val="21"/>
                <w:szCs w:val="21"/>
              </w:rPr>
            </w:pPr>
            <w:r>
              <w:rPr>
                <w:rFonts w:cs="Times New Roman"/>
                <w:b w:val="0"/>
                <w:sz w:val="21"/>
                <w:szCs w:val="21"/>
              </w:rPr>
              <w:t>阴离子表面活性剂</w:t>
            </w:r>
          </w:p>
        </w:tc>
        <w:tc>
          <w:tcPr>
            <w:tcW w:w="0" w:type="auto"/>
            <w:vAlign w:val="center"/>
          </w:tcPr>
          <w:p>
            <w:pPr>
              <w:pStyle w:val="14"/>
              <w:adjustRightInd w:val="0"/>
              <w:snapToGrid w:val="0"/>
              <w:spacing w:line="240" w:lineRule="auto"/>
              <w:rPr>
                <w:rFonts w:cs="Times New Roman"/>
                <w:b w:val="0"/>
                <w:sz w:val="21"/>
                <w:szCs w:val="21"/>
              </w:rPr>
            </w:pPr>
            <w:r>
              <w:rPr>
                <w:rFonts w:cs="Times New Roman"/>
                <w:b w:val="0"/>
                <w:sz w:val="21"/>
                <w:szCs w:val="21"/>
              </w:rPr>
              <w:t>总余氯</w:t>
            </w:r>
          </w:p>
        </w:tc>
        <w:tc>
          <w:tcPr>
            <w:tcW w:w="0" w:type="auto"/>
            <w:vAlign w:val="center"/>
          </w:tcPr>
          <w:p>
            <w:pPr>
              <w:pStyle w:val="14"/>
              <w:adjustRightInd w:val="0"/>
              <w:snapToGrid w:val="0"/>
              <w:spacing w:line="240" w:lineRule="auto"/>
              <w:rPr>
                <w:rFonts w:cs="Times New Roman"/>
                <w:b w:val="0"/>
                <w:sz w:val="21"/>
                <w:szCs w:val="21"/>
              </w:rPr>
            </w:pPr>
            <w:r>
              <w:rPr>
                <w:rFonts w:cs="Times New Roman"/>
                <w:b w:val="0"/>
                <w:sz w:val="21"/>
                <w:szCs w:val="21"/>
              </w:rPr>
              <w:t>总氰化物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S1医院污水处理站排放口</w:t>
            </w:r>
          </w:p>
        </w:tc>
        <w:tc>
          <w:tcPr>
            <w:tcW w:w="0" w:type="auto"/>
            <w:vMerge w:val="restar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2019.8.1</w:t>
            </w:r>
          </w:p>
        </w:tc>
        <w:tc>
          <w:tcPr>
            <w:tcW w:w="0" w:type="auto"/>
            <w:vAlign w:val="center"/>
          </w:tcPr>
          <w:p>
            <w:pPr>
              <w:pStyle w:val="14"/>
              <w:adjustRightInd w:val="0"/>
              <w:snapToGrid w:val="0"/>
              <w:spacing w:line="240" w:lineRule="auto"/>
              <w:rPr>
                <w:rFonts w:cs="Times New Roman"/>
                <w:b w:val="0"/>
                <w:sz w:val="21"/>
                <w:szCs w:val="21"/>
              </w:rPr>
            </w:pPr>
            <w:r>
              <w:rPr>
                <w:rFonts w:cs="Times New Roman"/>
                <w:b w:val="0"/>
                <w:sz w:val="21"/>
                <w:szCs w:val="21"/>
              </w:rPr>
              <w:t>第一次</w:t>
            </w:r>
          </w:p>
        </w:tc>
        <w:tc>
          <w:tcPr>
            <w:tcW w:w="0" w:type="auto"/>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6.39</w:t>
            </w:r>
          </w:p>
        </w:tc>
        <w:tc>
          <w:tcPr>
            <w:tcW w:w="0" w:type="auto"/>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146</w:t>
            </w:r>
          </w:p>
        </w:tc>
        <w:tc>
          <w:tcPr>
            <w:tcW w:w="0" w:type="auto"/>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44.3</w:t>
            </w:r>
          </w:p>
        </w:tc>
        <w:tc>
          <w:tcPr>
            <w:tcW w:w="0" w:type="auto"/>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14.1</w:t>
            </w:r>
          </w:p>
        </w:tc>
        <w:tc>
          <w:tcPr>
            <w:tcW w:w="0" w:type="auto"/>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40</w:t>
            </w:r>
          </w:p>
        </w:tc>
        <w:tc>
          <w:tcPr>
            <w:tcW w:w="0" w:type="auto"/>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24.8</w:t>
            </w:r>
          </w:p>
        </w:tc>
        <w:tc>
          <w:tcPr>
            <w:tcW w:w="0" w:type="auto"/>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1.20</w:t>
            </w:r>
          </w:p>
        </w:tc>
        <w:tc>
          <w:tcPr>
            <w:tcW w:w="0" w:type="auto"/>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4.4×10</w:t>
            </w:r>
            <w:r>
              <w:rPr>
                <w:rFonts w:hint="eastAsia" w:cs="Times New Roman"/>
                <w:b w:val="0"/>
                <w:sz w:val="21"/>
                <w:szCs w:val="21"/>
                <w:vertAlign w:val="superscript"/>
              </w:rPr>
              <w:t>3</w:t>
            </w:r>
          </w:p>
        </w:tc>
        <w:tc>
          <w:tcPr>
            <w:tcW w:w="0" w:type="auto"/>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0.18</w:t>
            </w:r>
          </w:p>
        </w:tc>
        <w:tc>
          <w:tcPr>
            <w:tcW w:w="0" w:type="auto"/>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0.04</w:t>
            </w:r>
          </w:p>
        </w:tc>
        <w:tc>
          <w:tcPr>
            <w:tcW w:w="0" w:type="auto"/>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0.001L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14"/>
              <w:adjustRightInd w:val="0"/>
              <w:snapToGrid w:val="0"/>
              <w:spacing w:line="240" w:lineRule="auto"/>
              <w:rPr>
                <w:rFonts w:cs="Times New Roman"/>
                <w:b w:val="0"/>
                <w:sz w:val="21"/>
                <w:szCs w:val="21"/>
              </w:rPr>
            </w:pPr>
          </w:p>
        </w:tc>
        <w:tc>
          <w:tcPr>
            <w:tcW w:w="0" w:type="auto"/>
            <w:vMerge w:val="continue"/>
            <w:vAlign w:val="center"/>
          </w:tcPr>
          <w:p>
            <w:pPr>
              <w:pStyle w:val="14"/>
              <w:adjustRightInd w:val="0"/>
              <w:snapToGrid w:val="0"/>
              <w:spacing w:line="240" w:lineRule="auto"/>
              <w:rPr>
                <w:rFonts w:cs="Times New Roman"/>
                <w:b w:val="0"/>
                <w:sz w:val="21"/>
                <w:szCs w:val="21"/>
              </w:rPr>
            </w:pPr>
          </w:p>
        </w:tc>
        <w:tc>
          <w:tcPr>
            <w:tcW w:w="0" w:type="auto"/>
            <w:vAlign w:val="center"/>
          </w:tcPr>
          <w:p>
            <w:pPr>
              <w:pStyle w:val="14"/>
              <w:adjustRightInd w:val="0"/>
              <w:snapToGrid w:val="0"/>
              <w:spacing w:line="240" w:lineRule="auto"/>
              <w:rPr>
                <w:rFonts w:cs="Times New Roman"/>
                <w:b w:val="0"/>
                <w:sz w:val="21"/>
                <w:szCs w:val="21"/>
              </w:rPr>
            </w:pPr>
            <w:r>
              <w:rPr>
                <w:rFonts w:cs="Times New Roman"/>
                <w:b w:val="0"/>
                <w:sz w:val="21"/>
                <w:szCs w:val="21"/>
              </w:rPr>
              <w:t>第二次</w:t>
            </w:r>
          </w:p>
        </w:tc>
        <w:tc>
          <w:tcPr>
            <w:tcW w:w="0" w:type="auto"/>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6.21</w:t>
            </w:r>
          </w:p>
        </w:tc>
        <w:tc>
          <w:tcPr>
            <w:tcW w:w="0" w:type="auto"/>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162</w:t>
            </w:r>
          </w:p>
        </w:tc>
        <w:tc>
          <w:tcPr>
            <w:tcW w:w="0" w:type="auto"/>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49.5</w:t>
            </w:r>
          </w:p>
        </w:tc>
        <w:tc>
          <w:tcPr>
            <w:tcW w:w="0" w:type="auto"/>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14.4</w:t>
            </w:r>
          </w:p>
        </w:tc>
        <w:tc>
          <w:tcPr>
            <w:tcW w:w="0" w:type="auto"/>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31</w:t>
            </w:r>
          </w:p>
        </w:tc>
        <w:tc>
          <w:tcPr>
            <w:tcW w:w="0" w:type="auto"/>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25.3</w:t>
            </w:r>
          </w:p>
        </w:tc>
        <w:tc>
          <w:tcPr>
            <w:tcW w:w="0" w:type="auto"/>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1.09</w:t>
            </w:r>
          </w:p>
        </w:tc>
        <w:tc>
          <w:tcPr>
            <w:tcW w:w="0" w:type="auto"/>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4.7×10</w:t>
            </w:r>
            <w:r>
              <w:rPr>
                <w:rFonts w:hint="eastAsia" w:cs="Times New Roman"/>
                <w:b w:val="0"/>
                <w:sz w:val="21"/>
                <w:szCs w:val="21"/>
                <w:vertAlign w:val="superscript"/>
              </w:rPr>
              <w:t>3</w:t>
            </w:r>
          </w:p>
        </w:tc>
        <w:tc>
          <w:tcPr>
            <w:tcW w:w="0" w:type="auto"/>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0.20</w:t>
            </w:r>
          </w:p>
        </w:tc>
        <w:tc>
          <w:tcPr>
            <w:tcW w:w="0" w:type="auto"/>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0.04</w:t>
            </w:r>
          </w:p>
        </w:tc>
        <w:tc>
          <w:tcPr>
            <w:tcW w:w="0" w:type="auto"/>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0.001L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3"/>
            <w:vAlign w:val="center"/>
          </w:tcPr>
          <w:p>
            <w:pPr>
              <w:pStyle w:val="14"/>
              <w:adjustRightInd w:val="0"/>
              <w:snapToGrid w:val="0"/>
              <w:spacing w:line="240" w:lineRule="auto"/>
              <w:rPr>
                <w:rFonts w:cs="Times New Roman"/>
                <w:b w:val="0"/>
                <w:sz w:val="21"/>
                <w:szCs w:val="21"/>
              </w:rPr>
            </w:pPr>
            <w:r>
              <w:rPr>
                <w:rFonts w:cs="Times New Roman"/>
                <w:b w:val="0"/>
                <w:sz w:val="21"/>
                <w:szCs w:val="21"/>
              </w:rPr>
              <w:t>标准限值</w:t>
            </w:r>
          </w:p>
        </w:tc>
        <w:tc>
          <w:tcPr>
            <w:tcW w:w="0" w:type="auto"/>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6~9</w:t>
            </w:r>
          </w:p>
        </w:tc>
        <w:tc>
          <w:tcPr>
            <w:tcW w:w="0" w:type="auto"/>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250</w:t>
            </w:r>
          </w:p>
        </w:tc>
        <w:tc>
          <w:tcPr>
            <w:tcW w:w="0" w:type="auto"/>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100</w:t>
            </w:r>
          </w:p>
        </w:tc>
        <w:tc>
          <w:tcPr>
            <w:tcW w:w="0" w:type="auto"/>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w:t>
            </w:r>
          </w:p>
        </w:tc>
        <w:tc>
          <w:tcPr>
            <w:tcW w:w="0" w:type="auto"/>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60</w:t>
            </w:r>
          </w:p>
        </w:tc>
        <w:tc>
          <w:tcPr>
            <w:tcW w:w="0" w:type="auto"/>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w:t>
            </w:r>
          </w:p>
        </w:tc>
        <w:tc>
          <w:tcPr>
            <w:tcW w:w="0" w:type="auto"/>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w:t>
            </w:r>
          </w:p>
        </w:tc>
        <w:tc>
          <w:tcPr>
            <w:tcW w:w="0" w:type="auto"/>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5000</w:t>
            </w:r>
          </w:p>
        </w:tc>
        <w:tc>
          <w:tcPr>
            <w:tcW w:w="0" w:type="auto"/>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10</w:t>
            </w:r>
          </w:p>
        </w:tc>
        <w:tc>
          <w:tcPr>
            <w:tcW w:w="0" w:type="auto"/>
            <w:vAlign w:val="center"/>
          </w:tcPr>
          <w:p>
            <w:pPr>
              <w:pStyle w:val="14"/>
              <w:adjustRightInd w:val="0"/>
              <w:snapToGrid w:val="0"/>
              <w:spacing w:line="240" w:lineRule="auto"/>
              <w:rPr>
                <w:rFonts w:cs="Times New Roman"/>
                <w:b w:val="0"/>
                <w:sz w:val="21"/>
                <w:szCs w:val="21"/>
              </w:rPr>
            </w:pPr>
            <w:r>
              <w:rPr>
                <w:rFonts w:cs="Times New Roman"/>
                <w:b w:val="0"/>
                <w:bCs/>
                <w:sz w:val="21"/>
                <w:szCs w:val="21"/>
              </w:rPr>
              <w:t>2-8</w:t>
            </w:r>
          </w:p>
        </w:tc>
        <w:tc>
          <w:tcPr>
            <w:tcW w:w="0" w:type="auto"/>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0.5</w:t>
            </w:r>
          </w:p>
        </w:tc>
      </w:tr>
    </w:tbl>
    <w:p>
      <w:pPr>
        <w:spacing w:line="360" w:lineRule="auto"/>
        <w:ind w:firstLine="480" w:firstLineChars="200"/>
      </w:pPr>
      <w:r>
        <w:rPr>
          <w:rFonts w:hint="eastAsia" w:cs="Times New Roman"/>
          <w:szCs w:val="24"/>
        </w:rPr>
        <w:t>医疗废水经院内本项目的污水处理站</w:t>
      </w:r>
      <w:r>
        <w:rPr>
          <w:szCs w:val="24"/>
        </w:rPr>
        <w:t>一级+二氧化氯消毒工艺处理达到《医疗机构水污染物排放标准》（GB18466-2005）中表2的预处理标准并满足马壕污水处理厂接管标准后排入市政污水管网最终进入马壕污水处理厂</w:t>
      </w:r>
      <w:r>
        <w:rPr>
          <w:rFonts w:hint="eastAsia"/>
          <w:szCs w:val="24"/>
        </w:rPr>
        <w:t>处理，处理达标后排入东风湖。</w:t>
      </w:r>
    </w:p>
    <w:p>
      <w:pPr>
        <w:spacing w:line="360" w:lineRule="auto"/>
        <w:ind w:firstLine="480" w:firstLineChars="200"/>
        <w:rPr>
          <w:szCs w:val="24"/>
        </w:rPr>
      </w:pPr>
      <w:r>
        <w:rPr>
          <w:rFonts w:hint="eastAsia"/>
          <w:szCs w:val="24"/>
        </w:rPr>
        <w:t>综上，岳阳市康复医院废水产生排放情况见下表所示。</w:t>
      </w:r>
    </w:p>
    <w:p>
      <w:pPr>
        <w:widowControl/>
        <w:jc w:val="left"/>
        <w:rPr>
          <w:rFonts w:eastAsia="宋体" w:cstheme="majorBidi"/>
          <w:b/>
          <w:szCs w:val="20"/>
        </w:rPr>
      </w:pPr>
      <w:r>
        <w:br w:type="page"/>
      </w:r>
    </w:p>
    <w:p>
      <w:pPr>
        <w:pStyle w:val="14"/>
        <w:spacing w:line="240" w:lineRule="auto"/>
        <w:rPr>
          <w:szCs w:val="24"/>
        </w:rPr>
      </w:pPr>
      <w:r>
        <w:rPr>
          <w:rFonts w:hint="eastAsia"/>
        </w:rPr>
        <w:t xml:space="preserve">表 </w:t>
      </w:r>
      <w:r>
        <w:fldChar w:fldCharType="begin"/>
      </w:r>
      <w:r>
        <w:instrText xml:space="preserve"> STYLEREF 2 \s </w:instrText>
      </w:r>
      <w:r>
        <w:fldChar w:fldCharType="separate"/>
      </w:r>
      <w:r>
        <w:t>3.2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7</w:t>
      </w:r>
      <w:r>
        <w:fldChar w:fldCharType="end"/>
      </w:r>
      <w:r>
        <w:rPr>
          <w:rFonts w:hint="eastAsia"/>
        </w:rPr>
        <w:t xml:space="preserve"> 全院废水污染物的产生源强及排放情况一览表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5"/>
        <w:gridCol w:w="1589"/>
        <w:gridCol w:w="1351"/>
        <w:gridCol w:w="1675"/>
        <w:gridCol w:w="1392"/>
        <w:gridCol w:w="1392"/>
        <w:gridCol w:w="1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pct"/>
            <w:vMerge w:val="restart"/>
            <w:vAlign w:val="center"/>
          </w:tcPr>
          <w:p>
            <w:pPr>
              <w:jc w:val="center"/>
              <w:rPr>
                <w:rFonts w:cs="Times New Roman"/>
                <w:sz w:val="21"/>
              </w:rPr>
            </w:pPr>
            <w:r>
              <w:rPr>
                <w:rFonts w:cs="Times New Roman"/>
                <w:sz w:val="21"/>
              </w:rPr>
              <w:t>用水</w:t>
            </w:r>
          </w:p>
          <w:p>
            <w:pPr>
              <w:jc w:val="center"/>
              <w:rPr>
                <w:rFonts w:eastAsia="宋体" w:cs="Times New Roman"/>
                <w:sz w:val="21"/>
              </w:rPr>
            </w:pPr>
            <w:r>
              <w:rPr>
                <w:rFonts w:cs="Times New Roman"/>
                <w:sz w:val="21"/>
              </w:rPr>
              <w:t>单元</w:t>
            </w:r>
          </w:p>
        </w:tc>
        <w:tc>
          <w:tcPr>
            <w:tcW w:w="820" w:type="pct"/>
            <w:vMerge w:val="restart"/>
            <w:vAlign w:val="center"/>
          </w:tcPr>
          <w:p>
            <w:pPr>
              <w:jc w:val="center"/>
              <w:rPr>
                <w:rFonts w:eastAsia="宋体" w:cs="Times New Roman"/>
                <w:sz w:val="21"/>
              </w:rPr>
            </w:pPr>
            <w:r>
              <w:rPr>
                <w:rFonts w:cs="Times New Roman"/>
                <w:sz w:val="21"/>
              </w:rPr>
              <w:t>排放量</w:t>
            </w:r>
          </w:p>
        </w:tc>
        <w:tc>
          <w:tcPr>
            <w:tcW w:w="701" w:type="pct"/>
            <w:vMerge w:val="restart"/>
            <w:vAlign w:val="center"/>
          </w:tcPr>
          <w:p>
            <w:pPr>
              <w:jc w:val="center"/>
              <w:rPr>
                <w:rFonts w:eastAsia="宋体" w:cs="Times New Roman"/>
                <w:sz w:val="21"/>
              </w:rPr>
            </w:pPr>
            <w:r>
              <w:rPr>
                <w:rFonts w:cs="Times New Roman"/>
                <w:sz w:val="21"/>
              </w:rPr>
              <w:t>污染因子</w:t>
            </w:r>
          </w:p>
        </w:tc>
        <w:tc>
          <w:tcPr>
            <w:tcW w:w="1591" w:type="pct"/>
            <w:gridSpan w:val="2"/>
            <w:vAlign w:val="center"/>
          </w:tcPr>
          <w:p>
            <w:pPr>
              <w:jc w:val="center"/>
              <w:rPr>
                <w:rFonts w:eastAsia="宋体" w:cs="Times New Roman"/>
                <w:sz w:val="21"/>
              </w:rPr>
            </w:pPr>
            <w:r>
              <w:rPr>
                <w:rFonts w:cs="Times New Roman"/>
                <w:sz w:val="21"/>
              </w:rPr>
              <w:t>处理前</w:t>
            </w:r>
          </w:p>
        </w:tc>
        <w:tc>
          <w:tcPr>
            <w:tcW w:w="1444" w:type="pct"/>
            <w:gridSpan w:val="2"/>
            <w:vAlign w:val="center"/>
          </w:tcPr>
          <w:p>
            <w:pPr>
              <w:jc w:val="center"/>
              <w:rPr>
                <w:rFonts w:eastAsia="宋体" w:cs="Times New Roman"/>
                <w:sz w:val="21"/>
              </w:rPr>
            </w:pPr>
            <w:r>
              <w:rPr>
                <w:rFonts w:cs="Times New Roman"/>
                <w:sz w:val="21"/>
              </w:rPr>
              <w:t>处理后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pct"/>
            <w:vMerge w:val="continue"/>
            <w:vAlign w:val="center"/>
          </w:tcPr>
          <w:p>
            <w:pPr>
              <w:widowControl/>
              <w:jc w:val="left"/>
              <w:rPr>
                <w:rFonts w:eastAsia="宋体" w:cs="Times New Roman"/>
                <w:sz w:val="21"/>
              </w:rPr>
            </w:pPr>
          </w:p>
        </w:tc>
        <w:tc>
          <w:tcPr>
            <w:tcW w:w="820" w:type="pct"/>
            <w:vMerge w:val="continue"/>
            <w:vAlign w:val="center"/>
          </w:tcPr>
          <w:p>
            <w:pPr>
              <w:widowControl/>
              <w:jc w:val="left"/>
              <w:rPr>
                <w:rFonts w:eastAsia="宋体" w:cs="Times New Roman"/>
                <w:sz w:val="21"/>
              </w:rPr>
            </w:pPr>
          </w:p>
        </w:tc>
        <w:tc>
          <w:tcPr>
            <w:tcW w:w="701" w:type="pct"/>
            <w:vMerge w:val="continue"/>
            <w:vAlign w:val="center"/>
          </w:tcPr>
          <w:p>
            <w:pPr>
              <w:widowControl/>
              <w:jc w:val="left"/>
              <w:rPr>
                <w:rFonts w:eastAsia="宋体" w:cs="Times New Roman"/>
                <w:sz w:val="21"/>
              </w:rPr>
            </w:pPr>
          </w:p>
        </w:tc>
        <w:tc>
          <w:tcPr>
            <w:tcW w:w="869" w:type="pct"/>
            <w:vAlign w:val="center"/>
          </w:tcPr>
          <w:p>
            <w:pPr>
              <w:jc w:val="center"/>
              <w:rPr>
                <w:rFonts w:eastAsia="宋体" w:cs="Times New Roman"/>
                <w:sz w:val="21"/>
              </w:rPr>
            </w:pPr>
            <w:r>
              <w:rPr>
                <w:rFonts w:cs="Times New Roman"/>
                <w:sz w:val="21"/>
              </w:rPr>
              <w:t>浓度（mg/L）</w:t>
            </w:r>
          </w:p>
        </w:tc>
        <w:tc>
          <w:tcPr>
            <w:tcW w:w="722" w:type="pct"/>
            <w:vAlign w:val="center"/>
          </w:tcPr>
          <w:p>
            <w:pPr>
              <w:jc w:val="center"/>
              <w:rPr>
                <w:rFonts w:eastAsia="宋体" w:cs="Times New Roman"/>
                <w:sz w:val="21"/>
              </w:rPr>
            </w:pPr>
            <w:r>
              <w:rPr>
                <w:rFonts w:cs="Times New Roman"/>
                <w:sz w:val="21"/>
              </w:rPr>
              <w:t>产生量（t/a）</w:t>
            </w:r>
          </w:p>
        </w:tc>
        <w:tc>
          <w:tcPr>
            <w:tcW w:w="722" w:type="pct"/>
            <w:vAlign w:val="center"/>
          </w:tcPr>
          <w:p>
            <w:pPr>
              <w:jc w:val="center"/>
              <w:rPr>
                <w:rFonts w:eastAsia="宋体" w:cs="Times New Roman"/>
                <w:sz w:val="21"/>
              </w:rPr>
            </w:pPr>
            <w:r>
              <w:rPr>
                <w:rFonts w:cs="Times New Roman"/>
                <w:sz w:val="21"/>
              </w:rPr>
              <w:t>浓度（mg/L）</w:t>
            </w:r>
          </w:p>
        </w:tc>
        <w:tc>
          <w:tcPr>
            <w:tcW w:w="722" w:type="pct"/>
            <w:vAlign w:val="center"/>
          </w:tcPr>
          <w:p>
            <w:pPr>
              <w:jc w:val="center"/>
              <w:rPr>
                <w:rFonts w:eastAsia="宋体" w:cs="Times New Roman"/>
                <w:sz w:val="21"/>
              </w:rPr>
            </w:pPr>
            <w:r>
              <w:rPr>
                <w:rFonts w:cs="Times New Roman"/>
                <w:sz w:val="21"/>
              </w:rPr>
              <w:t>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pct"/>
            <w:vMerge w:val="restart"/>
            <w:vAlign w:val="center"/>
          </w:tcPr>
          <w:p>
            <w:pPr>
              <w:jc w:val="center"/>
              <w:rPr>
                <w:rFonts w:cs="Times New Roman"/>
                <w:sz w:val="21"/>
              </w:rPr>
            </w:pPr>
            <w:r>
              <w:rPr>
                <w:rFonts w:cs="Times New Roman"/>
                <w:sz w:val="21"/>
              </w:rPr>
              <w:t>生活</w:t>
            </w:r>
          </w:p>
          <w:p>
            <w:pPr>
              <w:jc w:val="center"/>
              <w:rPr>
                <w:rFonts w:eastAsia="宋体" w:cs="Times New Roman"/>
                <w:sz w:val="21"/>
              </w:rPr>
            </w:pPr>
            <w:r>
              <w:rPr>
                <w:rFonts w:cs="Times New Roman"/>
                <w:sz w:val="21"/>
              </w:rPr>
              <w:t>污水</w:t>
            </w:r>
          </w:p>
        </w:tc>
        <w:tc>
          <w:tcPr>
            <w:tcW w:w="820" w:type="pct"/>
            <w:vMerge w:val="restart"/>
            <w:vAlign w:val="center"/>
          </w:tcPr>
          <w:p>
            <w:pPr>
              <w:jc w:val="center"/>
              <w:rPr>
                <w:rFonts w:cs="Times New Roman"/>
                <w:sz w:val="21"/>
              </w:rPr>
            </w:pPr>
            <w:r>
              <w:rPr>
                <w:rFonts w:cs="Times New Roman"/>
                <w:sz w:val="21"/>
              </w:rPr>
              <w:t>23.8m</w:t>
            </w:r>
            <w:r>
              <w:rPr>
                <w:rFonts w:cs="Times New Roman"/>
                <w:sz w:val="21"/>
                <w:vertAlign w:val="superscript"/>
              </w:rPr>
              <w:t>3</w:t>
            </w:r>
            <w:r>
              <w:rPr>
                <w:rFonts w:cs="Times New Roman"/>
                <w:sz w:val="21"/>
              </w:rPr>
              <w:t>/d</w:t>
            </w:r>
          </w:p>
          <w:p>
            <w:pPr>
              <w:jc w:val="center"/>
              <w:rPr>
                <w:rFonts w:eastAsia="宋体" w:cs="Times New Roman"/>
                <w:sz w:val="21"/>
              </w:rPr>
            </w:pPr>
            <w:r>
              <w:rPr>
                <w:rFonts w:cs="Times New Roman"/>
                <w:sz w:val="21"/>
              </w:rPr>
              <w:t>8687m</w:t>
            </w:r>
            <w:r>
              <w:rPr>
                <w:rFonts w:cs="Times New Roman"/>
                <w:sz w:val="21"/>
                <w:vertAlign w:val="superscript"/>
              </w:rPr>
              <w:t>3</w:t>
            </w:r>
            <w:r>
              <w:rPr>
                <w:rFonts w:cs="Times New Roman"/>
                <w:sz w:val="21"/>
              </w:rPr>
              <w:t>/a</w:t>
            </w:r>
          </w:p>
        </w:tc>
        <w:tc>
          <w:tcPr>
            <w:tcW w:w="701" w:type="pct"/>
            <w:vAlign w:val="center"/>
          </w:tcPr>
          <w:p>
            <w:pPr>
              <w:jc w:val="center"/>
              <w:rPr>
                <w:rFonts w:eastAsia="宋体" w:cs="Times New Roman"/>
                <w:sz w:val="21"/>
              </w:rPr>
            </w:pPr>
            <w:r>
              <w:rPr>
                <w:rFonts w:cs="Times New Roman"/>
                <w:sz w:val="21"/>
              </w:rPr>
              <w:t>COD</w:t>
            </w:r>
            <w:r>
              <w:rPr>
                <w:rFonts w:cs="Times New Roman"/>
                <w:sz w:val="21"/>
                <w:vertAlign w:val="subscript"/>
              </w:rPr>
              <w:t>Cr</w:t>
            </w:r>
          </w:p>
        </w:tc>
        <w:tc>
          <w:tcPr>
            <w:tcW w:w="869" w:type="pct"/>
            <w:vAlign w:val="center"/>
          </w:tcPr>
          <w:p>
            <w:pPr>
              <w:jc w:val="center"/>
              <w:rPr>
                <w:rFonts w:eastAsia="宋体" w:cs="Times New Roman"/>
                <w:sz w:val="21"/>
              </w:rPr>
            </w:pPr>
            <w:r>
              <w:rPr>
                <w:rFonts w:eastAsia="宋体" w:cs="Times New Roman"/>
                <w:sz w:val="21"/>
              </w:rPr>
              <w:t>300</w:t>
            </w:r>
          </w:p>
        </w:tc>
        <w:tc>
          <w:tcPr>
            <w:tcW w:w="722" w:type="pct"/>
            <w:vAlign w:val="center"/>
          </w:tcPr>
          <w:p>
            <w:pPr>
              <w:jc w:val="center"/>
              <w:rPr>
                <w:rFonts w:eastAsia="宋体" w:cs="Times New Roman"/>
                <w:sz w:val="21"/>
              </w:rPr>
            </w:pPr>
            <w:r>
              <w:rPr>
                <w:rFonts w:hint="eastAsia" w:eastAsia="宋体" w:cs="Times New Roman"/>
                <w:sz w:val="21"/>
              </w:rPr>
              <w:t>2.6</w:t>
            </w:r>
          </w:p>
        </w:tc>
        <w:tc>
          <w:tcPr>
            <w:tcW w:w="722" w:type="pct"/>
            <w:vAlign w:val="center"/>
          </w:tcPr>
          <w:p>
            <w:pPr>
              <w:jc w:val="center"/>
              <w:rPr>
                <w:rFonts w:eastAsia="宋体" w:cs="Times New Roman"/>
                <w:sz w:val="21"/>
              </w:rPr>
            </w:pPr>
            <w:r>
              <w:rPr>
                <w:rFonts w:eastAsia="宋体" w:cs="Times New Roman"/>
                <w:sz w:val="21"/>
              </w:rPr>
              <w:t>250</w:t>
            </w:r>
          </w:p>
        </w:tc>
        <w:tc>
          <w:tcPr>
            <w:tcW w:w="722" w:type="pct"/>
            <w:vAlign w:val="center"/>
          </w:tcPr>
          <w:p>
            <w:pPr>
              <w:jc w:val="center"/>
              <w:rPr>
                <w:rFonts w:eastAsia="宋体" w:cs="Times New Roman"/>
                <w:sz w:val="21"/>
              </w:rPr>
            </w:pPr>
            <w:r>
              <w:rPr>
                <w:rFonts w:hint="eastAsia" w:eastAsia="宋体" w:cs="Times New Roman"/>
                <w:sz w:val="21"/>
              </w:rPr>
              <w:t>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pct"/>
            <w:vMerge w:val="continue"/>
            <w:vAlign w:val="center"/>
          </w:tcPr>
          <w:p>
            <w:pPr>
              <w:widowControl/>
              <w:jc w:val="left"/>
              <w:rPr>
                <w:rFonts w:eastAsia="宋体" w:cs="Times New Roman"/>
                <w:sz w:val="21"/>
              </w:rPr>
            </w:pPr>
          </w:p>
        </w:tc>
        <w:tc>
          <w:tcPr>
            <w:tcW w:w="820" w:type="pct"/>
            <w:vMerge w:val="continue"/>
            <w:vAlign w:val="center"/>
          </w:tcPr>
          <w:p>
            <w:pPr>
              <w:widowControl/>
              <w:jc w:val="left"/>
              <w:rPr>
                <w:rFonts w:eastAsia="宋体" w:cs="Times New Roman"/>
                <w:sz w:val="21"/>
              </w:rPr>
            </w:pPr>
          </w:p>
        </w:tc>
        <w:tc>
          <w:tcPr>
            <w:tcW w:w="701" w:type="pct"/>
            <w:vAlign w:val="center"/>
          </w:tcPr>
          <w:p>
            <w:pPr>
              <w:jc w:val="center"/>
              <w:rPr>
                <w:rFonts w:eastAsia="宋体" w:cs="Times New Roman"/>
                <w:sz w:val="21"/>
              </w:rPr>
            </w:pPr>
            <w:r>
              <w:rPr>
                <w:rFonts w:cs="Times New Roman"/>
                <w:sz w:val="21"/>
              </w:rPr>
              <w:t>BOD</w:t>
            </w:r>
            <w:r>
              <w:rPr>
                <w:rFonts w:cs="Times New Roman"/>
                <w:sz w:val="21"/>
                <w:vertAlign w:val="subscript"/>
              </w:rPr>
              <w:t>5</w:t>
            </w:r>
          </w:p>
        </w:tc>
        <w:tc>
          <w:tcPr>
            <w:tcW w:w="869" w:type="pct"/>
            <w:vAlign w:val="center"/>
          </w:tcPr>
          <w:p>
            <w:pPr>
              <w:jc w:val="center"/>
              <w:rPr>
                <w:rFonts w:eastAsia="宋体" w:cs="Times New Roman"/>
                <w:sz w:val="21"/>
              </w:rPr>
            </w:pPr>
            <w:r>
              <w:rPr>
                <w:rFonts w:eastAsia="宋体" w:cs="Times New Roman"/>
                <w:sz w:val="21"/>
              </w:rPr>
              <w:t>150</w:t>
            </w:r>
          </w:p>
        </w:tc>
        <w:tc>
          <w:tcPr>
            <w:tcW w:w="722" w:type="pct"/>
            <w:vAlign w:val="center"/>
          </w:tcPr>
          <w:p>
            <w:pPr>
              <w:jc w:val="center"/>
              <w:rPr>
                <w:rFonts w:eastAsia="宋体" w:cs="Times New Roman"/>
                <w:sz w:val="21"/>
              </w:rPr>
            </w:pPr>
            <w:r>
              <w:rPr>
                <w:rFonts w:hint="eastAsia" w:eastAsia="宋体" w:cs="Times New Roman"/>
                <w:sz w:val="21"/>
              </w:rPr>
              <w:t>1.3</w:t>
            </w:r>
          </w:p>
        </w:tc>
        <w:tc>
          <w:tcPr>
            <w:tcW w:w="722" w:type="pct"/>
            <w:vAlign w:val="center"/>
          </w:tcPr>
          <w:p>
            <w:pPr>
              <w:jc w:val="center"/>
              <w:rPr>
                <w:rFonts w:eastAsia="宋体" w:cs="Times New Roman"/>
                <w:sz w:val="21"/>
              </w:rPr>
            </w:pPr>
            <w:r>
              <w:rPr>
                <w:rFonts w:eastAsia="宋体" w:cs="Times New Roman"/>
                <w:sz w:val="21"/>
              </w:rPr>
              <w:t>120</w:t>
            </w:r>
          </w:p>
        </w:tc>
        <w:tc>
          <w:tcPr>
            <w:tcW w:w="722" w:type="pct"/>
            <w:vAlign w:val="center"/>
          </w:tcPr>
          <w:p>
            <w:pPr>
              <w:jc w:val="center"/>
              <w:rPr>
                <w:rFonts w:eastAsia="宋体" w:cs="Times New Roman"/>
                <w:sz w:val="21"/>
              </w:rPr>
            </w:pPr>
            <w:r>
              <w:rPr>
                <w:rFonts w:hint="eastAsia" w:eastAsia="宋体" w:cs="Times New Roman"/>
                <w:sz w:val="21"/>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pct"/>
            <w:vMerge w:val="continue"/>
            <w:vAlign w:val="center"/>
          </w:tcPr>
          <w:p>
            <w:pPr>
              <w:widowControl/>
              <w:jc w:val="left"/>
              <w:rPr>
                <w:rFonts w:eastAsia="宋体" w:cs="Times New Roman"/>
                <w:sz w:val="21"/>
              </w:rPr>
            </w:pPr>
          </w:p>
        </w:tc>
        <w:tc>
          <w:tcPr>
            <w:tcW w:w="820" w:type="pct"/>
            <w:vMerge w:val="continue"/>
            <w:vAlign w:val="center"/>
          </w:tcPr>
          <w:p>
            <w:pPr>
              <w:widowControl/>
              <w:jc w:val="left"/>
              <w:rPr>
                <w:rFonts w:eastAsia="宋体" w:cs="Times New Roman"/>
                <w:sz w:val="21"/>
              </w:rPr>
            </w:pPr>
          </w:p>
        </w:tc>
        <w:tc>
          <w:tcPr>
            <w:tcW w:w="701" w:type="pct"/>
            <w:vAlign w:val="center"/>
          </w:tcPr>
          <w:p>
            <w:pPr>
              <w:jc w:val="center"/>
              <w:rPr>
                <w:rFonts w:eastAsia="宋体" w:cs="Times New Roman"/>
                <w:sz w:val="21"/>
              </w:rPr>
            </w:pPr>
            <w:r>
              <w:rPr>
                <w:rFonts w:cs="Times New Roman"/>
                <w:sz w:val="21"/>
              </w:rPr>
              <w:t>SS</w:t>
            </w:r>
          </w:p>
        </w:tc>
        <w:tc>
          <w:tcPr>
            <w:tcW w:w="869" w:type="pct"/>
            <w:vAlign w:val="center"/>
          </w:tcPr>
          <w:p>
            <w:pPr>
              <w:jc w:val="center"/>
              <w:rPr>
                <w:rFonts w:eastAsia="宋体" w:cs="Times New Roman"/>
                <w:sz w:val="21"/>
              </w:rPr>
            </w:pPr>
            <w:r>
              <w:rPr>
                <w:rFonts w:eastAsia="宋体" w:cs="Times New Roman"/>
                <w:sz w:val="21"/>
              </w:rPr>
              <w:t>200</w:t>
            </w:r>
          </w:p>
        </w:tc>
        <w:tc>
          <w:tcPr>
            <w:tcW w:w="722" w:type="pct"/>
            <w:vAlign w:val="center"/>
          </w:tcPr>
          <w:p>
            <w:pPr>
              <w:jc w:val="center"/>
              <w:rPr>
                <w:rFonts w:eastAsia="宋体" w:cs="Times New Roman"/>
                <w:sz w:val="21"/>
              </w:rPr>
            </w:pPr>
            <w:r>
              <w:rPr>
                <w:rFonts w:hint="eastAsia" w:eastAsia="宋体" w:cs="Times New Roman"/>
                <w:sz w:val="21"/>
              </w:rPr>
              <w:t>1.7</w:t>
            </w:r>
          </w:p>
        </w:tc>
        <w:tc>
          <w:tcPr>
            <w:tcW w:w="722" w:type="pct"/>
            <w:vAlign w:val="center"/>
          </w:tcPr>
          <w:p>
            <w:pPr>
              <w:jc w:val="center"/>
              <w:rPr>
                <w:rFonts w:eastAsia="宋体" w:cs="Times New Roman"/>
                <w:sz w:val="21"/>
              </w:rPr>
            </w:pPr>
            <w:r>
              <w:rPr>
                <w:rFonts w:eastAsia="宋体" w:cs="Times New Roman"/>
                <w:sz w:val="21"/>
              </w:rPr>
              <w:t>100</w:t>
            </w:r>
          </w:p>
        </w:tc>
        <w:tc>
          <w:tcPr>
            <w:tcW w:w="722" w:type="pct"/>
            <w:vAlign w:val="center"/>
          </w:tcPr>
          <w:p>
            <w:pPr>
              <w:jc w:val="center"/>
              <w:rPr>
                <w:rFonts w:eastAsia="宋体" w:cs="Times New Roman"/>
                <w:sz w:val="21"/>
              </w:rPr>
            </w:pPr>
            <w:r>
              <w:rPr>
                <w:rFonts w:hint="eastAsia" w:eastAsia="宋体" w:cs="Times New Roman"/>
                <w:sz w:val="21"/>
              </w:rPr>
              <w:t>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pct"/>
            <w:vMerge w:val="continue"/>
            <w:vAlign w:val="center"/>
          </w:tcPr>
          <w:p>
            <w:pPr>
              <w:widowControl/>
              <w:jc w:val="left"/>
              <w:rPr>
                <w:rFonts w:eastAsia="宋体" w:cs="Times New Roman"/>
                <w:sz w:val="21"/>
              </w:rPr>
            </w:pPr>
          </w:p>
        </w:tc>
        <w:tc>
          <w:tcPr>
            <w:tcW w:w="820" w:type="pct"/>
            <w:vMerge w:val="continue"/>
            <w:vAlign w:val="center"/>
          </w:tcPr>
          <w:p>
            <w:pPr>
              <w:widowControl/>
              <w:jc w:val="left"/>
              <w:rPr>
                <w:rFonts w:eastAsia="宋体" w:cs="Times New Roman"/>
                <w:sz w:val="21"/>
              </w:rPr>
            </w:pPr>
          </w:p>
        </w:tc>
        <w:tc>
          <w:tcPr>
            <w:tcW w:w="701" w:type="pct"/>
            <w:vAlign w:val="center"/>
          </w:tcPr>
          <w:p>
            <w:pPr>
              <w:jc w:val="center"/>
              <w:rPr>
                <w:rFonts w:eastAsia="宋体" w:cs="Times New Roman"/>
                <w:sz w:val="21"/>
              </w:rPr>
            </w:pPr>
            <w:r>
              <w:rPr>
                <w:rFonts w:cs="Times New Roman"/>
                <w:sz w:val="21"/>
              </w:rPr>
              <w:t>氨氮</w:t>
            </w:r>
          </w:p>
        </w:tc>
        <w:tc>
          <w:tcPr>
            <w:tcW w:w="869" w:type="pct"/>
            <w:vAlign w:val="center"/>
          </w:tcPr>
          <w:p>
            <w:pPr>
              <w:jc w:val="center"/>
              <w:rPr>
                <w:rFonts w:eastAsia="宋体" w:cs="Times New Roman"/>
                <w:sz w:val="21"/>
              </w:rPr>
            </w:pPr>
            <w:r>
              <w:rPr>
                <w:rFonts w:eastAsia="宋体" w:cs="Times New Roman"/>
                <w:sz w:val="21"/>
              </w:rPr>
              <w:t>30</w:t>
            </w:r>
          </w:p>
        </w:tc>
        <w:tc>
          <w:tcPr>
            <w:tcW w:w="722" w:type="pct"/>
            <w:vAlign w:val="center"/>
          </w:tcPr>
          <w:p>
            <w:pPr>
              <w:jc w:val="center"/>
              <w:rPr>
                <w:rFonts w:eastAsia="宋体" w:cs="Times New Roman"/>
                <w:sz w:val="21"/>
              </w:rPr>
            </w:pPr>
            <w:r>
              <w:rPr>
                <w:rFonts w:hint="eastAsia" w:eastAsia="宋体" w:cs="Times New Roman"/>
                <w:sz w:val="21"/>
              </w:rPr>
              <w:t>0.26</w:t>
            </w:r>
          </w:p>
        </w:tc>
        <w:tc>
          <w:tcPr>
            <w:tcW w:w="722" w:type="pct"/>
            <w:vAlign w:val="center"/>
          </w:tcPr>
          <w:p>
            <w:pPr>
              <w:jc w:val="center"/>
              <w:rPr>
                <w:rFonts w:eastAsia="宋体" w:cs="Times New Roman"/>
                <w:sz w:val="21"/>
              </w:rPr>
            </w:pPr>
            <w:r>
              <w:rPr>
                <w:rFonts w:eastAsia="宋体" w:cs="Times New Roman"/>
                <w:sz w:val="21"/>
              </w:rPr>
              <w:t>20</w:t>
            </w:r>
          </w:p>
        </w:tc>
        <w:tc>
          <w:tcPr>
            <w:tcW w:w="722" w:type="pct"/>
            <w:vAlign w:val="center"/>
          </w:tcPr>
          <w:p>
            <w:pPr>
              <w:jc w:val="center"/>
              <w:rPr>
                <w:rFonts w:eastAsia="宋体" w:cs="Times New Roman"/>
                <w:sz w:val="21"/>
              </w:rPr>
            </w:pPr>
            <w:r>
              <w:rPr>
                <w:rFonts w:hint="eastAsia" w:eastAsia="宋体" w:cs="Times New Roman"/>
                <w:sz w:val="21"/>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pct"/>
            <w:vMerge w:val="continue"/>
            <w:vAlign w:val="center"/>
          </w:tcPr>
          <w:p>
            <w:pPr>
              <w:widowControl/>
              <w:jc w:val="left"/>
              <w:rPr>
                <w:rFonts w:eastAsia="宋体" w:cs="Times New Roman"/>
                <w:sz w:val="21"/>
              </w:rPr>
            </w:pPr>
          </w:p>
        </w:tc>
        <w:tc>
          <w:tcPr>
            <w:tcW w:w="820" w:type="pct"/>
            <w:vMerge w:val="continue"/>
            <w:vAlign w:val="center"/>
          </w:tcPr>
          <w:p>
            <w:pPr>
              <w:widowControl/>
              <w:jc w:val="left"/>
              <w:rPr>
                <w:rFonts w:eastAsia="宋体" w:cs="Times New Roman"/>
                <w:sz w:val="21"/>
              </w:rPr>
            </w:pPr>
          </w:p>
        </w:tc>
        <w:tc>
          <w:tcPr>
            <w:tcW w:w="701" w:type="pct"/>
            <w:vAlign w:val="center"/>
          </w:tcPr>
          <w:p>
            <w:pPr>
              <w:jc w:val="center"/>
              <w:rPr>
                <w:rFonts w:eastAsia="宋体" w:cs="Times New Roman"/>
                <w:sz w:val="21"/>
              </w:rPr>
            </w:pPr>
            <w:r>
              <w:rPr>
                <w:rFonts w:cs="Times New Roman"/>
                <w:sz w:val="21"/>
              </w:rPr>
              <w:t>动植物油</w:t>
            </w:r>
          </w:p>
        </w:tc>
        <w:tc>
          <w:tcPr>
            <w:tcW w:w="869" w:type="pct"/>
            <w:vAlign w:val="center"/>
          </w:tcPr>
          <w:p>
            <w:pPr>
              <w:jc w:val="center"/>
              <w:rPr>
                <w:rFonts w:eastAsia="宋体" w:cs="Times New Roman"/>
                <w:sz w:val="21"/>
              </w:rPr>
            </w:pPr>
            <w:r>
              <w:rPr>
                <w:rFonts w:eastAsia="宋体" w:cs="Times New Roman"/>
                <w:sz w:val="21"/>
              </w:rPr>
              <w:t>20</w:t>
            </w:r>
          </w:p>
        </w:tc>
        <w:tc>
          <w:tcPr>
            <w:tcW w:w="722" w:type="pct"/>
            <w:vAlign w:val="center"/>
          </w:tcPr>
          <w:p>
            <w:pPr>
              <w:jc w:val="center"/>
              <w:rPr>
                <w:rFonts w:eastAsia="宋体" w:cs="Times New Roman"/>
                <w:sz w:val="21"/>
              </w:rPr>
            </w:pPr>
            <w:r>
              <w:rPr>
                <w:rFonts w:hint="eastAsia" w:eastAsia="宋体" w:cs="Times New Roman"/>
                <w:sz w:val="21"/>
              </w:rPr>
              <w:t>0.17</w:t>
            </w:r>
          </w:p>
        </w:tc>
        <w:tc>
          <w:tcPr>
            <w:tcW w:w="722" w:type="pct"/>
            <w:vAlign w:val="center"/>
          </w:tcPr>
          <w:p>
            <w:pPr>
              <w:jc w:val="center"/>
              <w:rPr>
                <w:rFonts w:eastAsia="宋体" w:cs="Times New Roman"/>
                <w:sz w:val="21"/>
              </w:rPr>
            </w:pPr>
            <w:r>
              <w:rPr>
                <w:rFonts w:eastAsia="宋体" w:cs="Times New Roman"/>
                <w:sz w:val="21"/>
              </w:rPr>
              <w:t>10</w:t>
            </w:r>
          </w:p>
        </w:tc>
        <w:tc>
          <w:tcPr>
            <w:tcW w:w="722" w:type="pct"/>
            <w:vAlign w:val="center"/>
          </w:tcPr>
          <w:p>
            <w:pPr>
              <w:jc w:val="center"/>
              <w:rPr>
                <w:rFonts w:eastAsia="宋体" w:cs="Times New Roman"/>
                <w:sz w:val="21"/>
              </w:rPr>
            </w:pPr>
            <w:r>
              <w:rPr>
                <w:rFonts w:hint="eastAsia" w:eastAsia="宋体" w:cs="Times New Roman"/>
                <w:sz w:val="21"/>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pct"/>
            <w:vMerge w:val="restart"/>
            <w:vAlign w:val="center"/>
          </w:tcPr>
          <w:p>
            <w:pPr>
              <w:jc w:val="center"/>
              <w:rPr>
                <w:rFonts w:cs="Times New Roman"/>
                <w:sz w:val="21"/>
              </w:rPr>
            </w:pPr>
            <w:r>
              <w:rPr>
                <w:rFonts w:cs="Times New Roman"/>
                <w:sz w:val="21"/>
              </w:rPr>
              <w:t>医疗</w:t>
            </w:r>
          </w:p>
          <w:p>
            <w:pPr>
              <w:jc w:val="center"/>
              <w:rPr>
                <w:rFonts w:eastAsia="宋体" w:cs="Times New Roman"/>
                <w:sz w:val="21"/>
              </w:rPr>
            </w:pPr>
            <w:r>
              <w:rPr>
                <w:rFonts w:cs="Times New Roman"/>
                <w:sz w:val="21"/>
              </w:rPr>
              <w:t>废水</w:t>
            </w:r>
          </w:p>
        </w:tc>
        <w:tc>
          <w:tcPr>
            <w:tcW w:w="820" w:type="pct"/>
            <w:vMerge w:val="restart"/>
            <w:vAlign w:val="center"/>
          </w:tcPr>
          <w:p>
            <w:pPr>
              <w:jc w:val="center"/>
              <w:rPr>
                <w:rFonts w:cs="Times New Roman"/>
                <w:sz w:val="21"/>
              </w:rPr>
            </w:pPr>
            <w:r>
              <w:rPr>
                <w:rFonts w:hint="eastAsia" w:cs="Times New Roman"/>
                <w:sz w:val="21"/>
              </w:rPr>
              <w:t>328.097</w:t>
            </w:r>
            <w:r>
              <w:rPr>
                <w:rFonts w:cs="Times New Roman"/>
                <w:sz w:val="21"/>
              </w:rPr>
              <w:t>m</w:t>
            </w:r>
            <w:r>
              <w:rPr>
                <w:rFonts w:cs="Times New Roman"/>
                <w:sz w:val="21"/>
                <w:vertAlign w:val="superscript"/>
              </w:rPr>
              <w:t>3</w:t>
            </w:r>
            <w:r>
              <w:rPr>
                <w:rFonts w:cs="Times New Roman"/>
                <w:sz w:val="21"/>
              </w:rPr>
              <w:t>/d</w:t>
            </w:r>
          </w:p>
          <w:p>
            <w:pPr>
              <w:jc w:val="center"/>
              <w:rPr>
                <w:rFonts w:eastAsia="宋体" w:cs="Times New Roman"/>
                <w:sz w:val="21"/>
              </w:rPr>
            </w:pPr>
            <w:r>
              <w:rPr>
                <w:rFonts w:hint="eastAsia" w:cs="Times New Roman"/>
                <w:sz w:val="21"/>
              </w:rPr>
              <w:t>119755.405</w:t>
            </w:r>
            <w:r>
              <w:rPr>
                <w:rFonts w:cs="Times New Roman"/>
                <w:sz w:val="21"/>
              </w:rPr>
              <w:t>m</w:t>
            </w:r>
            <w:r>
              <w:rPr>
                <w:rFonts w:cs="Times New Roman"/>
                <w:sz w:val="21"/>
                <w:vertAlign w:val="superscript"/>
              </w:rPr>
              <w:t>3</w:t>
            </w:r>
            <w:r>
              <w:rPr>
                <w:rFonts w:cs="Times New Roman"/>
                <w:sz w:val="21"/>
              </w:rPr>
              <w:t>/a</w:t>
            </w:r>
          </w:p>
        </w:tc>
        <w:tc>
          <w:tcPr>
            <w:tcW w:w="701" w:type="pct"/>
            <w:vAlign w:val="center"/>
          </w:tcPr>
          <w:p>
            <w:pPr>
              <w:jc w:val="center"/>
              <w:rPr>
                <w:rFonts w:eastAsia="宋体" w:cs="Times New Roman"/>
                <w:sz w:val="21"/>
              </w:rPr>
            </w:pPr>
            <w:r>
              <w:rPr>
                <w:rFonts w:cs="Times New Roman"/>
                <w:sz w:val="21"/>
              </w:rPr>
              <w:t>COD</w:t>
            </w:r>
            <w:r>
              <w:rPr>
                <w:rFonts w:cs="Times New Roman"/>
                <w:sz w:val="21"/>
                <w:vertAlign w:val="subscript"/>
              </w:rPr>
              <w:t>Cr</w:t>
            </w:r>
          </w:p>
        </w:tc>
        <w:tc>
          <w:tcPr>
            <w:tcW w:w="869" w:type="pct"/>
            <w:vAlign w:val="center"/>
          </w:tcPr>
          <w:p>
            <w:pPr>
              <w:jc w:val="center"/>
              <w:rPr>
                <w:rFonts w:eastAsia="宋体" w:cs="Times New Roman"/>
                <w:sz w:val="21"/>
              </w:rPr>
            </w:pPr>
            <w:r>
              <w:rPr>
                <w:rFonts w:hint="eastAsia" w:eastAsia="宋体" w:cs="Times New Roman"/>
                <w:sz w:val="21"/>
              </w:rPr>
              <w:t>280</w:t>
            </w:r>
          </w:p>
        </w:tc>
        <w:tc>
          <w:tcPr>
            <w:tcW w:w="722" w:type="pct"/>
            <w:vAlign w:val="center"/>
          </w:tcPr>
          <w:p>
            <w:pPr>
              <w:jc w:val="center"/>
              <w:rPr>
                <w:rFonts w:eastAsia="宋体" w:cs="Times New Roman"/>
                <w:sz w:val="21"/>
              </w:rPr>
            </w:pPr>
            <w:r>
              <w:rPr>
                <w:rFonts w:hint="eastAsia" w:eastAsia="宋体" w:cs="Times New Roman"/>
                <w:sz w:val="21"/>
              </w:rPr>
              <w:t>33.6</w:t>
            </w:r>
          </w:p>
        </w:tc>
        <w:tc>
          <w:tcPr>
            <w:tcW w:w="722" w:type="pct"/>
            <w:vAlign w:val="center"/>
          </w:tcPr>
          <w:p>
            <w:pPr>
              <w:jc w:val="center"/>
              <w:rPr>
                <w:rFonts w:eastAsia="宋体" w:cs="Times New Roman"/>
                <w:sz w:val="21"/>
              </w:rPr>
            </w:pPr>
            <w:r>
              <w:rPr>
                <w:rFonts w:eastAsia="宋体" w:cs="Times New Roman"/>
                <w:sz w:val="21"/>
              </w:rPr>
              <w:t>162</w:t>
            </w:r>
          </w:p>
        </w:tc>
        <w:tc>
          <w:tcPr>
            <w:tcW w:w="722" w:type="pct"/>
            <w:vAlign w:val="center"/>
          </w:tcPr>
          <w:p>
            <w:pPr>
              <w:jc w:val="center"/>
              <w:rPr>
                <w:rFonts w:eastAsia="宋体" w:cs="Times New Roman"/>
                <w:sz w:val="21"/>
              </w:rPr>
            </w:pPr>
            <w:r>
              <w:rPr>
                <w:rFonts w:hint="eastAsia" w:eastAsia="宋体" w:cs="Times New Roman"/>
                <w:sz w:val="21"/>
              </w:rPr>
              <w:t>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pct"/>
            <w:vMerge w:val="continue"/>
            <w:vAlign w:val="center"/>
          </w:tcPr>
          <w:p>
            <w:pPr>
              <w:widowControl/>
              <w:jc w:val="left"/>
              <w:rPr>
                <w:rFonts w:eastAsia="宋体" w:cs="Times New Roman"/>
                <w:sz w:val="21"/>
              </w:rPr>
            </w:pPr>
          </w:p>
        </w:tc>
        <w:tc>
          <w:tcPr>
            <w:tcW w:w="820" w:type="pct"/>
            <w:vMerge w:val="continue"/>
            <w:vAlign w:val="center"/>
          </w:tcPr>
          <w:p>
            <w:pPr>
              <w:widowControl/>
              <w:jc w:val="left"/>
              <w:rPr>
                <w:rFonts w:eastAsia="宋体" w:cs="Times New Roman"/>
                <w:sz w:val="21"/>
              </w:rPr>
            </w:pPr>
          </w:p>
        </w:tc>
        <w:tc>
          <w:tcPr>
            <w:tcW w:w="701" w:type="pct"/>
            <w:vAlign w:val="center"/>
          </w:tcPr>
          <w:p>
            <w:pPr>
              <w:jc w:val="center"/>
              <w:rPr>
                <w:rFonts w:eastAsia="宋体" w:cs="Times New Roman"/>
                <w:sz w:val="21"/>
              </w:rPr>
            </w:pPr>
            <w:r>
              <w:rPr>
                <w:rFonts w:cs="Times New Roman"/>
                <w:sz w:val="21"/>
              </w:rPr>
              <w:t>BOD</w:t>
            </w:r>
            <w:r>
              <w:rPr>
                <w:rFonts w:cs="Times New Roman"/>
                <w:sz w:val="21"/>
                <w:vertAlign w:val="subscript"/>
              </w:rPr>
              <w:t>5</w:t>
            </w:r>
          </w:p>
        </w:tc>
        <w:tc>
          <w:tcPr>
            <w:tcW w:w="869" w:type="pct"/>
            <w:vAlign w:val="center"/>
          </w:tcPr>
          <w:p>
            <w:pPr>
              <w:jc w:val="center"/>
              <w:rPr>
                <w:rFonts w:eastAsia="宋体" w:cs="Times New Roman"/>
                <w:sz w:val="21"/>
              </w:rPr>
            </w:pPr>
            <w:r>
              <w:rPr>
                <w:rFonts w:hint="eastAsia" w:eastAsia="宋体" w:cs="Times New Roman"/>
                <w:sz w:val="21"/>
              </w:rPr>
              <w:t>120</w:t>
            </w:r>
          </w:p>
        </w:tc>
        <w:tc>
          <w:tcPr>
            <w:tcW w:w="722" w:type="pct"/>
            <w:vAlign w:val="center"/>
          </w:tcPr>
          <w:p>
            <w:pPr>
              <w:jc w:val="center"/>
              <w:rPr>
                <w:rFonts w:eastAsia="宋体" w:cs="Times New Roman"/>
                <w:sz w:val="21"/>
              </w:rPr>
            </w:pPr>
            <w:r>
              <w:rPr>
                <w:rFonts w:hint="eastAsia" w:eastAsia="宋体" w:cs="Times New Roman"/>
                <w:sz w:val="21"/>
              </w:rPr>
              <w:t>14.4</w:t>
            </w:r>
          </w:p>
        </w:tc>
        <w:tc>
          <w:tcPr>
            <w:tcW w:w="722" w:type="pct"/>
            <w:vAlign w:val="center"/>
          </w:tcPr>
          <w:p>
            <w:pPr>
              <w:jc w:val="center"/>
              <w:rPr>
                <w:rFonts w:eastAsia="宋体" w:cs="Times New Roman"/>
                <w:sz w:val="21"/>
              </w:rPr>
            </w:pPr>
            <w:r>
              <w:rPr>
                <w:rFonts w:eastAsia="宋体" w:cs="Times New Roman"/>
                <w:sz w:val="21"/>
              </w:rPr>
              <w:t>49.5</w:t>
            </w:r>
          </w:p>
        </w:tc>
        <w:tc>
          <w:tcPr>
            <w:tcW w:w="722" w:type="pct"/>
            <w:vAlign w:val="center"/>
          </w:tcPr>
          <w:p>
            <w:pPr>
              <w:jc w:val="center"/>
              <w:rPr>
                <w:rFonts w:eastAsia="宋体" w:cs="Times New Roman"/>
                <w:sz w:val="21"/>
              </w:rPr>
            </w:pPr>
            <w:r>
              <w:rPr>
                <w:rFonts w:hint="eastAsia" w:eastAsia="宋体" w:cs="Times New Roman"/>
                <w:sz w:val="21"/>
              </w:rPr>
              <w:t>5.93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pct"/>
            <w:vMerge w:val="continue"/>
            <w:vAlign w:val="center"/>
          </w:tcPr>
          <w:p>
            <w:pPr>
              <w:widowControl/>
              <w:jc w:val="left"/>
              <w:rPr>
                <w:rFonts w:eastAsia="宋体" w:cs="Times New Roman"/>
                <w:sz w:val="21"/>
              </w:rPr>
            </w:pPr>
          </w:p>
        </w:tc>
        <w:tc>
          <w:tcPr>
            <w:tcW w:w="820" w:type="pct"/>
            <w:vMerge w:val="continue"/>
            <w:vAlign w:val="center"/>
          </w:tcPr>
          <w:p>
            <w:pPr>
              <w:widowControl/>
              <w:jc w:val="left"/>
              <w:rPr>
                <w:rFonts w:eastAsia="宋体" w:cs="Times New Roman"/>
                <w:sz w:val="21"/>
              </w:rPr>
            </w:pPr>
          </w:p>
        </w:tc>
        <w:tc>
          <w:tcPr>
            <w:tcW w:w="701" w:type="pct"/>
            <w:vAlign w:val="center"/>
          </w:tcPr>
          <w:p>
            <w:pPr>
              <w:jc w:val="center"/>
              <w:rPr>
                <w:rFonts w:eastAsia="宋体" w:cs="Times New Roman"/>
                <w:sz w:val="21"/>
              </w:rPr>
            </w:pPr>
            <w:r>
              <w:rPr>
                <w:rFonts w:cs="Times New Roman"/>
                <w:sz w:val="21"/>
              </w:rPr>
              <w:t>SS</w:t>
            </w:r>
          </w:p>
        </w:tc>
        <w:tc>
          <w:tcPr>
            <w:tcW w:w="869" w:type="pct"/>
            <w:vAlign w:val="center"/>
          </w:tcPr>
          <w:p>
            <w:pPr>
              <w:jc w:val="center"/>
              <w:rPr>
                <w:rFonts w:eastAsia="宋体" w:cs="Times New Roman"/>
                <w:sz w:val="21"/>
              </w:rPr>
            </w:pPr>
            <w:r>
              <w:rPr>
                <w:rFonts w:hint="eastAsia" w:eastAsia="宋体" w:cs="Times New Roman"/>
                <w:sz w:val="21"/>
              </w:rPr>
              <w:t>150</w:t>
            </w:r>
          </w:p>
        </w:tc>
        <w:tc>
          <w:tcPr>
            <w:tcW w:w="722" w:type="pct"/>
            <w:vAlign w:val="center"/>
          </w:tcPr>
          <w:p>
            <w:pPr>
              <w:jc w:val="center"/>
              <w:rPr>
                <w:rFonts w:eastAsia="宋体" w:cs="Times New Roman"/>
                <w:sz w:val="21"/>
              </w:rPr>
            </w:pPr>
            <w:r>
              <w:rPr>
                <w:rFonts w:hint="eastAsia" w:eastAsia="宋体" w:cs="Times New Roman"/>
                <w:sz w:val="21"/>
              </w:rPr>
              <w:t>18</w:t>
            </w:r>
          </w:p>
        </w:tc>
        <w:tc>
          <w:tcPr>
            <w:tcW w:w="722" w:type="pct"/>
            <w:vAlign w:val="center"/>
          </w:tcPr>
          <w:p>
            <w:pPr>
              <w:jc w:val="center"/>
              <w:rPr>
                <w:rFonts w:eastAsia="宋体" w:cs="Times New Roman"/>
                <w:sz w:val="21"/>
              </w:rPr>
            </w:pPr>
            <w:r>
              <w:rPr>
                <w:rFonts w:eastAsia="宋体" w:cs="Times New Roman"/>
                <w:sz w:val="21"/>
              </w:rPr>
              <w:t>40</w:t>
            </w:r>
          </w:p>
        </w:tc>
        <w:tc>
          <w:tcPr>
            <w:tcW w:w="722" w:type="pct"/>
            <w:vAlign w:val="center"/>
          </w:tcPr>
          <w:p>
            <w:pPr>
              <w:jc w:val="center"/>
              <w:rPr>
                <w:rFonts w:eastAsia="宋体" w:cs="Times New Roman"/>
                <w:sz w:val="21"/>
              </w:rPr>
            </w:pPr>
            <w:r>
              <w:rPr>
                <w:rFonts w:hint="eastAsia" w:eastAsia="宋体" w:cs="Times New Roman"/>
                <w:sz w:val="21"/>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pct"/>
            <w:vMerge w:val="continue"/>
            <w:vAlign w:val="center"/>
          </w:tcPr>
          <w:p>
            <w:pPr>
              <w:widowControl/>
              <w:jc w:val="left"/>
              <w:rPr>
                <w:rFonts w:eastAsia="宋体" w:cs="Times New Roman"/>
                <w:sz w:val="21"/>
              </w:rPr>
            </w:pPr>
          </w:p>
        </w:tc>
        <w:tc>
          <w:tcPr>
            <w:tcW w:w="820" w:type="pct"/>
            <w:vMerge w:val="continue"/>
            <w:vAlign w:val="center"/>
          </w:tcPr>
          <w:p>
            <w:pPr>
              <w:widowControl/>
              <w:jc w:val="left"/>
              <w:rPr>
                <w:rFonts w:eastAsia="宋体" w:cs="Times New Roman"/>
                <w:sz w:val="21"/>
              </w:rPr>
            </w:pPr>
          </w:p>
        </w:tc>
        <w:tc>
          <w:tcPr>
            <w:tcW w:w="701" w:type="pct"/>
            <w:vAlign w:val="center"/>
          </w:tcPr>
          <w:p>
            <w:pPr>
              <w:jc w:val="center"/>
              <w:rPr>
                <w:rFonts w:eastAsia="宋体" w:cs="Times New Roman"/>
                <w:sz w:val="21"/>
              </w:rPr>
            </w:pPr>
            <w:r>
              <w:rPr>
                <w:rFonts w:cs="Times New Roman"/>
                <w:sz w:val="21"/>
              </w:rPr>
              <w:t>氨氮</w:t>
            </w:r>
          </w:p>
        </w:tc>
        <w:tc>
          <w:tcPr>
            <w:tcW w:w="869" w:type="pct"/>
            <w:vAlign w:val="center"/>
          </w:tcPr>
          <w:p>
            <w:pPr>
              <w:jc w:val="center"/>
              <w:rPr>
                <w:rFonts w:eastAsia="宋体" w:cs="Times New Roman"/>
                <w:sz w:val="21"/>
              </w:rPr>
            </w:pPr>
            <w:r>
              <w:rPr>
                <w:rFonts w:hint="eastAsia" w:eastAsia="宋体" w:cs="Times New Roman"/>
                <w:sz w:val="21"/>
              </w:rPr>
              <w:t>35</w:t>
            </w:r>
          </w:p>
        </w:tc>
        <w:tc>
          <w:tcPr>
            <w:tcW w:w="722" w:type="pct"/>
            <w:vAlign w:val="center"/>
          </w:tcPr>
          <w:p>
            <w:pPr>
              <w:jc w:val="center"/>
              <w:rPr>
                <w:rFonts w:eastAsia="宋体" w:cs="Times New Roman"/>
                <w:sz w:val="21"/>
              </w:rPr>
            </w:pPr>
            <w:r>
              <w:rPr>
                <w:rFonts w:hint="eastAsia" w:eastAsia="宋体" w:cs="Times New Roman"/>
                <w:sz w:val="21"/>
              </w:rPr>
              <w:t>4.2</w:t>
            </w:r>
          </w:p>
        </w:tc>
        <w:tc>
          <w:tcPr>
            <w:tcW w:w="722" w:type="pct"/>
            <w:vAlign w:val="center"/>
          </w:tcPr>
          <w:p>
            <w:pPr>
              <w:jc w:val="center"/>
              <w:rPr>
                <w:rFonts w:eastAsia="宋体" w:cs="Times New Roman"/>
                <w:sz w:val="21"/>
              </w:rPr>
            </w:pPr>
            <w:r>
              <w:rPr>
                <w:rFonts w:eastAsia="宋体" w:cs="Times New Roman"/>
                <w:sz w:val="21"/>
              </w:rPr>
              <w:t>14.4</w:t>
            </w:r>
          </w:p>
        </w:tc>
        <w:tc>
          <w:tcPr>
            <w:tcW w:w="722" w:type="pct"/>
            <w:vAlign w:val="center"/>
          </w:tcPr>
          <w:p>
            <w:pPr>
              <w:jc w:val="center"/>
              <w:rPr>
                <w:rFonts w:eastAsia="宋体" w:cs="Times New Roman"/>
                <w:sz w:val="21"/>
              </w:rPr>
            </w:pPr>
            <w:r>
              <w:rPr>
                <w:rFonts w:hint="eastAsia" w:eastAsia="宋体" w:cs="Times New Roman"/>
                <w:sz w:val="21"/>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444" w:type="pct"/>
            <w:vMerge w:val="continue"/>
            <w:vAlign w:val="center"/>
          </w:tcPr>
          <w:p>
            <w:pPr>
              <w:widowControl/>
              <w:jc w:val="left"/>
              <w:rPr>
                <w:rFonts w:eastAsia="宋体" w:cs="Times New Roman"/>
                <w:sz w:val="21"/>
              </w:rPr>
            </w:pPr>
          </w:p>
        </w:tc>
        <w:tc>
          <w:tcPr>
            <w:tcW w:w="820" w:type="pct"/>
            <w:vMerge w:val="continue"/>
            <w:vAlign w:val="center"/>
          </w:tcPr>
          <w:p>
            <w:pPr>
              <w:widowControl/>
              <w:jc w:val="left"/>
              <w:rPr>
                <w:rFonts w:eastAsia="宋体" w:cs="Times New Roman"/>
                <w:sz w:val="21"/>
              </w:rPr>
            </w:pPr>
          </w:p>
        </w:tc>
        <w:tc>
          <w:tcPr>
            <w:tcW w:w="701" w:type="pct"/>
            <w:vAlign w:val="center"/>
          </w:tcPr>
          <w:p>
            <w:pPr>
              <w:jc w:val="center"/>
              <w:rPr>
                <w:rFonts w:eastAsia="宋体" w:cs="Times New Roman"/>
                <w:sz w:val="21"/>
              </w:rPr>
            </w:pPr>
            <w:r>
              <w:rPr>
                <w:rFonts w:cs="Times New Roman"/>
                <w:sz w:val="21"/>
              </w:rPr>
              <w:t>粪大肠杆菌</w:t>
            </w:r>
          </w:p>
        </w:tc>
        <w:tc>
          <w:tcPr>
            <w:tcW w:w="869" w:type="pct"/>
            <w:vAlign w:val="center"/>
          </w:tcPr>
          <w:p>
            <w:pPr>
              <w:jc w:val="center"/>
              <w:rPr>
                <w:rFonts w:eastAsia="宋体" w:cs="Times New Roman"/>
                <w:sz w:val="21"/>
              </w:rPr>
            </w:pPr>
            <w:r>
              <w:rPr>
                <w:rFonts w:hint="eastAsia" w:eastAsia="宋体" w:cs="Times New Roman"/>
                <w:sz w:val="21"/>
              </w:rPr>
              <w:t>500000</w:t>
            </w:r>
          </w:p>
        </w:tc>
        <w:tc>
          <w:tcPr>
            <w:tcW w:w="722" w:type="pct"/>
            <w:vAlign w:val="center"/>
          </w:tcPr>
          <w:p>
            <w:pPr>
              <w:jc w:val="center"/>
              <w:rPr>
                <w:rFonts w:eastAsia="宋体" w:cs="Times New Roman"/>
                <w:sz w:val="21"/>
              </w:rPr>
            </w:pPr>
            <w:r>
              <w:rPr>
                <w:rFonts w:hint="eastAsia" w:eastAsia="宋体" w:cs="Times New Roman"/>
                <w:sz w:val="21"/>
              </w:rPr>
              <w:t>60055.64</w:t>
            </w:r>
            <w:r>
              <w:rPr>
                <w:rFonts w:cs="Times New Roman"/>
                <w:szCs w:val="24"/>
              </w:rPr>
              <w:t>个</w:t>
            </w:r>
            <w:r>
              <w:rPr>
                <w:rFonts w:hint="eastAsia" w:cs="Times New Roman"/>
                <w:szCs w:val="24"/>
              </w:rPr>
              <w:t>/L</w:t>
            </w:r>
          </w:p>
        </w:tc>
        <w:tc>
          <w:tcPr>
            <w:tcW w:w="722" w:type="pct"/>
            <w:vAlign w:val="center"/>
          </w:tcPr>
          <w:p>
            <w:pPr>
              <w:jc w:val="center"/>
              <w:rPr>
                <w:rFonts w:eastAsia="宋体" w:cs="Times New Roman"/>
                <w:sz w:val="21"/>
              </w:rPr>
            </w:pPr>
            <w:r>
              <w:rPr>
                <w:rFonts w:eastAsia="宋体" w:cs="Times New Roman"/>
                <w:sz w:val="21"/>
              </w:rPr>
              <w:t>4700</w:t>
            </w:r>
          </w:p>
        </w:tc>
        <w:tc>
          <w:tcPr>
            <w:tcW w:w="722" w:type="pct"/>
            <w:vAlign w:val="center"/>
          </w:tcPr>
          <w:p>
            <w:pPr>
              <w:jc w:val="center"/>
              <w:rPr>
                <w:rFonts w:eastAsia="宋体" w:cs="Times New Roman"/>
                <w:sz w:val="21"/>
              </w:rPr>
            </w:pPr>
            <w:r>
              <w:rPr>
                <w:rFonts w:hint="eastAsia" w:eastAsia="宋体" w:cs="Times New Roman"/>
                <w:sz w:val="21"/>
              </w:rPr>
              <w:t>561.8</w:t>
            </w:r>
            <w:r>
              <w:rPr>
                <w:rFonts w:cs="Times New Roman"/>
                <w:szCs w:val="24"/>
              </w:rPr>
              <w:t>个</w:t>
            </w:r>
            <w:r>
              <w:rPr>
                <w:rFonts w:hint="eastAsia" w:cs="Times New Roman"/>
                <w:szCs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44" w:type="pct"/>
            <w:vMerge w:val="continue"/>
            <w:vAlign w:val="center"/>
          </w:tcPr>
          <w:p>
            <w:pPr>
              <w:widowControl/>
              <w:jc w:val="left"/>
              <w:rPr>
                <w:rFonts w:eastAsia="宋体" w:cs="Times New Roman"/>
                <w:sz w:val="21"/>
              </w:rPr>
            </w:pPr>
          </w:p>
        </w:tc>
        <w:tc>
          <w:tcPr>
            <w:tcW w:w="820" w:type="pct"/>
            <w:vMerge w:val="continue"/>
            <w:vAlign w:val="center"/>
          </w:tcPr>
          <w:p>
            <w:pPr>
              <w:widowControl/>
              <w:jc w:val="left"/>
              <w:rPr>
                <w:rFonts w:eastAsia="宋体" w:cs="Times New Roman"/>
                <w:sz w:val="21"/>
              </w:rPr>
            </w:pPr>
          </w:p>
        </w:tc>
        <w:tc>
          <w:tcPr>
            <w:tcW w:w="701" w:type="pct"/>
            <w:vAlign w:val="center"/>
          </w:tcPr>
          <w:p>
            <w:pPr>
              <w:jc w:val="center"/>
              <w:rPr>
                <w:rFonts w:cs="Times New Roman"/>
                <w:sz w:val="21"/>
              </w:rPr>
            </w:pPr>
            <w:r>
              <w:rPr>
                <w:rFonts w:cs="Times New Roman"/>
                <w:sz w:val="21"/>
              </w:rPr>
              <w:t>总氮</w:t>
            </w:r>
          </w:p>
        </w:tc>
        <w:tc>
          <w:tcPr>
            <w:tcW w:w="869" w:type="pct"/>
            <w:vAlign w:val="center"/>
          </w:tcPr>
          <w:p>
            <w:pPr>
              <w:jc w:val="center"/>
              <w:rPr>
                <w:rFonts w:eastAsia="宋体" w:cs="Times New Roman"/>
                <w:sz w:val="21"/>
              </w:rPr>
            </w:pPr>
            <w:r>
              <w:rPr>
                <w:rFonts w:hint="eastAsia" w:eastAsia="宋体" w:cs="Times New Roman"/>
                <w:sz w:val="21"/>
              </w:rPr>
              <w:t>50.6</w:t>
            </w:r>
          </w:p>
        </w:tc>
        <w:tc>
          <w:tcPr>
            <w:tcW w:w="722" w:type="pct"/>
            <w:vAlign w:val="center"/>
          </w:tcPr>
          <w:p>
            <w:pPr>
              <w:jc w:val="center"/>
              <w:rPr>
                <w:rFonts w:eastAsia="宋体" w:cs="Times New Roman"/>
                <w:sz w:val="21"/>
              </w:rPr>
            </w:pPr>
            <w:r>
              <w:rPr>
                <w:rFonts w:hint="eastAsia" w:eastAsia="宋体" w:cs="Times New Roman"/>
                <w:sz w:val="21"/>
              </w:rPr>
              <w:t>6.06</w:t>
            </w:r>
          </w:p>
        </w:tc>
        <w:tc>
          <w:tcPr>
            <w:tcW w:w="722" w:type="pct"/>
            <w:vAlign w:val="center"/>
          </w:tcPr>
          <w:p>
            <w:pPr>
              <w:jc w:val="center"/>
              <w:rPr>
                <w:rFonts w:eastAsia="宋体" w:cs="Times New Roman"/>
                <w:sz w:val="21"/>
              </w:rPr>
            </w:pPr>
            <w:r>
              <w:rPr>
                <w:rFonts w:hint="eastAsia" w:eastAsia="宋体" w:cs="Times New Roman"/>
                <w:sz w:val="21"/>
              </w:rPr>
              <w:t>25.3</w:t>
            </w:r>
          </w:p>
        </w:tc>
        <w:tc>
          <w:tcPr>
            <w:tcW w:w="722" w:type="pct"/>
            <w:vAlign w:val="center"/>
          </w:tcPr>
          <w:p>
            <w:pPr>
              <w:jc w:val="center"/>
              <w:rPr>
                <w:rFonts w:eastAsia="宋体" w:cs="Times New Roman"/>
                <w:sz w:val="21"/>
              </w:rPr>
            </w:pPr>
            <w:r>
              <w:rPr>
                <w:rFonts w:hint="eastAsia" w:eastAsia="宋体" w:cs="Times New Roman"/>
                <w:sz w:val="21"/>
              </w:rPr>
              <w:t>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44" w:type="pct"/>
            <w:vMerge w:val="continue"/>
            <w:vAlign w:val="center"/>
          </w:tcPr>
          <w:p>
            <w:pPr>
              <w:widowControl/>
              <w:jc w:val="left"/>
              <w:rPr>
                <w:rFonts w:eastAsia="宋体" w:cs="Times New Roman"/>
                <w:sz w:val="21"/>
              </w:rPr>
            </w:pPr>
          </w:p>
        </w:tc>
        <w:tc>
          <w:tcPr>
            <w:tcW w:w="820" w:type="pct"/>
            <w:vMerge w:val="continue"/>
            <w:vAlign w:val="center"/>
          </w:tcPr>
          <w:p>
            <w:pPr>
              <w:widowControl/>
              <w:jc w:val="left"/>
              <w:rPr>
                <w:rFonts w:eastAsia="宋体" w:cs="Times New Roman"/>
                <w:sz w:val="21"/>
              </w:rPr>
            </w:pPr>
          </w:p>
        </w:tc>
        <w:tc>
          <w:tcPr>
            <w:tcW w:w="701" w:type="pct"/>
            <w:vAlign w:val="center"/>
          </w:tcPr>
          <w:p>
            <w:pPr>
              <w:jc w:val="center"/>
              <w:rPr>
                <w:rFonts w:cs="Times New Roman"/>
                <w:sz w:val="21"/>
              </w:rPr>
            </w:pPr>
            <w:r>
              <w:rPr>
                <w:rFonts w:hint="eastAsia" w:cs="Times New Roman"/>
                <w:sz w:val="21"/>
              </w:rPr>
              <w:t>总磷</w:t>
            </w:r>
          </w:p>
        </w:tc>
        <w:tc>
          <w:tcPr>
            <w:tcW w:w="869" w:type="pct"/>
            <w:vAlign w:val="center"/>
          </w:tcPr>
          <w:p>
            <w:pPr>
              <w:jc w:val="center"/>
              <w:rPr>
                <w:rFonts w:eastAsia="宋体" w:cs="Times New Roman"/>
                <w:sz w:val="21"/>
              </w:rPr>
            </w:pPr>
            <w:r>
              <w:rPr>
                <w:rFonts w:hint="eastAsia" w:eastAsia="宋体" w:cs="Times New Roman"/>
                <w:sz w:val="21"/>
              </w:rPr>
              <w:t>2.4</w:t>
            </w:r>
          </w:p>
        </w:tc>
        <w:tc>
          <w:tcPr>
            <w:tcW w:w="722" w:type="pct"/>
            <w:vAlign w:val="center"/>
          </w:tcPr>
          <w:p>
            <w:pPr>
              <w:jc w:val="center"/>
              <w:rPr>
                <w:rFonts w:eastAsia="宋体" w:cs="Times New Roman"/>
                <w:sz w:val="21"/>
              </w:rPr>
            </w:pPr>
            <w:r>
              <w:rPr>
                <w:rFonts w:hint="eastAsia" w:eastAsia="宋体" w:cs="Times New Roman"/>
                <w:sz w:val="21"/>
              </w:rPr>
              <w:t>0.28</w:t>
            </w:r>
          </w:p>
        </w:tc>
        <w:tc>
          <w:tcPr>
            <w:tcW w:w="722" w:type="pct"/>
            <w:vAlign w:val="center"/>
          </w:tcPr>
          <w:p>
            <w:pPr>
              <w:jc w:val="center"/>
              <w:rPr>
                <w:rFonts w:eastAsia="宋体" w:cs="Times New Roman"/>
                <w:sz w:val="21"/>
              </w:rPr>
            </w:pPr>
            <w:r>
              <w:rPr>
                <w:rFonts w:hint="eastAsia" w:eastAsia="宋体" w:cs="Times New Roman"/>
                <w:sz w:val="21"/>
              </w:rPr>
              <w:t>1.2</w:t>
            </w:r>
          </w:p>
        </w:tc>
        <w:tc>
          <w:tcPr>
            <w:tcW w:w="722" w:type="pct"/>
            <w:vAlign w:val="center"/>
          </w:tcPr>
          <w:p>
            <w:pPr>
              <w:jc w:val="center"/>
              <w:rPr>
                <w:rFonts w:eastAsia="宋体" w:cs="Times New Roman"/>
                <w:sz w:val="21"/>
              </w:rPr>
            </w:pPr>
            <w:r>
              <w:rPr>
                <w:rFonts w:hint="eastAsia" w:eastAsia="宋体" w:cs="Times New Roman"/>
                <w:sz w:val="21"/>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44" w:type="pct"/>
            <w:vMerge w:val="continue"/>
            <w:vAlign w:val="center"/>
          </w:tcPr>
          <w:p>
            <w:pPr>
              <w:widowControl/>
              <w:jc w:val="left"/>
              <w:rPr>
                <w:rFonts w:eastAsia="宋体" w:cs="Times New Roman"/>
                <w:sz w:val="21"/>
              </w:rPr>
            </w:pPr>
          </w:p>
        </w:tc>
        <w:tc>
          <w:tcPr>
            <w:tcW w:w="820" w:type="pct"/>
            <w:vMerge w:val="continue"/>
            <w:vAlign w:val="center"/>
          </w:tcPr>
          <w:p>
            <w:pPr>
              <w:widowControl/>
              <w:jc w:val="left"/>
              <w:rPr>
                <w:rFonts w:eastAsia="宋体" w:cs="Times New Roman"/>
                <w:sz w:val="21"/>
              </w:rPr>
            </w:pPr>
          </w:p>
        </w:tc>
        <w:tc>
          <w:tcPr>
            <w:tcW w:w="701" w:type="pct"/>
            <w:vAlign w:val="center"/>
          </w:tcPr>
          <w:p>
            <w:pPr>
              <w:jc w:val="center"/>
              <w:rPr>
                <w:rFonts w:cs="Times New Roman"/>
                <w:sz w:val="21"/>
              </w:rPr>
            </w:pPr>
            <w:r>
              <w:rPr>
                <w:rFonts w:cs="Times New Roman"/>
                <w:sz w:val="21"/>
              </w:rPr>
              <w:t>阴离子表面活性剂</w:t>
            </w:r>
          </w:p>
        </w:tc>
        <w:tc>
          <w:tcPr>
            <w:tcW w:w="869" w:type="pct"/>
            <w:vAlign w:val="center"/>
          </w:tcPr>
          <w:p>
            <w:pPr>
              <w:jc w:val="center"/>
              <w:rPr>
                <w:rFonts w:eastAsia="宋体" w:cs="Times New Roman"/>
                <w:sz w:val="21"/>
              </w:rPr>
            </w:pPr>
            <w:r>
              <w:rPr>
                <w:rFonts w:hint="eastAsia" w:eastAsia="宋体" w:cs="Times New Roman"/>
                <w:sz w:val="21"/>
              </w:rPr>
              <w:t>0.5</w:t>
            </w:r>
          </w:p>
        </w:tc>
        <w:tc>
          <w:tcPr>
            <w:tcW w:w="722" w:type="pct"/>
            <w:vAlign w:val="center"/>
          </w:tcPr>
          <w:p>
            <w:pPr>
              <w:jc w:val="center"/>
              <w:rPr>
                <w:rFonts w:eastAsia="宋体" w:cs="Times New Roman"/>
                <w:sz w:val="21"/>
              </w:rPr>
            </w:pPr>
            <w:r>
              <w:rPr>
                <w:rFonts w:hint="eastAsia" w:eastAsia="宋体" w:cs="Times New Roman"/>
                <w:sz w:val="21"/>
              </w:rPr>
              <w:t>0.06</w:t>
            </w:r>
          </w:p>
        </w:tc>
        <w:tc>
          <w:tcPr>
            <w:tcW w:w="722" w:type="pct"/>
            <w:vAlign w:val="center"/>
          </w:tcPr>
          <w:p>
            <w:pPr>
              <w:jc w:val="center"/>
              <w:rPr>
                <w:rFonts w:eastAsia="宋体" w:cs="Times New Roman"/>
                <w:sz w:val="21"/>
              </w:rPr>
            </w:pPr>
            <w:r>
              <w:rPr>
                <w:rFonts w:hint="eastAsia" w:eastAsia="宋体" w:cs="Times New Roman"/>
                <w:sz w:val="21"/>
              </w:rPr>
              <w:t>0.2</w:t>
            </w:r>
          </w:p>
        </w:tc>
        <w:tc>
          <w:tcPr>
            <w:tcW w:w="722" w:type="pct"/>
            <w:vAlign w:val="center"/>
          </w:tcPr>
          <w:p>
            <w:pPr>
              <w:jc w:val="center"/>
              <w:rPr>
                <w:rFonts w:eastAsia="宋体" w:cs="Times New Roman"/>
                <w:sz w:val="21"/>
              </w:rPr>
            </w:pPr>
            <w:r>
              <w:rPr>
                <w:rFonts w:hint="eastAsia" w:eastAsia="宋体" w:cs="Times New Roman"/>
                <w:sz w:val="21"/>
              </w:rP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44" w:type="pct"/>
            <w:vMerge w:val="continue"/>
            <w:vAlign w:val="center"/>
          </w:tcPr>
          <w:p>
            <w:pPr>
              <w:widowControl/>
              <w:jc w:val="left"/>
              <w:rPr>
                <w:rFonts w:eastAsia="宋体" w:cs="Times New Roman"/>
                <w:sz w:val="21"/>
              </w:rPr>
            </w:pPr>
          </w:p>
        </w:tc>
        <w:tc>
          <w:tcPr>
            <w:tcW w:w="820" w:type="pct"/>
            <w:vMerge w:val="continue"/>
            <w:vAlign w:val="center"/>
          </w:tcPr>
          <w:p>
            <w:pPr>
              <w:widowControl/>
              <w:jc w:val="left"/>
              <w:rPr>
                <w:rFonts w:eastAsia="宋体" w:cs="Times New Roman"/>
                <w:sz w:val="21"/>
              </w:rPr>
            </w:pPr>
          </w:p>
        </w:tc>
        <w:tc>
          <w:tcPr>
            <w:tcW w:w="701" w:type="pct"/>
            <w:vAlign w:val="center"/>
          </w:tcPr>
          <w:p>
            <w:pPr>
              <w:jc w:val="center"/>
              <w:rPr>
                <w:rFonts w:cs="Times New Roman"/>
                <w:sz w:val="21"/>
              </w:rPr>
            </w:pPr>
            <w:r>
              <w:rPr>
                <w:rFonts w:hint="eastAsia" w:cs="Times New Roman"/>
                <w:sz w:val="21"/>
              </w:rPr>
              <w:t>总余氯</w:t>
            </w:r>
          </w:p>
        </w:tc>
        <w:tc>
          <w:tcPr>
            <w:tcW w:w="869" w:type="pct"/>
            <w:vAlign w:val="center"/>
          </w:tcPr>
          <w:p>
            <w:pPr>
              <w:jc w:val="center"/>
              <w:rPr>
                <w:rFonts w:eastAsia="宋体" w:cs="Times New Roman"/>
                <w:sz w:val="21"/>
              </w:rPr>
            </w:pPr>
            <w:r>
              <w:rPr>
                <w:rFonts w:hint="eastAsia" w:eastAsia="宋体" w:cs="Times New Roman"/>
                <w:sz w:val="21"/>
              </w:rPr>
              <w:t>0.08</w:t>
            </w:r>
          </w:p>
        </w:tc>
        <w:tc>
          <w:tcPr>
            <w:tcW w:w="722" w:type="pct"/>
            <w:vAlign w:val="center"/>
          </w:tcPr>
          <w:p>
            <w:pPr>
              <w:jc w:val="center"/>
              <w:rPr>
                <w:rFonts w:eastAsia="宋体" w:cs="Times New Roman"/>
                <w:sz w:val="21"/>
              </w:rPr>
            </w:pPr>
            <w:r>
              <w:rPr>
                <w:rFonts w:hint="eastAsia" w:eastAsia="宋体" w:cs="Times New Roman"/>
                <w:sz w:val="21"/>
              </w:rPr>
              <w:t>0.01</w:t>
            </w:r>
          </w:p>
        </w:tc>
        <w:tc>
          <w:tcPr>
            <w:tcW w:w="722" w:type="pct"/>
            <w:vAlign w:val="center"/>
          </w:tcPr>
          <w:p>
            <w:pPr>
              <w:jc w:val="center"/>
              <w:rPr>
                <w:rFonts w:eastAsia="宋体" w:cs="Times New Roman"/>
                <w:sz w:val="21"/>
              </w:rPr>
            </w:pPr>
            <w:r>
              <w:rPr>
                <w:rFonts w:hint="eastAsia" w:eastAsia="宋体" w:cs="Times New Roman"/>
                <w:sz w:val="21"/>
              </w:rPr>
              <w:t>0.04</w:t>
            </w:r>
          </w:p>
        </w:tc>
        <w:tc>
          <w:tcPr>
            <w:tcW w:w="722" w:type="pct"/>
            <w:vAlign w:val="center"/>
          </w:tcPr>
          <w:p>
            <w:pPr>
              <w:jc w:val="center"/>
              <w:rPr>
                <w:rFonts w:eastAsia="宋体" w:cs="Times New Roman"/>
                <w:sz w:val="21"/>
              </w:rPr>
            </w:pPr>
            <w:r>
              <w:rPr>
                <w:rFonts w:hint="eastAsia" w:eastAsia="宋体" w:cs="Times New Roman"/>
                <w:sz w:val="21"/>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44" w:type="pct"/>
            <w:vMerge w:val="continue"/>
            <w:vAlign w:val="center"/>
          </w:tcPr>
          <w:p>
            <w:pPr>
              <w:widowControl/>
              <w:jc w:val="left"/>
              <w:rPr>
                <w:rFonts w:eastAsia="宋体" w:cs="Times New Roman"/>
                <w:sz w:val="21"/>
              </w:rPr>
            </w:pPr>
          </w:p>
        </w:tc>
        <w:tc>
          <w:tcPr>
            <w:tcW w:w="820" w:type="pct"/>
            <w:vMerge w:val="continue"/>
            <w:vAlign w:val="center"/>
          </w:tcPr>
          <w:p>
            <w:pPr>
              <w:widowControl/>
              <w:jc w:val="left"/>
              <w:rPr>
                <w:rFonts w:eastAsia="宋体" w:cs="Times New Roman"/>
                <w:sz w:val="21"/>
              </w:rPr>
            </w:pPr>
          </w:p>
        </w:tc>
        <w:tc>
          <w:tcPr>
            <w:tcW w:w="701" w:type="pct"/>
            <w:vAlign w:val="center"/>
          </w:tcPr>
          <w:p>
            <w:pPr>
              <w:jc w:val="center"/>
              <w:rPr>
                <w:rFonts w:cs="Times New Roman"/>
                <w:color w:val="000000" w:themeColor="text1"/>
                <w:sz w:val="21"/>
              </w:rPr>
            </w:pPr>
            <w:r>
              <w:rPr>
                <w:rFonts w:cs="Times New Roman"/>
                <w:color w:val="000000" w:themeColor="text1"/>
                <w:sz w:val="21"/>
              </w:rPr>
              <w:t>总氰化物</w:t>
            </w:r>
          </w:p>
        </w:tc>
        <w:tc>
          <w:tcPr>
            <w:tcW w:w="869" w:type="pct"/>
            <w:vAlign w:val="center"/>
          </w:tcPr>
          <w:p>
            <w:pPr>
              <w:jc w:val="center"/>
              <w:rPr>
                <w:rFonts w:eastAsia="宋体" w:cs="Times New Roman"/>
                <w:color w:val="000000" w:themeColor="text1"/>
                <w:sz w:val="21"/>
              </w:rPr>
            </w:pPr>
            <w:r>
              <w:rPr>
                <w:rFonts w:hint="eastAsia" w:eastAsia="宋体" w:cs="Times New Roman"/>
                <w:color w:val="000000" w:themeColor="text1"/>
                <w:sz w:val="21"/>
              </w:rPr>
              <w:t>0.001L</w:t>
            </w:r>
          </w:p>
        </w:tc>
        <w:tc>
          <w:tcPr>
            <w:tcW w:w="722" w:type="pct"/>
            <w:vAlign w:val="center"/>
          </w:tcPr>
          <w:p>
            <w:pPr>
              <w:jc w:val="center"/>
              <w:rPr>
                <w:rFonts w:eastAsia="宋体" w:cs="Times New Roman"/>
                <w:color w:val="000000" w:themeColor="text1"/>
                <w:sz w:val="21"/>
              </w:rPr>
            </w:pPr>
            <w:r>
              <w:rPr>
                <w:rFonts w:hint="eastAsia" w:eastAsia="宋体" w:cs="Times New Roman"/>
                <w:color w:val="000000" w:themeColor="text1"/>
                <w:sz w:val="21"/>
              </w:rPr>
              <w:t>0.0001</w:t>
            </w:r>
          </w:p>
        </w:tc>
        <w:tc>
          <w:tcPr>
            <w:tcW w:w="722" w:type="pct"/>
            <w:vAlign w:val="center"/>
          </w:tcPr>
          <w:p>
            <w:pPr>
              <w:jc w:val="center"/>
              <w:rPr>
                <w:rFonts w:eastAsia="宋体" w:cs="Times New Roman"/>
                <w:color w:val="000000" w:themeColor="text1"/>
                <w:sz w:val="21"/>
              </w:rPr>
            </w:pPr>
            <w:r>
              <w:rPr>
                <w:rFonts w:hint="eastAsia" w:eastAsia="宋体" w:cs="Times New Roman"/>
                <w:color w:val="000000" w:themeColor="text1"/>
                <w:sz w:val="21"/>
              </w:rPr>
              <w:t>0.001L</w:t>
            </w:r>
          </w:p>
        </w:tc>
        <w:tc>
          <w:tcPr>
            <w:tcW w:w="722" w:type="pct"/>
            <w:vAlign w:val="center"/>
          </w:tcPr>
          <w:p>
            <w:pPr>
              <w:jc w:val="center"/>
              <w:rPr>
                <w:rFonts w:eastAsia="宋体" w:cs="Times New Roman"/>
                <w:color w:val="000000" w:themeColor="text1"/>
                <w:sz w:val="21"/>
              </w:rPr>
            </w:pPr>
            <w:r>
              <w:rPr>
                <w:rFonts w:hint="eastAsia" w:eastAsia="宋体" w:cs="Times New Roman"/>
                <w:color w:val="000000" w:themeColor="text1"/>
                <w:sz w:val="21"/>
              </w:rPr>
              <w:t>0.0001</w:t>
            </w:r>
          </w:p>
        </w:tc>
      </w:tr>
    </w:tbl>
    <w:p>
      <w:pPr>
        <w:pStyle w:val="5"/>
      </w:pPr>
      <w:r>
        <w:rPr>
          <w:rFonts w:hint="eastAsia"/>
        </w:rPr>
        <w:t>主要噪声源</w:t>
      </w:r>
    </w:p>
    <w:p>
      <w:pPr>
        <w:spacing w:line="360" w:lineRule="auto"/>
        <w:ind w:firstLine="480" w:firstLineChars="200"/>
      </w:pPr>
      <w:r>
        <w:rPr>
          <w:rFonts w:hint="eastAsia"/>
        </w:rPr>
        <w:t>本项目所用医疗设备均是先进的资料设备，噪声很小、营运期噪声主要是污水处理站水泵噪声、中央空调冷却塔噪声、备用柴油发电机噪声、进出车辆的车辆噪声和人群活动噪声等，根据对同类设备的类比，确定主要声源的噪声等级如下：</w:t>
      </w:r>
    </w:p>
    <w:p>
      <w:pPr>
        <w:pStyle w:val="14"/>
        <w:spacing w:line="240" w:lineRule="auto"/>
        <w:rPr>
          <w:rFonts w:cs="Times New Roman"/>
        </w:rPr>
      </w:pPr>
      <w:r>
        <w:rPr>
          <w:rFonts w:cs="Times New Roman"/>
        </w:rPr>
        <w:t>表</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3.2</w:t>
      </w:r>
      <w:r>
        <w:rPr>
          <w:rFonts w:cs="Times New Roman"/>
        </w:rPr>
        <w:fldChar w:fldCharType="end"/>
      </w:r>
      <w:r>
        <w:rPr>
          <w:rFonts w:cs="Times New Roman"/>
        </w:rPr>
        <w:noBreakHyphen/>
      </w:r>
      <w:r>
        <w:rPr>
          <w:rFonts w:cs="Times New Roman"/>
        </w:rPr>
        <w:fldChar w:fldCharType="begin"/>
      </w:r>
      <w:r>
        <w:rPr>
          <w:rFonts w:cs="Times New Roman"/>
        </w:rPr>
        <w:instrText xml:space="preserve"> SEQ 表 \* ARABIC \s 2 </w:instrText>
      </w:r>
      <w:r>
        <w:rPr>
          <w:rFonts w:cs="Times New Roman"/>
        </w:rPr>
        <w:fldChar w:fldCharType="separate"/>
      </w:r>
      <w:r>
        <w:rPr>
          <w:rFonts w:cs="Times New Roman"/>
        </w:rPr>
        <w:t>8</w:t>
      </w:r>
      <w:r>
        <w:rPr>
          <w:rFonts w:cs="Times New Roman"/>
        </w:rPr>
        <w:fldChar w:fldCharType="end"/>
      </w:r>
      <w:r>
        <w:rPr>
          <w:rFonts w:cs="Times New Roman"/>
        </w:rPr>
        <w:t xml:space="preserve">  项目主要设备及噪声源强   单位：</w:t>
      </w:r>
      <w:r>
        <w:rPr>
          <w:rFonts w:cs="Times New Roman"/>
          <w:szCs w:val="24"/>
        </w:rPr>
        <w:t>dB（A）</w:t>
      </w:r>
    </w:p>
    <w:tbl>
      <w:tblPr>
        <w:tblStyle w:val="39"/>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153"/>
        <w:gridCol w:w="2643"/>
        <w:gridCol w:w="1694"/>
        <w:gridCol w:w="315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6" w:type="pct"/>
            <w:vAlign w:val="center"/>
          </w:tcPr>
          <w:p>
            <w:pPr>
              <w:snapToGrid w:val="0"/>
              <w:jc w:val="center"/>
              <w:rPr>
                <w:color w:val="000000" w:themeColor="text1"/>
                <w:sz w:val="21"/>
              </w:rPr>
            </w:pPr>
            <w:r>
              <w:rPr>
                <w:rFonts w:hAnsi="宋体"/>
                <w:color w:val="000000" w:themeColor="text1"/>
                <w:sz w:val="21"/>
              </w:rPr>
              <w:t>设备名称</w:t>
            </w:r>
          </w:p>
        </w:tc>
        <w:tc>
          <w:tcPr>
            <w:tcW w:w="1370" w:type="pct"/>
            <w:vAlign w:val="center"/>
          </w:tcPr>
          <w:p>
            <w:pPr>
              <w:snapToGrid w:val="0"/>
              <w:jc w:val="center"/>
              <w:rPr>
                <w:color w:val="000000" w:themeColor="text1"/>
                <w:sz w:val="21"/>
              </w:rPr>
            </w:pPr>
            <w:r>
              <w:rPr>
                <w:rFonts w:hint="eastAsia"/>
                <w:color w:val="000000" w:themeColor="text1"/>
                <w:sz w:val="21"/>
              </w:rPr>
              <w:t>设备位置</w:t>
            </w:r>
          </w:p>
        </w:tc>
        <w:tc>
          <w:tcPr>
            <w:tcW w:w="878" w:type="pct"/>
            <w:vAlign w:val="center"/>
          </w:tcPr>
          <w:p>
            <w:pPr>
              <w:snapToGrid w:val="0"/>
              <w:jc w:val="center"/>
              <w:rPr>
                <w:color w:val="000000" w:themeColor="text1"/>
                <w:sz w:val="21"/>
              </w:rPr>
            </w:pPr>
            <w:r>
              <w:rPr>
                <w:rFonts w:hint="eastAsia"/>
                <w:color w:val="000000" w:themeColor="text1"/>
                <w:sz w:val="21"/>
              </w:rPr>
              <w:t>运行时间</w:t>
            </w:r>
          </w:p>
        </w:tc>
        <w:tc>
          <w:tcPr>
            <w:tcW w:w="1636" w:type="pct"/>
            <w:vAlign w:val="center"/>
          </w:tcPr>
          <w:p>
            <w:pPr>
              <w:snapToGrid w:val="0"/>
              <w:jc w:val="center"/>
              <w:rPr>
                <w:color w:val="000000" w:themeColor="text1"/>
                <w:sz w:val="21"/>
              </w:rPr>
            </w:pPr>
            <w:r>
              <w:rPr>
                <w:rFonts w:hAnsi="宋体"/>
                <w:color w:val="000000" w:themeColor="text1"/>
                <w:sz w:val="21"/>
              </w:rPr>
              <w:t>噪声值范围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6" w:type="pct"/>
            <w:vAlign w:val="center"/>
          </w:tcPr>
          <w:p>
            <w:pPr>
              <w:pStyle w:val="36"/>
              <w:snapToGrid w:val="0"/>
              <w:jc w:val="center"/>
              <w:rPr>
                <w:color w:val="000000" w:themeColor="text1"/>
                <w:szCs w:val="21"/>
              </w:rPr>
            </w:pPr>
            <w:r>
              <w:rPr>
                <w:rFonts w:hAnsi="宋体"/>
                <w:color w:val="000000" w:themeColor="text1"/>
                <w:szCs w:val="21"/>
              </w:rPr>
              <w:t>排风机</w:t>
            </w:r>
          </w:p>
        </w:tc>
        <w:tc>
          <w:tcPr>
            <w:tcW w:w="1370" w:type="pct"/>
            <w:vAlign w:val="center"/>
          </w:tcPr>
          <w:p>
            <w:pPr>
              <w:pStyle w:val="36"/>
              <w:snapToGrid w:val="0"/>
              <w:jc w:val="center"/>
              <w:rPr>
                <w:color w:val="000000" w:themeColor="text1"/>
                <w:szCs w:val="21"/>
              </w:rPr>
            </w:pPr>
            <w:r>
              <w:rPr>
                <w:color w:val="000000" w:themeColor="text1"/>
                <w:szCs w:val="21"/>
              </w:rPr>
              <w:t>住院楼</w:t>
            </w:r>
          </w:p>
        </w:tc>
        <w:tc>
          <w:tcPr>
            <w:tcW w:w="878" w:type="pct"/>
            <w:vAlign w:val="center"/>
          </w:tcPr>
          <w:p>
            <w:pPr>
              <w:snapToGrid w:val="0"/>
              <w:jc w:val="center"/>
              <w:rPr>
                <w:color w:val="000000" w:themeColor="text1"/>
                <w:sz w:val="21"/>
              </w:rPr>
            </w:pPr>
            <w:r>
              <w:rPr>
                <w:rFonts w:hint="eastAsia"/>
                <w:color w:val="000000" w:themeColor="text1"/>
                <w:sz w:val="21"/>
              </w:rPr>
              <w:t>根据车流量间歇使用</w:t>
            </w:r>
          </w:p>
        </w:tc>
        <w:tc>
          <w:tcPr>
            <w:tcW w:w="1636" w:type="pct"/>
            <w:vAlign w:val="center"/>
          </w:tcPr>
          <w:p>
            <w:pPr>
              <w:snapToGrid w:val="0"/>
              <w:jc w:val="center"/>
              <w:rPr>
                <w:color w:val="000000" w:themeColor="text1"/>
                <w:sz w:val="21"/>
              </w:rPr>
            </w:pPr>
            <w:r>
              <w:rPr>
                <w:rFonts w:hint="eastAsia"/>
                <w:color w:val="000000" w:themeColor="text1"/>
                <w:sz w:val="21"/>
              </w:rPr>
              <w:t>70~80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6" w:type="pct"/>
            <w:vAlign w:val="center"/>
          </w:tcPr>
          <w:p>
            <w:pPr>
              <w:snapToGrid w:val="0"/>
              <w:jc w:val="center"/>
              <w:rPr>
                <w:color w:val="000000" w:themeColor="text1"/>
                <w:sz w:val="21"/>
              </w:rPr>
            </w:pPr>
            <w:r>
              <w:rPr>
                <w:rFonts w:hAnsi="宋体"/>
                <w:color w:val="000000" w:themeColor="text1"/>
                <w:sz w:val="21"/>
              </w:rPr>
              <w:t>中央空调</w:t>
            </w:r>
          </w:p>
        </w:tc>
        <w:tc>
          <w:tcPr>
            <w:tcW w:w="1370" w:type="pct"/>
            <w:vAlign w:val="center"/>
          </w:tcPr>
          <w:p>
            <w:pPr>
              <w:snapToGrid w:val="0"/>
              <w:jc w:val="center"/>
              <w:rPr>
                <w:color w:val="000000" w:themeColor="text1"/>
                <w:sz w:val="21"/>
              </w:rPr>
            </w:pPr>
            <w:r>
              <w:rPr>
                <w:color w:val="000000" w:themeColor="text1"/>
                <w:sz w:val="21"/>
              </w:rPr>
              <w:t>住院楼</w:t>
            </w:r>
          </w:p>
        </w:tc>
        <w:tc>
          <w:tcPr>
            <w:tcW w:w="878" w:type="pct"/>
            <w:vMerge w:val="restart"/>
            <w:vAlign w:val="center"/>
          </w:tcPr>
          <w:p>
            <w:pPr>
              <w:snapToGrid w:val="0"/>
              <w:jc w:val="center"/>
              <w:rPr>
                <w:color w:val="000000" w:themeColor="text1"/>
                <w:sz w:val="21"/>
              </w:rPr>
            </w:pPr>
            <w:r>
              <w:rPr>
                <w:rFonts w:hint="eastAsia"/>
                <w:color w:val="000000" w:themeColor="text1"/>
                <w:sz w:val="21"/>
              </w:rPr>
              <w:t>——</w:t>
            </w:r>
          </w:p>
        </w:tc>
        <w:tc>
          <w:tcPr>
            <w:tcW w:w="1636" w:type="pct"/>
            <w:vAlign w:val="center"/>
          </w:tcPr>
          <w:p>
            <w:pPr>
              <w:snapToGrid w:val="0"/>
              <w:jc w:val="center"/>
              <w:rPr>
                <w:color w:val="000000" w:themeColor="text1"/>
                <w:sz w:val="21"/>
              </w:rPr>
            </w:pPr>
            <w:r>
              <w:rPr>
                <w:rFonts w:hint="eastAsia"/>
                <w:color w:val="000000" w:themeColor="text1"/>
                <w:sz w:val="21"/>
              </w:rPr>
              <w:t>70</w:t>
            </w:r>
            <w:r>
              <w:rPr>
                <w:rFonts w:hAnsi="宋体"/>
                <w:color w:val="000000" w:themeColor="text1"/>
                <w:sz w:val="21"/>
              </w:rPr>
              <w:t>～</w:t>
            </w:r>
            <w:r>
              <w:rPr>
                <w:rFonts w:hint="eastAsia"/>
                <w:color w:val="000000" w:themeColor="text1"/>
                <w:sz w:val="21"/>
              </w:rPr>
              <w:t>75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6" w:type="pct"/>
            <w:vAlign w:val="center"/>
          </w:tcPr>
          <w:p>
            <w:pPr>
              <w:snapToGrid w:val="0"/>
              <w:jc w:val="center"/>
              <w:rPr>
                <w:color w:val="000000" w:themeColor="text1"/>
                <w:sz w:val="21"/>
              </w:rPr>
            </w:pPr>
            <w:r>
              <w:rPr>
                <w:rFonts w:hAnsi="宋体"/>
                <w:color w:val="000000" w:themeColor="text1"/>
                <w:sz w:val="21"/>
              </w:rPr>
              <w:t>中央空调冷却塔</w:t>
            </w:r>
          </w:p>
        </w:tc>
        <w:tc>
          <w:tcPr>
            <w:tcW w:w="1370" w:type="pct"/>
            <w:vAlign w:val="center"/>
          </w:tcPr>
          <w:p>
            <w:pPr>
              <w:snapToGrid w:val="0"/>
              <w:jc w:val="center"/>
              <w:rPr>
                <w:color w:val="000000" w:themeColor="text1"/>
                <w:sz w:val="21"/>
              </w:rPr>
            </w:pPr>
            <w:r>
              <w:rPr>
                <w:rFonts w:hint="eastAsia"/>
                <w:color w:val="000000" w:themeColor="text1"/>
                <w:sz w:val="21"/>
              </w:rPr>
              <w:t>建筑物顶部中部</w:t>
            </w:r>
          </w:p>
        </w:tc>
        <w:tc>
          <w:tcPr>
            <w:tcW w:w="878" w:type="pct"/>
            <w:vMerge w:val="continue"/>
            <w:vAlign w:val="center"/>
          </w:tcPr>
          <w:p>
            <w:pPr>
              <w:snapToGrid w:val="0"/>
              <w:jc w:val="center"/>
              <w:rPr>
                <w:color w:val="000000" w:themeColor="text1"/>
                <w:sz w:val="21"/>
              </w:rPr>
            </w:pPr>
          </w:p>
        </w:tc>
        <w:tc>
          <w:tcPr>
            <w:tcW w:w="1636" w:type="pct"/>
            <w:vAlign w:val="center"/>
          </w:tcPr>
          <w:p>
            <w:pPr>
              <w:snapToGrid w:val="0"/>
              <w:jc w:val="center"/>
              <w:rPr>
                <w:color w:val="000000" w:themeColor="text1"/>
                <w:sz w:val="21"/>
              </w:rPr>
            </w:pPr>
            <w:r>
              <w:rPr>
                <w:rFonts w:hint="eastAsia"/>
                <w:color w:val="000000" w:themeColor="text1"/>
                <w:sz w:val="21"/>
              </w:rPr>
              <w:t>75</w:t>
            </w:r>
            <w:r>
              <w:rPr>
                <w:rFonts w:hAnsi="宋体"/>
                <w:color w:val="000000" w:themeColor="text1"/>
                <w:sz w:val="21"/>
              </w:rPr>
              <w:t>～</w:t>
            </w:r>
            <w:r>
              <w:rPr>
                <w:rFonts w:hint="eastAsia"/>
                <w:color w:val="000000" w:themeColor="text1"/>
                <w:sz w:val="21"/>
              </w:rPr>
              <w:t>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6" w:type="pct"/>
            <w:vAlign w:val="center"/>
          </w:tcPr>
          <w:p>
            <w:pPr>
              <w:snapToGrid w:val="0"/>
              <w:jc w:val="center"/>
              <w:rPr>
                <w:rFonts w:hAnsi="宋体"/>
                <w:color w:val="000000" w:themeColor="text1"/>
                <w:sz w:val="21"/>
              </w:rPr>
            </w:pPr>
            <w:r>
              <w:rPr>
                <w:rFonts w:hint="eastAsia" w:hAnsi="宋体"/>
                <w:color w:val="000000" w:themeColor="text1"/>
                <w:sz w:val="21"/>
              </w:rPr>
              <w:t>电梯</w:t>
            </w:r>
          </w:p>
        </w:tc>
        <w:tc>
          <w:tcPr>
            <w:tcW w:w="1370" w:type="pct"/>
            <w:vAlign w:val="center"/>
          </w:tcPr>
          <w:p>
            <w:pPr>
              <w:snapToGrid w:val="0"/>
              <w:jc w:val="center"/>
              <w:rPr>
                <w:color w:val="000000" w:themeColor="text1"/>
                <w:sz w:val="21"/>
              </w:rPr>
            </w:pPr>
            <w:r>
              <w:rPr>
                <w:rFonts w:hint="eastAsia"/>
                <w:color w:val="000000" w:themeColor="text1"/>
                <w:sz w:val="21"/>
              </w:rPr>
              <w:t>各建筑物内部</w:t>
            </w:r>
          </w:p>
        </w:tc>
        <w:tc>
          <w:tcPr>
            <w:tcW w:w="878" w:type="pct"/>
            <w:vAlign w:val="center"/>
          </w:tcPr>
          <w:p>
            <w:pPr>
              <w:snapToGrid w:val="0"/>
              <w:jc w:val="center"/>
              <w:rPr>
                <w:color w:val="000000" w:themeColor="text1"/>
                <w:sz w:val="21"/>
              </w:rPr>
            </w:pPr>
            <w:r>
              <w:rPr>
                <w:rFonts w:hint="eastAsia"/>
                <w:color w:val="000000" w:themeColor="text1"/>
                <w:sz w:val="21"/>
              </w:rPr>
              <w:t>根据人流量间歇使用</w:t>
            </w:r>
          </w:p>
        </w:tc>
        <w:tc>
          <w:tcPr>
            <w:tcW w:w="1636" w:type="pct"/>
            <w:vAlign w:val="center"/>
          </w:tcPr>
          <w:p>
            <w:pPr>
              <w:snapToGrid w:val="0"/>
              <w:jc w:val="center"/>
              <w:rPr>
                <w:color w:val="000000" w:themeColor="text1"/>
                <w:sz w:val="21"/>
              </w:rPr>
            </w:pPr>
            <w:r>
              <w:rPr>
                <w:rFonts w:hint="eastAsia"/>
                <w:color w:val="000000" w:themeColor="text1"/>
                <w:sz w:val="21"/>
              </w:rPr>
              <w:t>70</w:t>
            </w:r>
            <w:r>
              <w:rPr>
                <w:rFonts w:hAnsi="宋体"/>
                <w:color w:val="000000" w:themeColor="text1"/>
                <w:sz w:val="21"/>
              </w:rPr>
              <w:t>～</w:t>
            </w:r>
            <w:r>
              <w:rPr>
                <w:color w:val="000000" w:themeColor="text1"/>
                <w:sz w:val="21"/>
              </w:rPr>
              <w:t>7</w:t>
            </w:r>
            <w:r>
              <w:rPr>
                <w:rFonts w:hint="eastAsia"/>
                <w:color w:val="000000" w:themeColor="text1"/>
                <w:sz w:val="21"/>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6" w:type="pct"/>
            <w:vAlign w:val="center"/>
          </w:tcPr>
          <w:p>
            <w:pPr>
              <w:snapToGrid w:val="0"/>
              <w:jc w:val="center"/>
              <w:rPr>
                <w:rFonts w:hAnsi="宋体"/>
                <w:color w:val="000000" w:themeColor="text1"/>
                <w:sz w:val="21"/>
              </w:rPr>
            </w:pPr>
            <w:r>
              <w:rPr>
                <w:rFonts w:hint="eastAsia" w:hAnsi="宋体"/>
                <w:color w:val="000000" w:themeColor="text1"/>
                <w:sz w:val="21"/>
              </w:rPr>
              <w:t>柴油发电机</w:t>
            </w:r>
          </w:p>
        </w:tc>
        <w:tc>
          <w:tcPr>
            <w:tcW w:w="1370" w:type="pct"/>
            <w:vAlign w:val="center"/>
          </w:tcPr>
          <w:p>
            <w:pPr>
              <w:snapToGrid w:val="0"/>
              <w:jc w:val="center"/>
              <w:rPr>
                <w:color w:val="000000" w:themeColor="text1"/>
                <w:sz w:val="21"/>
              </w:rPr>
            </w:pPr>
            <w:r>
              <w:rPr>
                <w:rFonts w:hint="eastAsia"/>
                <w:color w:val="000000" w:themeColor="text1"/>
                <w:sz w:val="21"/>
              </w:rPr>
              <w:t>柴油发电房内</w:t>
            </w:r>
          </w:p>
        </w:tc>
        <w:tc>
          <w:tcPr>
            <w:tcW w:w="878" w:type="pct"/>
            <w:vAlign w:val="center"/>
          </w:tcPr>
          <w:p>
            <w:pPr>
              <w:snapToGrid w:val="0"/>
              <w:jc w:val="center"/>
              <w:rPr>
                <w:color w:val="000000" w:themeColor="text1"/>
                <w:sz w:val="21"/>
              </w:rPr>
            </w:pPr>
            <w:r>
              <w:rPr>
                <w:rFonts w:hint="eastAsia"/>
                <w:color w:val="000000" w:themeColor="text1"/>
                <w:sz w:val="21"/>
              </w:rPr>
              <w:t>临时使用</w:t>
            </w:r>
          </w:p>
        </w:tc>
        <w:tc>
          <w:tcPr>
            <w:tcW w:w="1636" w:type="pct"/>
            <w:vAlign w:val="center"/>
          </w:tcPr>
          <w:p>
            <w:pPr>
              <w:snapToGrid w:val="0"/>
              <w:jc w:val="center"/>
              <w:rPr>
                <w:color w:val="000000" w:themeColor="text1"/>
                <w:sz w:val="21"/>
              </w:rPr>
            </w:pPr>
            <w:r>
              <w:rPr>
                <w:rFonts w:hint="eastAsia"/>
                <w:color w:val="000000" w:themeColor="text1"/>
                <w:sz w:val="21"/>
              </w:rPr>
              <w:t>90~95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6" w:type="pct"/>
            <w:vAlign w:val="center"/>
          </w:tcPr>
          <w:p>
            <w:pPr>
              <w:snapToGrid w:val="0"/>
              <w:jc w:val="center"/>
              <w:rPr>
                <w:rFonts w:hAnsi="宋体"/>
                <w:color w:val="000000" w:themeColor="text1"/>
                <w:sz w:val="21"/>
              </w:rPr>
            </w:pPr>
            <w:r>
              <w:rPr>
                <w:rFonts w:hint="eastAsia" w:hAnsi="宋体"/>
                <w:color w:val="000000" w:themeColor="text1"/>
                <w:sz w:val="21"/>
              </w:rPr>
              <w:t>水泵</w:t>
            </w:r>
          </w:p>
        </w:tc>
        <w:tc>
          <w:tcPr>
            <w:tcW w:w="1370" w:type="pct"/>
            <w:vAlign w:val="center"/>
          </w:tcPr>
          <w:p>
            <w:pPr>
              <w:snapToGrid w:val="0"/>
              <w:jc w:val="center"/>
              <w:rPr>
                <w:color w:val="000000" w:themeColor="text1"/>
                <w:sz w:val="21"/>
              </w:rPr>
            </w:pPr>
            <w:r>
              <w:rPr>
                <w:rFonts w:hint="eastAsia"/>
                <w:color w:val="000000" w:themeColor="text1"/>
                <w:sz w:val="21"/>
              </w:rPr>
              <w:t>泵房</w:t>
            </w:r>
          </w:p>
        </w:tc>
        <w:tc>
          <w:tcPr>
            <w:tcW w:w="878" w:type="pct"/>
            <w:vAlign w:val="center"/>
          </w:tcPr>
          <w:p>
            <w:pPr>
              <w:snapToGrid w:val="0"/>
              <w:jc w:val="center"/>
              <w:rPr>
                <w:color w:val="000000" w:themeColor="text1"/>
                <w:sz w:val="21"/>
              </w:rPr>
            </w:pPr>
            <w:r>
              <w:rPr>
                <w:rFonts w:hint="eastAsia"/>
                <w:color w:val="000000" w:themeColor="text1"/>
                <w:sz w:val="21"/>
              </w:rPr>
              <w:t>加压水泵</w:t>
            </w:r>
          </w:p>
        </w:tc>
        <w:tc>
          <w:tcPr>
            <w:tcW w:w="1636" w:type="pct"/>
            <w:vAlign w:val="center"/>
          </w:tcPr>
          <w:p>
            <w:pPr>
              <w:snapToGrid w:val="0"/>
              <w:jc w:val="center"/>
              <w:rPr>
                <w:color w:val="000000" w:themeColor="text1"/>
                <w:sz w:val="21"/>
              </w:rPr>
            </w:pPr>
            <w:r>
              <w:rPr>
                <w:rFonts w:hint="eastAsia"/>
                <w:color w:val="000000" w:themeColor="text1"/>
                <w:sz w:val="21"/>
              </w:rPr>
              <w:t>75~80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6" w:type="pct"/>
            <w:vAlign w:val="center"/>
          </w:tcPr>
          <w:p>
            <w:pPr>
              <w:snapToGrid w:val="0"/>
              <w:jc w:val="center"/>
              <w:rPr>
                <w:rFonts w:hAnsi="宋体"/>
                <w:color w:val="000000" w:themeColor="text1"/>
                <w:sz w:val="21"/>
              </w:rPr>
            </w:pPr>
            <w:r>
              <w:rPr>
                <w:rFonts w:hint="eastAsia" w:hAnsi="宋体"/>
                <w:color w:val="000000" w:themeColor="text1"/>
                <w:sz w:val="21"/>
              </w:rPr>
              <w:t>锅炉</w:t>
            </w:r>
          </w:p>
        </w:tc>
        <w:tc>
          <w:tcPr>
            <w:tcW w:w="1370" w:type="pct"/>
            <w:vAlign w:val="center"/>
          </w:tcPr>
          <w:p>
            <w:pPr>
              <w:snapToGrid w:val="0"/>
              <w:jc w:val="center"/>
              <w:rPr>
                <w:color w:val="000000" w:themeColor="text1"/>
                <w:sz w:val="21"/>
              </w:rPr>
            </w:pPr>
            <w:r>
              <w:rPr>
                <w:rFonts w:hint="eastAsia"/>
                <w:color w:val="000000" w:themeColor="text1"/>
                <w:sz w:val="21"/>
              </w:rPr>
              <w:t>锅炉房内</w:t>
            </w:r>
          </w:p>
        </w:tc>
        <w:tc>
          <w:tcPr>
            <w:tcW w:w="878" w:type="pct"/>
            <w:vAlign w:val="center"/>
          </w:tcPr>
          <w:p>
            <w:pPr>
              <w:snapToGrid w:val="0"/>
              <w:jc w:val="center"/>
              <w:rPr>
                <w:color w:val="000000" w:themeColor="text1"/>
                <w:sz w:val="21"/>
              </w:rPr>
            </w:pPr>
            <w:r>
              <w:rPr>
                <w:rFonts w:hint="eastAsia"/>
                <w:color w:val="000000" w:themeColor="text1"/>
                <w:sz w:val="21"/>
              </w:rPr>
              <w:t>风机、泵</w:t>
            </w:r>
          </w:p>
        </w:tc>
        <w:tc>
          <w:tcPr>
            <w:tcW w:w="1636" w:type="pct"/>
            <w:vAlign w:val="center"/>
          </w:tcPr>
          <w:p>
            <w:pPr>
              <w:snapToGrid w:val="0"/>
              <w:jc w:val="center"/>
              <w:rPr>
                <w:color w:val="000000" w:themeColor="text1"/>
                <w:sz w:val="21"/>
              </w:rPr>
            </w:pPr>
            <w:r>
              <w:rPr>
                <w:rFonts w:hint="eastAsia"/>
                <w:color w:val="000000" w:themeColor="text1"/>
                <w:sz w:val="21"/>
              </w:rPr>
              <w:t>85~90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6" w:type="pct"/>
            <w:vAlign w:val="center"/>
          </w:tcPr>
          <w:p>
            <w:pPr>
              <w:jc w:val="center"/>
              <w:rPr>
                <w:color w:val="000000" w:themeColor="text1"/>
                <w:sz w:val="21"/>
              </w:rPr>
            </w:pPr>
            <w:r>
              <w:rPr>
                <w:color w:val="000000" w:themeColor="text1"/>
                <w:sz w:val="21"/>
              </w:rPr>
              <w:t>人流</w:t>
            </w:r>
          </w:p>
        </w:tc>
        <w:tc>
          <w:tcPr>
            <w:tcW w:w="1370" w:type="pct"/>
            <w:vAlign w:val="center"/>
          </w:tcPr>
          <w:p>
            <w:pPr>
              <w:jc w:val="center"/>
              <w:rPr>
                <w:color w:val="000000" w:themeColor="text1"/>
                <w:sz w:val="21"/>
              </w:rPr>
            </w:pPr>
            <w:r>
              <w:rPr>
                <w:rFonts w:hint="eastAsia"/>
                <w:color w:val="000000" w:themeColor="text1"/>
                <w:sz w:val="21"/>
              </w:rPr>
              <w:t>/</w:t>
            </w:r>
          </w:p>
        </w:tc>
        <w:tc>
          <w:tcPr>
            <w:tcW w:w="878" w:type="pct"/>
            <w:vAlign w:val="center"/>
          </w:tcPr>
          <w:p>
            <w:pPr>
              <w:jc w:val="center"/>
              <w:rPr>
                <w:color w:val="000000" w:themeColor="text1"/>
                <w:sz w:val="21"/>
              </w:rPr>
            </w:pPr>
            <w:r>
              <w:rPr>
                <w:color w:val="000000" w:themeColor="text1"/>
                <w:sz w:val="21"/>
              </w:rPr>
              <w:t>门急诊楼</w:t>
            </w:r>
          </w:p>
        </w:tc>
        <w:tc>
          <w:tcPr>
            <w:tcW w:w="1636" w:type="pct"/>
            <w:vAlign w:val="center"/>
          </w:tcPr>
          <w:p>
            <w:pPr>
              <w:snapToGrid w:val="0"/>
              <w:jc w:val="center"/>
              <w:rPr>
                <w:color w:val="000000" w:themeColor="text1"/>
                <w:sz w:val="21"/>
              </w:rPr>
            </w:pPr>
            <w:r>
              <w:rPr>
                <w:rFonts w:hint="eastAsia"/>
                <w:color w:val="000000" w:themeColor="text1"/>
                <w:sz w:val="21"/>
              </w:rPr>
              <w:t>65~70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6" w:type="pct"/>
            <w:vAlign w:val="center"/>
          </w:tcPr>
          <w:p>
            <w:pPr>
              <w:jc w:val="center"/>
              <w:rPr>
                <w:color w:val="000000" w:themeColor="text1"/>
                <w:sz w:val="21"/>
              </w:rPr>
            </w:pPr>
            <w:r>
              <w:rPr>
                <w:color w:val="000000" w:themeColor="text1"/>
                <w:sz w:val="21"/>
              </w:rPr>
              <w:t>车辆</w:t>
            </w:r>
          </w:p>
        </w:tc>
        <w:tc>
          <w:tcPr>
            <w:tcW w:w="1370" w:type="pct"/>
            <w:vAlign w:val="center"/>
          </w:tcPr>
          <w:p>
            <w:pPr>
              <w:jc w:val="center"/>
              <w:rPr>
                <w:color w:val="000000" w:themeColor="text1"/>
                <w:sz w:val="21"/>
              </w:rPr>
            </w:pPr>
            <w:r>
              <w:rPr>
                <w:rFonts w:hint="eastAsia"/>
                <w:color w:val="000000" w:themeColor="text1"/>
                <w:sz w:val="21"/>
              </w:rPr>
              <w:t>/</w:t>
            </w:r>
          </w:p>
        </w:tc>
        <w:tc>
          <w:tcPr>
            <w:tcW w:w="878" w:type="pct"/>
            <w:vAlign w:val="center"/>
          </w:tcPr>
          <w:p>
            <w:pPr>
              <w:jc w:val="center"/>
              <w:rPr>
                <w:color w:val="000000" w:themeColor="text1"/>
                <w:sz w:val="21"/>
              </w:rPr>
            </w:pPr>
            <w:r>
              <w:rPr>
                <w:color w:val="000000" w:themeColor="text1"/>
                <w:sz w:val="21"/>
              </w:rPr>
              <w:t>停车场</w:t>
            </w:r>
          </w:p>
        </w:tc>
        <w:tc>
          <w:tcPr>
            <w:tcW w:w="1636" w:type="pct"/>
            <w:vAlign w:val="center"/>
          </w:tcPr>
          <w:p>
            <w:pPr>
              <w:snapToGrid w:val="0"/>
              <w:jc w:val="center"/>
              <w:rPr>
                <w:color w:val="000000" w:themeColor="text1"/>
                <w:sz w:val="21"/>
              </w:rPr>
            </w:pPr>
            <w:r>
              <w:rPr>
                <w:rFonts w:hint="eastAsia"/>
                <w:color w:val="000000" w:themeColor="text1"/>
                <w:sz w:val="21"/>
              </w:rPr>
              <w:t>65~70</w:t>
            </w:r>
          </w:p>
        </w:tc>
      </w:tr>
    </w:tbl>
    <w:p>
      <w:pPr>
        <w:pStyle w:val="5"/>
      </w:pPr>
      <w:r>
        <w:t>固体废物</w:t>
      </w:r>
    </w:p>
    <w:p>
      <w:pPr>
        <w:spacing w:line="360" w:lineRule="auto"/>
        <w:ind w:firstLine="480" w:firstLineChars="200"/>
      </w:pPr>
      <w:r>
        <w:t>医院市人群及患者活动</w:t>
      </w:r>
      <w:r>
        <w:rPr>
          <w:rFonts w:hint="eastAsia"/>
        </w:rPr>
        <w:t>、</w:t>
      </w:r>
      <w:r>
        <w:t>治疗</w:t>
      </w:r>
      <w:r>
        <w:rPr>
          <w:rFonts w:hint="eastAsia"/>
        </w:rPr>
        <w:t>、</w:t>
      </w:r>
      <w:r>
        <w:t>检查和生活的集中场所</w:t>
      </w:r>
      <w:r>
        <w:rPr>
          <w:rFonts w:hint="eastAsia"/>
        </w:rPr>
        <w:t>，</w:t>
      </w:r>
      <w:r>
        <w:t>在正常运营过程中产生的固体废物包括一般生活垃圾</w:t>
      </w:r>
      <w:r>
        <w:rPr>
          <w:rFonts w:hint="eastAsia"/>
        </w:rPr>
        <w:t>、</w:t>
      </w:r>
      <w:r>
        <w:t>医疗固体废物</w:t>
      </w:r>
      <w:r>
        <w:rPr>
          <w:rFonts w:hint="eastAsia"/>
        </w:rPr>
        <w:t>、</w:t>
      </w:r>
      <w:r>
        <w:t>污水处理站产生的污泥</w:t>
      </w:r>
      <w:r>
        <w:rPr>
          <w:rFonts w:hint="eastAsia"/>
        </w:rPr>
        <w:t>。</w:t>
      </w:r>
      <w:r>
        <w:t>其产生及排放情况为</w:t>
      </w:r>
      <w:r>
        <w:rPr>
          <w:rFonts w:hint="eastAsia"/>
        </w:rPr>
        <w:t>：</w:t>
      </w:r>
    </w:p>
    <w:p>
      <w:pPr>
        <w:spacing w:line="360" w:lineRule="auto"/>
        <w:ind w:firstLine="480" w:firstLineChars="200"/>
      </w:pPr>
      <w:r>
        <w:rPr>
          <w:rFonts w:hint="eastAsia"/>
        </w:rPr>
        <w:t>（1）一般生活垃圾</w:t>
      </w:r>
    </w:p>
    <w:p>
      <w:pPr>
        <w:spacing w:line="360" w:lineRule="auto"/>
        <w:ind w:firstLine="480" w:firstLineChars="200"/>
      </w:pPr>
      <w:r>
        <w:rPr>
          <w:rFonts w:hint="eastAsia"/>
        </w:rPr>
        <w:t>本项目医疗病人床位为768床，则住院及陪护人员约1536人，产生生活垃圾按1.0kg计，生活垃圾产生量为1536kg/d，医护人员174人，</w:t>
      </w:r>
      <w:r>
        <w:rPr>
          <w:szCs w:val="24"/>
        </w:rPr>
        <w:t>生活垃圾按0.50kg计，生活垃圾产生量为</w:t>
      </w:r>
      <w:r>
        <w:rPr>
          <w:rFonts w:hint="eastAsia"/>
          <w:szCs w:val="24"/>
        </w:rPr>
        <w:t>87</w:t>
      </w:r>
      <w:r>
        <w:rPr>
          <w:rFonts w:hint="eastAsia"/>
        </w:rPr>
        <w:t>kg/d，门诊垃圾每日每人次</w:t>
      </w:r>
      <w:r>
        <w:t>产生0.2kg计，以每天门诊人数</w:t>
      </w:r>
      <w:r>
        <w:rPr>
          <w:rFonts w:hint="eastAsia"/>
        </w:rPr>
        <w:t>100</w:t>
      </w:r>
      <w:r>
        <w:t>人计，产生生活垃圾量为</w:t>
      </w:r>
      <w:r>
        <w:rPr>
          <w:rFonts w:hint="eastAsia"/>
        </w:rPr>
        <w:t>20</w:t>
      </w:r>
      <w:r>
        <w:t>kg/d</w:t>
      </w:r>
      <w:r>
        <w:rPr>
          <w:rFonts w:hint="eastAsia"/>
        </w:rPr>
        <w:t>，</w:t>
      </w:r>
      <w:r>
        <w:t>则项目营运期生活垃圾总量为</w:t>
      </w:r>
      <w:r>
        <w:rPr>
          <w:rFonts w:hint="eastAsia"/>
        </w:rPr>
        <w:t>1643kg/d，599.695t/a。生活垃由医院内的垃圾桶收集后再由环卫部门统一处理。</w:t>
      </w:r>
    </w:p>
    <w:p>
      <w:pPr>
        <w:spacing w:line="360" w:lineRule="auto"/>
        <w:ind w:firstLine="480" w:firstLineChars="200"/>
      </w:pPr>
      <w:r>
        <w:rPr>
          <w:rFonts w:hint="eastAsia"/>
        </w:rPr>
        <w:t>（2）医疗固体废弃物</w:t>
      </w:r>
    </w:p>
    <w:p>
      <w:pPr>
        <w:spacing w:line="360" w:lineRule="auto"/>
        <w:ind w:firstLine="480" w:firstLineChars="200"/>
      </w:pPr>
      <w:r>
        <w:t>医疗废物主要来源于在医疗过程中产生的废医</w:t>
      </w:r>
      <w:r>
        <w:rPr>
          <w:rFonts w:hint="eastAsia"/>
        </w:rPr>
        <w:t>废物</w:t>
      </w:r>
      <w:r>
        <w:t>及废水处理污泥</w:t>
      </w:r>
      <w:r>
        <w:rPr>
          <w:rFonts w:hint="eastAsia"/>
        </w:rPr>
        <w:t>，</w:t>
      </w:r>
      <w:r>
        <w:t>根据</w:t>
      </w:r>
      <w:r>
        <w:rPr>
          <w:rFonts w:hint="eastAsia"/>
        </w:rPr>
        <w:t>《国家危险废物名录（2008）》项目医疗废物属于危险废物，编号为HW01。项目投入营运后，根据《医疗废物分类目录》，岳阳市康复医院产生废弃医疗固体废物组成及特征见</w:t>
      </w:r>
      <w:r>
        <w:fldChar w:fldCharType="begin"/>
      </w:r>
      <w:r>
        <w:rPr>
          <w:rFonts w:hint="eastAsia"/>
        </w:rPr>
        <w:instrText xml:space="preserve">REF _Ref14092705 \h</w:instrText>
      </w:r>
      <w:r>
        <w:fldChar w:fldCharType="separate"/>
      </w:r>
      <w:r>
        <w:rPr>
          <w:rFonts w:hint="eastAsia"/>
        </w:rPr>
        <w:t>表</w:t>
      </w:r>
      <w:r>
        <w:t>3.2</w:t>
      </w:r>
      <w:r>
        <w:noBreakHyphen/>
      </w:r>
      <w:r>
        <w:t>9</w:t>
      </w:r>
      <w:r>
        <w:fldChar w:fldCharType="end"/>
      </w:r>
      <w:r>
        <w:rPr>
          <w:rFonts w:hint="eastAsia"/>
        </w:rPr>
        <w:t>。</w:t>
      </w:r>
    </w:p>
    <w:p>
      <w:pPr>
        <w:pStyle w:val="14"/>
        <w:spacing w:line="240" w:lineRule="auto"/>
      </w:pPr>
      <w:bookmarkStart w:id="138" w:name="_Ref14092705"/>
      <w:r>
        <w:rPr>
          <w:rFonts w:hint="eastAsia"/>
        </w:rPr>
        <w:t>表</w:t>
      </w:r>
      <w:r>
        <w:fldChar w:fldCharType="begin"/>
      </w:r>
      <w:r>
        <w:instrText xml:space="preserve"> STYLEREF 2 \s </w:instrText>
      </w:r>
      <w:r>
        <w:fldChar w:fldCharType="separate"/>
      </w:r>
      <w:r>
        <w:t>3.2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9</w:t>
      </w:r>
      <w:r>
        <w:fldChar w:fldCharType="end"/>
      </w:r>
      <w:bookmarkEnd w:id="138"/>
      <w:r>
        <w:rPr>
          <w:rFonts w:hint="eastAsia"/>
        </w:rPr>
        <w:t xml:space="preserve">  本项目医疗废物组成及特征</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1289"/>
        <w:gridCol w:w="2143"/>
        <w:gridCol w:w="5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pct"/>
            <w:vAlign w:val="center"/>
          </w:tcPr>
          <w:p>
            <w:pPr>
              <w:jc w:val="center"/>
              <w:rPr>
                <w:rFonts w:cs="Times New Roman"/>
                <w:sz w:val="21"/>
              </w:rPr>
            </w:pPr>
            <w:r>
              <w:rPr>
                <w:rFonts w:cs="Times New Roman"/>
                <w:sz w:val="21"/>
              </w:rPr>
              <w:t>类别</w:t>
            </w:r>
          </w:p>
        </w:tc>
        <w:tc>
          <w:tcPr>
            <w:tcW w:w="668" w:type="pct"/>
            <w:vAlign w:val="center"/>
          </w:tcPr>
          <w:p>
            <w:pPr>
              <w:jc w:val="center"/>
              <w:rPr>
                <w:rFonts w:cs="Times New Roman"/>
                <w:sz w:val="21"/>
              </w:rPr>
            </w:pPr>
            <w:r>
              <w:rPr>
                <w:rFonts w:cs="Times New Roman"/>
                <w:sz w:val="21"/>
              </w:rPr>
              <w:t>废物代码</w:t>
            </w:r>
          </w:p>
        </w:tc>
        <w:tc>
          <w:tcPr>
            <w:tcW w:w="1111" w:type="pct"/>
            <w:vAlign w:val="center"/>
          </w:tcPr>
          <w:p>
            <w:pPr>
              <w:jc w:val="center"/>
              <w:rPr>
                <w:rFonts w:cs="Times New Roman"/>
                <w:sz w:val="21"/>
              </w:rPr>
            </w:pPr>
            <w:r>
              <w:rPr>
                <w:rFonts w:cs="Times New Roman"/>
                <w:sz w:val="21"/>
              </w:rPr>
              <w:t>特  征</w:t>
            </w:r>
          </w:p>
        </w:tc>
        <w:tc>
          <w:tcPr>
            <w:tcW w:w="2839" w:type="pct"/>
            <w:vAlign w:val="center"/>
          </w:tcPr>
          <w:p>
            <w:pPr>
              <w:jc w:val="center"/>
              <w:rPr>
                <w:rFonts w:cs="Times New Roman"/>
                <w:sz w:val="21"/>
              </w:rPr>
            </w:pPr>
            <w:r>
              <w:rPr>
                <w:rFonts w:cs="Times New Roman"/>
                <w:sz w:val="21"/>
              </w:rPr>
              <w:t>常见组分或者废物名称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pct"/>
            <w:vMerge w:val="restart"/>
            <w:vAlign w:val="center"/>
          </w:tcPr>
          <w:p>
            <w:pPr>
              <w:jc w:val="center"/>
              <w:rPr>
                <w:rFonts w:cs="Times New Roman"/>
                <w:sz w:val="21"/>
              </w:rPr>
            </w:pPr>
            <w:r>
              <w:rPr>
                <w:rFonts w:cs="Times New Roman"/>
                <w:sz w:val="21"/>
              </w:rPr>
              <w:t>感染性废物</w:t>
            </w:r>
          </w:p>
        </w:tc>
        <w:tc>
          <w:tcPr>
            <w:tcW w:w="668" w:type="pct"/>
            <w:vMerge w:val="restart"/>
            <w:vAlign w:val="center"/>
          </w:tcPr>
          <w:p>
            <w:pPr>
              <w:pStyle w:val="140"/>
              <w:rPr>
                <w:rFonts w:ascii="Times New Roman" w:hAnsi="Times New Roman" w:cs="Times New Roman"/>
                <w:sz w:val="21"/>
                <w:szCs w:val="21"/>
              </w:rPr>
            </w:pPr>
            <w:r>
              <w:rPr>
                <w:rFonts w:ascii="Times New Roman" w:hAnsi="Times New Roman" w:cs="Times New Roman"/>
                <w:spacing w:val="-1"/>
                <w:sz w:val="21"/>
                <w:szCs w:val="21"/>
              </w:rPr>
              <w:t>831-001-01</w:t>
            </w:r>
          </w:p>
        </w:tc>
        <w:tc>
          <w:tcPr>
            <w:tcW w:w="1111" w:type="pct"/>
            <w:vMerge w:val="restart"/>
            <w:vAlign w:val="center"/>
          </w:tcPr>
          <w:p>
            <w:pPr>
              <w:jc w:val="center"/>
              <w:rPr>
                <w:rFonts w:cs="Times New Roman"/>
                <w:sz w:val="21"/>
              </w:rPr>
            </w:pPr>
            <w:r>
              <w:rPr>
                <w:rFonts w:cs="Times New Roman"/>
                <w:sz w:val="21"/>
              </w:rPr>
              <w:t>携带病原微生物，具有引发感染性疾病传播危险的医疗废物</w:t>
            </w:r>
          </w:p>
        </w:tc>
        <w:tc>
          <w:tcPr>
            <w:tcW w:w="2839" w:type="pct"/>
            <w:vAlign w:val="center"/>
          </w:tcPr>
          <w:p>
            <w:pPr>
              <w:rPr>
                <w:rFonts w:cs="Times New Roman"/>
                <w:sz w:val="21"/>
              </w:rPr>
            </w:pPr>
            <w:r>
              <w:rPr>
                <w:rFonts w:cs="Times New Roman"/>
                <w:sz w:val="21"/>
              </w:rPr>
              <w:t>1、被病人血液、体液、排泄物污染的物品，包括：棉球、棉签、引流棉条、纱布及其他各种敷料；一次性使用卫生用品、一次性使用医疗用品及一次性医疗器械；废弃的被服；其他被病人血液、体液、排泄物污染的物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pct"/>
            <w:vMerge w:val="continue"/>
            <w:vAlign w:val="center"/>
          </w:tcPr>
          <w:p>
            <w:pPr>
              <w:jc w:val="center"/>
              <w:rPr>
                <w:rFonts w:cs="Times New Roman"/>
                <w:sz w:val="21"/>
              </w:rPr>
            </w:pPr>
          </w:p>
        </w:tc>
        <w:tc>
          <w:tcPr>
            <w:tcW w:w="668" w:type="pct"/>
            <w:vMerge w:val="continue"/>
            <w:vAlign w:val="center"/>
          </w:tcPr>
          <w:p>
            <w:pPr>
              <w:jc w:val="center"/>
              <w:rPr>
                <w:rFonts w:cs="Times New Roman"/>
                <w:sz w:val="21"/>
              </w:rPr>
            </w:pPr>
          </w:p>
        </w:tc>
        <w:tc>
          <w:tcPr>
            <w:tcW w:w="1111" w:type="pct"/>
            <w:vMerge w:val="continue"/>
            <w:vAlign w:val="center"/>
          </w:tcPr>
          <w:p>
            <w:pPr>
              <w:jc w:val="center"/>
              <w:rPr>
                <w:rFonts w:cs="Times New Roman"/>
                <w:sz w:val="21"/>
              </w:rPr>
            </w:pPr>
          </w:p>
        </w:tc>
        <w:tc>
          <w:tcPr>
            <w:tcW w:w="2839" w:type="pct"/>
            <w:vAlign w:val="center"/>
          </w:tcPr>
          <w:p>
            <w:pPr>
              <w:rPr>
                <w:rFonts w:cs="Times New Roman"/>
                <w:sz w:val="21"/>
              </w:rPr>
            </w:pPr>
            <w:r>
              <w:rPr>
                <w:rFonts w:cs="Times New Roman"/>
                <w:sz w:val="21"/>
              </w:rPr>
              <w:t>2、废弃的血液、血清。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pct"/>
            <w:vMerge w:val="continue"/>
            <w:vAlign w:val="center"/>
          </w:tcPr>
          <w:p>
            <w:pPr>
              <w:jc w:val="center"/>
              <w:rPr>
                <w:rFonts w:cs="Times New Roman"/>
                <w:sz w:val="21"/>
              </w:rPr>
            </w:pPr>
          </w:p>
        </w:tc>
        <w:tc>
          <w:tcPr>
            <w:tcW w:w="668" w:type="pct"/>
            <w:vMerge w:val="continue"/>
            <w:vAlign w:val="center"/>
          </w:tcPr>
          <w:p>
            <w:pPr>
              <w:jc w:val="center"/>
              <w:rPr>
                <w:rFonts w:cs="Times New Roman"/>
                <w:sz w:val="21"/>
              </w:rPr>
            </w:pPr>
          </w:p>
        </w:tc>
        <w:tc>
          <w:tcPr>
            <w:tcW w:w="1111" w:type="pct"/>
            <w:vMerge w:val="continue"/>
            <w:vAlign w:val="center"/>
          </w:tcPr>
          <w:p>
            <w:pPr>
              <w:jc w:val="center"/>
              <w:rPr>
                <w:rFonts w:cs="Times New Roman"/>
                <w:sz w:val="21"/>
              </w:rPr>
            </w:pPr>
          </w:p>
        </w:tc>
        <w:tc>
          <w:tcPr>
            <w:tcW w:w="2839" w:type="pct"/>
            <w:vAlign w:val="center"/>
          </w:tcPr>
          <w:p>
            <w:pPr>
              <w:rPr>
                <w:rFonts w:cs="Times New Roman"/>
                <w:sz w:val="21"/>
              </w:rPr>
            </w:pPr>
            <w:r>
              <w:rPr>
                <w:rFonts w:cs="Times New Roman"/>
                <w:sz w:val="21"/>
              </w:rPr>
              <w:t>3、使用后的一次性使用医疗用品及一次性医疗器械。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pct"/>
            <w:vMerge w:val="restart"/>
            <w:vAlign w:val="center"/>
          </w:tcPr>
          <w:p>
            <w:pPr>
              <w:jc w:val="center"/>
              <w:rPr>
                <w:rFonts w:cs="Times New Roman"/>
                <w:sz w:val="21"/>
              </w:rPr>
            </w:pPr>
            <w:r>
              <w:rPr>
                <w:rFonts w:cs="Times New Roman"/>
                <w:sz w:val="21"/>
              </w:rPr>
              <w:t>损伤性废物</w:t>
            </w:r>
          </w:p>
        </w:tc>
        <w:tc>
          <w:tcPr>
            <w:tcW w:w="668" w:type="pct"/>
            <w:vMerge w:val="restart"/>
            <w:vAlign w:val="center"/>
          </w:tcPr>
          <w:p>
            <w:pPr>
              <w:pStyle w:val="140"/>
              <w:rPr>
                <w:rFonts w:ascii="Times New Roman" w:hAnsi="Times New Roman" w:cs="Times New Roman"/>
                <w:sz w:val="21"/>
                <w:szCs w:val="21"/>
              </w:rPr>
            </w:pPr>
            <w:r>
              <w:rPr>
                <w:rFonts w:ascii="Times New Roman" w:hAnsi="Times New Roman" w:cs="Times New Roman"/>
                <w:spacing w:val="-1"/>
                <w:sz w:val="21"/>
                <w:szCs w:val="21"/>
              </w:rPr>
              <w:t>831-002-01</w:t>
            </w:r>
          </w:p>
        </w:tc>
        <w:tc>
          <w:tcPr>
            <w:tcW w:w="1111" w:type="pct"/>
            <w:vMerge w:val="restart"/>
            <w:vAlign w:val="center"/>
          </w:tcPr>
          <w:p>
            <w:pPr>
              <w:jc w:val="center"/>
              <w:rPr>
                <w:rFonts w:cs="Times New Roman"/>
                <w:sz w:val="21"/>
              </w:rPr>
            </w:pPr>
            <w:r>
              <w:rPr>
                <w:rFonts w:cs="Times New Roman"/>
                <w:sz w:val="21"/>
              </w:rPr>
              <w:t>能够刺伤或者割伤人体的废弃的医用锐器</w:t>
            </w:r>
          </w:p>
        </w:tc>
        <w:tc>
          <w:tcPr>
            <w:tcW w:w="2839" w:type="pct"/>
            <w:vAlign w:val="center"/>
          </w:tcPr>
          <w:p>
            <w:pPr>
              <w:rPr>
                <w:rFonts w:cs="Times New Roman"/>
                <w:sz w:val="21"/>
              </w:rPr>
            </w:pPr>
            <w:r>
              <w:rPr>
                <w:rFonts w:cs="Times New Roman"/>
                <w:sz w:val="21"/>
              </w:rPr>
              <w:t>1、医用针头、缝合针。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pct"/>
            <w:vMerge w:val="continue"/>
            <w:vAlign w:val="center"/>
          </w:tcPr>
          <w:p>
            <w:pPr>
              <w:jc w:val="center"/>
              <w:rPr>
                <w:rFonts w:cs="Times New Roman"/>
                <w:sz w:val="21"/>
              </w:rPr>
            </w:pPr>
          </w:p>
        </w:tc>
        <w:tc>
          <w:tcPr>
            <w:tcW w:w="668" w:type="pct"/>
            <w:vMerge w:val="continue"/>
            <w:vAlign w:val="center"/>
          </w:tcPr>
          <w:p>
            <w:pPr>
              <w:jc w:val="center"/>
              <w:rPr>
                <w:rFonts w:cs="Times New Roman"/>
                <w:sz w:val="21"/>
              </w:rPr>
            </w:pPr>
          </w:p>
        </w:tc>
        <w:tc>
          <w:tcPr>
            <w:tcW w:w="1111" w:type="pct"/>
            <w:vMerge w:val="continue"/>
            <w:vAlign w:val="center"/>
          </w:tcPr>
          <w:p>
            <w:pPr>
              <w:jc w:val="center"/>
              <w:rPr>
                <w:rFonts w:cs="Times New Roman"/>
                <w:sz w:val="21"/>
              </w:rPr>
            </w:pPr>
          </w:p>
        </w:tc>
        <w:tc>
          <w:tcPr>
            <w:tcW w:w="2839" w:type="pct"/>
            <w:vAlign w:val="center"/>
          </w:tcPr>
          <w:p>
            <w:pPr>
              <w:rPr>
                <w:rFonts w:cs="Times New Roman"/>
                <w:sz w:val="21"/>
              </w:rPr>
            </w:pPr>
            <w:r>
              <w:rPr>
                <w:rFonts w:cs="Times New Roman"/>
                <w:sz w:val="21"/>
              </w:rPr>
              <w:t>2、各类医用锐器。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pct"/>
            <w:vMerge w:val="continue"/>
            <w:vAlign w:val="center"/>
          </w:tcPr>
          <w:p>
            <w:pPr>
              <w:jc w:val="center"/>
              <w:rPr>
                <w:rFonts w:cs="Times New Roman"/>
                <w:sz w:val="21"/>
              </w:rPr>
            </w:pPr>
          </w:p>
        </w:tc>
        <w:tc>
          <w:tcPr>
            <w:tcW w:w="668" w:type="pct"/>
            <w:vMerge w:val="continue"/>
            <w:vAlign w:val="center"/>
          </w:tcPr>
          <w:p>
            <w:pPr>
              <w:jc w:val="center"/>
              <w:rPr>
                <w:rFonts w:cs="Times New Roman"/>
                <w:sz w:val="21"/>
              </w:rPr>
            </w:pPr>
          </w:p>
        </w:tc>
        <w:tc>
          <w:tcPr>
            <w:tcW w:w="1111" w:type="pct"/>
            <w:vMerge w:val="continue"/>
            <w:vAlign w:val="center"/>
          </w:tcPr>
          <w:p>
            <w:pPr>
              <w:jc w:val="center"/>
              <w:rPr>
                <w:rFonts w:cs="Times New Roman"/>
                <w:sz w:val="21"/>
              </w:rPr>
            </w:pPr>
          </w:p>
        </w:tc>
        <w:tc>
          <w:tcPr>
            <w:tcW w:w="2839" w:type="pct"/>
            <w:vAlign w:val="center"/>
          </w:tcPr>
          <w:p>
            <w:pPr>
              <w:rPr>
                <w:rFonts w:cs="Times New Roman"/>
                <w:sz w:val="21"/>
              </w:rPr>
            </w:pPr>
            <w:r>
              <w:rPr>
                <w:rFonts w:cs="Times New Roman"/>
                <w:sz w:val="21"/>
              </w:rPr>
              <w:t>3、载玻片、玻璃试管、玻璃安瓿等。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382" w:type="pct"/>
            <w:vMerge w:val="restart"/>
            <w:vAlign w:val="center"/>
          </w:tcPr>
          <w:p>
            <w:pPr>
              <w:jc w:val="center"/>
              <w:rPr>
                <w:rFonts w:cs="Times New Roman"/>
                <w:sz w:val="21"/>
              </w:rPr>
            </w:pPr>
            <w:r>
              <w:rPr>
                <w:rFonts w:cs="Times New Roman"/>
                <w:sz w:val="21"/>
              </w:rPr>
              <w:t>化学性废物</w:t>
            </w:r>
          </w:p>
        </w:tc>
        <w:tc>
          <w:tcPr>
            <w:tcW w:w="668" w:type="pct"/>
            <w:vMerge w:val="restart"/>
            <w:vAlign w:val="center"/>
          </w:tcPr>
          <w:p>
            <w:pPr>
              <w:pStyle w:val="140"/>
              <w:rPr>
                <w:rFonts w:ascii="Times New Roman" w:hAnsi="Times New Roman" w:cs="Times New Roman"/>
                <w:sz w:val="21"/>
                <w:szCs w:val="21"/>
              </w:rPr>
            </w:pPr>
            <w:r>
              <w:rPr>
                <w:rFonts w:ascii="Times New Roman" w:hAnsi="Times New Roman" w:cs="Times New Roman"/>
                <w:spacing w:val="-1"/>
                <w:sz w:val="21"/>
                <w:szCs w:val="21"/>
              </w:rPr>
              <w:t>831-004-01</w:t>
            </w:r>
          </w:p>
        </w:tc>
        <w:tc>
          <w:tcPr>
            <w:tcW w:w="1111" w:type="pct"/>
            <w:vMerge w:val="restart"/>
            <w:vAlign w:val="center"/>
          </w:tcPr>
          <w:p>
            <w:pPr>
              <w:jc w:val="center"/>
              <w:rPr>
                <w:rFonts w:cs="Times New Roman"/>
                <w:sz w:val="21"/>
              </w:rPr>
            </w:pPr>
            <w:r>
              <w:rPr>
                <w:rFonts w:cs="Times New Roman"/>
                <w:sz w:val="21"/>
              </w:rPr>
              <w:t>具有毒性、腐蚀性、易燃易爆性的废弃的化学物品</w:t>
            </w:r>
          </w:p>
        </w:tc>
        <w:tc>
          <w:tcPr>
            <w:tcW w:w="2839" w:type="pct"/>
            <w:vAlign w:val="center"/>
          </w:tcPr>
          <w:p>
            <w:pPr>
              <w:rPr>
                <w:rFonts w:cs="Times New Roman"/>
                <w:color w:val="FF0000"/>
                <w:sz w:val="21"/>
              </w:rPr>
            </w:pPr>
            <w:r>
              <w:rPr>
                <w:rFonts w:cs="Times New Roman"/>
                <w:sz w:val="21"/>
              </w:rPr>
              <w:t>1、废弃的汞血压计、汞温度计。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82" w:type="pct"/>
            <w:vMerge w:val="continue"/>
            <w:vAlign w:val="center"/>
          </w:tcPr>
          <w:p>
            <w:pPr>
              <w:jc w:val="center"/>
              <w:rPr>
                <w:rFonts w:cs="Times New Roman"/>
                <w:sz w:val="21"/>
              </w:rPr>
            </w:pPr>
          </w:p>
        </w:tc>
        <w:tc>
          <w:tcPr>
            <w:tcW w:w="668" w:type="pct"/>
            <w:vMerge w:val="continue"/>
            <w:vAlign w:val="center"/>
          </w:tcPr>
          <w:p>
            <w:pPr>
              <w:pStyle w:val="140"/>
              <w:rPr>
                <w:rFonts w:ascii="Times New Roman" w:hAnsi="Times New Roman" w:cs="Times New Roman"/>
                <w:spacing w:val="-1"/>
                <w:sz w:val="21"/>
                <w:szCs w:val="21"/>
              </w:rPr>
            </w:pPr>
          </w:p>
        </w:tc>
        <w:tc>
          <w:tcPr>
            <w:tcW w:w="1111" w:type="pct"/>
            <w:vMerge w:val="continue"/>
            <w:vAlign w:val="center"/>
          </w:tcPr>
          <w:p>
            <w:pPr>
              <w:jc w:val="center"/>
              <w:rPr>
                <w:rFonts w:cs="Times New Roman"/>
                <w:sz w:val="21"/>
              </w:rPr>
            </w:pPr>
          </w:p>
        </w:tc>
        <w:tc>
          <w:tcPr>
            <w:tcW w:w="2839" w:type="pct"/>
            <w:vAlign w:val="center"/>
          </w:tcPr>
          <w:p>
            <w:pPr>
              <w:rPr>
                <w:rFonts w:cs="Times New Roman"/>
                <w:sz w:val="21"/>
              </w:rPr>
            </w:pPr>
            <w:r>
              <w:rPr>
                <w:rFonts w:cs="Times New Roman"/>
                <w:sz w:val="21"/>
              </w:rPr>
              <w:t>2、</w:t>
            </w:r>
            <w:r>
              <w:rPr>
                <w:rFonts w:cs="Times New Roman"/>
                <w:color w:val="000000" w:themeColor="text1"/>
                <w:sz w:val="21"/>
              </w:rPr>
              <w:t>废弃的84消毒剂。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2" w:type="pct"/>
            <w:vMerge w:val="continue"/>
            <w:vAlign w:val="center"/>
          </w:tcPr>
          <w:p>
            <w:pPr>
              <w:jc w:val="center"/>
              <w:rPr>
                <w:rFonts w:cs="Times New Roman"/>
                <w:sz w:val="21"/>
              </w:rPr>
            </w:pPr>
          </w:p>
        </w:tc>
        <w:tc>
          <w:tcPr>
            <w:tcW w:w="668" w:type="pct"/>
            <w:vMerge w:val="continue"/>
            <w:vAlign w:val="center"/>
          </w:tcPr>
          <w:p>
            <w:pPr>
              <w:pStyle w:val="140"/>
              <w:rPr>
                <w:rFonts w:ascii="Times New Roman" w:hAnsi="Times New Roman" w:cs="Times New Roman"/>
                <w:spacing w:val="-1"/>
                <w:sz w:val="21"/>
                <w:szCs w:val="21"/>
              </w:rPr>
            </w:pPr>
          </w:p>
        </w:tc>
        <w:tc>
          <w:tcPr>
            <w:tcW w:w="1111" w:type="pct"/>
            <w:vMerge w:val="continue"/>
            <w:vAlign w:val="center"/>
          </w:tcPr>
          <w:p>
            <w:pPr>
              <w:jc w:val="center"/>
              <w:rPr>
                <w:rFonts w:cs="Times New Roman"/>
                <w:sz w:val="21"/>
              </w:rPr>
            </w:pPr>
          </w:p>
        </w:tc>
        <w:tc>
          <w:tcPr>
            <w:tcW w:w="2839" w:type="pct"/>
            <w:vAlign w:val="center"/>
          </w:tcPr>
          <w:p>
            <w:pPr>
              <w:rPr>
                <w:rFonts w:cs="Times New Roman"/>
                <w:color w:val="000000" w:themeColor="text1"/>
                <w:sz w:val="21"/>
              </w:rPr>
            </w:pPr>
            <w:r>
              <w:rPr>
                <w:rFonts w:cs="Times New Roman"/>
                <w:color w:val="000000" w:themeColor="text1"/>
                <w:sz w:val="21"/>
              </w:rPr>
              <w:t>3、</w:t>
            </w:r>
            <w:r>
              <w:rPr>
                <w:rFonts w:hint="eastAsia" w:cs="Times New Roman"/>
                <w:color w:val="000000" w:themeColor="text1"/>
                <w:sz w:val="21"/>
              </w:rPr>
              <w:t>检验室</w:t>
            </w:r>
            <w:r>
              <w:rPr>
                <w:rFonts w:cs="Times New Roman"/>
                <w:color w:val="000000" w:themeColor="text1"/>
                <w:sz w:val="21"/>
              </w:rPr>
              <w:t>废弃的化学试剂。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382" w:type="pct"/>
            <w:vMerge w:val="restart"/>
            <w:vAlign w:val="center"/>
          </w:tcPr>
          <w:p>
            <w:pPr>
              <w:jc w:val="center"/>
              <w:rPr>
                <w:rFonts w:cs="Times New Roman"/>
                <w:sz w:val="21"/>
              </w:rPr>
            </w:pPr>
            <w:r>
              <w:rPr>
                <w:rFonts w:cs="Times New Roman"/>
                <w:sz w:val="21"/>
              </w:rPr>
              <w:t>药物性废物</w:t>
            </w:r>
          </w:p>
        </w:tc>
        <w:tc>
          <w:tcPr>
            <w:tcW w:w="668" w:type="pct"/>
            <w:vMerge w:val="restart"/>
            <w:vAlign w:val="center"/>
          </w:tcPr>
          <w:p>
            <w:pPr>
              <w:pStyle w:val="140"/>
              <w:rPr>
                <w:rFonts w:ascii="Times New Roman" w:hAnsi="Times New Roman" w:cs="Times New Roman"/>
                <w:sz w:val="21"/>
                <w:szCs w:val="21"/>
              </w:rPr>
            </w:pPr>
            <w:r>
              <w:rPr>
                <w:rFonts w:ascii="Times New Roman" w:hAnsi="Times New Roman" w:cs="Times New Roman"/>
                <w:spacing w:val="-1"/>
                <w:sz w:val="21"/>
                <w:szCs w:val="21"/>
              </w:rPr>
              <w:t>831-005-01</w:t>
            </w:r>
          </w:p>
        </w:tc>
        <w:tc>
          <w:tcPr>
            <w:tcW w:w="1111" w:type="pct"/>
            <w:vMerge w:val="restart"/>
            <w:vAlign w:val="center"/>
          </w:tcPr>
          <w:p>
            <w:pPr>
              <w:jc w:val="center"/>
              <w:rPr>
                <w:rFonts w:cs="Times New Roman"/>
                <w:sz w:val="21"/>
              </w:rPr>
            </w:pPr>
            <w:r>
              <w:rPr>
                <w:rFonts w:cs="Times New Roman"/>
                <w:sz w:val="21"/>
              </w:rPr>
              <w:t>过期、淘汰、变质或者被污染的废弃的药品</w:t>
            </w:r>
          </w:p>
        </w:tc>
        <w:tc>
          <w:tcPr>
            <w:tcW w:w="2839" w:type="pct"/>
            <w:vAlign w:val="center"/>
          </w:tcPr>
          <w:p>
            <w:pPr>
              <w:rPr>
                <w:rFonts w:cs="Times New Roman"/>
                <w:sz w:val="21"/>
              </w:rPr>
            </w:pPr>
            <w:r>
              <w:rPr>
                <w:rFonts w:cs="Times New Roman"/>
                <w:sz w:val="21"/>
              </w:rPr>
              <w:t>1、废气的一般性药品，如：抗生素、非处方类药品等。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382" w:type="pct"/>
            <w:vMerge w:val="continue"/>
            <w:vAlign w:val="center"/>
          </w:tcPr>
          <w:p>
            <w:pPr>
              <w:jc w:val="center"/>
              <w:rPr>
                <w:rFonts w:cs="Times New Roman"/>
                <w:sz w:val="21"/>
              </w:rPr>
            </w:pPr>
          </w:p>
        </w:tc>
        <w:tc>
          <w:tcPr>
            <w:tcW w:w="668" w:type="pct"/>
            <w:vMerge w:val="continue"/>
            <w:vAlign w:val="center"/>
          </w:tcPr>
          <w:p>
            <w:pPr>
              <w:pStyle w:val="140"/>
              <w:rPr>
                <w:rFonts w:ascii="Times New Roman" w:hAnsi="Times New Roman" w:cs="Times New Roman"/>
                <w:spacing w:val="-1"/>
                <w:sz w:val="21"/>
                <w:szCs w:val="21"/>
              </w:rPr>
            </w:pPr>
          </w:p>
        </w:tc>
        <w:tc>
          <w:tcPr>
            <w:tcW w:w="1111" w:type="pct"/>
            <w:vMerge w:val="continue"/>
            <w:vAlign w:val="center"/>
          </w:tcPr>
          <w:p>
            <w:pPr>
              <w:jc w:val="center"/>
              <w:rPr>
                <w:rFonts w:cs="Times New Roman"/>
                <w:sz w:val="21"/>
              </w:rPr>
            </w:pPr>
          </w:p>
        </w:tc>
        <w:tc>
          <w:tcPr>
            <w:tcW w:w="2839" w:type="pct"/>
            <w:vAlign w:val="center"/>
          </w:tcPr>
          <w:p>
            <w:pPr>
              <w:rPr>
                <w:rFonts w:cs="Times New Roman"/>
                <w:sz w:val="21"/>
              </w:rPr>
            </w:pPr>
            <w:r>
              <w:rPr>
                <w:rFonts w:cs="Times New Roman"/>
                <w:sz w:val="21"/>
              </w:rPr>
              <w:t>2、废弃的细菌毒性药物和遗传毒性药物，包括：免疫抑制剂。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382" w:type="pct"/>
            <w:vMerge w:val="continue"/>
            <w:vAlign w:val="center"/>
          </w:tcPr>
          <w:p>
            <w:pPr>
              <w:jc w:val="center"/>
              <w:rPr>
                <w:rFonts w:cs="Times New Roman"/>
                <w:sz w:val="21"/>
              </w:rPr>
            </w:pPr>
          </w:p>
        </w:tc>
        <w:tc>
          <w:tcPr>
            <w:tcW w:w="668" w:type="pct"/>
            <w:vMerge w:val="continue"/>
            <w:vAlign w:val="center"/>
          </w:tcPr>
          <w:p>
            <w:pPr>
              <w:pStyle w:val="140"/>
              <w:rPr>
                <w:rFonts w:ascii="Times New Roman" w:hAnsi="Times New Roman" w:cs="Times New Roman"/>
                <w:spacing w:val="-1"/>
                <w:sz w:val="21"/>
                <w:szCs w:val="21"/>
              </w:rPr>
            </w:pPr>
          </w:p>
        </w:tc>
        <w:tc>
          <w:tcPr>
            <w:tcW w:w="1111" w:type="pct"/>
            <w:vMerge w:val="continue"/>
            <w:vAlign w:val="center"/>
          </w:tcPr>
          <w:p>
            <w:pPr>
              <w:jc w:val="center"/>
              <w:rPr>
                <w:rFonts w:cs="Times New Roman"/>
                <w:sz w:val="21"/>
              </w:rPr>
            </w:pPr>
          </w:p>
        </w:tc>
        <w:tc>
          <w:tcPr>
            <w:tcW w:w="2839" w:type="pct"/>
            <w:vAlign w:val="center"/>
          </w:tcPr>
          <w:p>
            <w:pPr>
              <w:rPr>
                <w:rFonts w:cs="Times New Roman"/>
                <w:sz w:val="21"/>
              </w:rPr>
            </w:pPr>
            <w:r>
              <w:rPr>
                <w:rFonts w:cs="Times New Roman"/>
                <w:sz w:val="21"/>
              </w:rPr>
              <w:t>3、废弃的疫苗、血液制品等。</w:t>
            </w:r>
          </w:p>
        </w:tc>
      </w:tr>
    </w:tbl>
    <w:p>
      <w:pPr>
        <w:spacing w:line="360" w:lineRule="auto"/>
        <w:ind w:firstLine="480" w:firstLineChars="200"/>
        <w:rPr>
          <w:rFonts w:cs="Times New Roman"/>
          <w:color w:val="000000" w:themeColor="text1"/>
          <w:szCs w:val="24"/>
        </w:rPr>
      </w:pPr>
      <w:r>
        <w:rPr>
          <w:rFonts w:cs="Times New Roman"/>
          <w:color w:val="000000" w:themeColor="text1"/>
        </w:rPr>
        <w:t>根据《</w:t>
      </w:r>
      <w:r>
        <w:rPr>
          <w:rFonts w:cs="Times New Roman"/>
          <w:color w:val="000000" w:themeColor="text1"/>
          <w:szCs w:val="24"/>
        </w:rPr>
        <w:t>第一次全国污染源普查城市生活源产排污系数手册</w:t>
      </w:r>
      <w:r>
        <w:rPr>
          <w:rFonts w:cs="Times New Roman"/>
          <w:color w:val="000000" w:themeColor="text1"/>
        </w:rPr>
        <w:t>》及院内实际情况，住院病人医疗废物产生量按</w:t>
      </w:r>
      <w:r>
        <w:rPr>
          <w:rFonts w:cs="Times New Roman"/>
          <w:color w:val="000000" w:themeColor="text1"/>
          <w:szCs w:val="24"/>
        </w:rPr>
        <w:t>0.5kg/床•d，精神大楼门诊医疗废物按0.02kg/人•d计算，</w:t>
      </w:r>
      <w:r>
        <w:rPr>
          <w:rFonts w:cs="Times New Roman"/>
          <w:color w:val="000000" w:themeColor="text1"/>
          <w:szCs w:val="24"/>
          <w:u w:val="single"/>
        </w:rPr>
        <w:t>美沙酮门诊医疗废物按0.02kg/人•d计算</w:t>
      </w:r>
      <w:r>
        <w:rPr>
          <w:rFonts w:cs="Times New Roman"/>
          <w:color w:val="000000" w:themeColor="text1"/>
          <w:szCs w:val="24"/>
        </w:rPr>
        <w:t>，项目设置病床为768床，精神大楼门诊人数为100人/d，美沙酮门诊病人</w:t>
      </w:r>
      <w:r>
        <w:rPr>
          <w:rFonts w:hint="eastAsia" w:cs="Times New Roman"/>
          <w:color w:val="000000" w:themeColor="text1"/>
          <w:szCs w:val="24"/>
        </w:rPr>
        <w:t>50人/d，则住院病人产生的医疗固体废物的量为0.384t/d（140.16t/a），精神大楼门诊医疗废物的量为0.002t/d（0.73t/a），</w:t>
      </w:r>
      <w:r>
        <w:rPr>
          <w:rFonts w:hint="eastAsia" w:cs="Times New Roman"/>
          <w:color w:val="000000" w:themeColor="text1"/>
          <w:szCs w:val="24"/>
          <w:u w:val="single"/>
        </w:rPr>
        <w:t>美沙酮门诊医疗废物的量为0.001t/d（0.365t/a），美沙酮门诊产生的医疗废物主要为一次性使用的卫生用品，</w:t>
      </w:r>
      <w:r>
        <w:rPr>
          <w:rFonts w:hint="eastAsia" w:cs="Times New Roman"/>
          <w:color w:val="000000" w:themeColor="text1"/>
          <w:szCs w:val="24"/>
        </w:rPr>
        <w:t>全院医疗废物产生量为0.387t/a（141.255t/a）。</w:t>
      </w:r>
      <w:r>
        <w:rPr>
          <w:rFonts w:cs="Times New Roman"/>
          <w:color w:val="000000" w:themeColor="text1"/>
          <w:szCs w:val="24"/>
        </w:rPr>
        <w:t>医院对医疗固废采取分类收集处理的方式，送至医疗废物暂存间储存，并及时交岳阳市方向固废安全处置中心无害化处置。</w:t>
      </w:r>
    </w:p>
    <w:p>
      <w:pPr>
        <w:spacing w:line="360" w:lineRule="auto"/>
        <w:ind w:firstLine="480" w:firstLineChars="200"/>
        <w:rPr>
          <w:color w:val="000000" w:themeColor="text1"/>
        </w:rPr>
      </w:pPr>
      <w:r>
        <w:rPr>
          <w:rFonts w:hint="eastAsia"/>
          <w:color w:val="000000" w:themeColor="text1"/>
        </w:rPr>
        <w:t>（3）污水处理系统污泥</w:t>
      </w:r>
    </w:p>
    <w:p>
      <w:pPr>
        <w:spacing w:line="360" w:lineRule="auto"/>
        <w:ind w:firstLine="480" w:firstLineChars="200"/>
        <w:rPr>
          <w:color w:val="000000" w:themeColor="text1"/>
        </w:rPr>
      </w:pPr>
      <w:r>
        <w:rPr>
          <w:rFonts w:hint="eastAsia"/>
          <w:color w:val="000000" w:themeColor="text1"/>
        </w:rPr>
        <w:t>医疗单位废水处理污泥，由医院废水处理设施产生，也属于医疗废物。污水处理过程产生的泥量于原水的悬浮固体及处理工艺有关。按照《医院污水处理技术指南》中的推荐数据，污泥量产生系数类比初沉池，见</w:t>
      </w:r>
      <w:r>
        <w:rPr>
          <w:color w:val="000000" w:themeColor="text1"/>
        </w:rPr>
        <w:fldChar w:fldCharType="begin"/>
      </w:r>
      <w:r>
        <w:rPr>
          <w:rFonts w:hint="eastAsia"/>
          <w:color w:val="000000" w:themeColor="text1"/>
        </w:rPr>
        <w:instrText xml:space="preserve">REF _Ref14093113 \h</w:instrText>
      </w:r>
      <w:r>
        <w:rPr>
          <w:color w:val="000000" w:themeColor="text1"/>
        </w:rPr>
        <w:fldChar w:fldCharType="separate"/>
      </w:r>
      <w:r>
        <w:rPr>
          <w:rFonts w:hint="eastAsia"/>
          <w:color w:val="000000" w:themeColor="text1"/>
        </w:rPr>
        <w:t>表</w:t>
      </w:r>
      <w:r>
        <w:rPr>
          <w:color w:val="000000" w:themeColor="text1"/>
        </w:rPr>
        <w:t>3.2</w:t>
      </w:r>
      <w:r>
        <w:rPr>
          <w:color w:val="000000" w:themeColor="text1"/>
        </w:rPr>
        <w:noBreakHyphen/>
      </w:r>
      <w:r>
        <w:rPr>
          <w:color w:val="000000" w:themeColor="text1"/>
        </w:rPr>
        <w:t>10</w:t>
      </w:r>
      <w:r>
        <w:rPr>
          <w:color w:val="000000" w:themeColor="text1"/>
        </w:rPr>
        <w:fldChar w:fldCharType="end"/>
      </w:r>
      <w:r>
        <w:rPr>
          <w:rFonts w:hint="eastAsia"/>
          <w:color w:val="000000" w:themeColor="text1"/>
        </w:rPr>
        <w:t>。</w:t>
      </w:r>
    </w:p>
    <w:p>
      <w:pPr>
        <w:pStyle w:val="14"/>
        <w:spacing w:line="240" w:lineRule="auto"/>
        <w:rPr>
          <w:color w:val="000000" w:themeColor="text1"/>
        </w:rPr>
      </w:pPr>
      <w:bookmarkStart w:id="139" w:name="_Ref14093113"/>
      <w:r>
        <w:rPr>
          <w:rFonts w:hint="eastAsia"/>
          <w:color w:val="000000" w:themeColor="text1"/>
        </w:rPr>
        <w:t>表</w:t>
      </w:r>
      <w:r>
        <w:rPr>
          <w:color w:val="000000" w:themeColor="text1"/>
        </w:rPr>
        <w:fldChar w:fldCharType="begin"/>
      </w:r>
      <w:r>
        <w:rPr>
          <w:color w:val="000000" w:themeColor="text1"/>
        </w:rPr>
        <w:instrText xml:space="preserve"> </w:instrText>
      </w:r>
      <w:r>
        <w:rPr>
          <w:rFonts w:hint="eastAsia"/>
          <w:color w:val="000000" w:themeColor="text1"/>
        </w:rPr>
        <w:instrText xml:space="preserve">STYLEREF 2 \s</w:instrText>
      </w:r>
      <w:r>
        <w:rPr>
          <w:color w:val="000000" w:themeColor="text1"/>
        </w:rPr>
        <w:instrText xml:space="preserve"> </w:instrText>
      </w:r>
      <w:r>
        <w:rPr>
          <w:color w:val="000000" w:themeColor="text1"/>
        </w:rPr>
        <w:fldChar w:fldCharType="separate"/>
      </w:r>
      <w:r>
        <w:rPr>
          <w:color w:val="000000" w:themeColor="text1"/>
        </w:rPr>
        <w:t>3.2</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表 \* ARABIC \s 2</w:instrText>
      </w:r>
      <w:r>
        <w:rPr>
          <w:color w:val="000000" w:themeColor="text1"/>
        </w:rPr>
        <w:instrText xml:space="preserve"> </w:instrText>
      </w:r>
      <w:r>
        <w:rPr>
          <w:color w:val="000000" w:themeColor="text1"/>
        </w:rPr>
        <w:fldChar w:fldCharType="separate"/>
      </w:r>
      <w:r>
        <w:rPr>
          <w:color w:val="000000" w:themeColor="text1"/>
        </w:rPr>
        <w:t>10</w:t>
      </w:r>
      <w:r>
        <w:rPr>
          <w:color w:val="000000" w:themeColor="text1"/>
        </w:rPr>
        <w:fldChar w:fldCharType="end"/>
      </w:r>
      <w:bookmarkEnd w:id="139"/>
      <w:r>
        <w:rPr>
          <w:rFonts w:hint="eastAsia"/>
          <w:color w:val="000000" w:themeColor="text1"/>
        </w:rPr>
        <w:t xml:space="preserve">  污泥处理构筑物产生的污泥量</w:t>
      </w:r>
    </w:p>
    <w:tbl>
      <w:tblPr>
        <w:tblStyle w:val="39"/>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402"/>
        <w:gridCol w:w="2219"/>
        <w:gridCol w:w="1817"/>
        <w:gridCol w:w="2103"/>
        <w:gridCol w:w="210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3" w:hRule="atLeast"/>
          <w:jc w:val="center"/>
        </w:trPr>
        <w:tc>
          <w:tcPr>
            <w:tcW w:w="727" w:type="pct"/>
            <w:vMerge w:val="restart"/>
            <w:vAlign w:val="center"/>
          </w:tcPr>
          <w:p>
            <w:pPr>
              <w:jc w:val="center"/>
              <w:rPr>
                <w:sz w:val="21"/>
              </w:rPr>
            </w:pPr>
            <w:r>
              <w:rPr>
                <w:sz w:val="21"/>
              </w:rPr>
              <w:t>污泥来源</w:t>
            </w:r>
          </w:p>
        </w:tc>
        <w:tc>
          <w:tcPr>
            <w:tcW w:w="1150" w:type="pct"/>
            <w:vMerge w:val="restart"/>
            <w:vAlign w:val="center"/>
          </w:tcPr>
          <w:p>
            <w:pPr>
              <w:jc w:val="center"/>
              <w:rPr>
                <w:sz w:val="21"/>
              </w:rPr>
            </w:pPr>
            <w:r>
              <w:rPr>
                <w:sz w:val="21"/>
              </w:rPr>
              <w:t>总固体（g/人·d）</w:t>
            </w:r>
          </w:p>
        </w:tc>
        <w:tc>
          <w:tcPr>
            <w:tcW w:w="942" w:type="pct"/>
            <w:vMerge w:val="restart"/>
            <w:vAlign w:val="center"/>
          </w:tcPr>
          <w:p>
            <w:pPr>
              <w:jc w:val="center"/>
              <w:rPr>
                <w:sz w:val="21"/>
              </w:rPr>
            </w:pPr>
            <w:r>
              <w:rPr>
                <w:sz w:val="21"/>
              </w:rPr>
              <w:t>含水率（%）</w:t>
            </w:r>
          </w:p>
        </w:tc>
        <w:tc>
          <w:tcPr>
            <w:tcW w:w="2181" w:type="pct"/>
            <w:gridSpan w:val="2"/>
            <w:vAlign w:val="center"/>
          </w:tcPr>
          <w:p>
            <w:pPr>
              <w:jc w:val="center"/>
              <w:rPr>
                <w:sz w:val="21"/>
              </w:rPr>
            </w:pPr>
            <w:r>
              <w:rPr>
                <w:sz w:val="21"/>
              </w:rPr>
              <w:t>污泥体积</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9" w:hRule="atLeast"/>
          <w:jc w:val="center"/>
        </w:trPr>
        <w:tc>
          <w:tcPr>
            <w:tcW w:w="727" w:type="pct"/>
            <w:vMerge w:val="continue"/>
            <w:vAlign w:val="center"/>
          </w:tcPr>
          <w:p>
            <w:pPr>
              <w:jc w:val="center"/>
              <w:rPr>
                <w:sz w:val="21"/>
              </w:rPr>
            </w:pPr>
          </w:p>
        </w:tc>
        <w:tc>
          <w:tcPr>
            <w:tcW w:w="1150" w:type="pct"/>
            <w:vMerge w:val="continue"/>
            <w:vAlign w:val="center"/>
          </w:tcPr>
          <w:p>
            <w:pPr>
              <w:jc w:val="center"/>
              <w:rPr>
                <w:sz w:val="21"/>
              </w:rPr>
            </w:pPr>
          </w:p>
        </w:tc>
        <w:tc>
          <w:tcPr>
            <w:tcW w:w="942" w:type="pct"/>
            <w:vMerge w:val="continue"/>
            <w:vAlign w:val="center"/>
          </w:tcPr>
          <w:p>
            <w:pPr>
              <w:jc w:val="center"/>
              <w:rPr>
                <w:sz w:val="21"/>
              </w:rPr>
            </w:pPr>
          </w:p>
        </w:tc>
        <w:tc>
          <w:tcPr>
            <w:tcW w:w="1090" w:type="pct"/>
            <w:vAlign w:val="center"/>
          </w:tcPr>
          <w:p>
            <w:pPr>
              <w:jc w:val="center"/>
              <w:rPr>
                <w:sz w:val="21"/>
              </w:rPr>
            </w:pPr>
            <w:r>
              <w:rPr>
                <w:sz w:val="21"/>
              </w:rPr>
              <w:t>（L/人·d）</w:t>
            </w:r>
          </w:p>
        </w:tc>
        <w:tc>
          <w:tcPr>
            <w:tcW w:w="1090" w:type="pct"/>
            <w:vAlign w:val="center"/>
          </w:tcPr>
          <w:p>
            <w:pPr>
              <w:jc w:val="center"/>
              <w:rPr>
                <w:sz w:val="21"/>
              </w:rPr>
            </w:pPr>
            <w:r>
              <w:rPr>
                <w:sz w:val="21"/>
              </w:rPr>
              <w:t>（L/人·a）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3" w:hRule="atLeast"/>
          <w:jc w:val="center"/>
        </w:trPr>
        <w:tc>
          <w:tcPr>
            <w:tcW w:w="727" w:type="pct"/>
            <w:vAlign w:val="center"/>
          </w:tcPr>
          <w:p>
            <w:pPr>
              <w:jc w:val="center"/>
              <w:rPr>
                <w:sz w:val="21"/>
              </w:rPr>
            </w:pPr>
            <w:r>
              <w:rPr>
                <w:sz w:val="21"/>
              </w:rPr>
              <w:t>初沉池</w:t>
            </w:r>
          </w:p>
        </w:tc>
        <w:tc>
          <w:tcPr>
            <w:tcW w:w="1150" w:type="pct"/>
            <w:vAlign w:val="center"/>
          </w:tcPr>
          <w:p>
            <w:pPr>
              <w:jc w:val="center"/>
              <w:rPr>
                <w:sz w:val="21"/>
              </w:rPr>
            </w:pPr>
            <w:r>
              <w:rPr>
                <w:sz w:val="21"/>
              </w:rPr>
              <w:t>54</w:t>
            </w:r>
          </w:p>
        </w:tc>
        <w:tc>
          <w:tcPr>
            <w:tcW w:w="942" w:type="pct"/>
            <w:vAlign w:val="center"/>
          </w:tcPr>
          <w:p>
            <w:pPr>
              <w:jc w:val="center"/>
              <w:rPr>
                <w:sz w:val="21"/>
              </w:rPr>
            </w:pPr>
            <w:r>
              <w:rPr>
                <w:sz w:val="21"/>
              </w:rPr>
              <w:t>92~95</w:t>
            </w:r>
          </w:p>
        </w:tc>
        <w:tc>
          <w:tcPr>
            <w:tcW w:w="1090" w:type="pct"/>
            <w:vAlign w:val="center"/>
          </w:tcPr>
          <w:p>
            <w:pPr>
              <w:jc w:val="center"/>
              <w:rPr>
                <w:sz w:val="21"/>
              </w:rPr>
            </w:pPr>
            <w:r>
              <w:rPr>
                <w:sz w:val="21"/>
              </w:rPr>
              <w:t>0.68～1.08</w:t>
            </w:r>
          </w:p>
        </w:tc>
        <w:tc>
          <w:tcPr>
            <w:tcW w:w="1090" w:type="pct"/>
            <w:vAlign w:val="center"/>
          </w:tcPr>
          <w:p>
            <w:pPr>
              <w:jc w:val="center"/>
              <w:rPr>
                <w:sz w:val="21"/>
              </w:rPr>
            </w:pPr>
            <w:r>
              <w:rPr>
                <w:sz w:val="21"/>
              </w:rPr>
              <w:t>249～395</w:t>
            </w:r>
          </w:p>
        </w:tc>
      </w:tr>
    </w:tbl>
    <w:p>
      <w:pPr>
        <w:pStyle w:val="14"/>
        <w:ind w:firstLine="480" w:firstLineChars="200"/>
        <w:jc w:val="both"/>
        <w:rPr>
          <w:rFonts w:cs="Times New Roman"/>
          <w:b w:val="0"/>
        </w:rPr>
      </w:pPr>
      <w:r>
        <w:rPr>
          <w:rFonts w:cs="Times New Roman"/>
          <w:b w:val="0"/>
        </w:rPr>
        <w:t>根据项目规模，住院床位为768床，污水处理站污泥年产生量约为41.72kg/d，15.1t/a，污泥含水率92～95%。</w:t>
      </w:r>
      <w:r>
        <w:rPr>
          <w:rFonts w:cs="Times New Roman"/>
          <w:b w:val="0"/>
          <w:color w:val="000000" w:themeColor="text1"/>
        </w:rPr>
        <w:t>污水处理站污泥经脱水后消毒，交由</w:t>
      </w:r>
      <w:r>
        <w:rPr>
          <w:rFonts w:hint="eastAsia" w:cs="Times New Roman"/>
          <w:b w:val="0"/>
          <w:color w:val="000000" w:themeColor="text1"/>
        </w:rPr>
        <w:t>有资质单位</w:t>
      </w:r>
      <w:r>
        <w:rPr>
          <w:rFonts w:cs="Times New Roman"/>
          <w:b w:val="0"/>
          <w:color w:val="000000" w:themeColor="text1"/>
        </w:rPr>
        <w:t>无害化处理。</w:t>
      </w:r>
    </w:p>
    <w:p>
      <w:pPr>
        <w:adjustRightInd w:val="0"/>
        <w:snapToGrid w:val="0"/>
        <w:spacing w:line="360" w:lineRule="auto"/>
        <w:ind w:firstLine="480" w:firstLineChars="200"/>
        <w:rPr>
          <w:rFonts w:cs="Times New Roman"/>
        </w:rPr>
      </w:pPr>
      <w:r>
        <w:rPr>
          <w:rFonts w:cs="Times New Roman"/>
        </w:rPr>
        <w:t>（</w:t>
      </w:r>
      <w:r>
        <w:rPr>
          <w:rFonts w:hint="eastAsia" w:cs="Times New Roman"/>
        </w:rPr>
        <w:t>4</w:t>
      </w:r>
      <w:r>
        <w:rPr>
          <w:rFonts w:cs="Times New Roman"/>
        </w:rPr>
        <w:t>）</w:t>
      </w:r>
      <w:r>
        <w:rPr>
          <w:rFonts w:cs="Times New Roman"/>
          <w:spacing w:val="-11"/>
        </w:rPr>
        <w:t>厨余垃圾</w:t>
      </w:r>
    </w:p>
    <w:p>
      <w:pPr>
        <w:adjustRightInd w:val="0"/>
        <w:snapToGrid w:val="0"/>
        <w:spacing w:line="360" w:lineRule="auto"/>
        <w:ind w:firstLine="480" w:firstLineChars="200"/>
        <w:rPr>
          <w:rFonts w:cs="Times New Roman"/>
        </w:rPr>
      </w:pPr>
      <w:r>
        <w:rPr>
          <w:rFonts w:cs="Times New Roman"/>
        </w:rPr>
        <w:t>本项目配置有内部食堂，用餐人数约为700人/d，食堂产生的垃圾主要有厨余垃圾和废油脂。</w:t>
      </w:r>
    </w:p>
    <w:p>
      <w:pPr>
        <w:adjustRightInd w:val="0"/>
        <w:snapToGrid w:val="0"/>
        <w:spacing w:line="360" w:lineRule="auto"/>
        <w:ind w:firstLine="480" w:firstLineChars="200"/>
        <w:rPr>
          <w:rFonts w:cs="Times New Roman"/>
        </w:rPr>
      </w:pPr>
      <w:r>
        <w:rPr>
          <w:rFonts w:cs="Times New Roman"/>
        </w:rPr>
        <w:t>参照《第一次全国污染源普查城镇生活源产排污系数手册》的产污系数，医院所在区属于“二区一类”地区，在医院用餐的厨余垃圾按</w:t>
      </w:r>
      <w:r>
        <w:rPr>
          <w:rFonts w:eastAsia="Times New Roman" w:cs="Times New Roman"/>
        </w:rPr>
        <w:t>0.2kg/</w:t>
      </w:r>
      <w:r>
        <w:rPr>
          <w:rFonts w:cs="Times New Roman"/>
          <w:spacing w:val="4"/>
        </w:rPr>
        <w:t>人</w:t>
      </w:r>
      <w:r>
        <w:rPr>
          <w:rFonts w:eastAsia="Times New Roman" w:cs="Times New Roman"/>
          <w:spacing w:val="-26"/>
        </w:rPr>
        <w:t xml:space="preserve">·d </w:t>
      </w:r>
      <w:r>
        <w:rPr>
          <w:rFonts w:cs="Times New Roman"/>
          <w:spacing w:val="-2"/>
        </w:rPr>
        <w:t>计，则每日共</w:t>
      </w:r>
      <w:r>
        <w:rPr>
          <w:rFonts w:cs="Times New Roman"/>
          <w:spacing w:val="-7"/>
        </w:rPr>
        <w:t>产生厨余垃圾量为</w:t>
      </w:r>
      <w:r>
        <w:rPr>
          <w:rFonts w:cs="Times New Roman"/>
        </w:rPr>
        <w:t>0.14</w:t>
      </w:r>
      <w:r>
        <w:rPr>
          <w:rFonts w:cs="Times New Roman"/>
          <w:spacing w:val="-16"/>
        </w:rPr>
        <w:t>吨，按一年</w:t>
      </w:r>
      <w:r>
        <w:rPr>
          <w:rFonts w:eastAsia="Times New Roman" w:cs="Times New Roman"/>
        </w:rPr>
        <w:t>365</w:t>
      </w:r>
      <w:r>
        <w:rPr>
          <w:rFonts w:cs="Times New Roman"/>
          <w:spacing w:val="-11"/>
        </w:rPr>
        <w:t>天计，则厨余垃圾产生量为</w:t>
      </w:r>
      <w:r>
        <w:rPr>
          <w:rFonts w:cs="Times New Roman"/>
        </w:rPr>
        <w:t>51.1</w:t>
      </w:r>
      <w:r>
        <w:rPr>
          <w:rFonts w:eastAsia="Times New Roman" w:cs="Times New Roman"/>
        </w:rPr>
        <w:t>t/a</w:t>
      </w:r>
      <w:r>
        <w:rPr>
          <w:rFonts w:cs="Times New Roman"/>
          <w:spacing w:val="-15"/>
        </w:rPr>
        <w:t>。厨余</w:t>
      </w:r>
      <w:r>
        <w:rPr>
          <w:rFonts w:cs="Times New Roman"/>
        </w:rPr>
        <w:t>垃圾主要为剩余食材和剩余饭菜等。</w:t>
      </w:r>
    </w:p>
    <w:p>
      <w:pPr>
        <w:adjustRightInd w:val="0"/>
        <w:snapToGrid w:val="0"/>
        <w:spacing w:line="360" w:lineRule="auto"/>
        <w:ind w:firstLine="480" w:firstLineChars="200"/>
        <w:rPr>
          <w:rFonts w:cs="Times New Roman"/>
        </w:rPr>
      </w:pPr>
      <w:r>
        <w:rPr>
          <w:rFonts w:cs="Times New Roman"/>
        </w:rPr>
        <w:t>此外，</w:t>
      </w:r>
      <w:r>
        <w:rPr>
          <w:rFonts w:cs="Times New Roman"/>
          <w:spacing w:val="-6"/>
        </w:rPr>
        <w:t>食堂含油废水预处理设施——隔油隔渣池会产生废油脂约</w:t>
      </w:r>
      <w:r>
        <w:rPr>
          <w:rFonts w:eastAsia="Times New Roman" w:cs="Times New Roman"/>
        </w:rPr>
        <w:t>1.69t/a</w:t>
      </w:r>
      <w:r>
        <w:rPr>
          <w:rFonts w:cs="Times New Roman"/>
        </w:rPr>
        <w:t>，</w:t>
      </w:r>
      <w:r>
        <w:rPr>
          <w:rFonts w:cs="Times New Roman"/>
          <w:spacing w:val="-9"/>
        </w:rPr>
        <w:t>本项目医院食堂厨余垃圾和废油脂收集后</w:t>
      </w:r>
      <w:r>
        <w:rPr>
          <w:rFonts w:cs="Times New Roman"/>
        </w:rPr>
        <w:t>交由有相关处理资质的单位清运处理。</w:t>
      </w:r>
    </w:p>
    <w:p>
      <w:pPr>
        <w:adjustRightInd w:val="0"/>
        <w:snapToGrid w:val="0"/>
        <w:spacing w:line="360" w:lineRule="auto"/>
        <w:ind w:firstLine="480" w:firstLineChars="200"/>
        <w:rPr>
          <w:rFonts w:cs="Times New Roman"/>
        </w:rPr>
      </w:pPr>
      <w:r>
        <w:rPr>
          <w:rFonts w:cs="Times New Roman"/>
        </w:rPr>
        <w:t>岳阳市人民政府于2019年3月1日印发了《岳阳市人民政府关于加强市城区餐厨剩余物监管的通告》（岳政告），通告中要求“餐厨剩余物产生单位要与有关企业签订餐厨剩余物收集、运输协议或直接运送到指定地点，严禁将餐厨剩余物交给生猪养殖场户或个人。餐厨剩余物收集运输单位要建立台账，真实、完整记录收集运输餐厨剩余物的来源、数量、去向等情况。餐厨剩余物处理企业要建立台账，详细记录相关情况，并按照相关技术标准和要求进行处置。”</w:t>
      </w:r>
    </w:p>
    <w:p>
      <w:pPr>
        <w:spacing w:line="360" w:lineRule="auto"/>
        <w:ind w:firstLine="480" w:firstLineChars="200"/>
        <w:rPr>
          <w:szCs w:val="24"/>
        </w:rPr>
      </w:pPr>
      <w:r>
        <w:rPr>
          <w:rFonts w:cs="Times New Roman"/>
        </w:rPr>
        <w:t>岳阳市康复医院需按照上述要求与</w:t>
      </w:r>
      <w:r>
        <w:rPr>
          <w:rFonts w:hint="eastAsia" w:ascii="宋体" w:hAnsi="宋体"/>
          <w:szCs w:val="24"/>
        </w:rPr>
        <w:t>有关企业签订餐厨剩余物收集、运输协议，按上述要求对餐厨垃圾进行收集并交由专业的餐厨垃圾收集单位运输、处置。</w:t>
      </w:r>
    </w:p>
    <w:p>
      <w:pPr>
        <w:spacing w:line="360" w:lineRule="auto"/>
        <w:ind w:firstLine="480" w:firstLineChars="200"/>
        <w:rPr>
          <w:rFonts w:cs="Times New Roman"/>
          <w:szCs w:val="24"/>
        </w:rPr>
      </w:pPr>
      <w:r>
        <w:rPr>
          <w:rFonts w:cs="Times New Roman"/>
          <w:szCs w:val="24"/>
        </w:rPr>
        <w:t>综上，医院营运后固废产生、排放情况详见</w:t>
      </w:r>
      <w:r>
        <w:fldChar w:fldCharType="begin"/>
      </w:r>
      <w:r>
        <w:instrText xml:space="preserve"> REF _Ref23760578 \h  \* MERGEFORMAT </w:instrText>
      </w:r>
      <w:r>
        <w:fldChar w:fldCharType="separate"/>
      </w:r>
      <w:r>
        <w:rPr>
          <w:rFonts w:hint="eastAsia"/>
        </w:rPr>
        <w:t>表</w:t>
      </w:r>
      <w:r>
        <w:t>3.2</w:t>
      </w:r>
      <w:r>
        <w:noBreakHyphen/>
      </w:r>
      <w:r>
        <w:t>11</w:t>
      </w:r>
      <w:r>
        <w:fldChar w:fldCharType="end"/>
      </w:r>
      <w:r>
        <w:rPr>
          <w:rFonts w:cs="Times New Roman"/>
          <w:szCs w:val="24"/>
        </w:rPr>
        <w:t>。</w:t>
      </w:r>
    </w:p>
    <w:p>
      <w:pPr>
        <w:pStyle w:val="14"/>
        <w:spacing w:line="240" w:lineRule="auto"/>
      </w:pPr>
      <w:bookmarkStart w:id="140" w:name="_Ref23760578"/>
      <w:r>
        <w:rPr>
          <w:rFonts w:hint="eastAsia"/>
        </w:rPr>
        <w:t>表</w:t>
      </w:r>
      <w:r>
        <w:fldChar w:fldCharType="begin"/>
      </w:r>
      <w:r>
        <w:instrText xml:space="preserve"> STYLEREF 2 \s </w:instrText>
      </w:r>
      <w:r>
        <w:fldChar w:fldCharType="separate"/>
      </w:r>
      <w:r>
        <w:t>3.2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11</w:t>
      </w:r>
      <w:r>
        <w:fldChar w:fldCharType="end"/>
      </w:r>
      <w:bookmarkEnd w:id="140"/>
      <w:r>
        <w:rPr>
          <w:rFonts w:hint="eastAsia"/>
        </w:rPr>
        <w:t xml:space="preserve">  项目固废产生、排放情况一览表</w:t>
      </w:r>
    </w:p>
    <w:tbl>
      <w:tblPr>
        <w:tblStyle w:val="39"/>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337"/>
        <w:gridCol w:w="2033"/>
        <w:gridCol w:w="1038"/>
        <w:gridCol w:w="1495"/>
        <w:gridCol w:w="374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9" w:hRule="atLeast"/>
        </w:trPr>
        <w:tc>
          <w:tcPr>
            <w:tcW w:w="693" w:type="pct"/>
            <w:vAlign w:val="center"/>
          </w:tcPr>
          <w:p>
            <w:pPr>
              <w:jc w:val="center"/>
              <w:rPr>
                <w:rFonts w:ascii="宋体" w:hAnsi="宋体"/>
                <w:color w:val="000000" w:themeColor="text1"/>
                <w:sz w:val="21"/>
              </w:rPr>
            </w:pPr>
            <w:r>
              <w:rPr>
                <w:rFonts w:ascii="宋体" w:hAnsi="宋体"/>
                <w:color w:val="000000" w:themeColor="text1"/>
                <w:sz w:val="21"/>
              </w:rPr>
              <w:t>名称</w:t>
            </w:r>
          </w:p>
        </w:tc>
        <w:tc>
          <w:tcPr>
            <w:tcW w:w="1054" w:type="pct"/>
            <w:vAlign w:val="center"/>
          </w:tcPr>
          <w:p>
            <w:pPr>
              <w:jc w:val="center"/>
              <w:rPr>
                <w:rFonts w:ascii="宋体" w:hAnsi="宋体"/>
                <w:color w:val="000000" w:themeColor="text1"/>
                <w:sz w:val="21"/>
              </w:rPr>
            </w:pPr>
            <w:r>
              <w:rPr>
                <w:rFonts w:ascii="宋体" w:hAnsi="宋体"/>
                <w:color w:val="000000" w:themeColor="text1"/>
                <w:sz w:val="21"/>
              </w:rPr>
              <w:t>来源</w:t>
            </w:r>
          </w:p>
        </w:tc>
        <w:tc>
          <w:tcPr>
            <w:tcW w:w="538" w:type="pct"/>
            <w:vAlign w:val="center"/>
          </w:tcPr>
          <w:p>
            <w:pPr>
              <w:jc w:val="center"/>
              <w:rPr>
                <w:rFonts w:ascii="宋体" w:hAnsi="宋体"/>
                <w:color w:val="000000" w:themeColor="text1"/>
                <w:sz w:val="21"/>
              </w:rPr>
            </w:pPr>
            <w:r>
              <w:rPr>
                <w:rFonts w:ascii="宋体" w:hAnsi="宋体"/>
                <w:color w:val="000000" w:themeColor="text1"/>
                <w:sz w:val="21"/>
              </w:rPr>
              <w:t>性质</w:t>
            </w:r>
          </w:p>
        </w:tc>
        <w:tc>
          <w:tcPr>
            <w:tcW w:w="775" w:type="pct"/>
            <w:vAlign w:val="center"/>
          </w:tcPr>
          <w:p>
            <w:pPr>
              <w:jc w:val="center"/>
              <w:rPr>
                <w:rFonts w:ascii="宋体" w:hAnsi="宋体"/>
                <w:color w:val="000000" w:themeColor="text1"/>
                <w:sz w:val="21"/>
              </w:rPr>
            </w:pPr>
            <w:r>
              <w:rPr>
                <w:color w:val="000000" w:themeColor="text1"/>
                <w:sz w:val="21"/>
              </w:rPr>
              <w:t>产生量（t/a）</w:t>
            </w:r>
          </w:p>
        </w:tc>
        <w:tc>
          <w:tcPr>
            <w:tcW w:w="1941" w:type="pct"/>
            <w:vAlign w:val="center"/>
          </w:tcPr>
          <w:p>
            <w:pPr>
              <w:jc w:val="center"/>
              <w:rPr>
                <w:rFonts w:ascii="宋体" w:hAnsi="宋体"/>
                <w:color w:val="000000" w:themeColor="text1"/>
                <w:sz w:val="21"/>
              </w:rPr>
            </w:pPr>
            <w:r>
              <w:rPr>
                <w:rFonts w:ascii="宋体" w:hAnsi="宋体"/>
                <w:color w:val="000000" w:themeColor="text1"/>
                <w:sz w:val="21"/>
              </w:rPr>
              <w:t>处理方式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693" w:type="pct"/>
            <w:vAlign w:val="center"/>
          </w:tcPr>
          <w:p>
            <w:pPr>
              <w:jc w:val="center"/>
              <w:rPr>
                <w:rFonts w:ascii="宋体" w:hAnsi="宋体"/>
                <w:color w:val="000000" w:themeColor="text1"/>
                <w:sz w:val="21"/>
              </w:rPr>
            </w:pPr>
            <w:r>
              <w:rPr>
                <w:rFonts w:ascii="宋体" w:hAnsi="宋体"/>
                <w:color w:val="000000" w:themeColor="text1"/>
                <w:sz w:val="21"/>
              </w:rPr>
              <w:t>生活垃圾</w:t>
            </w:r>
          </w:p>
        </w:tc>
        <w:tc>
          <w:tcPr>
            <w:tcW w:w="1054" w:type="pct"/>
            <w:vAlign w:val="center"/>
          </w:tcPr>
          <w:p>
            <w:pPr>
              <w:jc w:val="center"/>
              <w:rPr>
                <w:rFonts w:ascii="宋体" w:hAnsi="宋体"/>
                <w:color w:val="000000" w:themeColor="text1"/>
                <w:sz w:val="21"/>
              </w:rPr>
            </w:pPr>
            <w:r>
              <w:rPr>
                <w:rFonts w:ascii="宋体" w:hAnsi="宋体"/>
                <w:color w:val="000000" w:themeColor="text1"/>
                <w:sz w:val="21"/>
              </w:rPr>
              <w:t>病房</w:t>
            </w:r>
            <w:r>
              <w:rPr>
                <w:rFonts w:hint="eastAsia" w:ascii="宋体" w:hAnsi="宋体"/>
                <w:color w:val="000000" w:themeColor="text1"/>
                <w:sz w:val="21"/>
              </w:rPr>
              <w:t>、医护人员</w:t>
            </w:r>
          </w:p>
        </w:tc>
        <w:tc>
          <w:tcPr>
            <w:tcW w:w="538" w:type="pct"/>
            <w:vAlign w:val="center"/>
          </w:tcPr>
          <w:p>
            <w:pPr>
              <w:jc w:val="center"/>
              <w:rPr>
                <w:rFonts w:ascii="宋体" w:hAnsi="宋体"/>
                <w:color w:val="000000" w:themeColor="text1"/>
                <w:sz w:val="21"/>
              </w:rPr>
            </w:pPr>
            <w:r>
              <w:rPr>
                <w:rFonts w:ascii="宋体" w:hAnsi="宋体"/>
                <w:color w:val="000000" w:themeColor="text1"/>
                <w:sz w:val="21"/>
              </w:rPr>
              <w:t>一般</w:t>
            </w:r>
          </w:p>
          <w:p>
            <w:pPr>
              <w:jc w:val="center"/>
              <w:rPr>
                <w:rFonts w:ascii="宋体" w:hAnsi="宋体"/>
                <w:color w:val="000000" w:themeColor="text1"/>
                <w:sz w:val="21"/>
              </w:rPr>
            </w:pPr>
            <w:r>
              <w:rPr>
                <w:rFonts w:ascii="宋体" w:hAnsi="宋体"/>
                <w:color w:val="000000" w:themeColor="text1"/>
                <w:sz w:val="21"/>
              </w:rPr>
              <w:t>固废</w:t>
            </w:r>
          </w:p>
        </w:tc>
        <w:tc>
          <w:tcPr>
            <w:tcW w:w="775" w:type="pct"/>
            <w:vAlign w:val="center"/>
          </w:tcPr>
          <w:p>
            <w:pPr>
              <w:jc w:val="center"/>
              <w:rPr>
                <w:color w:val="000000" w:themeColor="text1"/>
                <w:sz w:val="21"/>
              </w:rPr>
            </w:pPr>
            <w:r>
              <w:rPr>
                <w:rFonts w:hint="eastAsia"/>
                <w:color w:val="000000" w:themeColor="text1"/>
                <w:sz w:val="21"/>
              </w:rPr>
              <w:t>599.659</w:t>
            </w:r>
          </w:p>
        </w:tc>
        <w:tc>
          <w:tcPr>
            <w:tcW w:w="1941" w:type="pct"/>
            <w:vAlign w:val="center"/>
          </w:tcPr>
          <w:p>
            <w:pPr>
              <w:ind w:left="16" w:leftChars="-38" w:right="-77" w:rightChars="-32" w:hanging="107" w:hangingChars="51"/>
              <w:jc w:val="center"/>
              <w:rPr>
                <w:rFonts w:ascii="宋体" w:hAnsi="宋体"/>
                <w:color w:val="000000" w:themeColor="text1"/>
                <w:sz w:val="21"/>
              </w:rPr>
            </w:pPr>
            <w:r>
              <w:rPr>
                <w:rFonts w:hint="eastAsia" w:ascii="宋体" w:hAnsi="宋体"/>
                <w:color w:val="000000" w:themeColor="text1"/>
                <w:sz w:val="21"/>
              </w:rPr>
              <w:t>环卫</w:t>
            </w:r>
            <w:r>
              <w:rPr>
                <w:rFonts w:ascii="宋体" w:hAnsi="宋体"/>
                <w:color w:val="000000" w:themeColor="text1"/>
                <w:sz w:val="21"/>
              </w:rPr>
              <w:t>部门统一处理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7" w:hRule="atLeast"/>
        </w:trPr>
        <w:tc>
          <w:tcPr>
            <w:tcW w:w="693" w:type="pct"/>
            <w:vAlign w:val="center"/>
          </w:tcPr>
          <w:p>
            <w:pPr>
              <w:jc w:val="center"/>
              <w:rPr>
                <w:rFonts w:ascii="宋体" w:hAnsi="宋体"/>
                <w:color w:val="000000" w:themeColor="text1"/>
                <w:sz w:val="21"/>
              </w:rPr>
            </w:pPr>
            <w:r>
              <w:rPr>
                <w:rFonts w:ascii="宋体" w:hAnsi="宋体"/>
                <w:color w:val="000000" w:themeColor="text1"/>
                <w:sz w:val="21"/>
              </w:rPr>
              <w:t>医疗固</w:t>
            </w:r>
          </w:p>
          <w:p>
            <w:pPr>
              <w:jc w:val="center"/>
              <w:rPr>
                <w:rFonts w:ascii="宋体" w:hAnsi="宋体"/>
                <w:color w:val="000000" w:themeColor="text1"/>
                <w:sz w:val="21"/>
              </w:rPr>
            </w:pPr>
            <w:r>
              <w:rPr>
                <w:rFonts w:ascii="宋体" w:hAnsi="宋体"/>
                <w:color w:val="000000" w:themeColor="text1"/>
                <w:sz w:val="21"/>
              </w:rPr>
              <w:t>体废物</w:t>
            </w:r>
          </w:p>
        </w:tc>
        <w:tc>
          <w:tcPr>
            <w:tcW w:w="1054" w:type="pct"/>
            <w:vAlign w:val="center"/>
          </w:tcPr>
          <w:p>
            <w:pPr>
              <w:jc w:val="center"/>
              <w:rPr>
                <w:rFonts w:ascii="宋体" w:hAnsi="宋体"/>
                <w:color w:val="000000" w:themeColor="text1"/>
                <w:sz w:val="21"/>
              </w:rPr>
            </w:pPr>
            <w:r>
              <w:rPr>
                <w:rFonts w:ascii="宋体" w:hAnsi="宋体"/>
                <w:color w:val="000000" w:themeColor="text1"/>
                <w:sz w:val="21"/>
              </w:rPr>
              <w:t>病房</w:t>
            </w:r>
          </w:p>
        </w:tc>
        <w:tc>
          <w:tcPr>
            <w:tcW w:w="538" w:type="pct"/>
            <w:vAlign w:val="center"/>
          </w:tcPr>
          <w:p>
            <w:pPr>
              <w:jc w:val="center"/>
              <w:rPr>
                <w:rFonts w:ascii="宋体" w:hAnsi="宋体"/>
                <w:color w:val="000000" w:themeColor="text1"/>
                <w:sz w:val="21"/>
              </w:rPr>
            </w:pPr>
            <w:r>
              <w:rPr>
                <w:rFonts w:ascii="宋体" w:hAnsi="宋体"/>
                <w:color w:val="000000" w:themeColor="text1"/>
                <w:sz w:val="21"/>
              </w:rPr>
              <w:t>危险</w:t>
            </w:r>
          </w:p>
          <w:p>
            <w:pPr>
              <w:jc w:val="center"/>
              <w:rPr>
                <w:rFonts w:ascii="宋体" w:hAnsi="宋体"/>
                <w:color w:val="000000" w:themeColor="text1"/>
                <w:sz w:val="21"/>
              </w:rPr>
            </w:pPr>
            <w:r>
              <w:rPr>
                <w:rFonts w:ascii="宋体" w:hAnsi="宋体"/>
                <w:color w:val="000000" w:themeColor="text1"/>
                <w:sz w:val="21"/>
              </w:rPr>
              <w:t>固废</w:t>
            </w:r>
          </w:p>
        </w:tc>
        <w:tc>
          <w:tcPr>
            <w:tcW w:w="775" w:type="pct"/>
            <w:vAlign w:val="center"/>
          </w:tcPr>
          <w:p>
            <w:pPr>
              <w:jc w:val="center"/>
              <w:rPr>
                <w:color w:val="000000" w:themeColor="text1"/>
                <w:sz w:val="21"/>
              </w:rPr>
            </w:pPr>
            <w:r>
              <w:rPr>
                <w:rFonts w:hint="eastAsia"/>
                <w:color w:val="000000" w:themeColor="text1"/>
                <w:sz w:val="21"/>
              </w:rPr>
              <w:t>141.255</w:t>
            </w:r>
          </w:p>
        </w:tc>
        <w:tc>
          <w:tcPr>
            <w:tcW w:w="1941" w:type="pct"/>
            <w:vAlign w:val="center"/>
          </w:tcPr>
          <w:p>
            <w:pPr>
              <w:ind w:left="-2" w:leftChars="-1" w:right="77" w:rightChars="32" w:firstLine="21" w:firstLineChars="10"/>
              <w:jc w:val="center"/>
              <w:rPr>
                <w:rFonts w:ascii="宋体" w:hAnsi="宋体"/>
                <w:color w:val="000000" w:themeColor="text1"/>
                <w:sz w:val="21"/>
              </w:rPr>
            </w:pPr>
            <w:r>
              <w:rPr>
                <w:rFonts w:ascii="宋体" w:hAnsi="宋体"/>
                <w:color w:val="000000" w:themeColor="text1"/>
                <w:sz w:val="21"/>
              </w:rPr>
              <w:t>委托</w:t>
            </w:r>
            <w:r>
              <w:rPr>
                <w:rFonts w:hint="eastAsia" w:ascii="宋体" w:hAnsi="宋体"/>
                <w:color w:val="000000" w:themeColor="text1"/>
                <w:sz w:val="21"/>
              </w:rPr>
              <w:t>岳阳市方向固废安全处置有限公司</w:t>
            </w:r>
            <w:r>
              <w:rPr>
                <w:rFonts w:ascii="宋体" w:hAnsi="宋体"/>
                <w:color w:val="000000" w:themeColor="text1"/>
                <w:sz w:val="21"/>
              </w:rPr>
              <w:t>集中处置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693" w:type="pct"/>
            <w:vAlign w:val="center"/>
          </w:tcPr>
          <w:p>
            <w:pPr>
              <w:jc w:val="center"/>
              <w:rPr>
                <w:rFonts w:ascii="宋体" w:hAnsi="宋体"/>
                <w:color w:val="000000" w:themeColor="text1"/>
                <w:sz w:val="21"/>
              </w:rPr>
            </w:pPr>
            <w:r>
              <w:rPr>
                <w:rFonts w:ascii="宋体" w:hAnsi="宋体"/>
                <w:color w:val="000000" w:themeColor="text1"/>
                <w:sz w:val="21"/>
              </w:rPr>
              <w:t>污水处</w:t>
            </w:r>
          </w:p>
          <w:p>
            <w:pPr>
              <w:jc w:val="center"/>
              <w:rPr>
                <w:rFonts w:ascii="宋体" w:hAnsi="宋体"/>
                <w:color w:val="000000" w:themeColor="text1"/>
                <w:sz w:val="21"/>
              </w:rPr>
            </w:pPr>
            <w:r>
              <w:rPr>
                <w:rFonts w:ascii="宋体" w:hAnsi="宋体"/>
                <w:color w:val="000000" w:themeColor="text1"/>
                <w:sz w:val="21"/>
              </w:rPr>
              <w:t>理污泥</w:t>
            </w:r>
          </w:p>
        </w:tc>
        <w:tc>
          <w:tcPr>
            <w:tcW w:w="1054" w:type="pct"/>
            <w:vAlign w:val="center"/>
          </w:tcPr>
          <w:p>
            <w:pPr>
              <w:jc w:val="center"/>
              <w:rPr>
                <w:rFonts w:ascii="宋体" w:hAnsi="宋体"/>
                <w:color w:val="000000" w:themeColor="text1"/>
                <w:spacing w:val="-6"/>
                <w:sz w:val="21"/>
              </w:rPr>
            </w:pPr>
            <w:r>
              <w:rPr>
                <w:rFonts w:hint="eastAsia" w:ascii="宋体" w:hAnsi="宋体"/>
                <w:color w:val="000000" w:themeColor="text1"/>
                <w:spacing w:val="-6"/>
                <w:sz w:val="21"/>
              </w:rPr>
              <w:t>污水处理站</w:t>
            </w:r>
          </w:p>
        </w:tc>
        <w:tc>
          <w:tcPr>
            <w:tcW w:w="538" w:type="pct"/>
            <w:vAlign w:val="center"/>
          </w:tcPr>
          <w:p>
            <w:pPr>
              <w:jc w:val="center"/>
              <w:rPr>
                <w:rFonts w:ascii="宋体" w:hAnsi="宋体"/>
                <w:color w:val="000000" w:themeColor="text1"/>
                <w:sz w:val="21"/>
              </w:rPr>
            </w:pPr>
            <w:r>
              <w:rPr>
                <w:rFonts w:ascii="宋体" w:hAnsi="宋体"/>
                <w:color w:val="000000" w:themeColor="text1"/>
                <w:sz w:val="21"/>
              </w:rPr>
              <w:t>危险</w:t>
            </w:r>
          </w:p>
          <w:p>
            <w:pPr>
              <w:jc w:val="center"/>
              <w:rPr>
                <w:rFonts w:ascii="宋体" w:hAnsi="宋体"/>
                <w:color w:val="000000" w:themeColor="text1"/>
                <w:sz w:val="21"/>
              </w:rPr>
            </w:pPr>
            <w:r>
              <w:rPr>
                <w:rFonts w:ascii="宋体" w:hAnsi="宋体"/>
                <w:color w:val="000000" w:themeColor="text1"/>
                <w:sz w:val="21"/>
              </w:rPr>
              <w:t>固废</w:t>
            </w:r>
          </w:p>
        </w:tc>
        <w:tc>
          <w:tcPr>
            <w:tcW w:w="775" w:type="pct"/>
            <w:vAlign w:val="center"/>
          </w:tcPr>
          <w:p>
            <w:pPr>
              <w:jc w:val="center"/>
              <w:rPr>
                <w:color w:val="000000" w:themeColor="text1"/>
                <w:sz w:val="21"/>
              </w:rPr>
            </w:pPr>
            <w:r>
              <w:rPr>
                <w:rFonts w:hint="eastAsia"/>
                <w:color w:val="000000" w:themeColor="text1"/>
                <w:sz w:val="21"/>
              </w:rPr>
              <w:t>15.1</w:t>
            </w:r>
          </w:p>
        </w:tc>
        <w:tc>
          <w:tcPr>
            <w:tcW w:w="1941" w:type="pct"/>
            <w:vAlign w:val="center"/>
          </w:tcPr>
          <w:p>
            <w:pPr>
              <w:ind w:right="77" w:rightChars="32" w:firstLine="19" w:firstLineChars="10"/>
              <w:jc w:val="center"/>
              <w:rPr>
                <w:rFonts w:ascii="宋体" w:hAnsi="宋体"/>
                <w:color w:val="000000" w:themeColor="text1"/>
                <w:spacing w:val="-10"/>
                <w:sz w:val="21"/>
              </w:rPr>
            </w:pPr>
            <w:r>
              <w:rPr>
                <w:rFonts w:hint="eastAsia" w:ascii="宋体" w:hAnsi="宋体"/>
                <w:color w:val="000000" w:themeColor="text1"/>
                <w:spacing w:val="-10"/>
                <w:sz w:val="21"/>
              </w:rPr>
              <w:t>清掏脱水后暂存医疗固废暂存间，</w:t>
            </w:r>
            <w:r>
              <w:rPr>
                <w:rFonts w:ascii="宋体" w:hAnsi="宋体"/>
                <w:color w:val="000000" w:themeColor="text1"/>
                <w:sz w:val="21"/>
              </w:rPr>
              <w:t>委托</w:t>
            </w:r>
            <w:r>
              <w:rPr>
                <w:rFonts w:hint="eastAsia" w:ascii="宋体" w:hAnsi="宋体"/>
                <w:color w:val="000000" w:themeColor="text1"/>
                <w:sz w:val="21"/>
              </w:rPr>
              <w:t>有资质单位</w:t>
            </w:r>
            <w:r>
              <w:rPr>
                <w:rFonts w:ascii="宋体" w:hAnsi="宋体"/>
                <w:color w:val="000000" w:themeColor="text1"/>
                <w:sz w:val="21"/>
              </w:rPr>
              <w:t>集中处置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693" w:type="pct"/>
            <w:vMerge w:val="restart"/>
            <w:vAlign w:val="center"/>
          </w:tcPr>
          <w:p>
            <w:pPr>
              <w:jc w:val="center"/>
              <w:rPr>
                <w:rFonts w:ascii="宋体" w:hAnsi="宋体"/>
                <w:color w:val="000000" w:themeColor="text1"/>
                <w:sz w:val="21"/>
              </w:rPr>
            </w:pPr>
            <w:r>
              <w:rPr>
                <w:rFonts w:ascii="宋体" w:hAnsi="宋体"/>
                <w:color w:val="000000" w:themeColor="text1"/>
                <w:sz w:val="21"/>
              </w:rPr>
              <w:t>厨余垃圾</w:t>
            </w:r>
          </w:p>
        </w:tc>
        <w:tc>
          <w:tcPr>
            <w:tcW w:w="1054" w:type="pct"/>
            <w:vAlign w:val="center"/>
          </w:tcPr>
          <w:p>
            <w:pPr>
              <w:jc w:val="center"/>
              <w:rPr>
                <w:rFonts w:ascii="宋体" w:hAnsi="宋体"/>
                <w:color w:val="000000" w:themeColor="text1"/>
                <w:spacing w:val="-6"/>
                <w:sz w:val="21"/>
              </w:rPr>
            </w:pPr>
            <w:r>
              <w:rPr>
                <w:rFonts w:hint="eastAsia" w:ascii="宋体" w:hAnsi="宋体"/>
                <w:color w:val="000000" w:themeColor="text1"/>
                <w:spacing w:val="-6"/>
                <w:sz w:val="21"/>
              </w:rPr>
              <w:t>医院食堂</w:t>
            </w:r>
          </w:p>
        </w:tc>
        <w:tc>
          <w:tcPr>
            <w:tcW w:w="538" w:type="pct"/>
            <w:vMerge w:val="restart"/>
            <w:vAlign w:val="center"/>
          </w:tcPr>
          <w:p>
            <w:pPr>
              <w:jc w:val="center"/>
              <w:rPr>
                <w:rFonts w:ascii="宋体" w:hAnsi="宋体"/>
                <w:color w:val="000000" w:themeColor="text1"/>
                <w:sz w:val="21"/>
              </w:rPr>
            </w:pPr>
            <w:r>
              <w:rPr>
                <w:rFonts w:ascii="宋体" w:hAnsi="宋体"/>
                <w:color w:val="000000" w:themeColor="text1"/>
                <w:sz w:val="21"/>
              </w:rPr>
              <w:t>一般废物</w:t>
            </w:r>
          </w:p>
        </w:tc>
        <w:tc>
          <w:tcPr>
            <w:tcW w:w="775" w:type="pct"/>
            <w:vAlign w:val="center"/>
          </w:tcPr>
          <w:p>
            <w:pPr>
              <w:jc w:val="center"/>
              <w:rPr>
                <w:color w:val="000000" w:themeColor="text1"/>
                <w:sz w:val="21"/>
              </w:rPr>
            </w:pPr>
            <w:r>
              <w:rPr>
                <w:rFonts w:hint="eastAsia"/>
                <w:color w:val="000000" w:themeColor="text1"/>
                <w:sz w:val="21"/>
              </w:rPr>
              <w:t>51.1</w:t>
            </w:r>
          </w:p>
        </w:tc>
        <w:tc>
          <w:tcPr>
            <w:tcW w:w="1941" w:type="pct"/>
            <w:vMerge w:val="restart"/>
            <w:vAlign w:val="center"/>
          </w:tcPr>
          <w:p>
            <w:pPr>
              <w:ind w:right="77" w:rightChars="32" w:firstLine="21" w:firstLineChars="10"/>
              <w:jc w:val="center"/>
              <w:rPr>
                <w:rFonts w:ascii="宋体" w:hAnsi="宋体"/>
                <w:color w:val="000000" w:themeColor="text1"/>
                <w:spacing w:val="-10"/>
                <w:sz w:val="21"/>
              </w:rPr>
            </w:pPr>
            <w:r>
              <w:rPr>
                <w:rFonts w:hint="eastAsia" w:ascii="宋体" w:eastAsia="宋体"/>
                <w:sz w:val="21"/>
              </w:rPr>
              <w:t>交由有相关资质单位统一处理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693" w:type="pct"/>
            <w:vMerge w:val="continue"/>
            <w:vAlign w:val="center"/>
          </w:tcPr>
          <w:p>
            <w:pPr>
              <w:jc w:val="center"/>
              <w:rPr>
                <w:rFonts w:ascii="宋体" w:hAnsi="宋体"/>
                <w:color w:val="000000" w:themeColor="text1"/>
                <w:sz w:val="21"/>
              </w:rPr>
            </w:pPr>
          </w:p>
        </w:tc>
        <w:tc>
          <w:tcPr>
            <w:tcW w:w="1054" w:type="pct"/>
            <w:vAlign w:val="center"/>
          </w:tcPr>
          <w:p>
            <w:pPr>
              <w:jc w:val="center"/>
              <w:rPr>
                <w:rFonts w:ascii="宋体" w:hAnsi="宋体"/>
                <w:color w:val="000000" w:themeColor="text1"/>
                <w:spacing w:val="-6"/>
                <w:sz w:val="21"/>
              </w:rPr>
            </w:pPr>
            <w:r>
              <w:rPr>
                <w:rFonts w:hint="eastAsia" w:ascii="宋体" w:hAnsi="宋体"/>
                <w:color w:val="000000" w:themeColor="text1"/>
                <w:spacing w:val="-6"/>
                <w:sz w:val="21"/>
              </w:rPr>
              <w:t>隔油沉淀池</w:t>
            </w:r>
          </w:p>
        </w:tc>
        <w:tc>
          <w:tcPr>
            <w:tcW w:w="538" w:type="pct"/>
            <w:vMerge w:val="continue"/>
            <w:vAlign w:val="center"/>
          </w:tcPr>
          <w:p>
            <w:pPr>
              <w:jc w:val="center"/>
              <w:rPr>
                <w:rFonts w:ascii="宋体" w:hAnsi="宋体"/>
                <w:color w:val="000000" w:themeColor="text1"/>
                <w:sz w:val="21"/>
              </w:rPr>
            </w:pPr>
          </w:p>
        </w:tc>
        <w:tc>
          <w:tcPr>
            <w:tcW w:w="775" w:type="pct"/>
            <w:vAlign w:val="center"/>
          </w:tcPr>
          <w:p>
            <w:pPr>
              <w:jc w:val="center"/>
              <w:rPr>
                <w:color w:val="000000" w:themeColor="text1"/>
                <w:sz w:val="21"/>
              </w:rPr>
            </w:pPr>
            <w:r>
              <w:rPr>
                <w:rFonts w:hint="eastAsia"/>
                <w:color w:val="000000" w:themeColor="text1"/>
                <w:sz w:val="21"/>
              </w:rPr>
              <w:t>1.69</w:t>
            </w:r>
          </w:p>
        </w:tc>
        <w:tc>
          <w:tcPr>
            <w:tcW w:w="1941" w:type="pct"/>
            <w:vMerge w:val="continue"/>
            <w:vAlign w:val="center"/>
          </w:tcPr>
          <w:p>
            <w:pPr>
              <w:ind w:right="77" w:rightChars="32" w:firstLine="19" w:firstLineChars="10"/>
              <w:jc w:val="center"/>
              <w:rPr>
                <w:rFonts w:ascii="宋体" w:hAnsi="宋体"/>
                <w:color w:val="000000" w:themeColor="text1"/>
                <w:spacing w:val="-10"/>
                <w:sz w:val="21"/>
              </w:rPr>
            </w:pPr>
          </w:p>
        </w:tc>
      </w:tr>
    </w:tbl>
    <w:p>
      <w:pPr>
        <w:pStyle w:val="5"/>
      </w:pPr>
      <w:r>
        <w:t>营运期污染物汇总</w:t>
      </w:r>
    </w:p>
    <w:p>
      <w:pPr>
        <w:spacing w:line="360" w:lineRule="auto"/>
        <w:ind w:firstLine="480" w:firstLineChars="200"/>
      </w:pPr>
      <w:r>
        <w:rPr>
          <w:rFonts w:hint="eastAsia"/>
        </w:rPr>
        <w:t>本项目营运期污染物排放汇总见</w:t>
      </w:r>
      <w:r>
        <w:fldChar w:fldCharType="begin"/>
      </w:r>
      <w:r>
        <w:rPr>
          <w:rFonts w:hint="eastAsia"/>
        </w:rPr>
        <w:instrText xml:space="preserve">REF _Ref14093684 \h</w:instrText>
      </w:r>
      <w:r>
        <w:fldChar w:fldCharType="separate"/>
      </w:r>
      <w:r>
        <w:rPr>
          <w:rFonts w:hint="eastAsia"/>
        </w:rPr>
        <w:t>表</w:t>
      </w:r>
      <w:r>
        <w:t>3.2</w:t>
      </w:r>
      <w:r>
        <w:noBreakHyphen/>
      </w:r>
      <w:r>
        <w:t>12</w:t>
      </w:r>
      <w:r>
        <w:fldChar w:fldCharType="end"/>
      </w:r>
      <w:r>
        <w:rPr>
          <w:rFonts w:hint="eastAsia"/>
        </w:rPr>
        <w:t>。</w:t>
      </w:r>
    </w:p>
    <w:p>
      <w:pPr>
        <w:pStyle w:val="14"/>
        <w:spacing w:line="240" w:lineRule="auto"/>
      </w:pPr>
      <w:bookmarkStart w:id="141" w:name="_Ref14093684"/>
      <w:r>
        <w:rPr>
          <w:rFonts w:hint="eastAsia"/>
        </w:rPr>
        <w:t>表</w:t>
      </w:r>
      <w:r>
        <w:fldChar w:fldCharType="begin"/>
      </w:r>
      <w:r>
        <w:instrText xml:space="preserve"> STYLEREF 2 \s </w:instrText>
      </w:r>
      <w:r>
        <w:fldChar w:fldCharType="separate"/>
      </w:r>
      <w:r>
        <w:t>3.2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12</w:t>
      </w:r>
      <w:r>
        <w:fldChar w:fldCharType="end"/>
      </w:r>
      <w:bookmarkEnd w:id="141"/>
      <w:r>
        <w:rPr>
          <w:rFonts w:hint="eastAsia"/>
        </w:rPr>
        <w:t xml:space="preserve">  营运期污染物排放汇总</w:t>
      </w:r>
    </w:p>
    <w:tbl>
      <w:tblPr>
        <w:tblStyle w:val="39"/>
        <w:tblW w:w="497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1"/>
        <w:gridCol w:w="1295"/>
        <w:gridCol w:w="1602"/>
        <w:gridCol w:w="1411"/>
        <w:gridCol w:w="1161"/>
        <w:gridCol w:w="337"/>
        <w:gridCol w:w="1527"/>
        <w:gridCol w:w="14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1" w:hRule="atLeast"/>
          <w:tblHeader/>
          <w:jc w:val="center"/>
        </w:trPr>
        <w:tc>
          <w:tcPr>
            <w:tcW w:w="821" w:type="dxa"/>
            <w:vAlign w:val="center"/>
          </w:tcPr>
          <w:p>
            <w:pPr>
              <w:adjustRightInd w:val="0"/>
              <w:snapToGrid w:val="0"/>
              <w:jc w:val="center"/>
              <w:rPr>
                <w:rFonts w:cs="Times New Roman"/>
                <w:color w:val="000000" w:themeColor="text1"/>
                <w:sz w:val="21"/>
              </w:rPr>
            </w:pPr>
            <w:r>
              <w:rPr>
                <w:rFonts w:cs="Times New Roman"/>
                <w:color w:val="000000" w:themeColor="text1"/>
                <w:sz w:val="21"/>
              </w:rPr>
              <w:t>项目</w:t>
            </w:r>
          </w:p>
        </w:tc>
        <w:tc>
          <w:tcPr>
            <w:tcW w:w="1295" w:type="dxa"/>
            <w:vAlign w:val="center"/>
          </w:tcPr>
          <w:p>
            <w:pPr>
              <w:adjustRightInd w:val="0"/>
              <w:snapToGrid w:val="0"/>
              <w:jc w:val="center"/>
              <w:rPr>
                <w:rFonts w:cs="Times New Roman"/>
                <w:color w:val="000000" w:themeColor="text1"/>
                <w:sz w:val="21"/>
              </w:rPr>
            </w:pPr>
            <w:r>
              <w:rPr>
                <w:rFonts w:cs="Times New Roman"/>
                <w:color w:val="000000" w:themeColor="text1"/>
                <w:sz w:val="21"/>
              </w:rPr>
              <w:t>污染源</w:t>
            </w:r>
          </w:p>
        </w:tc>
        <w:tc>
          <w:tcPr>
            <w:tcW w:w="1602" w:type="dxa"/>
            <w:vAlign w:val="center"/>
          </w:tcPr>
          <w:p>
            <w:pPr>
              <w:adjustRightInd w:val="0"/>
              <w:snapToGrid w:val="0"/>
              <w:jc w:val="center"/>
              <w:rPr>
                <w:rFonts w:cs="Times New Roman"/>
                <w:color w:val="000000" w:themeColor="text1"/>
                <w:kern w:val="0"/>
                <w:sz w:val="21"/>
              </w:rPr>
            </w:pPr>
            <w:r>
              <w:rPr>
                <w:rFonts w:cs="Times New Roman"/>
                <w:color w:val="000000" w:themeColor="text1"/>
                <w:kern w:val="0"/>
                <w:sz w:val="21"/>
              </w:rPr>
              <w:t>污染物</w:t>
            </w:r>
          </w:p>
        </w:tc>
        <w:tc>
          <w:tcPr>
            <w:tcW w:w="1411" w:type="dxa"/>
            <w:vAlign w:val="center"/>
          </w:tcPr>
          <w:p>
            <w:pPr>
              <w:adjustRightInd w:val="0"/>
              <w:snapToGrid w:val="0"/>
              <w:jc w:val="center"/>
              <w:rPr>
                <w:rFonts w:cs="Times New Roman"/>
                <w:color w:val="000000" w:themeColor="text1"/>
                <w:kern w:val="0"/>
                <w:sz w:val="21"/>
              </w:rPr>
            </w:pPr>
            <w:r>
              <w:rPr>
                <w:rFonts w:cs="Times New Roman"/>
                <w:color w:val="000000" w:themeColor="text1"/>
                <w:kern w:val="0"/>
                <w:sz w:val="21"/>
              </w:rPr>
              <w:t>产生量</w:t>
            </w:r>
          </w:p>
        </w:tc>
        <w:tc>
          <w:tcPr>
            <w:tcW w:w="1498" w:type="dxa"/>
            <w:gridSpan w:val="2"/>
            <w:vAlign w:val="center"/>
          </w:tcPr>
          <w:p>
            <w:pPr>
              <w:adjustRightInd w:val="0"/>
              <w:snapToGrid w:val="0"/>
              <w:jc w:val="center"/>
              <w:rPr>
                <w:rFonts w:cs="Times New Roman"/>
                <w:color w:val="000000" w:themeColor="text1"/>
                <w:kern w:val="0"/>
                <w:sz w:val="21"/>
              </w:rPr>
            </w:pPr>
            <w:r>
              <w:rPr>
                <w:rFonts w:cs="Times New Roman"/>
                <w:color w:val="000000" w:themeColor="text1"/>
                <w:kern w:val="0"/>
                <w:sz w:val="21"/>
              </w:rPr>
              <w:t>产生浓度</w:t>
            </w:r>
          </w:p>
        </w:tc>
        <w:tc>
          <w:tcPr>
            <w:tcW w:w="1527" w:type="dxa"/>
            <w:vAlign w:val="center"/>
          </w:tcPr>
          <w:p>
            <w:pPr>
              <w:adjustRightInd w:val="0"/>
              <w:snapToGrid w:val="0"/>
              <w:jc w:val="center"/>
              <w:rPr>
                <w:rFonts w:cs="Times New Roman"/>
                <w:color w:val="000000" w:themeColor="text1"/>
                <w:kern w:val="0"/>
                <w:sz w:val="21"/>
              </w:rPr>
            </w:pPr>
            <w:r>
              <w:rPr>
                <w:rFonts w:cs="Times New Roman"/>
                <w:color w:val="000000" w:themeColor="text1"/>
                <w:kern w:val="0"/>
                <w:sz w:val="21"/>
              </w:rPr>
              <w:t>排放量</w:t>
            </w:r>
          </w:p>
        </w:tc>
        <w:tc>
          <w:tcPr>
            <w:tcW w:w="1434" w:type="dxa"/>
            <w:vAlign w:val="center"/>
          </w:tcPr>
          <w:p>
            <w:pPr>
              <w:adjustRightInd w:val="0"/>
              <w:snapToGrid w:val="0"/>
              <w:jc w:val="center"/>
              <w:rPr>
                <w:rFonts w:cs="Times New Roman"/>
                <w:color w:val="000000" w:themeColor="text1"/>
                <w:kern w:val="0"/>
                <w:sz w:val="21"/>
              </w:rPr>
            </w:pPr>
            <w:r>
              <w:rPr>
                <w:rFonts w:cs="Times New Roman"/>
                <w:color w:val="000000" w:themeColor="text1"/>
                <w:kern w:val="0"/>
                <w:sz w:val="21"/>
              </w:rPr>
              <w:t>排放浓度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1" w:hRule="atLeast"/>
          <w:tblHeader/>
          <w:jc w:val="center"/>
        </w:trPr>
        <w:tc>
          <w:tcPr>
            <w:tcW w:w="821" w:type="dxa"/>
            <w:vMerge w:val="restart"/>
            <w:vAlign w:val="center"/>
          </w:tcPr>
          <w:p>
            <w:pPr>
              <w:adjustRightInd w:val="0"/>
              <w:snapToGrid w:val="0"/>
              <w:jc w:val="center"/>
              <w:rPr>
                <w:rFonts w:cs="Times New Roman"/>
                <w:color w:val="000000" w:themeColor="text1"/>
                <w:sz w:val="21"/>
              </w:rPr>
            </w:pPr>
            <w:r>
              <w:rPr>
                <w:rFonts w:cs="Times New Roman"/>
                <w:color w:val="000000" w:themeColor="text1"/>
                <w:sz w:val="21"/>
              </w:rPr>
              <w:t>废水</w:t>
            </w:r>
          </w:p>
        </w:tc>
        <w:tc>
          <w:tcPr>
            <w:tcW w:w="1295" w:type="dxa"/>
            <w:vMerge w:val="restart"/>
            <w:vAlign w:val="center"/>
          </w:tcPr>
          <w:p>
            <w:pPr>
              <w:adjustRightInd w:val="0"/>
              <w:snapToGrid w:val="0"/>
              <w:jc w:val="center"/>
              <w:rPr>
                <w:rFonts w:cs="Times New Roman"/>
                <w:color w:val="000000" w:themeColor="text1"/>
                <w:sz w:val="21"/>
              </w:rPr>
            </w:pPr>
            <w:r>
              <w:rPr>
                <w:rFonts w:cs="Times New Roman"/>
                <w:color w:val="000000" w:themeColor="text1"/>
                <w:sz w:val="21"/>
              </w:rPr>
              <w:t>生活污水</w:t>
            </w:r>
          </w:p>
        </w:tc>
        <w:tc>
          <w:tcPr>
            <w:tcW w:w="1602" w:type="dxa"/>
            <w:vAlign w:val="center"/>
          </w:tcPr>
          <w:p>
            <w:pPr>
              <w:widowControl/>
              <w:adjustRightInd w:val="0"/>
              <w:snapToGrid w:val="0"/>
              <w:jc w:val="center"/>
              <w:rPr>
                <w:rFonts w:cs="Times New Roman"/>
                <w:color w:val="000000" w:themeColor="text1"/>
                <w:kern w:val="0"/>
                <w:sz w:val="21"/>
              </w:rPr>
            </w:pPr>
            <w:r>
              <w:rPr>
                <w:rFonts w:cs="Times New Roman"/>
                <w:color w:val="000000" w:themeColor="text1"/>
                <w:kern w:val="0"/>
                <w:sz w:val="21"/>
              </w:rPr>
              <w:t>废水量</w:t>
            </w:r>
          </w:p>
        </w:tc>
        <w:tc>
          <w:tcPr>
            <w:tcW w:w="5870" w:type="dxa"/>
            <w:gridSpan w:val="5"/>
            <w:vAlign w:val="center"/>
          </w:tcPr>
          <w:p>
            <w:pPr>
              <w:jc w:val="center"/>
              <w:rPr>
                <w:rFonts w:cs="Times New Roman"/>
                <w:color w:val="000000" w:themeColor="text1"/>
                <w:sz w:val="21"/>
              </w:rPr>
            </w:pPr>
            <w:r>
              <w:rPr>
                <w:rFonts w:cs="Times New Roman"/>
                <w:color w:val="000000" w:themeColor="text1"/>
                <w:sz w:val="21"/>
              </w:rPr>
              <w:t>8687m</w:t>
            </w:r>
            <w:r>
              <w:rPr>
                <w:rFonts w:cs="Times New Roman"/>
                <w:color w:val="000000" w:themeColor="text1"/>
                <w:sz w:val="21"/>
                <w:vertAlign w:val="superscript"/>
              </w:rPr>
              <w:t>3</w:t>
            </w:r>
            <w:r>
              <w:rPr>
                <w:rFonts w:cs="Times New Roman"/>
                <w:color w:val="000000" w:themeColor="text1"/>
                <w:sz w:val="21"/>
              </w:rPr>
              <w:t>/a（23.8m</w:t>
            </w:r>
            <w:r>
              <w:rPr>
                <w:rFonts w:cs="Times New Roman"/>
                <w:color w:val="000000" w:themeColor="text1"/>
                <w:sz w:val="21"/>
                <w:vertAlign w:val="superscript"/>
              </w:rPr>
              <w:t>3</w:t>
            </w:r>
            <w:r>
              <w:rPr>
                <w:rFonts w:cs="Times New Roman"/>
                <w:color w:val="000000" w:themeColor="text1"/>
                <w:sz w:val="21"/>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1" w:hRule="atLeast"/>
          <w:tblHeader/>
          <w:jc w:val="center"/>
        </w:trPr>
        <w:tc>
          <w:tcPr>
            <w:tcW w:w="821" w:type="dxa"/>
            <w:vMerge w:val="continue"/>
            <w:vAlign w:val="center"/>
          </w:tcPr>
          <w:p>
            <w:pPr>
              <w:adjustRightInd w:val="0"/>
              <w:snapToGrid w:val="0"/>
              <w:jc w:val="center"/>
              <w:rPr>
                <w:rFonts w:cs="Times New Roman"/>
                <w:color w:val="000000" w:themeColor="text1"/>
                <w:sz w:val="21"/>
              </w:rPr>
            </w:pPr>
          </w:p>
        </w:tc>
        <w:tc>
          <w:tcPr>
            <w:tcW w:w="1295" w:type="dxa"/>
            <w:vMerge w:val="continue"/>
            <w:vAlign w:val="center"/>
          </w:tcPr>
          <w:p>
            <w:pPr>
              <w:adjustRightInd w:val="0"/>
              <w:snapToGrid w:val="0"/>
              <w:jc w:val="center"/>
              <w:rPr>
                <w:rFonts w:cs="Times New Roman"/>
                <w:color w:val="000000" w:themeColor="text1"/>
                <w:sz w:val="21"/>
              </w:rPr>
            </w:pPr>
          </w:p>
        </w:tc>
        <w:tc>
          <w:tcPr>
            <w:tcW w:w="1602" w:type="dxa"/>
            <w:vAlign w:val="center"/>
          </w:tcPr>
          <w:p>
            <w:pPr>
              <w:widowControl/>
              <w:adjustRightInd w:val="0"/>
              <w:snapToGrid w:val="0"/>
              <w:jc w:val="center"/>
              <w:rPr>
                <w:rFonts w:cs="Times New Roman"/>
                <w:color w:val="000000" w:themeColor="text1"/>
                <w:kern w:val="0"/>
                <w:sz w:val="21"/>
              </w:rPr>
            </w:pPr>
            <w:r>
              <w:rPr>
                <w:rFonts w:cs="Times New Roman"/>
                <w:color w:val="000000" w:themeColor="text1"/>
                <w:kern w:val="0"/>
                <w:sz w:val="21"/>
              </w:rPr>
              <w:t>COD</w:t>
            </w:r>
            <w:r>
              <w:rPr>
                <w:rFonts w:cs="Times New Roman"/>
                <w:color w:val="000000" w:themeColor="text1"/>
                <w:kern w:val="0"/>
                <w:sz w:val="21"/>
                <w:vertAlign w:val="subscript"/>
              </w:rPr>
              <w:t>cr</w:t>
            </w:r>
          </w:p>
        </w:tc>
        <w:tc>
          <w:tcPr>
            <w:tcW w:w="1411" w:type="dxa"/>
            <w:vAlign w:val="center"/>
          </w:tcPr>
          <w:p>
            <w:pPr>
              <w:jc w:val="center"/>
              <w:rPr>
                <w:rFonts w:cs="Times New Roman"/>
                <w:color w:val="000000" w:themeColor="text1"/>
                <w:sz w:val="21"/>
              </w:rPr>
            </w:pPr>
            <w:r>
              <w:rPr>
                <w:rFonts w:cs="Times New Roman"/>
                <w:color w:val="000000" w:themeColor="text1"/>
                <w:sz w:val="21"/>
              </w:rPr>
              <w:t xml:space="preserve">2.6t/a </w:t>
            </w:r>
          </w:p>
        </w:tc>
        <w:tc>
          <w:tcPr>
            <w:tcW w:w="1498" w:type="dxa"/>
            <w:gridSpan w:val="2"/>
            <w:vAlign w:val="center"/>
          </w:tcPr>
          <w:p>
            <w:pPr>
              <w:widowControl/>
              <w:adjustRightInd w:val="0"/>
              <w:snapToGrid w:val="0"/>
              <w:jc w:val="center"/>
              <w:rPr>
                <w:rFonts w:cs="Times New Roman"/>
                <w:color w:val="000000" w:themeColor="text1"/>
                <w:sz w:val="21"/>
              </w:rPr>
            </w:pPr>
            <w:r>
              <w:rPr>
                <w:rFonts w:cs="Times New Roman"/>
                <w:color w:val="000000" w:themeColor="text1"/>
                <w:sz w:val="21"/>
              </w:rPr>
              <w:t>300mg/L</w:t>
            </w:r>
          </w:p>
        </w:tc>
        <w:tc>
          <w:tcPr>
            <w:tcW w:w="1527" w:type="dxa"/>
            <w:vAlign w:val="center"/>
          </w:tcPr>
          <w:p>
            <w:pPr>
              <w:jc w:val="center"/>
              <w:rPr>
                <w:rFonts w:cs="Times New Roman"/>
                <w:color w:val="000000" w:themeColor="text1"/>
                <w:sz w:val="21"/>
              </w:rPr>
            </w:pPr>
            <w:r>
              <w:rPr>
                <w:rFonts w:cs="Times New Roman"/>
                <w:color w:val="000000" w:themeColor="text1"/>
                <w:sz w:val="21"/>
              </w:rPr>
              <w:t xml:space="preserve">2.17t/a </w:t>
            </w:r>
          </w:p>
        </w:tc>
        <w:tc>
          <w:tcPr>
            <w:tcW w:w="1434" w:type="dxa"/>
            <w:vAlign w:val="center"/>
          </w:tcPr>
          <w:p>
            <w:pPr>
              <w:adjustRightInd w:val="0"/>
              <w:snapToGrid w:val="0"/>
              <w:jc w:val="center"/>
              <w:rPr>
                <w:rFonts w:cs="Times New Roman"/>
                <w:color w:val="000000" w:themeColor="text1"/>
                <w:sz w:val="21"/>
              </w:rPr>
            </w:pPr>
            <w:r>
              <w:rPr>
                <w:rFonts w:cs="Times New Roman"/>
                <w:color w:val="000000" w:themeColor="text1"/>
                <w:sz w:val="21"/>
              </w:rPr>
              <w:t>250mg/L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1" w:hRule="atLeast"/>
          <w:tblHeader/>
          <w:jc w:val="center"/>
        </w:trPr>
        <w:tc>
          <w:tcPr>
            <w:tcW w:w="821" w:type="dxa"/>
            <w:vMerge w:val="continue"/>
            <w:vAlign w:val="center"/>
          </w:tcPr>
          <w:p>
            <w:pPr>
              <w:adjustRightInd w:val="0"/>
              <w:snapToGrid w:val="0"/>
              <w:jc w:val="center"/>
              <w:rPr>
                <w:rFonts w:cs="Times New Roman"/>
                <w:color w:val="000000" w:themeColor="text1"/>
                <w:sz w:val="21"/>
              </w:rPr>
            </w:pPr>
          </w:p>
        </w:tc>
        <w:tc>
          <w:tcPr>
            <w:tcW w:w="1295" w:type="dxa"/>
            <w:vMerge w:val="continue"/>
            <w:vAlign w:val="center"/>
          </w:tcPr>
          <w:p>
            <w:pPr>
              <w:adjustRightInd w:val="0"/>
              <w:snapToGrid w:val="0"/>
              <w:jc w:val="center"/>
              <w:rPr>
                <w:rFonts w:cs="Times New Roman"/>
                <w:color w:val="000000" w:themeColor="text1"/>
                <w:sz w:val="21"/>
              </w:rPr>
            </w:pPr>
          </w:p>
        </w:tc>
        <w:tc>
          <w:tcPr>
            <w:tcW w:w="1602" w:type="dxa"/>
            <w:vAlign w:val="center"/>
          </w:tcPr>
          <w:p>
            <w:pPr>
              <w:widowControl/>
              <w:adjustRightInd w:val="0"/>
              <w:snapToGrid w:val="0"/>
              <w:jc w:val="center"/>
              <w:rPr>
                <w:rFonts w:cs="Times New Roman"/>
                <w:color w:val="000000" w:themeColor="text1"/>
                <w:kern w:val="0"/>
                <w:sz w:val="21"/>
              </w:rPr>
            </w:pPr>
            <w:r>
              <w:rPr>
                <w:rFonts w:cs="Times New Roman"/>
                <w:color w:val="000000" w:themeColor="text1"/>
                <w:kern w:val="0"/>
                <w:sz w:val="21"/>
              </w:rPr>
              <w:t>氨氮</w:t>
            </w:r>
          </w:p>
        </w:tc>
        <w:tc>
          <w:tcPr>
            <w:tcW w:w="1411" w:type="dxa"/>
            <w:vAlign w:val="center"/>
          </w:tcPr>
          <w:p>
            <w:pPr>
              <w:jc w:val="center"/>
              <w:rPr>
                <w:rFonts w:cs="Times New Roman"/>
                <w:color w:val="000000" w:themeColor="text1"/>
                <w:sz w:val="21"/>
              </w:rPr>
            </w:pPr>
            <w:r>
              <w:rPr>
                <w:rFonts w:cs="Times New Roman"/>
                <w:color w:val="000000" w:themeColor="text1"/>
                <w:sz w:val="21"/>
              </w:rPr>
              <w:t xml:space="preserve">0.26t/a </w:t>
            </w:r>
          </w:p>
        </w:tc>
        <w:tc>
          <w:tcPr>
            <w:tcW w:w="1498" w:type="dxa"/>
            <w:gridSpan w:val="2"/>
            <w:vAlign w:val="center"/>
          </w:tcPr>
          <w:p>
            <w:pPr>
              <w:widowControl/>
              <w:adjustRightInd w:val="0"/>
              <w:snapToGrid w:val="0"/>
              <w:jc w:val="center"/>
              <w:rPr>
                <w:rFonts w:cs="Times New Roman"/>
                <w:color w:val="000000" w:themeColor="text1"/>
                <w:sz w:val="21"/>
              </w:rPr>
            </w:pPr>
            <w:r>
              <w:rPr>
                <w:rFonts w:cs="Times New Roman"/>
                <w:color w:val="000000" w:themeColor="text1"/>
                <w:sz w:val="21"/>
              </w:rPr>
              <w:t>30mg/L</w:t>
            </w:r>
          </w:p>
        </w:tc>
        <w:tc>
          <w:tcPr>
            <w:tcW w:w="1527" w:type="dxa"/>
            <w:vAlign w:val="center"/>
          </w:tcPr>
          <w:p>
            <w:pPr>
              <w:jc w:val="center"/>
              <w:rPr>
                <w:rFonts w:cs="Times New Roman"/>
                <w:color w:val="000000" w:themeColor="text1"/>
                <w:sz w:val="21"/>
              </w:rPr>
            </w:pPr>
            <w:r>
              <w:rPr>
                <w:rFonts w:cs="Times New Roman"/>
                <w:color w:val="000000" w:themeColor="text1"/>
                <w:sz w:val="21"/>
              </w:rPr>
              <w:t>0.17t/a</w:t>
            </w:r>
          </w:p>
        </w:tc>
        <w:tc>
          <w:tcPr>
            <w:tcW w:w="1434" w:type="dxa"/>
            <w:vAlign w:val="center"/>
          </w:tcPr>
          <w:p>
            <w:pPr>
              <w:adjustRightInd w:val="0"/>
              <w:snapToGrid w:val="0"/>
              <w:jc w:val="center"/>
              <w:rPr>
                <w:rFonts w:cs="Times New Roman"/>
                <w:color w:val="000000" w:themeColor="text1"/>
                <w:sz w:val="21"/>
              </w:rPr>
            </w:pPr>
            <w:r>
              <w:rPr>
                <w:rFonts w:cs="Times New Roman"/>
                <w:color w:val="000000" w:themeColor="text1"/>
                <w:sz w:val="21"/>
              </w:rPr>
              <w:t>20mg/L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1" w:hRule="atLeast"/>
          <w:tblHeader/>
          <w:jc w:val="center"/>
        </w:trPr>
        <w:tc>
          <w:tcPr>
            <w:tcW w:w="821" w:type="dxa"/>
            <w:vMerge w:val="continue"/>
            <w:vAlign w:val="center"/>
          </w:tcPr>
          <w:p>
            <w:pPr>
              <w:adjustRightInd w:val="0"/>
              <w:snapToGrid w:val="0"/>
              <w:jc w:val="center"/>
              <w:rPr>
                <w:rFonts w:cs="Times New Roman"/>
                <w:color w:val="000000" w:themeColor="text1"/>
                <w:sz w:val="21"/>
              </w:rPr>
            </w:pPr>
          </w:p>
        </w:tc>
        <w:tc>
          <w:tcPr>
            <w:tcW w:w="1295" w:type="dxa"/>
            <w:vMerge w:val="continue"/>
            <w:vAlign w:val="center"/>
          </w:tcPr>
          <w:p>
            <w:pPr>
              <w:adjustRightInd w:val="0"/>
              <w:snapToGrid w:val="0"/>
              <w:jc w:val="center"/>
              <w:rPr>
                <w:rFonts w:cs="Times New Roman"/>
                <w:color w:val="000000" w:themeColor="text1"/>
                <w:sz w:val="21"/>
              </w:rPr>
            </w:pPr>
          </w:p>
        </w:tc>
        <w:tc>
          <w:tcPr>
            <w:tcW w:w="1602" w:type="dxa"/>
            <w:vAlign w:val="center"/>
          </w:tcPr>
          <w:p>
            <w:pPr>
              <w:widowControl/>
              <w:adjustRightInd w:val="0"/>
              <w:snapToGrid w:val="0"/>
              <w:jc w:val="center"/>
              <w:rPr>
                <w:rFonts w:cs="Times New Roman"/>
                <w:color w:val="000000" w:themeColor="text1"/>
                <w:kern w:val="0"/>
                <w:sz w:val="21"/>
              </w:rPr>
            </w:pPr>
            <w:r>
              <w:rPr>
                <w:rFonts w:cs="Times New Roman"/>
                <w:color w:val="000000" w:themeColor="text1"/>
                <w:kern w:val="0"/>
                <w:sz w:val="21"/>
              </w:rPr>
              <w:t>SS</w:t>
            </w:r>
          </w:p>
        </w:tc>
        <w:tc>
          <w:tcPr>
            <w:tcW w:w="1411" w:type="dxa"/>
            <w:vAlign w:val="center"/>
          </w:tcPr>
          <w:p>
            <w:pPr>
              <w:jc w:val="center"/>
              <w:rPr>
                <w:rFonts w:cs="Times New Roman"/>
                <w:color w:val="000000" w:themeColor="text1"/>
                <w:sz w:val="21"/>
              </w:rPr>
            </w:pPr>
            <w:r>
              <w:rPr>
                <w:rFonts w:cs="Times New Roman"/>
                <w:color w:val="000000" w:themeColor="text1"/>
                <w:sz w:val="21"/>
              </w:rPr>
              <w:t xml:space="preserve">1.7t/a </w:t>
            </w:r>
          </w:p>
        </w:tc>
        <w:tc>
          <w:tcPr>
            <w:tcW w:w="1498" w:type="dxa"/>
            <w:gridSpan w:val="2"/>
            <w:vAlign w:val="center"/>
          </w:tcPr>
          <w:p>
            <w:pPr>
              <w:widowControl/>
              <w:adjustRightInd w:val="0"/>
              <w:snapToGrid w:val="0"/>
              <w:jc w:val="center"/>
              <w:rPr>
                <w:rFonts w:cs="Times New Roman"/>
                <w:color w:val="000000" w:themeColor="text1"/>
                <w:sz w:val="21"/>
              </w:rPr>
            </w:pPr>
            <w:r>
              <w:rPr>
                <w:rFonts w:cs="Times New Roman"/>
                <w:color w:val="000000" w:themeColor="text1"/>
                <w:sz w:val="21"/>
              </w:rPr>
              <w:t>200mg/L</w:t>
            </w:r>
          </w:p>
        </w:tc>
        <w:tc>
          <w:tcPr>
            <w:tcW w:w="1527" w:type="dxa"/>
            <w:vAlign w:val="center"/>
          </w:tcPr>
          <w:p>
            <w:pPr>
              <w:jc w:val="center"/>
              <w:rPr>
                <w:rFonts w:cs="Times New Roman"/>
                <w:color w:val="000000" w:themeColor="text1"/>
                <w:sz w:val="21"/>
              </w:rPr>
            </w:pPr>
            <w:r>
              <w:rPr>
                <w:rFonts w:cs="Times New Roman"/>
                <w:color w:val="000000" w:themeColor="text1"/>
                <w:sz w:val="21"/>
              </w:rPr>
              <w:t xml:space="preserve">0.87t/a </w:t>
            </w:r>
          </w:p>
        </w:tc>
        <w:tc>
          <w:tcPr>
            <w:tcW w:w="1434" w:type="dxa"/>
            <w:vAlign w:val="center"/>
          </w:tcPr>
          <w:p>
            <w:pPr>
              <w:adjustRightInd w:val="0"/>
              <w:snapToGrid w:val="0"/>
              <w:jc w:val="center"/>
              <w:rPr>
                <w:rFonts w:cs="Times New Roman"/>
                <w:color w:val="000000" w:themeColor="text1"/>
                <w:sz w:val="21"/>
              </w:rPr>
            </w:pPr>
            <w:r>
              <w:rPr>
                <w:rFonts w:cs="Times New Roman"/>
                <w:color w:val="000000" w:themeColor="text1"/>
                <w:sz w:val="21"/>
              </w:rPr>
              <w:t>100mg/L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1" w:hRule="atLeast"/>
          <w:tblHeader/>
          <w:jc w:val="center"/>
        </w:trPr>
        <w:tc>
          <w:tcPr>
            <w:tcW w:w="821" w:type="dxa"/>
            <w:vMerge w:val="continue"/>
            <w:vAlign w:val="center"/>
          </w:tcPr>
          <w:p>
            <w:pPr>
              <w:adjustRightInd w:val="0"/>
              <w:snapToGrid w:val="0"/>
              <w:jc w:val="center"/>
              <w:rPr>
                <w:rFonts w:cs="Times New Roman"/>
                <w:color w:val="000000" w:themeColor="text1"/>
                <w:sz w:val="21"/>
              </w:rPr>
            </w:pPr>
          </w:p>
        </w:tc>
        <w:tc>
          <w:tcPr>
            <w:tcW w:w="1295" w:type="dxa"/>
            <w:vMerge w:val="continue"/>
            <w:vAlign w:val="center"/>
          </w:tcPr>
          <w:p>
            <w:pPr>
              <w:adjustRightInd w:val="0"/>
              <w:snapToGrid w:val="0"/>
              <w:jc w:val="center"/>
              <w:rPr>
                <w:rFonts w:cs="Times New Roman"/>
                <w:color w:val="000000" w:themeColor="text1"/>
                <w:sz w:val="21"/>
              </w:rPr>
            </w:pPr>
          </w:p>
        </w:tc>
        <w:tc>
          <w:tcPr>
            <w:tcW w:w="1602" w:type="dxa"/>
            <w:vAlign w:val="center"/>
          </w:tcPr>
          <w:p>
            <w:pPr>
              <w:widowControl/>
              <w:adjustRightInd w:val="0"/>
              <w:snapToGrid w:val="0"/>
              <w:jc w:val="center"/>
              <w:rPr>
                <w:rFonts w:cs="Times New Roman"/>
                <w:color w:val="000000" w:themeColor="text1"/>
                <w:kern w:val="0"/>
                <w:sz w:val="21"/>
              </w:rPr>
            </w:pPr>
            <w:r>
              <w:rPr>
                <w:rFonts w:cs="Times New Roman"/>
                <w:color w:val="000000" w:themeColor="text1"/>
                <w:kern w:val="0"/>
                <w:sz w:val="21"/>
              </w:rPr>
              <w:t>BOD</w:t>
            </w:r>
            <w:r>
              <w:rPr>
                <w:rFonts w:cs="Times New Roman"/>
                <w:color w:val="000000" w:themeColor="text1"/>
                <w:kern w:val="0"/>
                <w:sz w:val="21"/>
                <w:vertAlign w:val="subscript"/>
              </w:rPr>
              <w:t>5</w:t>
            </w:r>
          </w:p>
        </w:tc>
        <w:tc>
          <w:tcPr>
            <w:tcW w:w="1411" w:type="dxa"/>
            <w:vAlign w:val="center"/>
          </w:tcPr>
          <w:p>
            <w:pPr>
              <w:jc w:val="center"/>
              <w:rPr>
                <w:rFonts w:cs="Times New Roman"/>
                <w:color w:val="000000" w:themeColor="text1"/>
                <w:sz w:val="21"/>
              </w:rPr>
            </w:pPr>
            <w:r>
              <w:rPr>
                <w:rFonts w:cs="Times New Roman"/>
                <w:color w:val="000000" w:themeColor="text1"/>
                <w:sz w:val="21"/>
              </w:rPr>
              <w:t xml:space="preserve">1.3t/a </w:t>
            </w:r>
          </w:p>
        </w:tc>
        <w:tc>
          <w:tcPr>
            <w:tcW w:w="1498" w:type="dxa"/>
            <w:gridSpan w:val="2"/>
            <w:vAlign w:val="center"/>
          </w:tcPr>
          <w:p>
            <w:pPr>
              <w:widowControl/>
              <w:adjustRightInd w:val="0"/>
              <w:snapToGrid w:val="0"/>
              <w:jc w:val="center"/>
              <w:rPr>
                <w:rFonts w:cs="Times New Roman"/>
                <w:color w:val="000000" w:themeColor="text1"/>
                <w:sz w:val="21"/>
              </w:rPr>
            </w:pPr>
            <w:r>
              <w:rPr>
                <w:rFonts w:cs="Times New Roman"/>
                <w:color w:val="000000" w:themeColor="text1"/>
                <w:sz w:val="21"/>
              </w:rPr>
              <w:t>150mg/L</w:t>
            </w:r>
          </w:p>
        </w:tc>
        <w:tc>
          <w:tcPr>
            <w:tcW w:w="1527" w:type="dxa"/>
            <w:vAlign w:val="center"/>
          </w:tcPr>
          <w:p>
            <w:pPr>
              <w:jc w:val="center"/>
              <w:rPr>
                <w:rFonts w:cs="Times New Roman"/>
                <w:color w:val="000000" w:themeColor="text1"/>
                <w:sz w:val="21"/>
              </w:rPr>
            </w:pPr>
            <w:r>
              <w:rPr>
                <w:rFonts w:cs="Times New Roman"/>
                <w:color w:val="000000" w:themeColor="text1"/>
                <w:sz w:val="21"/>
              </w:rPr>
              <w:t>1.04t/a</w:t>
            </w:r>
          </w:p>
        </w:tc>
        <w:tc>
          <w:tcPr>
            <w:tcW w:w="1434" w:type="dxa"/>
            <w:vAlign w:val="center"/>
          </w:tcPr>
          <w:p>
            <w:pPr>
              <w:adjustRightInd w:val="0"/>
              <w:snapToGrid w:val="0"/>
              <w:jc w:val="center"/>
              <w:rPr>
                <w:rFonts w:cs="Times New Roman"/>
                <w:color w:val="000000" w:themeColor="text1"/>
                <w:sz w:val="21"/>
              </w:rPr>
            </w:pPr>
            <w:r>
              <w:rPr>
                <w:rFonts w:cs="Times New Roman"/>
                <w:color w:val="000000" w:themeColor="text1"/>
                <w:sz w:val="21"/>
              </w:rPr>
              <w:t>120mg/L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1" w:hRule="atLeast"/>
          <w:tblHeader/>
          <w:jc w:val="center"/>
        </w:trPr>
        <w:tc>
          <w:tcPr>
            <w:tcW w:w="821" w:type="dxa"/>
            <w:vMerge w:val="continue"/>
            <w:vAlign w:val="center"/>
          </w:tcPr>
          <w:p>
            <w:pPr>
              <w:adjustRightInd w:val="0"/>
              <w:snapToGrid w:val="0"/>
              <w:jc w:val="center"/>
              <w:rPr>
                <w:rFonts w:cs="Times New Roman"/>
                <w:color w:val="000000" w:themeColor="text1"/>
                <w:sz w:val="21"/>
              </w:rPr>
            </w:pPr>
          </w:p>
        </w:tc>
        <w:tc>
          <w:tcPr>
            <w:tcW w:w="1295" w:type="dxa"/>
            <w:vMerge w:val="continue"/>
            <w:vAlign w:val="center"/>
          </w:tcPr>
          <w:p>
            <w:pPr>
              <w:adjustRightInd w:val="0"/>
              <w:snapToGrid w:val="0"/>
              <w:jc w:val="center"/>
              <w:rPr>
                <w:rFonts w:cs="Times New Roman"/>
                <w:color w:val="000000" w:themeColor="text1"/>
                <w:sz w:val="21"/>
              </w:rPr>
            </w:pPr>
          </w:p>
        </w:tc>
        <w:tc>
          <w:tcPr>
            <w:tcW w:w="1602" w:type="dxa"/>
            <w:vAlign w:val="center"/>
          </w:tcPr>
          <w:p>
            <w:pPr>
              <w:widowControl/>
              <w:adjustRightInd w:val="0"/>
              <w:snapToGrid w:val="0"/>
              <w:jc w:val="center"/>
              <w:rPr>
                <w:rFonts w:cs="Times New Roman"/>
                <w:color w:val="000000" w:themeColor="text1"/>
                <w:kern w:val="0"/>
                <w:sz w:val="21"/>
              </w:rPr>
            </w:pPr>
            <w:r>
              <w:rPr>
                <w:rFonts w:cs="Times New Roman"/>
                <w:color w:val="000000" w:themeColor="text1"/>
                <w:kern w:val="0"/>
                <w:sz w:val="21"/>
              </w:rPr>
              <w:t>动植物油</w:t>
            </w:r>
          </w:p>
        </w:tc>
        <w:tc>
          <w:tcPr>
            <w:tcW w:w="1411" w:type="dxa"/>
            <w:vAlign w:val="center"/>
          </w:tcPr>
          <w:p>
            <w:pPr>
              <w:jc w:val="center"/>
              <w:rPr>
                <w:rFonts w:cs="Times New Roman"/>
                <w:color w:val="000000" w:themeColor="text1"/>
                <w:sz w:val="21"/>
              </w:rPr>
            </w:pPr>
            <w:r>
              <w:rPr>
                <w:rFonts w:cs="Times New Roman"/>
                <w:color w:val="000000" w:themeColor="text1"/>
                <w:sz w:val="21"/>
              </w:rPr>
              <w:t>0.17t/a</w:t>
            </w:r>
          </w:p>
        </w:tc>
        <w:tc>
          <w:tcPr>
            <w:tcW w:w="1498" w:type="dxa"/>
            <w:gridSpan w:val="2"/>
            <w:vAlign w:val="center"/>
          </w:tcPr>
          <w:p>
            <w:pPr>
              <w:widowControl/>
              <w:adjustRightInd w:val="0"/>
              <w:snapToGrid w:val="0"/>
              <w:jc w:val="center"/>
              <w:rPr>
                <w:rFonts w:cs="Times New Roman"/>
                <w:color w:val="000000" w:themeColor="text1"/>
                <w:sz w:val="21"/>
              </w:rPr>
            </w:pPr>
            <w:r>
              <w:rPr>
                <w:rFonts w:cs="Times New Roman"/>
                <w:color w:val="000000" w:themeColor="text1"/>
                <w:sz w:val="21"/>
              </w:rPr>
              <w:t>20mg/L</w:t>
            </w:r>
          </w:p>
        </w:tc>
        <w:tc>
          <w:tcPr>
            <w:tcW w:w="1527" w:type="dxa"/>
            <w:vAlign w:val="center"/>
          </w:tcPr>
          <w:p>
            <w:pPr>
              <w:jc w:val="center"/>
              <w:rPr>
                <w:rFonts w:cs="Times New Roman"/>
                <w:color w:val="000000" w:themeColor="text1"/>
                <w:sz w:val="21"/>
              </w:rPr>
            </w:pPr>
            <w:r>
              <w:rPr>
                <w:rFonts w:cs="Times New Roman"/>
                <w:color w:val="000000" w:themeColor="text1"/>
                <w:sz w:val="21"/>
              </w:rPr>
              <w:t>0.09t/a</w:t>
            </w:r>
          </w:p>
        </w:tc>
        <w:tc>
          <w:tcPr>
            <w:tcW w:w="1434" w:type="dxa"/>
            <w:vAlign w:val="center"/>
          </w:tcPr>
          <w:p>
            <w:pPr>
              <w:adjustRightInd w:val="0"/>
              <w:snapToGrid w:val="0"/>
              <w:jc w:val="center"/>
              <w:rPr>
                <w:rFonts w:cs="Times New Roman"/>
                <w:color w:val="000000" w:themeColor="text1"/>
                <w:sz w:val="21"/>
              </w:rPr>
            </w:pPr>
            <w:r>
              <w:rPr>
                <w:rFonts w:cs="Times New Roman"/>
                <w:color w:val="000000" w:themeColor="text1"/>
                <w:sz w:val="21"/>
              </w:rPr>
              <w:t>10mg/L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1" w:hRule="atLeast"/>
          <w:jc w:val="center"/>
        </w:trPr>
        <w:tc>
          <w:tcPr>
            <w:tcW w:w="821" w:type="dxa"/>
            <w:vMerge w:val="continue"/>
            <w:vAlign w:val="center"/>
          </w:tcPr>
          <w:p>
            <w:pPr>
              <w:adjustRightInd w:val="0"/>
              <w:snapToGrid w:val="0"/>
              <w:jc w:val="center"/>
              <w:rPr>
                <w:rFonts w:cs="Times New Roman"/>
                <w:color w:val="000000" w:themeColor="text1"/>
                <w:sz w:val="21"/>
              </w:rPr>
            </w:pPr>
          </w:p>
        </w:tc>
        <w:tc>
          <w:tcPr>
            <w:tcW w:w="1295" w:type="dxa"/>
            <w:vMerge w:val="restart"/>
            <w:vAlign w:val="center"/>
          </w:tcPr>
          <w:p>
            <w:pPr>
              <w:widowControl/>
              <w:adjustRightInd w:val="0"/>
              <w:snapToGrid w:val="0"/>
              <w:jc w:val="center"/>
              <w:rPr>
                <w:rFonts w:cs="Times New Roman"/>
                <w:color w:val="000000" w:themeColor="text1"/>
                <w:sz w:val="21"/>
              </w:rPr>
            </w:pPr>
            <w:r>
              <w:rPr>
                <w:rFonts w:cs="Times New Roman"/>
                <w:color w:val="000000" w:themeColor="text1"/>
                <w:sz w:val="21"/>
              </w:rPr>
              <w:t>医疗废水</w:t>
            </w:r>
          </w:p>
        </w:tc>
        <w:tc>
          <w:tcPr>
            <w:tcW w:w="1602" w:type="dxa"/>
            <w:vAlign w:val="center"/>
          </w:tcPr>
          <w:p>
            <w:pPr>
              <w:widowControl/>
              <w:adjustRightInd w:val="0"/>
              <w:snapToGrid w:val="0"/>
              <w:jc w:val="center"/>
              <w:rPr>
                <w:rFonts w:cs="Times New Roman"/>
                <w:color w:val="000000" w:themeColor="text1"/>
                <w:kern w:val="0"/>
                <w:sz w:val="21"/>
              </w:rPr>
            </w:pPr>
            <w:r>
              <w:rPr>
                <w:rFonts w:cs="Times New Roman"/>
                <w:color w:val="000000" w:themeColor="text1"/>
                <w:kern w:val="0"/>
                <w:sz w:val="21"/>
              </w:rPr>
              <w:t>废水量</w:t>
            </w:r>
          </w:p>
        </w:tc>
        <w:tc>
          <w:tcPr>
            <w:tcW w:w="5870" w:type="dxa"/>
            <w:gridSpan w:val="5"/>
            <w:vAlign w:val="center"/>
          </w:tcPr>
          <w:p>
            <w:pPr>
              <w:jc w:val="center"/>
              <w:rPr>
                <w:rFonts w:cs="Times New Roman"/>
                <w:color w:val="000000" w:themeColor="text1"/>
                <w:sz w:val="21"/>
              </w:rPr>
            </w:pPr>
            <w:r>
              <w:rPr>
                <w:rFonts w:hint="eastAsia" w:cs="Times New Roman"/>
                <w:color w:val="000000" w:themeColor="text1"/>
                <w:sz w:val="21"/>
              </w:rPr>
              <w:t>119755.405</w:t>
            </w:r>
            <w:r>
              <w:rPr>
                <w:rFonts w:cs="Times New Roman"/>
                <w:color w:val="000000" w:themeColor="text1"/>
                <w:sz w:val="21"/>
              </w:rPr>
              <w:t>m</w:t>
            </w:r>
            <w:r>
              <w:rPr>
                <w:rFonts w:cs="Times New Roman"/>
                <w:color w:val="000000" w:themeColor="text1"/>
                <w:sz w:val="21"/>
                <w:vertAlign w:val="superscript"/>
              </w:rPr>
              <w:t>3</w:t>
            </w:r>
            <w:r>
              <w:rPr>
                <w:rFonts w:cs="Times New Roman"/>
                <w:color w:val="000000" w:themeColor="text1"/>
                <w:sz w:val="21"/>
              </w:rPr>
              <w:t>/a（</w:t>
            </w:r>
            <w:r>
              <w:rPr>
                <w:rFonts w:hint="eastAsia" w:cs="Times New Roman"/>
                <w:color w:val="000000" w:themeColor="text1"/>
                <w:sz w:val="21"/>
              </w:rPr>
              <w:t>328.097</w:t>
            </w:r>
            <w:r>
              <w:rPr>
                <w:rFonts w:cs="Times New Roman"/>
                <w:color w:val="000000" w:themeColor="text1"/>
                <w:sz w:val="21"/>
              </w:rPr>
              <w:t>m</w:t>
            </w:r>
            <w:r>
              <w:rPr>
                <w:rFonts w:cs="Times New Roman"/>
                <w:color w:val="000000" w:themeColor="text1"/>
                <w:sz w:val="21"/>
                <w:vertAlign w:val="superscript"/>
              </w:rPr>
              <w:t>3</w:t>
            </w:r>
            <w:r>
              <w:rPr>
                <w:rFonts w:cs="Times New Roman"/>
                <w:color w:val="000000" w:themeColor="text1"/>
                <w:sz w:val="21"/>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jc w:val="center"/>
        </w:trPr>
        <w:tc>
          <w:tcPr>
            <w:tcW w:w="821" w:type="dxa"/>
            <w:vMerge w:val="continue"/>
            <w:vAlign w:val="center"/>
          </w:tcPr>
          <w:p>
            <w:pPr>
              <w:adjustRightInd w:val="0"/>
              <w:snapToGrid w:val="0"/>
              <w:jc w:val="center"/>
              <w:rPr>
                <w:rFonts w:cs="Times New Roman"/>
                <w:color w:val="000000" w:themeColor="text1"/>
                <w:sz w:val="21"/>
              </w:rPr>
            </w:pPr>
          </w:p>
        </w:tc>
        <w:tc>
          <w:tcPr>
            <w:tcW w:w="1295" w:type="dxa"/>
            <w:vMerge w:val="continue"/>
            <w:vAlign w:val="center"/>
          </w:tcPr>
          <w:p>
            <w:pPr>
              <w:widowControl/>
              <w:adjustRightInd w:val="0"/>
              <w:snapToGrid w:val="0"/>
              <w:jc w:val="center"/>
              <w:rPr>
                <w:rFonts w:cs="Times New Roman"/>
                <w:color w:val="000000" w:themeColor="text1"/>
                <w:kern w:val="0"/>
                <w:sz w:val="21"/>
              </w:rPr>
            </w:pPr>
          </w:p>
        </w:tc>
        <w:tc>
          <w:tcPr>
            <w:tcW w:w="1602" w:type="dxa"/>
            <w:vAlign w:val="center"/>
          </w:tcPr>
          <w:p>
            <w:pPr>
              <w:jc w:val="center"/>
              <w:rPr>
                <w:rFonts w:eastAsia="宋体" w:cs="Times New Roman"/>
                <w:color w:val="000000" w:themeColor="text1"/>
                <w:sz w:val="21"/>
              </w:rPr>
            </w:pPr>
            <w:r>
              <w:rPr>
                <w:rFonts w:cs="Times New Roman"/>
                <w:color w:val="000000" w:themeColor="text1"/>
                <w:sz w:val="21"/>
              </w:rPr>
              <w:t>COD</w:t>
            </w:r>
            <w:r>
              <w:rPr>
                <w:rFonts w:cs="Times New Roman"/>
                <w:color w:val="000000" w:themeColor="text1"/>
                <w:sz w:val="21"/>
                <w:vertAlign w:val="subscript"/>
              </w:rPr>
              <w:t>Cr</w:t>
            </w:r>
          </w:p>
        </w:tc>
        <w:tc>
          <w:tcPr>
            <w:tcW w:w="1411" w:type="dxa"/>
            <w:vAlign w:val="center"/>
          </w:tcPr>
          <w:p>
            <w:pPr>
              <w:jc w:val="center"/>
              <w:rPr>
                <w:rFonts w:eastAsia="宋体" w:cs="Times New Roman"/>
                <w:color w:val="000000" w:themeColor="text1"/>
                <w:sz w:val="21"/>
              </w:rPr>
            </w:pPr>
            <w:r>
              <w:rPr>
                <w:rFonts w:hint="eastAsia" w:eastAsia="宋体" w:cs="Times New Roman"/>
                <w:color w:val="000000" w:themeColor="text1"/>
                <w:sz w:val="21"/>
              </w:rPr>
              <w:t>33.6</w:t>
            </w:r>
          </w:p>
        </w:tc>
        <w:tc>
          <w:tcPr>
            <w:tcW w:w="1498" w:type="dxa"/>
            <w:gridSpan w:val="2"/>
            <w:vAlign w:val="center"/>
          </w:tcPr>
          <w:p>
            <w:pPr>
              <w:jc w:val="center"/>
              <w:rPr>
                <w:rFonts w:eastAsia="宋体" w:cs="Times New Roman"/>
                <w:color w:val="000000" w:themeColor="text1"/>
                <w:sz w:val="21"/>
              </w:rPr>
            </w:pPr>
            <w:r>
              <w:rPr>
                <w:rFonts w:hint="eastAsia" w:eastAsia="宋体" w:cs="Times New Roman"/>
                <w:color w:val="000000" w:themeColor="text1"/>
                <w:sz w:val="21"/>
              </w:rPr>
              <w:t>280</w:t>
            </w:r>
            <w:r>
              <w:rPr>
                <w:rFonts w:cs="Times New Roman"/>
                <w:color w:val="000000" w:themeColor="text1"/>
                <w:sz w:val="21"/>
              </w:rPr>
              <w:t>mg/L</w:t>
            </w:r>
          </w:p>
        </w:tc>
        <w:tc>
          <w:tcPr>
            <w:tcW w:w="1527" w:type="dxa"/>
            <w:vAlign w:val="center"/>
          </w:tcPr>
          <w:p>
            <w:pPr>
              <w:jc w:val="center"/>
              <w:rPr>
                <w:rFonts w:eastAsia="宋体" w:cs="Times New Roman"/>
                <w:color w:val="000000" w:themeColor="text1"/>
                <w:sz w:val="21"/>
              </w:rPr>
            </w:pPr>
            <w:r>
              <w:rPr>
                <w:rFonts w:hint="eastAsia" w:eastAsia="宋体" w:cs="Times New Roman"/>
                <w:color w:val="000000" w:themeColor="text1"/>
                <w:sz w:val="21"/>
              </w:rPr>
              <w:t>19.4</w:t>
            </w:r>
          </w:p>
        </w:tc>
        <w:tc>
          <w:tcPr>
            <w:tcW w:w="1434" w:type="dxa"/>
            <w:vAlign w:val="center"/>
          </w:tcPr>
          <w:p>
            <w:pPr>
              <w:jc w:val="center"/>
              <w:rPr>
                <w:rFonts w:eastAsia="宋体" w:cs="Times New Roman"/>
                <w:color w:val="000000" w:themeColor="text1"/>
                <w:sz w:val="21"/>
              </w:rPr>
            </w:pPr>
            <w:r>
              <w:rPr>
                <w:rFonts w:eastAsia="宋体" w:cs="Times New Roman"/>
                <w:color w:val="000000" w:themeColor="text1"/>
                <w:sz w:val="21"/>
              </w:rPr>
              <w:t>162</w:t>
            </w:r>
            <w:r>
              <w:rPr>
                <w:rFonts w:cs="Times New Roman"/>
                <w:color w:val="000000" w:themeColor="text1"/>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jc w:val="center"/>
        </w:trPr>
        <w:tc>
          <w:tcPr>
            <w:tcW w:w="821" w:type="dxa"/>
            <w:vMerge w:val="continue"/>
            <w:vAlign w:val="center"/>
          </w:tcPr>
          <w:p>
            <w:pPr>
              <w:adjustRightInd w:val="0"/>
              <w:snapToGrid w:val="0"/>
              <w:jc w:val="center"/>
              <w:rPr>
                <w:rFonts w:cs="Times New Roman"/>
                <w:color w:val="000000" w:themeColor="text1"/>
                <w:sz w:val="21"/>
              </w:rPr>
            </w:pPr>
          </w:p>
        </w:tc>
        <w:tc>
          <w:tcPr>
            <w:tcW w:w="1295" w:type="dxa"/>
            <w:vMerge w:val="continue"/>
            <w:vAlign w:val="center"/>
          </w:tcPr>
          <w:p>
            <w:pPr>
              <w:widowControl/>
              <w:adjustRightInd w:val="0"/>
              <w:snapToGrid w:val="0"/>
              <w:jc w:val="center"/>
              <w:rPr>
                <w:rFonts w:cs="Times New Roman"/>
                <w:color w:val="000000" w:themeColor="text1"/>
                <w:kern w:val="0"/>
                <w:sz w:val="21"/>
              </w:rPr>
            </w:pPr>
          </w:p>
        </w:tc>
        <w:tc>
          <w:tcPr>
            <w:tcW w:w="1602" w:type="dxa"/>
            <w:vAlign w:val="center"/>
          </w:tcPr>
          <w:p>
            <w:pPr>
              <w:jc w:val="center"/>
              <w:rPr>
                <w:rFonts w:eastAsia="宋体" w:cs="Times New Roman"/>
                <w:color w:val="000000" w:themeColor="text1"/>
                <w:sz w:val="21"/>
              </w:rPr>
            </w:pPr>
            <w:r>
              <w:rPr>
                <w:rFonts w:cs="Times New Roman"/>
                <w:color w:val="000000" w:themeColor="text1"/>
                <w:sz w:val="21"/>
              </w:rPr>
              <w:t>BOD</w:t>
            </w:r>
            <w:r>
              <w:rPr>
                <w:rFonts w:cs="Times New Roman"/>
                <w:color w:val="000000" w:themeColor="text1"/>
                <w:sz w:val="21"/>
                <w:vertAlign w:val="subscript"/>
              </w:rPr>
              <w:t>5</w:t>
            </w:r>
          </w:p>
        </w:tc>
        <w:tc>
          <w:tcPr>
            <w:tcW w:w="1411" w:type="dxa"/>
            <w:vAlign w:val="center"/>
          </w:tcPr>
          <w:p>
            <w:pPr>
              <w:jc w:val="center"/>
              <w:rPr>
                <w:rFonts w:eastAsia="宋体" w:cs="Times New Roman"/>
                <w:color w:val="000000" w:themeColor="text1"/>
                <w:sz w:val="21"/>
              </w:rPr>
            </w:pPr>
            <w:r>
              <w:rPr>
                <w:rFonts w:hint="eastAsia" w:eastAsia="宋体" w:cs="Times New Roman"/>
                <w:color w:val="000000" w:themeColor="text1"/>
                <w:sz w:val="21"/>
              </w:rPr>
              <w:t>14.4</w:t>
            </w:r>
          </w:p>
        </w:tc>
        <w:tc>
          <w:tcPr>
            <w:tcW w:w="1498" w:type="dxa"/>
            <w:gridSpan w:val="2"/>
            <w:vAlign w:val="center"/>
          </w:tcPr>
          <w:p>
            <w:pPr>
              <w:jc w:val="center"/>
              <w:rPr>
                <w:rFonts w:eastAsia="宋体" w:cs="Times New Roman"/>
                <w:color w:val="000000" w:themeColor="text1"/>
                <w:sz w:val="21"/>
              </w:rPr>
            </w:pPr>
            <w:r>
              <w:rPr>
                <w:rFonts w:hint="eastAsia" w:eastAsia="宋体" w:cs="Times New Roman"/>
                <w:color w:val="000000" w:themeColor="text1"/>
                <w:sz w:val="21"/>
              </w:rPr>
              <w:t>120</w:t>
            </w:r>
            <w:r>
              <w:rPr>
                <w:rFonts w:cs="Times New Roman"/>
                <w:color w:val="000000" w:themeColor="text1"/>
                <w:sz w:val="21"/>
              </w:rPr>
              <w:t>mg/L</w:t>
            </w:r>
          </w:p>
        </w:tc>
        <w:tc>
          <w:tcPr>
            <w:tcW w:w="1527" w:type="dxa"/>
            <w:vAlign w:val="center"/>
          </w:tcPr>
          <w:p>
            <w:pPr>
              <w:jc w:val="center"/>
              <w:rPr>
                <w:rFonts w:eastAsia="宋体" w:cs="Times New Roman"/>
                <w:color w:val="000000" w:themeColor="text1"/>
                <w:sz w:val="21"/>
              </w:rPr>
            </w:pPr>
            <w:r>
              <w:rPr>
                <w:rFonts w:hint="eastAsia" w:eastAsia="宋体" w:cs="Times New Roman"/>
                <w:color w:val="000000" w:themeColor="text1"/>
                <w:sz w:val="21"/>
              </w:rPr>
              <w:t>5.93</w:t>
            </w:r>
          </w:p>
        </w:tc>
        <w:tc>
          <w:tcPr>
            <w:tcW w:w="1434" w:type="dxa"/>
            <w:vAlign w:val="center"/>
          </w:tcPr>
          <w:p>
            <w:pPr>
              <w:jc w:val="center"/>
              <w:rPr>
                <w:rFonts w:eastAsia="宋体" w:cs="Times New Roman"/>
                <w:color w:val="000000" w:themeColor="text1"/>
                <w:sz w:val="21"/>
              </w:rPr>
            </w:pPr>
            <w:r>
              <w:rPr>
                <w:rFonts w:eastAsia="宋体" w:cs="Times New Roman"/>
                <w:color w:val="000000" w:themeColor="text1"/>
                <w:sz w:val="21"/>
              </w:rPr>
              <w:t>49.5</w:t>
            </w:r>
            <w:r>
              <w:rPr>
                <w:rFonts w:cs="Times New Roman"/>
                <w:color w:val="000000" w:themeColor="text1"/>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jc w:val="center"/>
        </w:trPr>
        <w:tc>
          <w:tcPr>
            <w:tcW w:w="821" w:type="dxa"/>
            <w:vMerge w:val="continue"/>
            <w:vAlign w:val="center"/>
          </w:tcPr>
          <w:p>
            <w:pPr>
              <w:adjustRightInd w:val="0"/>
              <w:snapToGrid w:val="0"/>
              <w:jc w:val="center"/>
              <w:rPr>
                <w:rFonts w:cs="Times New Roman"/>
                <w:color w:val="000000" w:themeColor="text1"/>
                <w:sz w:val="21"/>
              </w:rPr>
            </w:pPr>
          </w:p>
        </w:tc>
        <w:tc>
          <w:tcPr>
            <w:tcW w:w="1295" w:type="dxa"/>
            <w:vMerge w:val="continue"/>
            <w:vAlign w:val="center"/>
          </w:tcPr>
          <w:p>
            <w:pPr>
              <w:widowControl/>
              <w:adjustRightInd w:val="0"/>
              <w:snapToGrid w:val="0"/>
              <w:jc w:val="center"/>
              <w:rPr>
                <w:rFonts w:cs="Times New Roman"/>
                <w:color w:val="000000" w:themeColor="text1"/>
                <w:kern w:val="0"/>
                <w:sz w:val="21"/>
              </w:rPr>
            </w:pPr>
          </w:p>
        </w:tc>
        <w:tc>
          <w:tcPr>
            <w:tcW w:w="1602" w:type="dxa"/>
            <w:vAlign w:val="center"/>
          </w:tcPr>
          <w:p>
            <w:pPr>
              <w:jc w:val="center"/>
              <w:rPr>
                <w:rFonts w:eastAsia="宋体" w:cs="Times New Roman"/>
                <w:color w:val="000000" w:themeColor="text1"/>
                <w:sz w:val="21"/>
              </w:rPr>
            </w:pPr>
            <w:r>
              <w:rPr>
                <w:rFonts w:cs="Times New Roman"/>
                <w:color w:val="000000" w:themeColor="text1"/>
                <w:sz w:val="21"/>
              </w:rPr>
              <w:t>SS</w:t>
            </w:r>
          </w:p>
        </w:tc>
        <w:tc>
          <w:tcPr>
            <w:tcW w:w="1411" w:type="dxa"/>
            <w:vAlign w:val="center"/>
          </w:tcPr>
          <w:p>
            <w:pPr>
              <w:jc w:val="center"/>
              <w:rPr>
                <w:rFonts w:eastAsia="宋体" w:cs="Times New Roman"/>
                <w:color w:val="000000" w:themeColor="text1"/>
                <w:sz w:val="21"/>
              </w:rPr>
            </w:pPr>
            <w:r>
              <w:rPr>
                <w:rFonts w:hint="eastAsia" w:eastAsia="宋体" w:cs="Times New Roman"/>
                <w:color w:val="000000" w:themeColor="text1"/>
                <w:sz w:val="21"/>
              </w:rPr>
              <w:t>18</w:t>
            </w:r>
          </w:p>
        </w:tc>
        <w:tc>
          <w:tcPr>
            <w:tcW w:w="1498" w:type="dxa"/>
            <w:gridSpan w:val="2"/>
            <w:vAlign w:val="center"/>
          </w:tcPr>
          <w:p>
            <w:pPr>
              <w:jc w:val="center"/>
              <w:rPr>
                <w:rFonts w:eastAsia="宋体" w:cs="Times New Roman"/>
                <w:color w:val="000000" w:themeColor="text1"/>
                <w:sz w:val="21"/>
              </w:rPr>
            </w:pPr>
            <w:r>
              <w:rPr>
                <w:rFonts w:hint="eastAsia" w:eastAsia="宋体" w:cs="Times New Roman"/>
                <w:color w:val="000000" w:themeColor="text1"/>
                <w:sz w:val="21"/>
              </w:rPr>
              <w:t>150</w:t>
            </w:r>
            <w:r>
              <w:rPr>
                <w:rFonts w:cs="Times New Roman"/>
                <w:color w:val="000000" w:themeColor="text1"/>
                <w:sz w:val="21"/>
              </w:rPr>
              <w:t>mg/L</w:t>
            </w:r>
          </w:p>
        </w:tc>
        <w:tc>
          <w:tcPr>
            <w:tcW w:w="1527" w:type="dxa"/>
            <w:vAlign w:val="center"/>
          </w:tcPr>
          <w:p>
            <w:pPr>
              <w:jc w:val="center"/>
              <w:rPr>
                <w:rFonts w:eastAsia="宋体" w:cs="Times New Roman"/>
                <w:color w:val="000000" w:themeColor="text1"/>
                <w:sz w:val="21"/>
              </w:rPr>
            </w:pPr>
            <w:r>
              <w:rPr>
                <w:rFonts w:hint="eastAsia" w:eastAsia="宋体" w:cs="Times New Roman"/>
                <w:color w:val="000000" w:themeColor="text1"/>
                <w:sz w:val="21"/>
              </w:rPr>
              <w:t>4.8</w:t>
            </w:r>
          </w:p>
        </w:tc>
        <w:tc>
          <w:tcPr>
            <w:tcW w:w="1434" w:type="dxa"/>
            <w:vAlign w:val="center"/>
          </w:tcPr>
          <w:p>
            <w:pPr>
              <w:jc w:val="center"/>
              <w:rPr>
                <w:rFonts w:eastAsia="宋体" w:cs="Times New Roman"/>
                <w:color w:val="000000" w:themeColor="text1"/>
                <w:sz w:val="21"/>
              </w:rPr>
            </w:pPr>
            <w:r>
              <w:rPr>
                <w:rFonts w:eastAsia="宋体" w:cs="Times New Roman"/>
                <w:color w:val="000000" w:themeColor="text1"/>
                <w:sz w:val="21"/>
              </w:rPr>
              <w:t>40</w:t>
            </w:r>
            <w:r>
              <w:rPr>
                <w:rFonts w:cs="Times New Roman"/>
                <w:color w:val="000000" w:themeColor="text1"/>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jc w:val="center"/>
        </w:trPr>
        <w:tc>
          <w:tcPr>
            <w:tcW w:w="821" w:type="dxa"/>
            <w:vMerge w:val="continue"/>
            <w:vAlign w:val="center"/>
          </w:tcPr>
          <w:p>
            <w:pPr>
              <w:adjustRightInd w:val="0"/>
              <w:snapToGrid w:val="0"/>
              <w:jc w:val="center"/>
              <w:rPr>
                <w:rFonts w:cs="Times New Roman"/>
                <w:color w:val="000000" w:themeColor="text1"/>
                <w:sz w:val="21"/>
              </w:rPr>
            </w:pPr>
          </w:p>
        </w:tc>
        <w:tc>
          <w:tcPr>
            <w:tcW w:w="1295" w:type="dxa"/>
            <w:vMerge w:val="continue"/>
            <w:vAlign w:val="center"/>
          </w:tcPr>
          <w:p>
            <w:pPr>
              <w:widowControl/>
              <w:adjustRightInd w:val="0"/>
              <w:snapToGrid w:val="0"/>
              <w:jc w:val="center"/>
              <w:rPr>
                <w:rFonts w:cs="Times New Roman"/>
                <w:color w:val="000000" w:themeColor="text1"/>
                <w:kern w:val="0"/>
                <w:sz w:val="21"/>
              </w:rPr>
            </w:pPr>
          </w:p>
        </w:tc>
        <w:tc>
          <w:tcPr>
            <w:tcW w:w="1602" w:type="dxa"/>
            <w:vAlign w:val="center"/>
          </w:tcPr>
          <w:p>
            <w:pPr>
              <w:jc w:val="center"/>
              <w:rPr>
                <w:rFonts w:eastAsia="宋体" w:cs="Times New Roman"/>
                <w:color w:val="000000" w:themeColor="text1"/>
                <w:sz w:val="21"/>
              </w:rPr>
            </w:pPr>
            <w:r>
              <w:rPr>
                <w:rFonts w:cs="Times New Roman"/>
                <w:color w:val="000000" w:themeColor="text1"/>
                <w:sz w:val="21"/>
              </w:rPr>
              <w:t>氨氮</w:t>
            </w:r>
          </w:p>
        </w:tc>
        <w:tc>
          <w:tcPr>
            <w:tcW w:w="1411" w:type="dxa"/>
            <w:vAlign w:val="center"/>
          </w:tcPr>
          <w:p>
            <w:pPr>
              <w:jc w:val="center"/>
              <w:rPr>
                <w:rFonts w:eastAsia="宋体" w:cs="Times New Roman"/>
                <w:color w:val="000000" w:themeColor="text1"/>
                <w:sz w:val="21"/>
              </w:rPr>
            </w:pPr>
            <w:r>
              <w:rPr>
                <w:rFonts w:hint="eastAsia" w:eastAsia="宋体" w:cs="Times New Roman"/>
                <w:color w:val="000000" w:themeColor="text1"/>
                <w:sz w:val="21"/>
              </w:rPr>
              <w:t>4.2</w:t>
            </w:r>
          </w:p>
        </w:tc>
        <w:tc>
          <w:tcPr>
            <w:tcW w:w="1498" w:type="dxa"/>
            <w:gridSpan w:val="2"/>
            <w:vAlign w:val="center"/>
          </w:tcPr>
          <w:p>
            <w:pPr>
              <w:jc w:val="center"/>
              <w:rPr>
                <w:rFonts w:eastAsia="宋体" w:cs="Times New Roman"/>
                <w:color w:val="000000" w:themeColor="text1"/>
                <w:sz w:val="21"/>
              </w:rPr>
            </w:pPr>
            <w:r>
              <w:rPr>
                <w:rFonts w:hint="eastAsia" w:eastAsia="宋体" w:cs="Times New Roman"/>
                <w:color w:val="000000" w:themeColor="text1"/>
                <w:sz w:val="21"/>
              </w:rPr>
              <w:t>35</w:t>
            </w:r>
            <w:r>
              <w:rPr>
                <w:rFonts w:cs="Times New Roman"/>
                <w:color w:val="000000" w:themeColor="text1"/>
                <w:sz w:val="21"/>
              </w:rPr>
              <w:t>mg/L</w:t>
            </w:r>
          </w:p>
        </w:tc>
        <w:tc>
          <w:tcPr>
            <w:tcW w:w="1527" w:type="dxa"/>
            <w:vAlign w:val="center"/>
          </w:tcPr>
          <w:p>
            <w:pPr>
              <w:jc w:val="center"/>
              <w:rPr>
                <w:rFonts w:eastAsia="宋体" w:cs="Times New Roman"/>
                <w:color w:val="000000" w:themeColor="text1"/>
                <w:sz w:val="21"/>
              </w:rPr>
            </w:pPr>
            <w:r>
              <w:rPr>
                <w:rFonts w:hint="eastAsia" w:eastAsia="宋体" w:cs="Times New Roman"/>
                <w:color w:val="000000" w:themeColor="text1"/>
                <w:sz w:val="21"/>
              </w:rPr>
              <w:t>1.72</w:t>
            </w:r>
          </w:p>
        </w:tc>
        <w:tc>
          <w:tcPr>
            <w:tcW w:w="1434" w:type="dxa"/>
            <w:vAlign w:val="center"/>
          </w:tcPr>
          <w:p>
            <w:pPr>
              <w:jc w:val="center"/>
              <w:rPr>
                <w:rFonts w:eastAsia="宋体" w:cs="Times New Roman"/>
                <w:color w:val="000000" w:themeColor="text1"/>
                <w:sz w:val="21"/>
              </w:rPr>
            </w:pPr>
            <w:r>
              <w:rPr>
                <w:rFonts w:eastAsia="宋体" w:cs="Times New Roman"/>
                <w:color w:val="000000" w:themeColor="text1"/>
                <w:sz w:val="21"/>
              </w:rPr>
              <w:t>14.4</w:t>
            </w:r>
            <w:r>
              <w:rPr>
                <w:rFonts w:cs="Times New Roman"/>
                <w:color w:val="000000" w:themeColor="text1"/>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jc w:val="center"/>
        </w:trPr>
        <w:tc>
          <w:tcPr>
            <w:tcW w:w="821" w:type="dxa"/>
            <w:vMerge w:val="continue"/>
            <w:vAlign w:val="center"/>
          </w:tcPr>
          <w:p>
            <w:pPr>
              <w:adjustRightInd w:val="0"/>
              <w:snapToGrid w:val="0"/>
              <w:jc w:val="center"/>
              <w:rPr>
                <w:rFonts w:cs="Times New Roman"/>
                <w:color w:val="000000" w:themeColor="text1"/>
                <w:sz w:val="21"/>
              </w:rPr>
            </w:pPr>
          </w:p>
        </w:tc>
        <w:tc>
          <w:tcPr>
            <w:tcW w:w="1295" w:type="dxa"/>
            <w:vMerge w:val="continue"/>
            <w:vAlign w:val="center"/>
          </w:tcPr>
          <w:p>
            <w:pPr>
              <w:widowControl/>
              <w:adjustRightInd w:val="0"/>
              <w:snapToGrid w:val="0"/>
              <w:jc w:val="center"/>
              <w:rPr>
                <w:rFonts w:cs="Times New Roman"/>
                <w:color w:val="000000" w:themeColor="text1"/>
                <w:kern w:val="0"/>
                <w:sz w:val="21"/>
              </w:rPr>
            </w:pPr>
          </w:p>
        </w:tc>
        <w:tc>
          <w:tcPr>
            <w:tcW w:w="1602" w:type="dxa"/>
            <w:vAlign w:val="center"/>
          </w:tcPr>
          <w:p>
            <w:pPr>
              <w:jc w:val="center"/>
              <w:rPr>
                <w:rFonts w:eastAsia="宋体" w:cs="Times New Roman"/>
                <w:color w:val="000000" w:themeColor="text1"/>
                <w:sz w:val="21"/>
              </w:rPr>
            </w:pPr>
            <w:r>
              <w:rPr>
                <w:rFonts w:cs="Times New Roman"/>
                <w:color w:val="000000" w:themeColor="text1"/>
                <w:sz w:val="21"/>
              </w:rPr>
              <w:t>粪大肠杆菌</w:t>
            </w:r>
          </w:p>
        </w:tc>
        <w:tc>
          <w:tcPr>
            <w:tcW w:w="1411" w:type="dxa"/>
            <w:vAlign w:val="center"/>
          </w:tcPr>
          <w:p>
            <w:pPr>
              <w:jc w:val="center"/>
              <w:rPr>
                <w:rFonts w:eastAsia="宋体" w:cs="Times New Roman"/>
                <w:color w:val="000000" w:themeColor="text1"/>
                <w:sz w:val="21"/>
              </w:rPr>
            </w:pPr>
            <w:r>
              <w:rPr>
                <w:rFonts w:hint="eastAsia" w:eastAsia="宋体" w:cs="Times New Roman"/>
                <w:color w:val="000000" w:themeColor="text1"/>
                <w:sz w:val="21"/>
              </w:rPr>
              <w:t>60055.64</w:t>
            </w:r>
            <w:r>
              <w:rPr>
                <w:rFonts w:cs="Times New Roman"/>
                <w:color w:val="000000" w:themeColor="text1"/>
                <w:szCs w:val="24"/>
              </w:rPr>
              <w:t>个</w:t>
            </w:r>
            <w:r>
              <w:rPr>
                <w:rFonts w:hint="eastAsia" w:cs="Times New Roman"/>
                <w:color w:val="000000" w:themeColor="text1"/>
                <w:szCs w:val="24"/>
              </w:rPr>
              <w:t>/L</w:t>
            </w:r>
          </w:p>
        </w:tc>
        <w:tc>
          <w:tcPr>
            <w:tcW w:w="1498" w:type="dxa"/>
            <w:gridSpan w:val="2"/>
            <w:vAlign w:val="center"/>
          </w:tcPr>
          <w:p>
            <w:pPr>
              <w:jc w:val="center"/>
              <w:rPr>
                <w:rFonts w:eastAsia="宋体" w:cs="Times New Roman"/>
                <w:color w:val="000000" w:themeColor="text1"/>
                <w:sz w:val="21"/>
              </w:rPr>
            </w:pPr>
            <w:r>
              <w:rPr>
                <w:rFonts w:hint="eastAsia" w:eastAsia="宋体" w:cs="Times New Roman"/>
                <w:color w:val="000000" w:themeColor="text1"/>
                <w:sz w:val="21"/>
              </w:rPr>
              <w:t>500000</w:t>
            </w:r>
            <w:r>
              <w:rPr>
                <w:rFonts w:cs="Times New Roman"/>
                <w:color w:val="000000" w:themeColor="text1"/>
                <w:szCs w:val="24"/>
              </w:rPr>
              <w:t>个</w:t>
            </w:r>
            <w:r>
              <w:rPr>
                <w:rFonts w:hint="eastAsia" w:cs="Times New Roman"/>
                <w:color w:val="000000" w:themeColor="text1"/>
                <w:szCs w:val="24"/>
              </w:rPr>
              <w:t>/L</w:t>
            </w:r>
          </w:p>
        </w:tc>
        <w:tc>
          <w:tcPr>
            <w:tcW w:w="1527" w:type="dxa"/>
            <w:vAlign w:val="center"/>
          </w:tcPr>
          <w:p>
            <w:pPr>
              <w:jc w:val="center"/>
              <w:rPr>
                <w:rFonts w:eastAsia="宋体" w:cs="Times New Roman"/>
                <w:color w:val="000000" w:themeColor="text1"/>
                <w:sz w:val="21"/>
              </w:rPr>
            </w:pPr>
            <w:r>
              <w:rPr>
                <w:rFonts w:hint="eastAsia" w:eastAsia="宋体" w:cs="Times New Roman"/>
                <w:color w:val="000000" w:themeColor="text1"/>
                <w:sz w:val="21"/>
              </w:rPr>
              <w:t>561.8</w:t>
            </w:r>
            <w:r>
              <w:rPr>
                <w:rFonts w:cs="Times New Roman"/>
                <w:color w:val="000000" w:themeColor="text1"/>
                <w:szCs w:val="24"/>
              </w:rPr>
              <w:t>个</w:t>
            </w:r>
            <w:r>
              <w:rPr>
                <w:rFonts w:hint="eastAsia" w:cs="Times New Roman"/>
                <w:color w:val="000000" w:themeColor="text1"/>
                <w:szCs w:val="24"/>
              </w:rPr>
              <w:t>/L</w:t>
            </w:r>
          </w:p>
        </w:tc>
        <w:tc>
          <w:tcPr>
            <w:tcW w:w="1434" w:type="dxa"/>
            <w:vAlign w:val="center"/>
          </w:tcPr>
          <w:p>
            <w:pPr>
              <w:jc w:val="center"/>
              <w:rPr>
                <w:rFonts w:eastAsia="宋体" w:cs="Times New Roman"/>
                <w:color w:val="000000" w:themeColor="text1"/>
                <w:sz w:val="21"/>
              </w:rPr>
            </w:pPr>
            <w:r>
              <w:rPr>
                <w:rFonts w:eastAsia="宋体" w:cs="Times New Roman"/>
                <w:color w:val="000000" w:themeColor="text1"/>
                <w:sz w:val="21"/>
              </w:rPr>
              <w:t>4700</w:t>
            </w:r>
            <w:r>
              <w:rPr>
                <w:rFonts w:cs="Times New Roman"/>
                <w:color w:val="000000" w:themeColor="text1"/>
                <w:szCs w:val="24"/>
              </w:rPr>
              <w:t>个</w:t>
            </w:r>
            <w:r>
              <w:rPr>
                <w:rFonts w:hint="eastAsia" w:cs="Times New Roman"/>
                <w:color w:val="000000" w:themeColor="text1"/>
                <w:szCs w:val="24"/>
              </w:rPr>
              <w:t>/L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jc w:val="center"/>
        </w:trPr>
        <w:tc>
          <w:tcPr>
            <w:tcW w:w="821" w:type="dxa"/>
            <w:vMerge w:val="continue"/>
            <w:vAlign w:val="center"/>
          </w:tcPr>
          <w:p>
            <w:pPr>
              <w:adjustRightInd w:val="0"/>
              <w:snapToGrid w:val="0"/>
              <w:jc w:val="center"/>
              <w:rPr>
                <w:rFonts w:cs="Times New Roman"/>
                <w:color w:val="000000" w:themeColor="text1"/>
                <w:sz w:val="21"/>
              </w:rPr>
            </w:pPr>
          </w:p>
        </w:tc>
        <w:tc>
          <w:tcPr>
            <w:tcW w:w="1295" w:type="dxa"/>
            <w:vMerge w:val="continue"/>
            <w:vAlign w:val="center"/>
          </w:tcPr>
          <w:p>
            <w:pPr>
              <w:widowControl/>
              <w:adjustRightInd w:val="0"/>
              <w:snapToGrid w:val="0"/>
              <w:jc w:val="center"/>
              <w:rPr>
                <w:rFonts w:cs="Times New Roman"/>
                <w:color w:val="000000" w:themeColor="text1"/>
                <w:kern w:val="0"/>
                <w:sz w:val="21"/>
              </w:rPr>
            </w:pPr>
          </w:p>
        </w:tc>
        <w:tc>
          <w:tcPr>
            <w:tcW w:w="1602" w:type="dxa"/>
            <w:vAlign w:val="center"/>
          </w:tcPr>
          <w:p>
            <w:pPr>
              <w:jc w:val="center"/>
              <w:rPr>
                <w:rFonts w:cs="Times New Roman"/>
                <w:color w:val="000000" w:themeColor="text1"/>
                <w:sz w:val="21"/>
              </w:rPr>
            </w:pPr>
            <w:r>
              <w:rPr>
                <w:rFonts w:cs="Times New Roman"/>
                <w:color w:val="000000" w:themeColor="text1"/>
                <w:sz w:val="21"/>
              </w:rPr>
              <w:t>总氮</w:t>
            </w:r>
          </w:p>
        </w:tc>
        <w:tc>
          <w:tcPr>
            <w:tcW w:w="1411" w:type="dxa"/>
            <w:vAlign w:val="center"/>
          </w:tcPr>
          <w:p>
            <w:pPr>
              <w:jc w:val="center"/>
              <w:rPr>
                <w:rFonts w:eastAsia="宋体" w:cs="Times New Roman"/>
                <w:color w:val="000000" w:themeColor="text1"/>
                <w:sz w:val="21"/>
              </w:rPr>
            </w:pPr>
            <w:r>
              <w:rPr>
                <w:rFonts w:hint="eastAsia" w:eastAsia="宋体" w:cs="Times New Roman"/>
                <w:color w:val="000000" w:themeColor="text1"/>
                <w:sz w:val="21"/>
              </w:rPr>
              <w:t>6.06</w:t>
            </w:r>
          </w:p>
        </w:tc>
        <w:tc>
          <w:tcPr>
            <w:tcW w:w="1498" w:type="dxa"/>
            <w:gridSpan w:val="2"/>
            <w:vAlign w:val="center"/>
          </w:tcPr>
          <w:p>
            <w:pPr>
              <w:jc w:val="center"/>
              <w:rPr>
                <w:rFonts w:eastAsia="宋体" w:cs="Times New Roman"/>
                <w:color w:val="000000" w:themeColor="text1"/>
                <w:sz w:val="21"/>
              </w:rPr>
            </w:pPr>
            <w:r>
              <w:rPr>
                <w:rFonts w:hint="eastAsia" w:eastAsia="宋体" w:cs="Times New Roman"/>
                <w:color w:val="000000" w:themeColor="text1"/>
                <w:sz w:val="21"/>
              </w:rPr>
              <w:t>50.6</w:t>
            </w:r>
            <w:r>
              <w:rPr>
                <w:rFonts w:cs="Times New Roman"/>
                <w:color w:val="000000" w:themeColor="text1"/>
                <w:sz w:val="21"/>
              </w:rPr>
              <w:t>mg/L</w:t>
            </w:r>
          </w:p>
        </w:tc>
        <w:tc>
          <w:tcPr>
            <w:tcW w:w="1527" w:type="dxa"/>
            <w:vAlign w:val="center"/>
          </w:tcPr>
          <w:p>
            <w:pPr>
              <w:jc w:val="center"/>
              <w:rPr>
                <w:rFonts w:eastAsia="宋体" w:cs="Times New Roman"/>
                <w:color w:val="000000" w:themeColor="text1"/>
                <w:sz w:val="21"/>
              </w:rPr>
            </w:pPr>
            <w:r>
              <w:rPr>
                <w:rFonts w:hint="eastAsia" w:eastAsia="宋体" w:cs="Times New Roman"/>
                <w:color w:val="000000" w:themeColor="text1"/>
                <w:sz w:val="21"/>
              </w:rPr>
              <w:t>3.02</w:t>
            </w:r>
          </w:p>
        </w:tc>
        <w:tc>
          <w:tcPr>
            <w:tcW w:w="1434" w:type="dxa"/>
            <w:vAlign w:val="center"/>
          </w:tcPr>
          <w:p>
            <w:pPr>
              <w:jc w:val="center"/>
              <w:rPr>
                <w:rFonts w:eastAsia="宋体" w:cs="Times New Roman"/>
                <w:color w:val="000000" w:themeColor="text1"/>
                <w:sz w:val="21"/>
              </w:rPr>
            </w:pPr>
            <w:r>
              <w:rPr>
                <w:rFonts w:hint="eastAsia" w:eastAsia="宋体" w:cs="Times New Roman"/>
                <w:color w:val="000000" w:themeColor="text1"/>
                <w:sz w:val="21"/>
              </w:rPr>
              <w:t>25.3</w:t>
            </w:r>
            <w:r>
              <w:rPr>
                <w:rFonts w:cs="Times New Roman"/>
                <w:color w:val="000000" w:themeColor="text1"/>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jc w:val="center"/>
        </w:trPr>
        <w:tc>
          <w:tcPr>
            <w:tcW w:w="821" w:type="dxa"/>
            <w:vMerge w:val="continue"/>
            <w:vAlign w:val="center"/>
          </w:tcPr>
          <w:p>
            <w:pPr>
              <w:adjustRightInd w:val="0"/>
              <w:snapToGrid w:val="0"/>
              <w:jc w:val="center"/>
              <w:rPr>
                <w:rFonts w:cs="Times New Roman"/>
                <w:color w:val="000000" w:themeColor="text1"/>
                <w:sz w:val="21"/>
              </w:rPr>
            </w:pPr>
          </w:p>
        </w:tc>
        <w:tc>
          <w:tcPr>
            <w:tcW w:w="1295" w:type="dxa"/>
            <w:vMerge w:val="continue"/>
            <w:vAlign w:val="center"/>
          </w:tcPr>
          <w:p>
            <w:pPr>
              <w:widowControl/>
              <w:adjustRightInd w:val="0"/>
              <w:snapToGrid w:val="0"/>
              <w:jc w:val="center"/>
              <w:rPr>
                <w:rFonts w:cs="Times New Roman"/>
                <w:color w:val="000000" w:themeColor="text1"/>
                <w:kern w:val="0"/>
                <w:sz w:val="21"/>
              </w:rPr>
            </w:pPr>
          </w:p>
        </w:tc>
        <w:tc>
          <w:tcPr>
            <w:tcW w:w="1602" w:type="dxa"/>
            <w:vAlign w:val="center"/>
          </w:tcPr>
          <w:p>
            <w:pPr>
              <w:jc w:val="center"/>
              <w:rPr>
                <w:rFonts w:cs="Times New Roman"/>
                <w:color w:val="000000" w:themeColor="text1"/>
                <w:sz w:val="21"/>
              </w:rPr>
            </w:pPr>
            <w:r>
              <w:rPr>
                <w:rFonts w:hint="eastAsia" w:cs="Times New Roman"/>
                <w:color w:val="000000" w:themeColor="text1"/>
                <w:sz w:val="21"/>
              </w:rPr>
              <w:t>总磷</w:t>
            </w:r>
          </w:p>
        </w:tc>
        <w:tc>
          <w:tcPr>
            <w:tcW w:w="1411" w:type="dxa"/>
            <w:vAlign w:val="center"/>
          </w:tcPr>
          <w:p>
            <w:pPr>
              <w:jc w:val="center"/>
              <w:rPr>
                <w:rFonts w:eastAsia="宋体" w:cs="Times New Roman"/>
                <w:color w:val="000000" w:themeColor="text1"/>
                <w:sz w:val="21"/>
              </w:rPr>
            </w:pPr>
            <w:r>
              <w:rPr>
                <w:rFonts w:hint="eastAsia" w:eastAsia="宋体" w:cs="Times New Roman"/>
                <w:color w:val="000000" w:themeColor="text1"/>
                <w:sz w:val="21"/>
              </w:rPr>
              <w:t>0.28</w:t>
            </w:r>
          </w:p>
        </w:tc>
        <w:tc>
          <w:tcPr>
            <w:tcW w:w="1498" w:type="dxa"/>
            <w:gridSpan w:val="2"/>
            <w:vAlign w:val="center"/>
          </w:tcPr>
          <w:p>
            <w:pPr>
              <w:jc w:val="center"/>
              <w:rPr>
                <w:rFonts w:eastAsia="宋体" w:cs="Times New Roman"/>
                <w:color w:val="000000" w:themeColor="text1"/>
                <w:sz w:val="21"/>
              </w:rPr>
            </w:pPr>
            <w:r>
              <w:rPr>
                <w:rFonts w:hint="eastAsia" w:eastAsia="宋体" w:cs="Times New Roman"/>
                <w:color w:val="000000" w:themeColor="text1"/>
                <w:sz w:val="21"/>
              </w:rPr>
              <w:t>2.4</w:t>
            </w:r>
            <w:r>
              <w:rPr>
                <w:rFonts w:cs="Times New Roman"/>
                <w:color w:val="000000" w:themeColor="text1"/>
                <w:sz w:val="21"/>
              </w:rPr>
              <w:t>mg/L</w:t>
            </w:r>
          </w:p>
        </w:tc>
        <w:tc>
          <w:tcPr>
            <w:tcW w:w="1527" w:type="dxa"/>
            <w:vAlign w:val="center"/>
          </w:tcPr>
          <w:p>
            <w:pPr>
              <w:jc w:val="center"/>
              <w:rPr>
                <w:rFonts w:eastAsia="宋体" w:cs="Times New Roman"/>
                <w:color w:val="000000" w:themeColor="text1"/>
                <w:sz w:val="21"/>
              </w:rPr>
            </w:pPr>
            <w:r>
              <w:rPr>
                <w:rFonts w:hint="eastAsia" w:eastAsia="宋体" w:cs="Times New Roman"/>
                <w:color w:val="000000" w:themeColor="text1"/>
                <w:sz w:val="21"/>
              </w:rPr>
              <w:t>0.14</w:t>
            </w:r>
          </w:p>
        </w:tc>
        <w:tc>
          <w:tcPr>
            <w:tcW w:w="1434" w:type="dxa"/>
            <w:vAlign w:val="center"/>
          </w:tcPr>
          <w:p>
            <w:pPr>
              <w:jc w:val="center"/>
              <w:rPr>
                <w:rFonts w:eastAsia="宋体" w:cs="Times New Roman"/>
                <w:color w:val="000000" w:themeColor="text1"/>
                <w:sz w:val="21"/>
              </w:rPr>
            </w:pPr>
            <w:r>
              <w:rPr>
                <w:rFonts w:hint="eastAsia" w:eastAsia="宋体" w:cs="Times New Roman"/>
                <w:color w:val="000000" w:themeColor="text1"/>
                <w:sz w:val="21"/>
              </w:rPr>
              <w:t>1.2</w:t>
            </w:r>
            <w:r>
              <w:rPr>
                <w:rFonts w:cs="Times New Roman"/>
                <w:color w:val="000000" w:themeColor="text1"/>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jc w:val="center"/>
        </w:trPr>
        <w:tc>
          <w:tcPr>
            <w:tcW w:w="821" w:type="dxa"/>
            <w:vMerge w:val="continue"/>
            <w:vAlign w:val="center"/>
          </w:tcPr>
          <w:p>
            <w:pPr>
              <w:adjustRightInd w:val="0"/>
              <w:snapToGrid w:val="0"/>
              <w:jc w:val="center"/>
              <w:rPr>
                <w:rFonts w:cs="Times New Roman"/>
                <w:color w:val="000000" w:themeColor="text1"/>
                <w:sz w:val="21"/>
              </w:rPr>
            </w:pPr>
          </w:p>
        </w:tc>
        <w:tc>
          <w:tcPr>
            <w:tcW w:w="1295" w:type="dxa"/>
            <w:vMerge w:val="continue"/>
            <w:vAlign w:val="center"/>
          </w:tcPr>
          <w:p>
            <w:pPr>
              <w:widowControl/>
              <w:adjustRightInd w:val="0"/>
              <w:snapToGrid w:val="0"/>
              <w:jc w:val="center"/>
              <w:rPr>
                <w:rFonts w:cs="Times New Roman"/>
                <w:color w:val="000000" w:themeColor="text1"/>
                <w:kern w:val="0"/>
                <w:sz w:val="21"/>
              </w:rPr>
            </w:pPr>
          </w:p>
        </w:tc>
        <w:tc>
          <w:tcPr>
            <w:tcW w:w="1602" w:type="dxa"/>
            <w:vAlign w:val="center"/>
          </w:tcPr>
          <w:p>
            <w:pPr>
              <w:jc w:val="center"/>
              <w:rPr>
                <w:rFonts w:cs="Times New Roman"/>
                <w:color w:val="000000" w:themeColor="text1"/>
                <w:sz w:val="21"/>
              </w:rPr>
            </w:pPr>
            <w:r>
              <w:rPr>
                <w:rFonts w:cs="Times New Roman"/>
                <w:color w:val="000000" w:themeColor="text1"/>
                <w:sz w:val="21"/>
              </w:rPr>
              <w:t>阴离子表面活性剂</w:t>
            </w:r>
          </w:p>
        </w:tc>
        <w:tc>
          <w:tcPr>
            <w:tcW w:w="1411" w:type="dxa"/>
            <w:vAlign w:val="center"/>
          </w:tcPr>
          <w:p>
            <w:pPr>
              <w:jc w:val="center"/>
              <w:rPr>
                <w:rFonts w:eastAsia="宋体" w:cs="Times New Roman"/>
                <w:color w:val="000000" w:themeColor="text1"/>
                <w:sz w:val="21"/>
              </w:rPr>
            </w:pPr>
            <w:r>
              <w:rPr>
                <w:rFonts w:hint="eastAsia" w:eastAsia="宋体" w:cs="Times New Roman"/>
                <w:color w:val="000000" w:themeColor="text1"/>
                <w:sz w:val="21"/>
              </w:rPr>
              <w:t>0.06</w:t>
            </w:r>
          </w:p>
        </w:tc>
        <w:tc>
          <w:tcPr>
            <w:tcW w:w="1498" w:type="dxa"/>
            <w:gridSpan w:val="2"/>
            <w:vAlign w:val="center"/>
          </w:tcPr>
          <w:p>
            <w:pPr>
              <w:jc w:val="center"/>
              <w:rPr>
                <w:rFonts w:eastAsia="宋体" w:cs="Times New Roman"/>
                <w:color w:val="000000" w:themeColor="text1"/>
                <w:sz w:val="21"/>
              </w:rPr>
            </w:pPr>
            <w:r>
              <w:rPr>
                <w:rFonts w:hint="eastAsia" w:eastAsia="宋体" w:cs="Times New Roman"/>
                <w:color w:val="000000" w:themeColor="text1"/>
                <w:sz w:val="21"/>
              </w:rPr>
              <w:t>0.5</w:t>
            </w:r>
            <w:r>
              <w:rPr>
                <w:rFonts w:cs="Times New Roman"/>
                <w:color w:val="000000" w:themeColor="text1"/>
                <w:sz w:val="21"/>
              </w:rPr>
              <w:t>mg/L</w:t>
            </w:r>
          </w:p>
        </w:tc>
        <w:tc>
          <w:tcPr>
            <w:tcW w:w="1527" w:type="dxa"/>
            <w:vAlign w:val="center"/>
          </w:tcPr>
          <w:p>
            <w:pPr>
              <w:jc w:val="center"/>
              <w:rPr>
                <w:rFonts w:eastAsia="宋体" w:cs="Times New Roman"/>
                <w:color w:val="000000" w:themeColor="text1"/>
                <w:sz w:val="21"/>
              </w:rPr>
            </w:pPr>
            <w:r>
              <w:rPr>
                <w:rFonts w:hint="eastAsia" w:eastAsia="宋体" w:cs="Times New Roman"/>
                <w:color w:val="000000" w:themeColor="text1"/>
                <w:sz w:val="21"/>
              </w:rPr>
              <w:t>0.024</w:t>
            </w:r>
          </w:p>
        </w:tc>
        <w:tc>
          <w:tcPr>
            <w:tcW w:w="1434" w:type="dxa"/>
            <w:vAlign w:val="center"/>
          </w:tcPr>
          <w:p>
            <w:pPr>
              <w:jc w:val="center"/>
              <w:rPr>
                <w:rFonts w:eastAsia="宋体" w:cs="Times New Roman"/>
                <w:color w:val="000000" w:themeColor="text1"/>
                <w:sz w:val="21"/>
              </w:rPr>
            </w:pPr>
            <w:r>
              <w:rPr>
                <w:rFonts w:hint="eastAsia" w:eastAsia="宋体" w:cs="Times New Roman"/>
                <w:color w:val="000000" w:themeColor="text1"/>
                <w:sz w:val="21"/>
              </w:rPr>
              <w:t>0.2</w:t>
            </w:r>
            <w:r>
              <w:rPr>
                <w:rFonts w:cs="Times New Roman"/>
                <w:color w:val="000000" w:themeColor="text1"/>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jc w:val="center"/>
        </w:trPr>
        <w:tc>
          <w:tcPr>
            <w:tcW w:w="821" w:type="dxa"/>
            <w:vMerge w:val="continue"/>
            <w:vAlign w:val="center"/>
          </w:tcPr>
          <w:p>
            <w:pPr>
              <w:adjustRightInd w:val="0"/>
              <w:snapToGrid w:val="0"/>
              <w:jc w:val="center"/>
              <w:rPr>
                <w:rFonts w:cs="Times New Roman"/>
                <w:color w:val="000000" w:themeColor="text1"/>
                <w:sz w:val="21"/>
              </w:rPr>
            </w:pPr>
          </w:p>
        </w:tc>
        <w:tc>
          <w:tcPr>
            <w:tcW w:w="1295" w:type="dxa"/>
            <w:vMerge w:val="continue"/>
            <w:vAlign w:val="center"/>
          </w:tcPr>
          <w:p>
            <w:pPr>
              <w:widowControl/>
              <w:adjustRightInd w:val="0"/>
              <w:snapToGrid w:val="0"/>
              <w:jc w:val="center"/>
              <w:rPr>
                <w:rFonts w:cs="Times New Roman"/>
                <w:color w:val="000000" w:themeColor="text1"/>
                <w:kern w:val="0"/>
                <w:sz w:val="21"/>
              </w:rPr>
            </w:pPr>
          </w:p>
        </w:tc>
        <w:tc>
          <w:tcPr>
            <w:tcW w:w="1602" w:type="dxa"/>
            <w:vAlign w:val="center"/>
          </w:tcPr>
          <w:p>
            <w:pPr>
              <w:jc w:val="center"/>
              <w:rPr>
                <w:rFonts w:cs="Times New Roman"/>
                <w:color w:val="000000" w:themeColor="text1"/>
                <w:sz w:val="21"/>
              </w:rPr>
            </w:pPr>
            <w:r>
              <w:rPr>
                <w:rFonts w:hint="eastAsia" w:cs="Times New Roman"/>
                <w:color w:val="000000" w:themeColor="text1"/>
                <w:sz w:val="21"/>
              </w:rPr>
              <w:t>总余氯</w:t>
            </w:r>
          </w:p>
        </w:tc>
        <w:tc>
          <w:tcPr>
            <w:tcW w:w="1411" w:type="dxa"/>
            <w:vAlign w:val="center"/>
          </w:tcPr>
          <w:p>
            <w:pPr>
              <w:jc w:val="center"/>
              <w:rPr>
                <w:rFonts w:eastAsia="宋体" w:cs="Times New Roman"/>
                <w:color w:val="000000" w:themeColor="text1"/>
                <w:sz w:val="21"/>
              </w:rPr>
            </w:pPr>
            <w:r>
              <w:rPr>
                <w:rFonts w:hint="eastAsia" w:eastAsia="宋体" w:cs="Times New Roman"/>
                <w:color w:val="000000" w:themeColor="text1"/>
                <w:sz w:val="21"/>
              </w:rPr>
              <w:t>0.01</w:t>
            </w:r>
          </w:p>
        </w:tc>
        <w:tc>
          <w:tcPr>
            <w:tcW w:w="1498" w:type="dxa"/>
            <w:gridSpan w:val="2"/>
            <w:vAlign w:val="center"/>
          </w:tcPr>
          <w:p>
            <w:pPr>
              <w:jc w:val="center"/>
              <w:rPr>
                <w:rFonts w:eastAsia="宋体" w:cs="Times New Roman"/>
                <w:color w:val="000000" w:themeColor="text1"/>
                <w:sz w:val="21"/>
              </w:rPr>
            </w:pPr>
            <w:r>
              <w:rPr>
                <w:rFonts w:hint="eastAsia" w:eastAsia="宋体" w:cs="Times New Roman"/>
                <w:color w:val="000000" w:themeColor="text1"/>
                <w:sz w:val="21"/>
              </w:rPr>
              <w:t>0.08</w:t>
            </w:r>
            <w:r>
              <w:rPr>
                <w:rFonts w:cs="Times New Roman"/>
                <w:color w:val="000000" w:themeColor="text1"/>
                <w:sz w:val="21"/>
              </w:rPr>
              <w:t>mg/L</w:t>
            </w:r>
          </w:p>
        </w:tc>
        <w:tc>
          <w:tcPr>
            <w:tcW w:w="1527" w:type="dxa"/>
            <w:vAlign w:val="center"/>
          </w:tcPr>
          <w:p>
            <w:pPr>
              <w:jc w:val="center"/>
              <w:rPr>
                <w:rFonts w:eastAsia="宋体" w:cs="Times New Roman"/>
                <w:color w:val="000000" w:themeColor="text1"/>
                <w:sz w:val="21"/>
              </w:rPr>
            </w:pPr>
            <w:r>
              <w:rPr>
                <w:rFonts w:hint="eastAsia" w:eastAsia="宋体" w:cs="Times New Roman"/>
                <w:color w:val="000000" w:themeColor="text1"/>
                <w:sz w:val="21"/>
              </w:rPr>
              <w:t>0.005</w:t>
            </w:r>
          </w:p>
        </w:tc>
        <w:tc>
          <w:tcPr>
            <w:tcW w:w="1434" w:type="dxa"/>
            <w:vAlign w:val="center"/>
          </w:tcPr>
          <w:p>
            <w:pPr>
              <w:jc w:val="center"/>
              <w:rPr>
                <w:rFonts w:eastAsia="宋体" w:cs="Times New Roman"/>
                <w:color w:val="000000" w:themeColor="text1"/>
                <w:sz w:val="21"/>
              </w:rPr>
            </w:pPr>
            <w:r>
              <w:rPr>
                <w:rFonts w:hint="eastAsia" w:eastAsia="宋体" w:cs="Times New Roman"/>
                <w:color w:val="000000" w:themeColor="text1"/>
                <w:sz w:val="21"/>
              </w:rPr>
              <w:t>0.04</w:t>
            </w:r>
            <w:r>
              <w:rPr>
                <w:rFonts w:cs="Times New Roman"/>
                <w:color w:val="000000" w:themeColor="text1"/>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jc w:val="center"/>
        </w:trPr>
        <w:tc>
          <w:tcPr>
            <w:tcW w:w="821" w:type="dxa"/>
            <w:vMerge w:val="continue"/>
            <w:vAlign w:val="center"/>
          </w:tcPr>
          <w:p>
            <w:pPr>
              <w:adjustRightInd w:val="0"/>
              <w:snapToGrid w:val="0"/>
              <w:jc w:val="center"/>
              <w:rPr>
                <w:rFonts w:cs="Times New Roman"/>
                <w:color w:val="000000" w:themeColor="text1"/>
                <w:sz w:val="21"/>
              </w:rPr>
            </w:pPr>
          </w:p>
        </w:tc>
        <w:tc>
          <w:tcPr>
            <w:tcW w:w="1295" w:type="dxa"/>
            <w:vMerge w:val="continue"/>
            <w:vAlign w:val="center"/>
          </w:tcPr>
          <w:p>
            <w:pPr>
              <w:widowControl/>
              <w:adjustRightInd w:val="0"/>
              <w:snapToGrid w:val="0"/>
              <w:jc w:val="center"/>
              <w:rPr>
                <w:rFonts w:cs="Times New Roman"/>
                <w:color w:val="000000" w:themeColor="text1"/>
                <w:kern w:val="0"/>
                <w:sz w:val="21"/>
              </w:rPr>
            </w:pPr>
          </w:p>
        </w:tc>
        <w:tc>
          <w:tcPr>
            <w:tcW w:w="1602" w:type="dxa"/>
            <w:vAlign w:val="center"/>
          </w:tcPr>
          <w:p>
            <w:pPr>
              <w:jc w:val="center"/>
              <w:rPr>
                <w:rFonts w:cs="Times New Roman"/>
                <w:color w:val="000000" w:themeColor="text1"/>
                <w:sz w:val="21"/>
              </w:rPr>
            </w:pPr>
            <w:r>
              <w:rPr>
                <w:rFonts w:cs="Times New Roman"/>
                <w:color w:val="000000" w:themeColor="text1"/>
                <w:sz w:val="21"/>
              </w:rPr>
              <w:t>总氰化物</w:t>
            </w:r>
          </w:p>
        </w:tc>
        <w:tc>
          <w:tcPr>
            <w:tcW w:w="1411" w:type="dxa"/>
            <w:vAlign w:val="center"/>
          </w:tcPr>
          <w:p>
            <w:pPr>
              <w:jc w:val="center"/>
              <w:rPr>
                <w:rFonts w:eastAsia="宋体" w:cs="Times New Roman"/>
                <w:color w:val="000000" w:themeColor="text1"/>
                <w:sz w:val="21"/>
              </w:rPr>
            </w:pPr>
            <w:r>
              <w:rPr>
                <w:rFonts w:hint="eastAsia" w:eastAsia="宋体" w:cs="Times New Roman"/>
                <w:color w:val="000000" w:themeColor="text1"/>
                <w:sz w:val="21"/>
              </w:rPr>
              <w:t>0.0001</w:t>
            </w:r>
          </w:p>
        </w:tc>
        <w:tc>
          <w:tcPr>
            <w:tcW w:w="1498" w:type="dxa"/>
            <w:gridSpan w:val="2"/>
            <w:vAlign w:val="center"/>
          </w:tcPr>
          <w:p>
            <w:pPr>
              <w:jc w:val="center"/>
              <w:rPr>
                <w:rFonts w:eastAsia="宋体" w:cs="Times New Roman"/>
                <w:color w:val="000000" w:themeColor="text1"/>
                <w:sz w:val="21"/>
              </w:rPr>
            </w:pPr>
            <w:r>
              <w:rPr>
                <w:rFonts w:hint="eastAsia" w:eastAsia="宋体" w:cs="Times New Roman"/>
                <w:color w:val="000000" w:themeColor="text1"/>
                <w:sz w:val="21"/>
              </w:rPr>
              <w:t>0.001L</w:t>
            </w:r>
          </w:p>
        </w:tc>
        <w:tc>
          <w:tcPr>
            <w:tcW w:w="1527" w:type="dxa"/>
            <w:vAlign w:val="center"/>
          </w:tcPr>
          <w:p>
            <w:pPr>
              <w:jc w:val="center"/>
              <w:rPr>
                <w:rFonts w:eastAsia="宋体" w:cs="Times New Roman"/>
                <w:color w:val="000000" w:themeColor="text1"/>
                <w:sz w:val="21"/>
              </w:rPr>
            </w:pPr>
            <w:r>
              <w:rPr>
                <w:rFonts w:hint="eastAsia" w:eastAsia="宋体" w:cs="Times New Roman"/>
                <w:color w:val="000000" w:themeColor="text1"/>
                <w:sz w:val="21"/>
              </w:rPr>
              <w:t>0.0001</w:t>
            </w:r>
          </w:p>
        </w:tc>
        <w:tc>
          <w:tcPr>
            <w:tcW w:w="1434" w:type="dxa"/>
            <w:vAlign w:val="center"/>
          </w:tcPr>
          <w:p>
            <w:pPr>
              <w:jc w:val="center"/>
              <w:rPr>
                <w:rFonts w:eastAsia="宋体" w:cs="Times New Roman"/>
                <w:color w:val="000000" w:themeColor="text1"/>
                <w:sz w:val="21"/>
              </w:rPr>
            </w:pPr>
            <w:r>
              <w:rPr>
                <w:rFonts w:hint="eastAsia" w:eastAsia="宋体" w:cs="Times New Roman"/>
                <w:color w:val="000000" w:themeColor="text1"/>
                <w:sz w:val="21"/>
              </w:rPr>
              <w:t>0.001L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2" w:hRule="atLeast"/>
          <w:jc w:val="center"/>
        </w:trPr>
        <w:tc>
          <w:tcPr>
            <w:tcW w:w="821" w:type="dxa"/>
            <w:vMerge w:val="restart"/>
            <w:vAlign w:val="center"/>
          </w:tcPr>
          <w:p>
            <w:pPr>
              <w:adjustRightInd w:val="0"/>
              <w:snapToGrid w:val="0"/>
              <w:jc w:val="center"/>
              <w:rPr>
                <w:rFonts w:cs="Times New Roman"/>
                <w:color w:val="000000" w:themeColor="text1"/>
                <w:kern w:val="0"/>
                <w:sz w:val="21"/>
              </w:rPr>
            </w:pPr>
            <w:r>
              <w:rPr>
                <w:rFonts w:cs="Times New Roman"/>
                <w:color w:val="000000" w:themeColor="text1"/>
                <w:sz w:val="21"/>
              </w:rPr>
              <w:t>大气</w:t>
            </w:r>
          </w:p>
        </w:tc>
        <w:tc>
          <w:tcPr>
            <w:tcW w:w="1295" w:type="dxa"/>
            <w:vMerge w:val="restart"/>
            <w:vAlign w:val="center"/>
          </w:tcPr>
          <w:p>
            <w:pPr>
              <w:widowControl/>
              <w:adjustRightInd w:val="0"/>
              <w:snapToGrid w:val="0"/>
              <w:jc w:val="center"/>
              <w:rPr>
                <w:rFonts w:cs="Times New Roman"/>
                <w:color w:val="000000" w:themeColor="text1"/>
                <w:kern w:val="0"/>
                <w:sz w:val="21"/>
              </w:rPr>
            </w:pPr>
            <w:r>
              <w:rPr>
                <w:rFonts w:cs="Times New Roman"/>
                <w:color w:val="000000" w:themeColor="text1"/>
                <w:kern w:val="0"/>
                <w:sz w:val="21"/>
              </w:rPr>
              <w:t>汽车尾气</w:t>
            </w:r>
          </w:p>
        </w:tc>
        <w:tc>
          <w:tcPr>
            <w:tcW w:w="1602" w:type="dxa"/>
            <w:vAlign w:val="center"/>
          </w:tcPr>
          <w:p>
            <w:pPr>
              <w:jc w:val="center"/>
              <w:rPr>
                <w:rFonts w:cs="Times New Roman"/>
                <w:color w:val="000000" w:themeColor="text1"/>
                <w:sz w:val="21"/>
              </w:rPr>
            </w:pPr>
            <w:r>
              <w:rPr>
                <w:rFonts w:cs="Times New Roman"/>
                <w:color w:val="000000" w:themeColor="text1"/>
                <w:sz w:val="21"/>
              </w:rPr>
              <w:t>CO</w:t>
            </w:r>
          </w:p>
        </w:tc>
        <w:tc>
          <w:tcPr>
            <w:tcW w:w="1411" w:type="dxa"/>
            <w:vAlign w:val="center"/>
          </w:tcPr>
          <w:p>
            <w:pPr>
              <w:jc w:val="center"/>
              <w:rPr>
                <w:rFonts w:cs="Times New Roman"/>
                <w:color w:val="000000" w:themeColor="text1"/>
                <w:sz w:val="21"/>
              </w:rPr>
            </w:pPr>
            <w:r>
              <w:rPr>
                <w:rFonts w:cs="Times New Roman"/>
                <w:color w:val="000000" w:themeColor="text1"/>
                <w:sz w:val="21"/>
              </w:rPr>
              <w:t>0.36t/a</w:t>
            </w:r>
          </w:p>
        </w:tc>
        <w:tc>
          <w:tcPr>
            <w:tcW w:w="1498" w:type="dxa"/>
            <w:gridSpan w:val="2"/>
            <w:vAlign w:val="center"/>
          </w:tcPr>
          <w:p>
            <w:pPr>
              <w:jc w:val="center"/>
              <w:rPr>
                <w:rFonts w:cs="Times New Roman"/>
                <w:color w:val="000000" w:themeColor="text1"/>
                <w:sz w:val="21"/>
              </w:rPr>
            </w:pPr>
            <w:r>
              <w:rPr>
                <w:rFonts w:cs="Times New Roman"/>
                <w:color w:val="000000" w:themeColor="text1"/>
                <w:sz w:val="21"/>
              </w:rPr>
              <w:t>/</w:t>
            </w:r>
          </w:p>
        </w:tc>
        <w:tc>
          <w:tcPr>
            <w:tcW w:w="1527" w:type="dxa"/>
            <w:vAlign w:val="center"/>
          </w:tcPr>
          <w:p>
            <w:pPr>
              <w:jc w:val="center"/>
              <w:rPr>
                <w:rFonts w:cs="Times New Roman"/>
                <w:color w:val="000000" w:themeColor="text1"/>
                <w:sz w:val="21"/>
              </w:rPr>
            </w:pPr>
            <w:r>
              <w:rPr>
                <w:rFonts w:cs="Times New Roman"/>
                <w:color w:val="000000" w:themeColor="text1"/>
                <w:sz w:val="21"/>
              </w:rPr>
              <w:t>0.36t/a</w:t>
            </w:r>
          </w:p>
        </w:tc>
        <w:tc>
          <w:tcPr>
            <w:tcW w:w="1434" w:type="dxa"/>
            <w:vAlign w:val="center"/>
          </w:tcPr>
          <w:p>
            <w:pPr>
              <w:jc w:val="center"/>
              <w:rPr>
                <w:rFonts w:cs="Times New Roman"/>
                <w:color w:val="000000" w:themeColor="text1"/>
                <w:sz w:val="21"/>
              </w:rPr>
            </w:pPr>
            <w:r>
              <w:rPr>
                <w:rFonts w:cs="Times New Roman"/>
                <w:color w:val="000000" w:themeColor="text1"/>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jc w:val="center"/>
        </w:trPr>
        <w:tc>
          <w:tcPr>
            <w:tcW w:w="821" w:type="dxa"/>
            <w:vMerge w:val="continue"/>
            <w:vAlign w:val="center"/>
          </w:tcPr>
          <w:p>
            <w:pPr>
              <w:pStyle w:val="13"/>
              <w:ind w:firstLine="420"/>
              <w:jc w:val="center"/>
              <w:rPr>
                <w:rFonts w:ascii="Times New Roman" w:hAnsi="Times New Roman" w:cs="Times New Roman"/>
                <w:color w:val="000000" w:themeColor="text1"/>
                <w:kern w:val="0"/>
                <w:sz w:val="21"/>
              </w:rPr>
            </w:pPr>
          </w:p>
        </w:tc>
        <w:tc>
          <w:tcPr>
            <w:tcW w:w="1295" w:type="dxa"/>
            <w:vMerge w:val="continue"/>
            <w:vAlign w:val="center"/>
          </w:tcPr>
          <w:p>
            <w:pPr>
              <w:pStyle w:val="13"/>
              <w:ind w:firstLine="420"/>
              <w:jc w:val="center"/>
              <w:rPr>
                <w:rFonts w:ascii="Times New Roman" w:hAnsi="Times New Roman" w:cs="Times New Roman"/>
                <w:color w:val="000000" w:themeColor="text1"/>
                <w:kern w:val="0"/>
                <w:sz w:val="21"/>
              </w:rPr>
            </w:pPr>
          </w:p>
        </w:tc>
        <w:tc>
          <w:tcPr>
            <w:tcW w:w="1602" w:type="dxa"/>
            <w:vAlign w:val="center"/>
          </w:tcPr>
          <w:p>
            <w:pPr>
              <w:jc w:val="center"/>
              <w:rPr>
                <w:rFonts w:cs="Times New Roman"/>
                <w:color w:val="000000" w:themeColor="text1"/>
                <w:sz w:val="21"/>
              </w:rPr>
            </w:pPr>
            <w:r>
              <w:rPr>
                <w:rFonts w:cs="Times New Roman"/>
                <w:color w:val="000000" w:themeColor="text1"/>
                <w:sz w:val="21"/>
              </w:rPr>
              <w:t>THC</w:t>
            </w:r>
          </w:p>
        </w:tc>
        <w:tc>
          <w:tcPr>
            <w:tcW w:w="1411" w:type="dxa"/>
            <w:vAlign w:val="center"/>
          </w:tcPr>
          <w:p>
            <w:pPr>
              <w:jc w:val="center"/>
              <w:rPr>
                <w:rFonts w:cs="Times New Roman"/>
                <w:color w:val="000000" w:themeColor="text1"/>
                <w:sz w:val="21"/>
              </w:rPr>
            </w:pPr>
            <w:r>
              <w:rPr>
                <w:rFonts w:cs="Times New Roman"/>
                <w:color w:val="000000" w:themeColor="text1"/>
                <w:sz w:val="21"/>
              </w:rPr>
              <w:t>0.21t/a</w:t>
            </w:r>
          </w:p>
        </w:tc>
        <w:tc>
          <w:tcPr>
            <w:tcW w:w="1498" w:type="dxa"/>
            <w:gridSpan w:val="2"/>
            <w:vAlign w:val="center"/>
          </w:tcPr>
          <w:p>
            <w:pPr>
              <w:jc w:val="center"/>
              <w:rPr>
                <w:rFonts w:cs="Times New Roman"/>
                <w:color w:val="000000" w:themeColor="text1"/>
                <w:sz w:val="21"/>
              </w:rPr>
            </w:pPr>
            <w:r>
              <w:rPr>
                <w:rFonts w:cs="Times New Roman"/>
                <w:color w:val="000000" w:themeColor="text1"/>
                <w:sz w:val="21"/>
              </w:rPr>
              <w:t>/</w:t>
            </w:r>
          </w:p>
        </w:tc>
        <w:tc>
          <w:tcPr>
            <w:tcW w:w="1527" w:type="dxa"/>
            <w:vAlign w:val="center"/>
          </w:tcPr>
          <w:p>
            <w:pPr>
              <w:jc w:val="center"/>
              <w:rPr>
                <w:rFonts w:cs="Times New Roman"/>
                <w:color w:val="000000" w:themeColor="text1"/>
                <w:sz w:val="21"/>
              </w:rPr>
            </w:pPr>
            <w:r>
              <w:rPr>
                <w:rFonts w:cs="Times New Roman"/>
                <w:color w:val="000000" w:themeColor="text1"/>
                <w:sz w:val="21"/>
              </w:rPr>
              <w:t>0.21t/a</w:t>
            </w:r>
          </w:p>
        </w:tc>
        <w:tc>
          <w:tcPr>
            <w:tcW w:w="1434" w:type="dxa"/>
            <w:vAlign w:val="center"/>
          </w:tcPr>
          <w:p>
            <w:pPr>
              <w:jc w:val="center"/>
              <w:rPr>
                <w:rFonts w:cs="Times New Roman"/>
                <w:color w:val="000000" w:themeColor="text1"/>
                <w:sz w:val="21"/>
              </w:rPr>
            </w:pPr>
            <w:r>
              <w:rPr>
                <w:rFonts w:cs="Times New Roman"/>
                <w:color w:val="000000" w:themeColor="text1"/>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jc w:val="center"/>
        </w:trPr>
        <w:tc>
          <w:tcPr>
            <w:tcW w:w="821" w:type="dxa"/>
            <w:vMerge w:val="continue"/>
            <w:vAlign w:val="center"/>
          </w:tcPr>
          <w:p>
            <w:pPr>
              <w:pStyle w:val="13"/>
              <w:ind w:firstLine="420"/>
              <w:jc w:val="center"/>
              <w:rPr>
                <w:rFonts w:ascii="Times New Roman" w:hAnsi="Times New Roman" w:cs="Times New Roman"/>
                <w:color w:val="000000" w:themeColor="text1"/>
                <w:kern w:val="0"/>
                <w:sz w:val="21"/>
              </w:rPr>
            </w:pPr>
          </w:p>
        </w:tc>
        <w:tc>
          <w:tcPr>
            <w:tcW w:w="1295" w:type="dxa"/>
            <w:vMerge w:val="continue"/>
            <w:vAlign w:val="center"/>
          </w:tcPr>
          <w:p>
            <w:pPr>
              <w:pStyle w:val="13"/>
              <w:ind w:firstLine="420"/>
              <w:jc w:val="center"/>
              <w:rPr>
                <w:rFonts w:ascii="Times New Roman" w:hAnsi="Times New Roman" w:cs="Times New Roman"/>
                <w:color w:val="000000" w:themeColor="text1"/>
                <w:kern w:val="0"/>
                <w:sz w:val="21"/>
              </w:rPr>
            </w:pPr>
          </w:p>
        </w:tc>
        <w:tc>
          <w:tcPr>
            <w:tcW w:w="1602" w:type="dxa"/>
            <w:vAlign w:val="center"/>
          </w:tcPr>
          <w:p>
            <w:pPr>
              <w:jc w:val="center"/>
              <w:rPr>
                <w:rFonts w:cs="Times New Roman"/>
                <w:color w:val="000000" w:themeColor="text1"/>
                <w:sz w:val="21"/>
              </w:rPr>
            </w:pPr>
            <w:r>
              <w:rPr>
                <w:rFonts w:cs="Times New Roman"/>
                <w:color w:val="000000" w:themeColor="text1"/>
                <w:sz w:val="21"/>
              </w:rPr>
              <w:t>NOx</w:t>
            </w:r>
          </w:p>
        </w:tc>
        <w:tc>
          <w:tcPr>
            <w:tcW w:w="1411" w:type="dxa"/>
            <w:vAlign w:val="center"/>
          </w:tcPr>
          <w:p>
            <w:pPr>
              <w:jc w:val="center"/>
              <w:rPr>
                <w:rFonts w:cs="Times New Roman"/>
                <w:color w:val="000000" w:themeColor="text1"/>
                <w:sz w:val="21"/>
              </w:rPr>
            </w:pPr>
            <w:r>
              <w:rPr>
                <w:rFonts w:cs="Times New Roman"/>
                <w:color w:val="000000" w:themeColor="text1"/>
                <w:sz w:val="21"/>
              </w:rPr>
              <w:t>0.001t/a</w:t>
            </w:r>
          </w:p>
        </w:tc>
        <w:tc>
          <w:tcPr>
            <w:tcW w:w="1498" w:type="dxa"/>
            <w:gridSpan w:val="2"/>
            <w:vAlign w:val="center"/>
          </w:tcPr>
          <w:p>
            <w:pPr>
              <w:jc w:val="center"/>
              <w:rPr>
                <w:rFonts w:cs="Times New Roman"/>
                <w:color w:val="000000" w:themeColor="text1"/>
                <w:sz w:val="21"/>
              </w:rPr>
            </w:pPr>
            <w:r>
              <w:rPr>
                <w:rFonts w:cs="Times New Roman"/>
                <w:color w:val="000000" w:themeColor="text1"/>
                <w:sz w:val="21"/>
              </w:rPr>
              <w:t>/</w:t>
            </w:r>
          </w:p>
        </w:tc>
        <w:tc>
          <w:tcPr>
            <w:tcW w:w="1527" w:type="dxa"/>
            <w:vAlign w:val="center"/>
          </w:tcPr>
          <w:p>
            <w:pPr>
              <w:jc w:val="center"/>
              <w:rPr>
                <w:rFonts w:cs="Times New Roman"/>
                <w:color w:val="000000" w:themeColor="text1"/>
                <w:sz w:val="21"/>
              </w:rPr>
            </w:pPr>
            <w:r>
              <w:rPr>
                <w:rFonts w:cs="Times New Roman"/>
                <w:color w:val="000000" w:themeColor="text1"/>
                <w:sz w:val="21"/>
              </w:rPr>
              <w:t>0.001t/a</w:t>
            </w:r>
          </w:p>
        </w:tc>
        <w:tc>
          <w:tcPr>
            <w:tcW w:w="1434" w:type="dxa"/>
            <w:vAlign w:val="center"/>
          </w:tcPr>
          <w:p>
            <w:pPr>
              <w:jc w:val="center"/>
              <w:rPr>
                <w:rFonts w:cs="Times New Roman"/>
                <w:color w:val="000000" w:themeColor="text1"/>
                <w:sz w:val="21"/>
              </w:rPr>
            </w:pPr>
            <w:r>
              <w:rPr>
                <w:rFonts w:cs="Times New Roman"/>
                <w:color w:val="000000" w:themeColor="text1"/>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jc w:val="center"/>
        </w:trPr>
        <w:tc>
          <w:tcPr>
            <w:tcW w:w="821" w:type="dxa"/>
            <w:vMerge w:val="continue"/>
            <w:vAlign w:val="center"/>
          </w:tcPr>
          <w:p>
            <w:pPr>
              <w:pStyle w:val="13"/>
              <w:ind w:firstLine="420"/>
              <w:jc w:val="center"/>
              <w:rPr>
                <w:rFonts w:ascii="Times New Roman" w:hAnsi="Times New Roman" w:cs="Times New Roman"/>
                <w:color w:val="000000" w:themeColor="text1"/>
                <w:kern w:val="0"/>
                <w:sz w:val="21"/>
              </w:rPr>
            </w:pPr>
          </w:p>
        </w:tc>
        <w:tc>
          <w:tcPr>
            <w:tcW w:w="1295" w:type="dxa"/>
            <w:vMerge w:val="restart"/>
            <w:vAlign w:val="center"/>
          </w:tcPr>
          <w:p>
            <w:pPr>
              <w:widowControl/>
              <w:adjustRightInd w:val="0"/>
              <w:snapToGrid w:val="0"/>
              <w:jc w:val="center"/>
              <w:rPr>
                <w:rFonts w:cs="Times New Roman"/>
                <w:color w:val="000000" w:themeColor="text1"/>
                <w:sz w:val="21"/>
              </w:rPr>
            </w:pPr>
            <w:r>
              <w:rPr>
                <w:rFonts w:cs="Times New Roman"/>
                <w:color w:val="000000" w:themeColor="text1"/>
                <w:sz w:val="21"/>
              </w:rPr>
              <w:t>天然气</w:t>
            </w:r>
          </w:p>
          <w:p>
            <w:pPr>
              <w:widowControl/>
              <w:adjustRightInd w:val="0"/>
              <w:snapToGrid w:val="0"/>
              <w:jc w:val="center"/>
              <w:rPr>
                <w:rFonts w:cs="Times New Roman"/>
                <w:color w:val="000000" w:themeColor="text1"/>
                <w:kern w:val="0"/>
                <w:sz w:val="21"/>
              </w:rPr>
            </w:pPr>
            <w:r>
              <w:rPr>
                <w:rFonts w:cs="Times New Roman"/>
                <w:color w:val="000000" w:themeColor="text1"/>
                <w:sz w:val="21"/>
              </w:rPr>
              <w:t>锅炉烟气</w:t>
            </w:r>
          </w:p>
        </w:tc>
        <w:tc>
          <w:tcPr>
            <w:tcW w:w="1602" w:type="dxa"/>
            <w:vAlign w:val="center"/>
          </w:tcPr>
          <w:p>
            <w:pPr>
              <w:widowControl/>
              <w:adjustRightInd w:val="0"/>
              <w:snapToGrid w:val="0"/>
              <w:jc w:val="center"/>
              <w:rPr>
                <w:rFonts w:cs="Times New Roman"/>
                <w:color w:val="000000" w:themeColor="text1"/>
                <w:sz w:val="21"/>
              </w:rPr>
            </w:pPr>
            <w:r>
              <w:rPr>
                <w:rFonts w:cs="Times New Roman"/>
                <w:color w:val="000000" w:themeColor="text1"/>
                <w:kern w:val="0"/>
                <w:sz w:val="21"/>
              </w:rPr>
              <w:t>标干流量（</w:t>
            </w:r>
            <w:r>
              <w:rPr>
                <w:rFonts w:eastAsia="TimesNewRomanPSMT" w:cs="Times New Roman"/>
                <w:color w:val="000000" w:themeColor="text1"/>
                <w:kern w:val="0"/>
                <w:sz w:val="21"/>
              </w:rPr>
              <w:t>N·m</w:t>
            </w:r>
            <w:r>
              <w:rPr>
                <w:rFonts w:eastAsia="TimesNewRomanPSMT" w:cs="Times New Roman"/>
                <w:color w:val="000000" w:themeColor="text1"/>
                <w:kern w:val="0"/>
                <w:sz w:val="21"/>
                <w:vertAlign w:val="superscript"/>
              </w:rPr>
              <w:t>3</w:t>
            </w:r>
            <w:r>
              <w:rPr>
                <w:rFonts w:eastAsia="TimesNewRomanPSMT" w:cs="Times New Roman"/>
                <w:color w:val="000000" w:themeColor="text1"/>
                <w:kern w:val="0"/>
                <w:sz w:val="21"/>
              </w:rPr>
              <w:t>/h</w:t>
            </w:r>
            <w:r>
              <w:rPr>
                <w:rFonts w:cs="Times New Roman"/>
                <w:color w:val="000000" w:themeColor="text1"/>
                <w:kern w:val="0"/>
                <w:sz w:val="21"/>
              </w:rPr>
              <w:t>）</w:t>
            </w:r>
          </w:p>
        </w:tc>
        <w:tc>
          <w:tcPr>
            <w:tcW w:w="1411" w:type="dxa"/>
            <w:vAlign w:val="center"/>
          </w:tcPr>
          <w:p>
            <w:pPr>
              <w:jc w:val="center"/>
              <w:rPr>
                <w:rFonts w:cs="Times New Roman"/>
                <w:color w:val="000000" w:themeColor="text1"/>
                <w:sz w:val="21"/>
              </w:rPr>
            </w:pPr>
            <w:r>
              <w:rPr>
                <w:rFonts w:cs="Times New Roman"/>
                <w:color w:val="000000" w:themeColor="text1"/>
                <w:sz w:val="21"/>
              </w:rPr>
              <w:t>435</w:t>
            </w:r>
            <w:r>
              <w:rPr>
                <w:rFonts w:eastAsia="TimesNewRomanPSMT" w:cs="Times New Roman"/>
                <w:color w:val="000000" w:themeColor="text1"/>
                <w:kern w:val="0"/>
                <w:sz w:val="21"/>
              </w:rPr>
              <w:t>m</w:t>
            </w:r>
            <w:r>
              <w:rPr>
                <w:rFonts w:eastAsia="TimesNewRomanPSMT" w:cs="Times New Roman"/>
                <w:color w:val="000000" w:themeColor="text1"/>
                <w:kern w:val="0"/>
                <w:sz w:val="21"/>
                <w:vertAlign w:val="superscript"/>
              </w:rPr>
              <w:t>3</w:t>
            </w:r>
            <w:r>
              <w:rPr>
                <w:rFonts w:eastAsia="TimesNewRomanPSMT" w:cs="Times New Roman"/>
                <w:color w:val="000000" w:themeColor="text1"/>
                <w:kern w:val="0"/>
                <w:sz w:val="21"/>
              </w:rPr>
              <w:t>/h</w:t>
            </w:r>
          </w:p>
        </w:tc>
        <w:tc>
          <w:tcPr>
            <w:tcW w:w="1498" w:type="dxa"/>
            <w:gridSpan w:val="2"/>
            <w:vAlign w:val="center"/>
          </w:tcPr>
          <w:p>
            <w:pPr>
              <w:jc w:val="center"/>
              <w:rPr>
                <w:rFonts w:cs="Times New Roman"/>
                <w:color w:val="000000" w:themeColor="text1"/>
                <w:sz w:val="21"/>
              </w:rPr>
            </w:pPr>
            <w:r>
              <w:rPr>
                <w:rFonts w:cs="Times New Roman"/>
                <w:color w:val="000000" w:themeColor="text1"/>
                <w:sz w:val="21"/>
              </w:rPr>
              <w:t>/</w:t>
            </w:r>
          </w:p>
        </w:tc>
        <w:tc>
          <w:tcPr>
            <w:tcW w:w="1527" w:type="dxa"/>
            <w:vAlign w:val="center"/>
          </w:tcPr>
          <w:p>
            <w:pPr>
              <w:jc w:val="center"/>
              <w:rPr>
                <w:rFonts w:cs="Times New Roman"/>
                <w:color w:val="000000" w:themeColor="text1"/>
                <w:sz w:val="21"/>
              </w:rPr>
            </w:pPr>
            <w:r>
              <w:rPr>
                <w:rFonts w:cs="Times New Roman"/>
                <w:color w:val="000000" w:themeColor="text1"/>
                <w:sz w:val="21"/>
              </w:rPr>
              <w:t>435</w:t>
            </w:r>
            <w:r>
              <w:rPr>
                <w:rFonts w:eastAsia="TimesNewRomanPSMT" w:cs="Times New Roman"/>
                <w:color w:val="000000" w:themeColor="text1"/>
                <w:kern w:val="0"/>
                <w:sz w:val="21"/>
              </w:rPr>
              <w:t>m</w:t>
            </w:r>
            <w:r>
              <w:rPr>
                <w:rFonts w:eastAsia="TimesNewRomanPSMT" w:cs="Times New Roman"/>
                <w:color w:val="000000" w:themeColor="text1"/>
                <w:kern w:val="0"/>
                <w:sz w:val="21"/>
                <w:vertAlign w:val="superscript"/>
              </w:rPr>
              <w:t>3</w:t>
            </w:r>
            <w:r>
              <w:rPr>
                <w:rFonts w:eastAsia="TimesNewRomanPSMT" w:cs="Times New Roman"/>
                <w:color w:val="000000" w:themeColor="text1"/>
                <w:kern w:val="0"/>
                <w:sz w:val="21"/>
              </w:rPr>
              <w:t>/h</w:t>
            </w:r>
          </w:p>
        </w:tc>
        <w:tc>
          <w:tcPr>
            <w:tcW w:w="1434" w:type="dxa"/>
            <w:vAlign w:val="center"/>
          </w:tcPr>
          <w:p>
            <w:pPr>
              <w:jc w:val="center"/>
              <w:rPr>
                <w:rFonts w:cs="Times New Roman"/>
                <w:color w:val="000000" w:themeColor="text1"/>
                <w:sz w:val="21"/>
              </w:rPr>
            </w:pPr>
            <w:r>
              <w:rPr>
                <w:rFonts w:cs="Times New Roman"/>
                <w:color w:val="000000" w:themeColor="text1"/>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 w:hRule="atLeast"/>
          <w:jc w:val="center"/>
        </w:trPr>
        <w:tc>
          <w:tcPr>
            <w:tcW w:w="821" w:type="dxa"/>
            <w:vMerge w:val="continue"/>
            <w:vAlign w:val="center"/>
          </w:tcPr>
          <w:p>
            <w:pPr>
              <w:pStyle w:val="13"/>
              <w:ind w:firstLine="420"/>
              <w:jc w:val="center"/>
              <w:rPr>
                <w:rFonts w:ascii="Times New Roman" w:hAnsi="Times New Roman" w:cs="Times New Roman"/>
                <w:color w:val="000000" w:themeColor="text1"/>
                <w:kern w:val="0"/>
                <w:sz w:val="21"/>
              </w:rPr>
            </w:pPr>
          </w:p>
        </w:tc>
        <w:tc>
          <w:tcPr>
            <w:tcW w:w="1295" w:type="dxa"/>
            <w:vMerge w:val="continue"/>
            <w:vAlign w:val="center"/>
          </w:tcPr>
          <w:p>
            <w:pPr>
              <w:widowControl/>
              <w:adjustRightInd w:val="0"/>
              <w:snapToGrid w:val="0"/>
              <w:jc w:val="center"/>
              <w:rPr>
                <w:rFonts w:cs="Times New Roman"/>
                <w:color w:val="000000" w:themeColor="text1"/>
                <w:sz w:val="21"/>
              </w:rPr>
            </w:pPr>
          </w:p>
        </w:tc>
        <w:tc>
          <w:tcPr>
            <w:tcW w:w="1602" w:type="dxa"/>
            <w:vAlign w:val="center"/>
          </w:tcPr>
          <w:p>
            <w:pPr>
              <w:jc w:val="center"/>
              <w:rPr>
                <w:rFonts w:cs="Times New Roman"/>
                <w:color w:val="000000" w:themeColor="text1"/>
                <w:sz w:val="21"/>
              </w:rPr>
            </w:pPr>
            <w:r>
              <w:rPr>
                <w:rFonts w:cs="Times New Roman"/>
                <w:color w:val="000000" w:themeColor="text1"/>
                <w:sz w:val="21"/>
              </w:rPr>
              <w:t>烟尘</w:t>
            </w:r>
          </w:p>
        </w:tc>
        <w:tc>
          <w:tcPr>
            <w:tcW w:w="1411" w:type="dxa"/>
            <w:vAlign w:val="center"/>
          </w:tcPr>
          <w:p>
            <w:pPr>
              <w:jc w:val="center"/>
              <w:rPr>
                <w:rFonts w:cs="Times New Roman"/>
                <w:color w:val="000000" w:themeColor="text1"/>
                <w:sz w:val="21"/>
              </w:rPr>
            </w:pPr>
            <w:r>
              <w:rPr>
                <w:rFonts w:cs="Times New Roman"/>
                <w:color w:val="000000" w:themeColor="text1"/>
                <w:sz w:val="21"/>
              </w:rPr>
              <w:t>0.008t/a</w:t>
            </w:r>
          </w:p>
        </w:tc>
        <w:tc>
          <w:tcPr>
            <w:tcW w:w="1498" w:type="dxa"/>
            <w:gridSpan w:val="2"/>
            <w:vAlign w:val="center"/>
          </w:tcPr>
          <w:p>
            <w:pPr>
              <w:jc w:val="center"/>
              <w:rPr>
                <w:rFonts w:cs="Times New Roman"/>
                <w:color w:val="000000" w:themeColor="text1"/>
                <w:sz w:val="21"/>
              </w:rPr>
            </w:pPr>
            <w:r>
              <w:rPr>
                <w:rFonts w:cs="Times New Roman"/>
                <w:color w:val="000000" w:themeColor="text1"/>
                <w:sz w:val="21"/>
              </w:rPr>
              <w:t>8.5mg/m</w:t>
            </w:r>
            <w:r>
              <w:rPr>
                <w:rFonts w:cs="Times New Roman"/>
                <w:color w:val="000000" w:themeColor="text1"/>
                <w:sz w:val="21"/>
                <w:vertAlign w:val="superscript"/>
              </w:rPr>
              <w:t>3</w:t>
            </w:r>
          </w:p>
        </w:tc>
        <w:tc>
          <w:tcPr>
            <w:tcW w:w="1527" w:type="dxa"/>
            <w:vAlign w:val="center"/>
          </w:tcPr>
          <w:p>
            <w:pPr>
              <w:jc w:val="center"/>
              <w:rPr>
                <w:rFonts w:cs="Times New Roman"/>
                <w:color w:val="000000" w:themeColor="text1"/>
                <w:sz w:val="21"/>
              </w:rPr>
            </w:pPr>
            <w:r>
              <w:rPr>
                <w:rFonts w:cs="Times New Roman"/>
                <w:color w:val="000000" w:themeColor="text1"/>
                <w:sz w:val="21"/>
              </w:rPr>
              <w:t>0.008t/a</w:t>
            </w:r>
          </w:p>
        </w:tc>
        <w:tc>
          <w:tcPr>
            <w:tcW w:w="1434" w:type="dxa"/>
            <w:vAlign w:val="center"/>
          </w:tcPr>
          <w:p>
            <w:pPr>
              <w:jc w:val="center"/>
              <w:rPr>
                <w:rFonts w:cs="Times New Roman"/>
                <w:color w:val="000000" w:themeColor="text1"/>
                <w:sz w:val="21"/>
              </w:rPr>
            </w:pPr>
            <w:r>
              <w:rPr>
                <w:rFonts w:cs="Times New Roman"/>
                <w:color w:val="000000" w:themeColor="text1"/>
                <w:sz w:val="21"/>
              </w:rPr>
              <w:t>8.5mg/m</w:t>
            </w:r>
            <w:r>
              <w:rPr>
                <w:rFonts w:cs="Times New Roman"/>
                <w:color w:val="000000" w:themeColor="text1"/>
                <w:sz w:val="21"/>
                <w:vertAlign w:val="super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jc w:val="center"/>
        </w:trPr>
        <w:tc>
          <w:tcPr>
            <w:tcW w:w="821" w:type="dxa"/>
            <w:vMerge w:val="continue"/>
            <w:vAlign w:val="center"/>
          </w:tcPr>
          <w:p>
            <w:pPr>
              <w:pStyle w:val="13"/>
              <w:ind w:firstLine="420"/>
              <w:jc w:val="center"/>
              <w:rPr>
                <w:rFonts w:ascii="Times New Roman" w:hAnsi="Times New Roman" w:cs="Times New Roman"/>
                <w:color w:val="000000" w:themeColor="text1"/>
                <w:kern w:val="0"/>
                <w:sz w:val="21"/>
              </w:rPr>
            </w:pPr>
          </w:p>
        </w:tc>
        <w:tc>
          <w:tcPr>
            <w:tcW w:w="1295" w:type="dxa"/>
            <w:vMerge w:val="continue"/>
            <w:vAlign w:val="center"/>
          </w:tcPr>
          <w:p>
            <w:pPr>
              <w:widowControl/>
              <w:adjustRightInd w:val="0"/>
              <w:snapToGrid w:val="0"/>
              <w:jc w:val="center"/>
              <w:rPr>
                <w:rFonts w:cs="Times New Roman"/>
                <w:color w:val="000000" w:themeColor="text1"/>
                <w:sz w:val="21"/>
              </w:rPr>
            </w:pPr>
          </w:p>
        </w:tc>
        <w:tc>
          <w:tcPr>
            <w:tcW w:w="1602" w:type="dxa"/>
            <w:vAlign w:val="center"/>
          </w:tcPr>
          <w:p>
            <w:pPr>
              <w:jc w:val="center"/>
              <w:rPr>
                <w:rFonts w:cs="Times New Roman"/>
                <w:color w:val="000000" w:themeColor="text1"/>
                <w:sz w:val="21"/>
              </w:rPr>
            </w:pPr>
            <w:r>
              <w:rPr>
                <w:rFonts w:cs="Times New Roman"/>
                <w:color w:val="000000" w:themeColor="text1"/>
                <w:sz w:val="21"/>
              </w:rPr>
              <w:t>二氧化硫</w:t>
            </w:r>
          </w:p>
        </w:tc>
        <w:tc>
          <w:tcPr>
            <w:tcW w:w="1411" w:type="dxa"/>
            <w:vAlign w:val="center"/>
          </w:tcPr>
          <w:p>
            <w:pPr>
              <w:jc w:val="center"/>
              <w:rPr>
                <w:rFonts w:cs="Times New Roman"/>
                <w:color w:val="000000" w:themeColor="text1"/>
                <w:sz w:val="21"/>
              </w:rPr>
            </w:pPr>
            <w:r>
              <w:rPr>
                <w:rFonts w:cs="Times New Roman"/>
                <w:color w:val="000000" w:themeColor="text1"/>
                <w:sz w:val="21"/>
              </w:rPr>
              <w:t>0.015t/a</w:t>
            </w:r>
          </w:p>
        </w:tc>
        <w:tc>
          <w:tcPr>
            <w:tcW w:w="1498" w:type="dxa"/>
            <w:gridSpan w:val="2"/>
            <w:vAlign w:val="center"/>
          </w:tcPr>
          <w:p>
            <w:pPr>
              <w:jc w:val="center"/>
              <w:rPr>
                <w:rFonts w:cs="Times New Roman"/>
                <w:color w:val="000000" w:themeColor="text1"/>
                <w:sz w:val="21"/>
              </w:rPr>
            </w:pPr>
            <w:r>
              <w:rPr>
                <w:rFonts w:cs="Times New Roman"/>
                <w:color w:val="000000" w:themeColor="text1"/>
                <w:sz w:val="21"/>
              </w:rPr>
              <w:t>44mg/m</w:t>
            </w:r>
            <w:r>
              <w:rPr>
                <w:rFonts w:cs="Times New Roman"/>
                <w:color w:val="000000" w:themeColor="text1"/>
                <w:sz w:val="21"/>
                <w:vertAlign w:val="superscript"/>
              </w:rPr>
              <w:t>3</w:t>
            </w:r>
          </w:p>
        </w:tc>
        <w:tc>
          <w:tcPr>
            <w:tcW w:w="1527" w:type="dxa"/>
            <w:vAlign w:val="center"/>
          </w:tcPr>
          <w:p>
            <w:pPr>
              <w:jc w:val="center"/>
              <w:rPr>
                <w:rFonts w:cs="Times New Roman"/>
                <w:color w:val="000000" w:themeColor="text1"/>
                <w:sz w:val="21"/>
              </w:rPr>
            </w:pPr>
            <w:r>
              <w:rPr>
                <w:rFonts w:cs="Times New Roman"/>
                <w:color w:val="000000" w:themeColor="text1"/>
                <w:sz w:val="21"/>
              </w:rPr>
              <w:t>0.015t/a</w:t>
            </w:r>
          </w:p>
        </w:tc>
        <w:tc>
          <w:tcPr>
            <w:tcW w:w="1434" w:type="dxa"/>
            <w:vAlign w:val="center"/>
          </w:tcPr>
          <w:p>
            <w:pPr>
              <w:jc w:val="center"/>
              <w:rPr>
                <w:rFonts w:cs="Times New Roman"/>
                <w:color w:val="000000" w:themeColor="text1"/>
                <w:sz w:val="21"/>
              </w:rPr>
            </w:pPr>
            <w:r>
              <w:rPr>
                <w:rFonts w:cs="Times New Roman"/>
                <w:color w:val="000000" w:themeColor="text1"/>
                <w:sz w:val="21"/>
              </w:rPr>
              <w:t>44mg/m</w:t>
            </w:r>
            <w:r>
              <w:rPr>
                <w:rFonts w:cs="Times New Roman"/>
                <w:color w:val="000000" w:themeColor="text1"/>
                <w:sz w:val="21"/>
                <w:vertAlign w:val="super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jc w:val="center"/>
        </w:trPr>
        <w:tc>
          <w:tcPr>
            <w:tcW w:w="821" w:type="dxa"/>
            <w:vMerge w:val="continue"/>
            <w:vAlign w:val="center"/>
          </w:tcPr>
          <w:p>
            <w:pPr>
              <w:pStyle w:val="13"/>
              <w:ind w:firstLine="420"/>
              <w:jc w:val="center"/>
              <w:rPr>
                <w:rFonts w:ascii="Times New Roman" w:hAnsi="Times New Roman" w:cs="Times New Roman"/>
                <w:color w:val="000000" w:themeColor="text1"/>
                <w:kern w:val="0"/>
                <w:sz w:val="21"/>
              </w:rPr>
            </w:pPr>
          </w:p>
        </w:tc>
        <w:tc>
          <w:tcPr>
            <w:tcW w:w="1295" w:type="dxa"/>
            <w:vMerge w:val="continue"/>
            <w:vAlign w:val="center"/>
          </w:tcPr>
          <w:p>
            <w:pPr>
              <w:widowControl/>
              <w:adjustRightInd w:val="0"/>
              <w:snapToGrid w:val="0"/>
              <w:jc w:val="center"/>
              <w:rPr>
                <w:rFonts w:cs="Times New Roman"/>
                <w:color w:val="000000" w:themeColor="text1"/>
                <w:sz w:val="21"/>
              </w:rPr>
            </w:pPr>
          </w:p>
        </w:tc>
        <w:tc>
          <w:tcPr>
            <w:tcW w:w="1602" w:type="dxa"/>
            <w:vAlign w:val="center"/>
          </w:tcPr>
          <w:p>
            <w:pPr>
              <w:jc w:val="center"/>
              <w:rPr>
                <w:rFonts w:cs="Times New Roman"/>
                <w:color w:val="000000" w:themeColor="text1"/>
                <w:sz w:val="21"/>
              </w:rPr>
            </w:pPr>
            <w:r>
              <w:rPr>
                <w:rFonts w:cs="Times New Roman"/>
                <w:color w:val="000000" w:themeColor="text1"/>
                <w:sz w:val="21"/>
              </w:rPr>
              <w:t>氮氧化物</w:t>
            </w:r>
          </w:p>
        </w:tc>
        <w:tc>
          <w:tcPr>
            <w:tcW w:w="1411" w:type="dxa"/>
            <w:vAlign w:val="center"/>
          </w:tcPr>
          <w:p>
            <w:pPr>
              <w:jc w:val="center"/>
              <w:rPr>
                <w:rFonts w:cs="Times New Roman"/>
                <w:color w:val="000000" w:themeColor="text1"/>
                <w:sz w:val="21"/>
              </w:rPr>
            </w:pPr>
            <w:r>
              <w:rPr>
                <w:rFonts w:cs="Times New Roman"/>
                <w:color w:val="000000" w:themeColor="text1"/>
                <w:sz w:val="21"/>
              </w:rPr>
              <w:t>0.11t/a</w:t>
            </w:r>
          </w:p>
        </w:tc>
        <w:tc>
          <w:tcPr>
            <w:tcW w:w="1498" w:type="dxa"/>
            <w:gridSpan w:val="2"/>
            <w:vAlign w:val="center"/>
          </w:tcPr>
          <w:p>
            <w:pPr>
              <w:jc w:val="center"/>
              <w:rPr>
                <w:rFonts w:cs="Times New Roman"/>
                <w:color w:val="000000" w:themeColor="text1"/>
                <w:sz w:val="21"/>
              </w:rPr>
            </w:pPr>
            <w:r>
              <w:rPr>
                <w:rFonts w:cs="Times New Roman"/>
                <w:color w:val="000000" w:themeColor="text1"/>
                <w:sz w:val="21"/>
              </w:rPr>
              <w:t>109mg/m</w:t>
            </w:r>
            <w:r>
              <w:rPr>
                <w:rFonts w:cs="Times New Roman"/>
                <w:color w:val="000000" w:themeColor="text1"/>
                <w:sz w:val="21"/>
                <w:vertAlign w:val="superscript"/>
              </w:rPr>
              <w:t>3</w:t>
            </w:r>
          </w:p>
        </w:tc>
        <w:tc>
          <w:tcPr>
            <w:tcW w:w="1527" w:type="dxa"/>
            <w:vAlign w:val="center"/>
          </w:tcPr>
          <w:p>
            <w:pPr>
              <w:jc w:val="center"/>
              <w:rPr>
                <w:rFonts w:cs="Times New Roman"/>
                <w:color w:val="000000" w:themeColor="text1"/>
                <w:sz w:val="21"/>
              </w:rPr>
            </w:pPr>
            <w:r>
              <w:rPr>
                <w:rFonts w:cs="Times New Roman"/>
                <w:color w:val="000000" w:themeColor="text1"/>
                <w:sz w:val="21"/>
              </w:rPr>
              <w:t>0.11t/a</w:t>
            </w:r>
          </w:p>
        </w:tc>
        <w:tc>
          <w:tcPr>
            <w:tcW w:w="1434" w:type="dxa"/>
            <w:vAlign w:val="center"/>
          </w:tcPr>
          <w:p>
            <w:pPr>
              <w:jc w:val="center"/>
              <w:rPr>
                <w:rFonts w:cs="Times New Roman"/>
                <w:color w:val="000000" w:themeColor="text1"/>
                <w:sz w:val="21"/>
              </w:rPr>
            </w:pPr>
            <w:r>
              <w:rPr>
                <w:rFonts w:cs="Times New Roman"/>
                <w:color w:val="000000" w:themeColor="text1"/>
                <w:sz w:val="21"/>
              </w:rPr>
              <w:t>109mg/m</w:t>
            </w:r>
            <w:r>
              <w:rPr>
                <w:rFonts w:cs="Times New Roman"/>
                <w:color w:val="000000" w:themeColor="text1"/>
                <w:sz w:val="21"/>
                <w:vertAlign w:val="super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jc w:val="center"/>
        </w:trPr>
        <w:tc>
          <w:tcPr>
            <w:tcW w:w="821" w:type="dxa"/>
            <w:vMerge w:val="continue"/>
            <w:vAlign w:val="center"/>
          </w:tcPr>
          <w:p>
            <w:pPr>
              <w:pStyle w:val="13"/>
              <w:ind w:firstLine="420"/>
              <w:jc w:val="center"/>
              <w:rPr>
                <w:rFonts w:ascii="Times New Roman" w:hAnsi="Times New Roman" w:cs="Times New Roman"/>
                <w:color w:val="000000" w:themeColor="text1"/>
                <w:kern w:val="0"/>
                <w:sz w:val="21"/>
              </w:rPr>
            </w:pPr>
          </w:p>
        </w:tc>
        <w:tc>
          <w:tcPr>
            <w:tcW w:w="1295" w:type="dxa"/>
            <w:vMerge w:val="restart"/>
            <w:vAlign w:val="center"/>
          </w:tcPr>
          <w:p>
            <w:pPr>
              <w:widowControl/>
              <w:adjustRightInd w:val="0"/>
              <w:snapToGrid w:val="0"/>
              <w:jc w:val="center"/>
              <w:rPr>
                <w:rFonts w:cs="Times New Roman"/>
                <w:color w:val="000000" w:themeColor="text1"/>
                <w:sz w:val="21"/>
              </w:rPr>
            </w:pPr>
            <w:r>
              <w:rPr>
                <w:rFonts w:cs="Times New Roman"/>
                <w:color w:val="000000" w:themeColor="text1"/>
                <w:sz w:val="21"/>
              </w:rPr>
              <w:t>柴油</w:t>
            </w:r>
          </w:p>
          <w:p>
            <w:pPr>
              <w:widowControl/>
              <w:adjustRightInd w:val="0"/>
              <w:snapToGrid w:val="0"/>
              <w:jc w:val="center"/>
              <w:rPr>
                <w:rFonts w:cs="Times New Roman"/>
                <w:color w:val="000000" w:themeColor="text1"/>
                <w:kern w:val="0"/>
                <w:sz w:val="21"/>
              </w:rPr>
            </w:pPr>
            <w:r>
              <w:rPr>
                <w:rFonts w:cs="Times New Roman"/>
                <w:color w:val="000000" w:themeColor="text1"/>
                <w:sz w:val="21"/>
              </w:rPr>
              <w:t>发电机</w:t>
            </w:r>
          </w:p>
        </w:tc>
        <w:tc>
          <w:tcPr>
            <w:tcW w:w="1602" w:type="dxa"/>
            <w:vAlign w:val="center"/>
          </w:tcPr>
          <w:p>
            <w:pPr>
              <w:jc w:val="center"/>
              <w:rPr>
                <w:rFonts w:cs="Times New Roman"/>
                <w:color w:val="000000" w:themeColor="text1"/>
                <w:sz w:val="21"/>
              </w:rPr>
            </w:pPr>
            <w:r>
              <w:rPr>
                <w:rFonts w:cs="Times New Roman"/>
                <w:color w:val="000000" w:themeColor="text1"/>
                <w:sz w:val="21"/>
              </w:rPr>
              <w:t>SO</w:t>
            </w:r>
            <w:r>
              <w:rPr>
                <w:rFonts w:cs="Times New Roman"/>
                <w:color w:val="000000" w:themeColor="text1"/>
                <w:sz w:val="21"/>
                <w:vertAlign w:val="subscript"/>
              </w:rPr>
              <w:t>2</w:t>
            </w:r>
          </w:p>
        </w:tc>
        <w:tc>
          <w:tcPr>
            <w:tcW w:w="1411" w:type="dxa"/>
            <w:vAlign w:val="center"/>
          </w:tcPr>
          <w:p>
            <w:pPr>
              <w:jc w:val="center"/>
              <w:rPr>
                <w:rFonts w:cs="Times New Roman"/>
                <w:color w:val="000000" w:themeColor="text1"/>
                <w:sz w:val="21"/>
              </w:rPr>
            </w:pPr>
            <w:r>
              <w:rPr>
                <w:rFonts w:cs="Times New Roman"/>
                <w:color w:val="000000" w:themeColor="text1"/>
                <w:sz w:val="21"/>
              </w:rPr>
              <w:t>289.56kg/a</w:t>
            </w:r>
          </w:p>
        </w:tc>
        <w:tc>
          <w:tcPr>
            <w:tcW w:w="1498" w:type="dxa"/>
            <w:gridSpan w:val="2"/>
          </w:tcPr>
          <w:p>
            <w:pPr>
              <w:jc w:val="center"/>
              <w:rPr>
                <w:rFonts w:cs="Times New Roman"/>
                <w:color w:val="000000" w:themeColor="text1"/>
                <w:sz w:val="21"/>
              </w:rPr>
            </w:pPr>
            <w:r>
              <w:rPr>
                <w:rFonts w:cs="Times New Roman"/>
                <w:color w:val="000000" w:themeColor="text1"/>
                <w:sz w:val="21"/>
              </w:rPr>
              <w:t>/</w:t>
            </w:r>
          </w:p>
        </w:tc>
        <w:tc>
          <w:tcPr>
            <w:tcW w:w="1527" w:type="dxa"/>
            <w:vAlign w:val="center"/>
          </w:tcPr>
          <w:p>
            <w:pPr>
              <w:jc w:val="center"/>
              <w:rPr>
                <w:rFonts w:cs="Times New Roman"/>
                <w:color w:val="000000" w:themeColor="text1"/>
                <w:sz w:val="21"/>
              </w:rPr>
            </w:pPr>
            <w:r>
              <w:rPr>
                <w:rFonts w:cs="Times New Roman"/>
                <w:color w:val="000000" w:themeColor="text1"/>
                <w:sz w:val="21"/>
              </w:rPr>
              <w:t>289.56kg/a</w:t>
            </w:r>
          </w:p>
        </w:tc>
        <w:tc>
          <w:tcPr>
            <w:tcW w:w="1434" w:type="dxa"/>
          </w:tcPr>
          <w:p>
            <w:pPr>
              <w:jc w:val="center"/>
              <w:rPr>
                <w:rFonts w:cs="Times New Roman"/>
                <w:color w:val="000000" w:themeColor="text1"/>
                <w:sz w:val="21"/>
              </w:rPr>
            </w:pPr>
            <w:r>
              <w:rPr>
                <w:rFonts w:cs="Times New Roman"/>
                <w:color w:val="000000" w:themeColor="text1"/>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jc w:val="center"/>
        </w:trPr>
        <w:tc>
          <w:tcPr>
            <w:tcW w:w="821" w:type="dxa"/>
            <w:vMerge w:val="continue"/>
            <w:vAlign w:val="center"/>
          </w:tcPr>
          <w:p>
            <w:pPr>
              <w:pStyle w:val="13"/>
              <w:ind w:firstLine="420"/>
              <w:jc w:val="center"/>
              <w:rPr>
                <w:rFonts w:ascii="Times New Roman" w:hAnsi="Times New Roman" w:cs="Times New Roman"/>
                <w:color w:val="000000" w:themeColor="text1"/>
                <w:kern w:val="0"/>
                <w:sz w:val="21"/>
              </w:rPr>
            </w:pPr>
          </w:p>
        </w:tc>
        <w:tc>
          <w:tcPr>
            <w:tcW w:w="1295" w:type="dxa"/>
            <w:vMerge w:val="continue"/>
            <w:vAlign w:val="center"/>
          </w:tcPr>
          <w:p>
            <w:pPr>
              <w:pStyle w:val="13"/>
              <w:ind w:firstLine="420"/>
              <w:jc w:val="center"/>
              <w:rPr>
                <w:rFonts w:ascii="Times New Roman" w:hAnsi="Times New Roman" w:cs="Times New Roman"/>
                <w:color w:val="000000" w:themeColor="text1"/>
                <w:kern w:val="0"/>
                <w:sz w:val="21"/>
              </w:rPr>
            </w:pPr>
          </w:p>
        </w:tc>
        <w:tc>
          <w:tcPr>
            <w:tcW w:w="1602" w:type="dxa"/>
            <w:vAlign w:val="center"/>
          </w:tcPr>
          <w:p>
            <w:pPr>
              <w:jc w:val="center"/>
              <w:rPr>
                <w:rFonts w:cs="Times New Roman"/>
                <w:color w:val="000000" w:themeColor="text1"/>
                <w:sz w:val="21"/>
              </w:rPr>
            </w:pPr>
            <w:r>
              <w:rPr>
                <w:rFonts w:cs="Times New Roman"/>
                <w:color w:val="000000" w:themeColor="text1"/>
                <w:sz w:val="21"/>
              </w:rPr>
              <w:t>烟尘</w:t>
            </w:r>
          </w:p>
        </w:tc>
        <w:tc>
          <w:tcPr>
            <w:tcW w:w="1411" w:type="dxa"/>
            <w:vAlign w:val="center"/>
          </w:tcPr>
          <w:p>
            <w:pPr>
              <w:jc w:val="center"/>
              <w:rPr>
                <w:rFonts w:cs="Times New Roman"/>
                <w:color w:val="000000" w:themeColor="text1"/>
                <w:sz w:val="21"/>
              </w:rPr>
            </w:pPr>
            <w:r>
              <w:rPr>
                <w:rFonts w:cs="Times New Roman"/>
                <w:color w:val="000000" w:themeColor="text1"/>
                <w:sz w:val="21"/>
              </w:rPr>
              <w:t>51.32kg/a</w:t>
            </w:r>
          </w:p>
        </w:tc>
        <w:tc>
          <w:tcPr>
            <w:tcW w:w="1498" w:type="dxa"/>
            <w:gridSpan w:val="2"/>
          </w:tcPr>
          <w:p>
            <w:pPr>
              <w:jc w:val="center"/>
              <w:rPr>
                <w:rFonts w:cs="Times New Roman"/>
                <w:color w:val="000000" w:themeColor="text1"/>
                <w:sz w:val="21"/>
              </w:rPr>
            </w:pPr>
            <w:r>
              <w:rPr>
                <w:rFonts w:cs="Times New Roman"/>
                <w:color w:val="000000" w:themeColor="text1"/>
                <w:sz w:val="21"/>
              </w:rPr>
              <w:t>/</w:t>
            </w:r>
          </w:p>
        </w:tc>
        <w:tc>
          <w:tcPr>
            <w:tcW w:w="1527" w:type="dxa"/>
            <w:vAlign w:val="center"/>
          </w:tcPr>
          <w:p>
            <w:pPr>
              <w:jc w:val="center"/>
              <w:rPr>
                <w:rFonts w:cs="Times New Roman"/>
                <w:color w:val="000000" w:themeColor="text1"/>
                <w:sz w:val="21"/>
              </w:rPr>
            </w:pPr>
            <w:r>
              <w:rPr>
                <w:rFonts w:cs="Times New Roman"/>
                <w:color w:val="000000" w:themeColor="text1"/>
                <w:sz w:val="21"/>
              </w:rPr>
              <w:t>51.32kg/a</w:t>
            </w:r>
          </w:p>
        </w:tc>
        <w:tc>
          <w:tcPr>
            <w:tcW w:w="1434" w:type="dxa"/>
          </w:tcPr>
          <w:p>
            <w:pPr>
              <w:jc w:val="center"/>
              <w:rPr>
                <w:rFonts w:cs="Times New Roman"/>
                <w:color w:val="000000" w:themeColor="text1"/>
                <w:sz w:val="21"/>
              </w:rPr>
            </w:pPr>
            <w:r>
              <w:rPr>
                <w:rFonts w:cs="Times New Roman"/>
                <w:color w:val="000000" w:themeColor="text1"/>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jc w:val="center"/>
        </w:trPr>
        <w:tc>
          <w:tcPr>
            <w:tcW w:w="821" w:type="dxa"/>
            <w:vMerge w:val="continue"/>
            <w:vAlign w:val="center"/>
          </w:tcPr>
          <w:p>
            <w:pPr>
              <w:pStyle w:val="13"/>
              <w:ind w:firstLine="420"/>
              <w:jc w:val="center"/>
              <w:rPr>
                <w:rFonts w:ascii="Times New Roman" w:hAnsi="Times New Roman" w:cs="Times New Roman"/>
                <w:color w:val="000000" w:themeColor="text1"/>
                <w:kern w:val="0"/>
                <w:sz w:val="21"/>
              </w:rPr>
            </w:pPr>
          </w:p>
        </w:tc>
        <w:tc>
          <w:tcPr>
            <w:tcW w:w="1295" w:type="dxa"/>
            <w:vMerge w:val="continue"/>
            <w:vAlign w:val="center"/>
          </w:tcPr>
          <w:p>
            <w:pPr>
              <w:pStyle w:val="13"/>
              <w:ind w:firstLine="420"/>
              <w:jc w:val="center"/>
              <w:rPr>
                <w:rFonts w:ascii="Times New Roman" w:hAnsi="Times New Roman" w:cs="Times New Roman"/>
                <w:color w:val="000000" w:themeColor="text1"/>
                <w:kern w:val="0"/>
                <w:sz w:val="21"/>
              </w:rPr>
            </w:pPr>
          </w:p>
        </w:tc>
        <w:tc>
          <w:tcPr>
            <w:tcW w:w="1602" w:type="dxa"/>
            <w:vAlign w:val="center"/>
          </w:tcPr>
          <w:p>
            <w:pPr>
              <w:jc w:val="center"/>
              <w:rPr>
                <w:rFonts w:cs="Times New Roman"/>
                <w:color w:val="000000" w:themeColor="text1"/>
                <w:sz w:val="21"/>
              </w:rPr>
            </w:pPr>
            <w:r>
              <w:rPr>
                <w:rFonts w:cs="Times New Roman"/>
                <w:color w:val="000000" w:themeColor="text1"/>
                <w:sz w:val="21"/>
              </w:rPr>
              <w:t>CO</w:t>
            </w:r>
          </w:p>
        </w:tc>
        <w:tc>
          <w:tcPr>
            <w:tcW w:w="1411" w:type="dxa"/>
            <w:vAlign w:val="center"/>
          </w:tcPr>
          <w:p>
            <w:pPr>
              <w:jc w:val="center"/>
              <w:rPr>
                <w:rFonts w:cs="Times New Roman"/>
                <w:color w:val="000000" w:themeColor="text1"/>
                <w:sz w:val="21"/>
              </w:rPr>
            </w:pPr>
            <w:r>
              <w:rPr>
                <w:rFonts w:cs="Times New Roman"/>
                <w:color w:val="000000" w:themeColor="text1"/>
                <w:sz w:val="21"/>
              </w:rPr>
              <w:t>109.62 kg/a</w:t>
            </w:r>
          </w:p>
        </w:tc>
        <w:tc>
          <w:tcPr>
            <w:tcW w:w="1498" w:type="dxa"/>
            <w:gridSpan w:val="2"/>
          </w:tcPr>
          <w:p>
            <w:pPr>
              <w:jc w:val="center"/>
              <w:rPr>
                <w:rFonts w:cs="Times New Roman"/>
                <w:color w:val="000000" w:themeColor="text1"/>
                <w:sz w:val="21"/>
              </w:rPr>
            </w:pPr>
            <w:r>
              <w:rPr>
                <w:rFonts w:cs="Times New Roman"/>
                <w:color w:val="000000" w:themeColor="text1"/>
                <w:sz w:val="21"/>
              </w:rPr>
              <w:t>/</w:t>
            </w:r>
          </w:p>
        </w:tc>
        <w:tc>
          <w:tcPr>
            <w:tcW w:w="1527" w:type="dxa"/>
            <w:vAlign w:val="center"/>
          </w:tcPr>
          <w:p>
            <w:pPr>
              <w:jc w:val="center"/>
              <w:rPr>
                <w:rFonts w:cs="Times New Roman"/>
                <w:color w:val="000000" w:themeColor="text1"/>
                <w:sz w:val="21"/>
              </w:rPr>
            </w:pPr>
            <w:r>
              <w:rPr>
                <w:rFonts w:cs="Times New Roman"/>
                <w:color w:val="000000" w:themeColor="text1"/>
                <w:sz w:val="21"/>
              </w:rPr>
              <w:t>109.62 kg/a</w:t>
            </w:r>
          </w:p>
        </w:tc>
        <w:tc>
          <w:tcPr>
            <w:tcW w:w="1434" w:type="dxa"/>
          </w:tcPr>
          <w:p>
            <w:pPr>
              <w:jc w:val="center"/>
              <w:rPr>
                <w:rFonts w:cs="Times New Roman"/>
                <w:color w:val="000000" w:themeColor="text1"/>
                <w:sz w:val="21"/>
              </w:rPr>
            </w:pPr>
            <w:r>
              <w:rPr>
                <w:rFonts w:cs="Times New Roman"/>
                <w:color w:val="000000" w:themeColor="text1"/>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jc w:val="center"/>
        </w:trPr>
        <w:tc>
          <w:tcPr>
            <w:tcW w:w="821" w:type="dxa"/>
            <w:vMerge w:val="continue"/>
            <w:vAlign w:val="center"/>
          </w:tcPr>
          <w:p>
            <w:pPr>
              <w:pStyle w:val="13"/>
              <w:ind w:firstLine="420"/>
              <w:jc w:val="center"/>
              <w:rPr>
                <w:rFonts w:ascii="Times New Roman" w:hAnsi="Times New Roman" w:cs="Times New Roman"/>
                <w:color w:val="000000" w:themeColor="text1"/>
                <w:kern w:val="0"/>
                <w:sz w:val="21"/>
              </w:rPr>
            </w:pPr>
          </w:p>
        </w:tc>
        <w:tc>
          <w:tcPr>
            <w:tcW w:w="1295" w:type="dxa"/>
            <w:vMerge w:val="continue"/>
            <w:vAlign w:val="center"/>
          </w:tcPr>
          <w:p>
            <w:pPr>
              <w:pStyle w:val="13"/>
              <w:ind w:firstLine="420"/>
              <w:jc w:val="center"/>
              <w:rPr>
                <w:rFonts w:ascii="Times New Roman" w:hAnsi="Times New Roman" w:cs="Times New Roman"/>
                <w:color w:val="000000" w:themeColor="text1"/>
                <w:kern w:val="0"/>
                <w:sz w:val="21"/>
              </w:rPr>
            </w:pPr>
          </w:p>
        </w:tc>
        <w:tc>
          <w:tcPr>
            <w:tcW w:w="1602" w:type="dxa"/>
            <w:vAlign w:val="center"/>
          </w:tcPr>
          <w:p>
            <w:pPr>
              <w:jc w:val="center"/>
              <w:rPr>
                <w:rFonts w:cs="Times New Roman"/>
                <w:color w:val="000000" w:themeColor="text1"/>
                <w:sz w:val="21"/>
              </w:rPr>
            </w:pPr>
            <w:r>
              <w:rPr>
                <w:rFonts w:cs="Times New Roman"/>
                <w:color w:val="000000" w:themeColor="text1"/>
                <w:sz w:val="21"/>
              </w:rPr>
              <w:t>NO</w:t>
            </w:r>
            <w:r>
              <w:rPr>
                <w:rFonts w:cs="Times New Roman"/>
                <w:color w:val="000000" w:themeColor="text1"/>
                <w:sz w:val="21"/>
                <w:vertAlign w:val="subscript"/>
              </w:rPr>
              <w:t>x</w:t>
            </w:r>
          </w:p>
        </w:tc>
        <w:tc>
          <w:tcPr>
            <w:tcW w:w="1411" w:type="dxa"/>
            <w:vAlign w:val="center"/>
          </w:tcPr>
          <w:p>
            <w:pPr>
              <w:jc w:val="center"/>
              <w:rPr>
                <w:rFonts w:cs="Times New Roman"/>
                <w:color w:val="000000" w:themeColor="text1"/>
                <w:sz w:val="21"/>
              </w:rPr>
            </w:pPr>
            <w:r>
              <w:rPr>
                <w:rFonts w:cs="Times New Roman"/>
                <w:color w:val="000000" w:themeColor="text1"/>
                <w:sz w:val="21"/>
              </w:rPr>
              <w:t>186.28kg/a</w:t>
            </w:r>
          </w:p>
        </w:tc>
        <w:tc>
          <w:tcPr>
            <w:tcW w:w="1498" w:type="dxa"/>
            <w:gridSpan w:val="2"/>
          </w:tcPr>
          <w:p>
            <w:pPr>
              <w:jc w:val="center"/>
              <w:rPr>
                <w:rFonts w:cs="Times New Roman"/>
                <w:color w:val="000000" w:themeColor="text1"/>
                <w:sz w:val="21"/>
              </w:rPr>
            </w:pPr>
            <w:r>
              <w:rPr>
                <w:rFonts w:cs="Times New Roman"/>
                <w:color w:val="000000" w:themeColor="text1"/>
                <w:sz w:val="21"/>
              </w:rPr>
              <w:t>/</w:t>
            </w:r>
          </w:p>
        </w:tc>
        <w:tc>
          <w:tcPr>
            <w:tcW w:w="1527" w:type="dxa"/>
            <w:vAlign w:val="center"/>
          </w:tcPr>
          <w:p>
            <w:pPr>
              <w:jc w:val="center"/>
              <w:rPr>
                <w:rFonts w:cs="Times New Roman"/>
                <w:color w:val="000000" w:themeColor="text1"/>
                <w:sz w:val="21"/>
              </w:rPr>
            </w:pPr>
            <w:r>
              <w:rPr>
                <w:rFonts w:cs="Times New Roman"/>
                <w:color w:val="000000" w:themeColor="text1"/>
                <w:sz w:val="21"/>
              </w:rPr>
              <w:t>186.28kg/a</w:t>
            </w:r>
          </w:p>
        </w:tc>
        <w:tc>
          <w:tcPr>
            <w:tcW w:w="1434" w:type="dxa"/>
          </w:tcPr>
          <w:p>
            <w:pPr>
              <w:jc w:val="center"/>
              <w:rPr>
                <w:rFonts w:cs="Times New Roman"/>
                <w:color w:val="000000" w:themeColor="text1"/>
                <w:sz w:val="21"/>
              </w:rPr>
            </w:pPr>
            <w:r>
              <w:rPr>
                <w:rFonts w:cs="Times New Roman"/>
                <w:color w:val="000000" w:themeColor="text1"/>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jc w:val="center"/>
        </w:trPr>
        <w:tc>
          <w:tcPr>
            <w:tcW w:w="821" w:type="dxa"/>
            <w:vMerge w:val="continue"/>
            <w:vAlign w:val="center"/>
          </w:tcPr>
          <w:p>
            <w:pPr>
              <w:pStyle w:val="13"/>
              <w:ind w:firstLine="420"/>
              <w:jc w:val="center"/>
              <w:rPr>
                <w:rFonts w:ascii="Times New Roman" w:hAnsi="Times New Roman" w:cs="Times New Roman"/>
                <w:color w:val="000000" w:themeColor="text1"/>
                <w:kern w:val="0"/>
                <w:sz w:val="21"/>
              </w:rPr>
            </w:pPr>
          </w:p>
        </w:tc>
        <w:tc>
          <w:tcPr>
            <w:tcW w:w="1295" w:type="dxa"/>
            <w:vMerge w:val="restart"/>
            <w:vAlign w:val="center"/>
          </w:tcPr>
          <w:p>
            <w:pPr>
              <w:jc w:val="center"/>
              <w:rPr>
                <w:rFonts w:cs="Times New Roman"/>
                <w:color w:val="000000" w:themeColor="text1"/>
                <w:sz w:val="21"/>
              </w:rPr>
            </w:pPr>
            <w:r>
              <w:rPr>
                <w:rFonts w:cs="Times New Roman"/>
                <w:color w:val="000000" w:themeColor="text1"/>
                <w:sz w:val="21"/>
              </w:rPr>
              <w:t>污水站</w:t>
            </w:r>
          </w:p>
        </w:tc>
        <w:tc>
          <w:tcPr>
            <w:tcW w:w="1602" w:type="dxa"/>
            <w:vAlign w:val="center"/>
          </w:tcPr>
          <w:p>
            <w:pPr>
              <w:jc w:val="center"/>
              <w:rPr>
                <w:rFonts w:cs="Times New Roman"/>
                <w:color w:val="000000" w:themeColor="text1"/>
                <w:sz w:val="21"/>
              </w:rPr>
            </w:pPr>
            <w:r>
              <w:rPr>
                <w:rFonts w:cs="Times New Roman"/>
                <w:bCs/>
                <w:color w:val="000000" w:themeColor="text1"/>
                <w:kern w:val="0"/>
                <w:sz w:val="21"/>
              </w:rPr>
              <w:t>NH</w:t>
            </w:r>
            <w:r>
              <w:rPr>
                <w:rFonts w:cs="Times New Roman"/>
                <w:bCs/>
                <w:color w:val="000000" w:themeColor="text1"/>
                <w:kern w:val="0"/>
                <w:sz w:val="21"/>
                <w:vertAlign w:val="subscript"/>
              </w:rPr>
              <w:t>3</w:t>
            </w:r>
          </w:p>
        </w:tc>
        <w:tc>
          <w:tcPr>
            <w:tcW w:w="1411" w:type="dxa"/>
          </w:tcPr>
          <w:p>
            <w:pPr>
              <w:jc w:val="center"/>
              <w:rPr>
                <w:rFonts w:cs="Times New Roman"/>
                <w:color w:val="000000" w:themeColor="text1"/>
                <w:sz w:val="21"/>
              </w:rPr>
            </w:pPr>
            <w:r>
              <w:rPr>
                <w:rFonts w:hint="eastAsia" w:cs="Times New Roman"/>
                <w:color w:val="000000" w:themeColor="text1"/>
                <w:sz w:val="21"/>
              </w:rPr>
              <w:t>0.06</w:t>
            </w:r>
            <w:r>
              <w:rPr>
                <w:rFonts w:cs="Times New Roman"/>
                <w:color w:val="000000" w:themeColor="text1"/>
                <w:sz w:val="21"/>
              </w:rPr>
              <w:t>t/a</w:t>
            </w:r>
          </w:p>
        </w:tc>
        <w:tc>
          <w:tcPr>
            <w:tcW w:w="1498" w:type="dxa"/>
            <w:gridSpan w:val="2"/>
            <w:vAlign w:val="center"/>
          </w:tcPr>
          <w:p>
            <w:pPr>
              <w:jc w:val="center"/>
              <w:rPr>
                <w:rFonts w:cs="Times New Roman"/>
                <w:color w:val="000000" w:themeColor="text1"/>
                <w:sz w:val="21"/>
              </w:rPr>
            </w:pPr>
            <w:r>
              <w:rPr>
                <w:rFonts w:cs="Times New Roman"/>
                <w:color w:val="000000" w:themeColor="text1"/>
                <w:sz w:val="21"/>
              </w:rPr>
              <w:t>0.57</w:t>
            </w:r>
            <w:r>
              <w:rPr>
                <w:rFonts w:cs="Times New Roman"/>
                <w:color w:val="000000" w:themeColor="text1"/>
                <w:kern w:val="0"/>
                <w:sz w:val="21"/>
              </w:rPr>
              <w:t>mg/m</w:t>
            </w:r>
            <w:r>
              <w:rPr>
                <w:rFonts w:cs="Times New Roman"/>
                <w:color w:val="000000" w:themeColor="text1"/>
                <w:kern w:val="0"/>
                <w:sz w:val="21"/>
                <w:vertAlign w:val="superscript"/>
              </w:rPr>
              <w:t>3</w:t>
            </w:r>
          </w:p>
        </w:tc>
        <w:tc>
          <w:tcPr>
            <w:tcW w:w="1527" w:type="dxa"/>
          </w:tcPr>
          <w:p>
            <w:pPr>
              <w:jc w:val="center"/>
              <w:rPr>
                <w:rFonts w:cs="Times New Roman"/>
                <w:color w:val="000000" w:themeColor="text1"/>
                <w:sz w:val="21"/>
              </w:rPr>
            </w:pPr>
            <w:r>
              <w:rPr>
                <w:rFonts w:hint="eastAsia" w:cs="Times New Roman"/>
                <w:color w:val="000000" w:themeColor="text1"/>
                <w:sz w:val="21"/>
              </w:rPr>
              <w:t>0.06</w:t>
            </w:r>
            <w:r>
              <w:rPr>
                <w:rFonts w:cs="Times New Roman"/>
                <w:color w:val="000000" w:themeColor="text1"/>
                <w:sz w:val="21"/>
              </w:rPr>
              <w:t>t/a</w:t>
            </w:r>
          </w:p>
        </w:tc>
        <w:tc>
          <w:tcPr>
            <w:tcW w:w="1434" w:type="dxa"/>
            <w:vAlign w:val="center"/>
          </w:tcPr>
          <w:p>
            <w:pPr>
              <w:jc w:val="center"/>
              <w:rPr>
                <w:rFonts w:cs="Times New Roman"/>
                <w:color w:val="000000" w:themeColor="text1"/>
                <w:sz w:val="21"/>
              </w:rPr>
            </w:pPr>
            <w:r>
              <w:rPr>
                <w:rFonts w:cs="Times New Roman"/>
                <w:color w:val="000000" w:themeColor="text1"/>
                <w:sz w:val="21"/>
              </w:rPr>
              <w:t>0.57</w:t>
            </w:r>
            <w:r>
              <w:rPr>
                <w:rFonts w:cs="Times New Roman"/>
                <w:color w:val="000000" w:themeColor="text1"/>
                <w:kern w:val="0"/>
                <w:sz w:val="21"/>
              </w:rPr>
              <w:t>mg/m</w:t>
            </w:r>
            <w:r>
              <w:rPr>
                <w:rFonts w:cs="Times New Roman"/>
                <w:color w:val="000000" w:themeColor="text1"/>
                <w:kern w:val="0"/>
                <w:sz w:val="21"/>
                <w:vertAlign w:val="super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jc w:val="center"/>
        </w:trPr>
        <w:tc>
          <w:tcPr>
            <w:tcW w:w="821" w:type="dxa"/>
            <w:vMerge w:val="continue"/>
            <w:vAlign w:val="center"/>
          </w:tcPr>
          <w:p>
            <w:pPr>
              <w:pStyle w:val="13"/>
              <w:ind w:firstLine="420"/>
              <w:jc w:val="center"/>
              <w:rPr>
                <w:rFonts w:ascii="Times New Roman" w:hAnsi="Times New Roman" w:cs="Times New Roman"/>
                <w:color w:val="000000" w:themeColor="text1"/>
                <w:kern w:val="0"/>
                <w:sz w:val="21"/>
              </w:rPr>
            </w:pPr>
          </w:p>
        </w:tc>
        <w:tc>
          <w:tcPr>
            <w:tcW w:w="1295" w:type="dxa"/>
            <w:vMerge w:val="continue"/>
            <w:vAlign w:val="center"/>
          </w:tcPr>
          <w:p>
            <w:pPr>
              <w:jc w:val="center"/>
              <w:rPr>
                <w:rFonts w:cs="Times New Roman"/>
                <w:color w:val="000000" w:themeColor="text1"/>
                <w:sz w:val="21"/>
              </w:rPr>
            </w:pPr>
          </w:p>
        </w:tc>
        <w:tc>
          <w:tcPr>
            <w:tcW w:w="1602" w:type="dxa"/>
            <w:vAlign w:val="center"/>
          </w:tcPr>
          <w:p>
            <w:pPr>
              <w:jc w:val="center"/>
              <w:rPr>
                <w:rFonts w:cs="Times New Roman"/>
                <w:color w:val="000000" w:themeColor="text1"/>
                <w:sz w:val="21"/>
              </w:rPr>
            </w:pPr>
            <w:r>
              <w:rPr>
                <w:rFonts w:cs="Times New Roman"/>
                <w:bCs/>
                <w:color w:val="000000" w:themeColor="text1"/>
                <w:kern w:val="0"/>
                <w:sz w:val="21"/>
              </w:rPr>
              <w:t>H</w:t>
            </w:r>
            <w:r>
              <w:rPr>
                <w:rFonts w:cs="Times New Roman"/>
                <w:bCs/>
                <w:color w:val="000000" w:themeColor="text1"/>
                <w:kern w:val="0"/>
                <w:sz w:val="21"/>
                <w:vertAlign w:val="subscript"/>
              </w:rPr>
              <w:t>2</w:t>
            </w:r>
            <w:r>
              <w:rPr>
                <w:rFonts w:cs="Times New Roman"/>
                <w:bCs/>
                <w:color w:val="000000" w:themeColor="text1"/>
                <w:kern w:val="0"/>
                <w:sz w:val="21"/>
              </w:rPr>
              <w:t>S</w:t>
            </w:r>
          </w:p>
        </w:tc>
        <w:tc>
          <w:tcPr>
            <w:tcW w:w="1411" w:type="dxa"/>
          </w:tcPr>
          <w:p>
            <w:pPr>
              <w:jc w:val="center"/>
              <w:rPr>
                <w:rFonts w:cs="Times New Roman"/>
                <w:color w:val="000000" w:themeColor="text1"/>
                <w:sz w:val="21"/>
              </w:rPr>
            </w:pPr>
            <w:r>
              <w:rPr>
                <w:rFonts w:hint="eastAsia" w:cs="Times New Roman"/>
                <w:color w:val="000000" w:themeColor="text1"/>
                <w:sz w:val="21"/>
              </w:rPr>
              <w:t>0.002</w:t>
            </w:r>
            <w:r>
              <w:rPr>
                <w:rFonts w:cs="Times New Roman"/>
                <w:color w:val="000000" w:themeColor="text1"/>
                <w:sz w:val="21"/>
              </w:rPr>
              <w:t>t/a</w:t>
            </w:r>
          </w:p>
        </w:tc>
        <w:tc>
          <w:tcPr>
            <w:tcW w:w="1498" w:type="dxa"/>
            <w:gridSpan w:val="2"/>
            <w:vAlign w:val="center"/>
          </w:tcPr>
          <w:p>
            <w:pPr>
              <w:jc w:val="center"/>
              <w:rPr>
                <w:rFonts w:cs="Times New Roman"/>
                <w:color w:val="000000" w:themeColor="text1"/>
                <w:sz w:val="21"/>
              </w:rPr>
            </w:pPr>
            <w:r>
              <w:rPr>
                <w:rFonts w:cs="Times New Roman"/>
                <w:color w:val="000000" w:themeColor="text1"/>
                <w:sz w:val="21"/>
              </w:rPr>
              <w:t>0.024</w:t>
            </w:r>
            <w:r>
              <w:rPr>
                <w:rFonts w:cs="Times New Roman"/>
                <w:color w:val="000000" w:themeColor="text1"/>
                <w:kern w:val="0"/>
                <w:sz w:val="21"/>
              </w:rPr>
              <w:t>mg/m</w:t>
            </w:r>
            <w:r>
              <w:rPr>
                <w:rFonts w:cs="Times New Roman"/>
                <w:color w:val="000000" w:themeColor="text1"/>
                <w:kern w:val="0"/>
                <w:sz w:val="21"/>
                <w:vertAlign w:val="superscript"/>
              </w:rPr>
              <w:t>3</w:t>
            </w:r>
          </w:p>
        </w:tc>
        <w:tc>
          <w:tcPr>
            <w:tcW w:w="1527" w:type="dxa"/>
          </w:tcPr>
          <w:p>
            <w:pPr>
              <w:jc w:val="center"/>
              <w:rPr>
                <w:rFonts w:cs="Times New Roman"/>
                <w:color w:val="000000" w:themeColor="text1"/>
                <w:sz w:val="21"/>
              </w:rPr>
            </w:pPr>
            <w:r>
              <w:rPr>
                <w:rFonts w:hint="eastAsia" w:cs="Times New Roman"/>
                <w:color w:val="000000" w:themeColor="text1"/>
                <w:sz w:val="21"/>
              </w:rPr>
              <w:t>0.002</w:t>
            </w:r>
            <w:r>
              <w:rPr>
                <w:rFonts w:cs="Times New Roman"/>
                <w:color w:val="000000" w:themeColor="text1"/>
                <w:sz w:val="21"/>
              </w:rPr>
              <w:t>t/a</w:t>
            </w:r>
          </w:p>
        </w:tc>
        <w:tc>
          <w:tcPr>
            <w:tcW w:w="1434" w:type="dxa"/>
            <w:vAlign w:val="center"/>
          </w:tcPr>
          <w:p>
            <w:pPr>
              <w:jc w:val="center"/>
              <w:rPr>
                <w:rFonts w:cs="Times New Roman"/>
                <w:color w:val="000000" w:themeColor="text1"/>
                <w:sz w:val="21"/>
              </w:rPr>
            </w:pPr>
            <w:r>
              <w:rPr>
                <w:rFonts w:cs="Times New Roman"/>
                <w:color w:val="000000" w:themeColor="text1"/>
                <w:sz w:val="21"/>
              </w:rPr>
              <w:t>0.024</w:t>
            </w:r>
            <w:r>
              <w:rPr>
                <w:rFonts w:cs="Times New Roman"/>
                <w:color w:val="000000" w:themeColor="text1"/>
                <w:kern w:val="0"/>
                <w:sz w:val="21"/>
              </w:rPr>
              <w:t>mg/m</w:t>
            </w:r>
            <w:r>
              <w:rPr>
                <w:rFonts w:cs="Times New Roman"/>
                <w:color w:val="000000" w:themeColor="text1"/>
                <w:kern w:val="0"/>
                <w:sz w:val="21"/>
                <w:vertAlign w:val="super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jc w:val="center"/>
        </w:trPr>
        <w:tc>
          <w:tcPr>
            <w:tcW w:w="821" w:type="dxa"/>
            <w:vMerge w:val="continue"/>
            <w:vAlign w:val="center"/>
          </w:tcPr>
          <w:p>
            <w:pPr>
              <w:pStyle w:val="13"/>
              <w:ind w:firstLine="420"/>
              <w:jc w:val="center"/>
              <w:rPr>
                <w:rFonts w:ascii="Times New Roman" w:hAnsi="Times New Roman" w:cs="Times New Roman"/>
                <w:color w:val="000000" w:themeColor="text1"/>
                <w:kern w:val="0"/>
                <w:sz w:val="21"/>
              </w:rPr>
            </w:pPr>
          </w:p>
        </w:tc>
        <w:tc>
          <w:tcPr>
            <w:tcW w:w="1295" w:type="dxa"/>
            <w:vAlign w:val="center"/>
          </w:tcPr>
          <w:p>
            <w:pPr>
              <w:widowControl/>
              <w:adjustRightInd w:val="0"/>
              <w:snapToGrid w:val="0"/>
              <w:jc w:val="center"/>
              <w:rPr>
                <w:rFonts w:cs="Times New Roman"/>
                <w:color w:val="000000" w:themeColor="text1"/>
                <w:kern w:val="0"/>
                <w:sz w:val="21"/>
              </w:rPr>
            </w:pPr>
            <w:r>
              <w:rPr>
                <w:rFonts w:cs="Times New Roman"/>
                <w:color w:val="000000" w:themeColor="text1"/>
                <w:kern w:val="0"/>
                <w:sz w:val="21"/>
              </w:rPr>
              <w:t>食堂</w:t>
            </w:r>
          </w:p>
        </w:tc>
        <w:tc>
          <w:tcPr>
            <w:tcW w:w="1602" w:type="dxa"/>
            <w:vAlign w:val="center"/>
          </w:tcPr>
          <w:p>
            <w:pPr>
              <w:adjustRightInd w:val="0"/>
              <w:snapToGrid w:val="0"/>
              <w:jc w:val="center"/>
              <w:rPr>
                <w:rFonts w:cs="Times New Roman"/>
                <w:color w:val="000000" w:themeColor="text1"/>
                <w:sz w:val="21"/>
              </w:rPr>
            </w:pPr>
            <w:r>
              <w:rPr>
                <w:rFonts w:cs="Times New Roman"/>
                <w:color w:val="000000" w:themeColor="text1"/>
                <w:kern w:val="0"/>
                <w:sz w:val="21"/>
              </w:rPr>
              <w:t>油烟</w:t>
            </w:r>
          </w:p>
        </w:tc>
        <w:tc>
          <w:tcPr>
            <w:tcW w:w="1411" w:type="dxa"/>
            <w:vAlign w:val="center"/>
          </w:tcPr>
          <w:p>
            <w:pPr>
              <w:adjustRightInd w:val="0"/>
              <w:snapToGrid w:val="0"/>
              <w:jc w:val="center"/>
              <w:rPr>
                <w:rFonts w:cs="Times New Roman"/>
                <w:color w:val="000000" w:themeColor="text1"/>
                <w:sz w:val="21"/>
              </w:rPr>
            </w:pPr>
            <w:r>
              <w:rPr>
                <w:rFonts w:cs="Times New Roman"/>
                <w:color w:val="000000" w:themeColor="text1"/>
                <w:sz w:val="21"/>
              </w:rPr>
              <w:t>0.23t/a</w:t>
            </w:r>
          </w:p>
        </w:tc>
        <w:tc>
          <w:tcPr>
            <w:tcW w:w="1498" w:type="dxa"/>
            <w:gridSpan w:val="2"/>
          </w:tcPr>
          <w:p>
            <w:pPr>
              <w:jc w:val="center"/>
              <w:rPr>
                <w:rFonts w:cs="Times New Roman"/>
                <w:color w:val="000000" w:themeColor="text1"/>
                <w:sz w:val="21"/>
              </w:rPr>
            </w:pPr>
            <w:r>
              <w:rPr>
                <w:rFonts w:cs="Times New Roman"/>
                <w:color w:val="000000" w:themeColor="text1"/>
                <w:sz w:val="21"/>
              </w:rPr>
              <w:t>/</w:t>
            </w:r>
          </w:p>
        </w:tc>
        <w:tc>
          <w:tcPr>
            <w:tcW w:w="1527" w:type="dxa"/>
            <w:vAlign w:val="center"/>
          </w:tcPr>
          <w:p>
            <w:pPr>
              <w:adjustRightInd w:val="0"/>
              <w:snapToGrid w:val="0"/>
              <w:jc w:val="center"/>
              <w:rPr>
                <w:rFonts w:cs="Times New Roman"/>
                <w:color w:val="000000" w:themeColor="text1"/>
                <w:sz w:val="21"/>
              </w:rPr>
            </w:pPr>
            <w:r>
              <w:rPr>
                <w:rFonts w:cs="Times New Roman"/>
                <w:color w:val="000000" w:themeColor="text1"/>
                <w:sz w:val="21"/>
              </w:rPr>
              <w:t>0.0073t/a</w:t>
            </w:r>
          </w:p>
        </w:tc>
        <w:tc>
          <w:tcPr>
            <w:tcW w:w="1434" w:type="dxa"/>
            <w:vAlign w:val="center"/>
          </w:tcPr>
          <w:p>
            <w:pPr>
              <w:adjustRightInd w:val="0"/>
              <w:snapToGrid w:val="0"/>
              <w:jc w:val="center"/>
              <w:rPr>
                <w:rFonts w:cs="Times New Roman"/>
                <w:color w:val="000000" w:themeColor="text1"/>
                <w:sz w:val="21"/>
              </w:rPr>
            </w:pPr>
            <w:r>
              <w:rPr>
                <w:rFonts w:cs="Times New Roman"/>
                <w:color w:val="000000" w:themeColor="text1"/>
                <w:sz w:val="21"/>
              </w:rPr>
              <w:t>0.5mg/m</w:t>
            </w:r>
            <w:r>
              <w:rPr>
                <w:rFonts w:cs="Times New Roman"/>
                <w:color w:val="000000" w:themeColor="text1"/>
                <w:sz w:val="21"/>
                <w:vertAlign w:val="super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 w:hRule="atLeast"/>
          <w:jc w:val="center"/>
        </w:trPr>
        <w:tc>
          <w:tcPr>
            <w:tcW w:w="821" w:type="dxa"/>
            <w:vAlign w:val="center"/>
          </w:tcPr>
          <w:p>
            <w:pPr>
              <w:adjustRightInd w:val="0"/>
              <w:snapToGrid w:val="0"/>
              <w:jc w:val="center"/>
              <w:rPr>
                <w:rFonts w:cs="Times New Roman"/>
                <w:color w:val="000000" w:themeColor="text1"/>
                <w:sz w:val="21"/>
              </w:rPr>
            </w:pPr>
            <w:r>
              <w:rPr>
                <w:rFonts w:cs="Times New Roman"/>
                <w:color w:val="000000" w:themeColor="text1"/>
                <w:sz w:val="21"/>
              </w:rPr>
              <w:t>噪声</w:t>
            </w:r>
          </w:p>
        </w:tc>
        <w:tc>
          <w:tcPr>
            <w:tcW w:w="1295" w:type="dxa"/>
            <w:vAlign w:val="center"/>
          </w:tcPr>
          <w:p>
            <w:pPr>
              <w:widowControl/>
              <w:adjustRightInd w:val="0"/>
              <w:snapToGrid w:val="0"/>
              <w:jc w:val="center"/>
              <w:rPr>
                <w:rFonts w:cs="Times New Roman"/>
                <w:color w:val="000000" w:themeColor="text1"/>
                <w:sz w:val="21"/>
              </w:rPr>
            </w:pPr>
            <w:r>
              <w:rPr>
                <w:rFonts w:cs="Times New Roman"/>
                <w:color w:val="000000" w:themeColor="text1"/>
                <w:sz w:val="21"/>
              </w:rPr>
              <w:t>动力设备</w:t>
            </w:r>
          </w:p>
        </w:tc>
        <w:tc>
          <w:tcPr>
            <w:tcW w:w="1602" w:type="dxa"/>
            <w:vAlign w:val="center"/>
          </w:tcPr>
          <w:p>
            <w:pPr>
              <w:widowControl/>
              <w:adjustRightInd w:val="0"/>
              <w:snapToGrid w:val="0"/>
              <w:jc w:val="center"/>
              <w:rPr>
                <w:rFonts w:cs="Times New Roman"/>
                <w:color w:val="000000" w:themeColor="text1"/>
                <w:sz w:val="21"/>
              </w:rPr>
            </w:pPr>
            <w:r>
              <w:rPr>
                <w:rFonts w:cs="Times New Roman"/>
                <w:color w:val="000000" w:themeColor="text1"/>
                <w:sz w:val="21"/>
              </w:rPr>
              <w:t>噪声</w:t>
            </w:r>
          </w:p>
        </w:tc>
        <w:tc>
          <w:tcPr>
            <w:tcW w:w="5870" w:type="dxa"/>
            <w:gridSpan w:val="5"/>
            <w:vAlign w:val="center"/>
          </w:tcPr>
          <w:p>
            <w:pPr>
              <w:widowControl/>
              <w:adjustRightInd w:val="0"/>
              <w:snapToGrid w:val="0"/>
              <w:jc w:val="center"/>
              <w:rPr>
                <w:rFonts w:cs="Times New Roman"/>
                <w:color w:val="000000" w:themeColor="text1"/>
                <w:sz w:val="21"/>
              </w:rPr>
            </w:pPr>
            <w:r>
              <w:rPr>
                <w:rFonts w:cs="Times New Roman"/>
                <w:color w:val="000000" w:themeColor="text1"/>
                <w:sz w:val="21"/>
              </w:rPr>
              <w:t>65-95(dB(A))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1" w:hRule="atLeast"/>
          <w:jc w:val="center"/>
        </w:trPr>
        <w:tc>
          <w:tcPr>
            <w:tcW w:w="821" w:type="dxa"/>
            <w:vMerge w:val="restart"/>
            <w:vAlign w:val="center"/>
          </w:tcPr>
          <w:p>
            <w:pPr>
              <w:adjustRightInd w:val="0"/>
              <w:snapToGrid w:val="0"/>
              <w:jc w:val="center"/>
              <w:rPr>
                <w:rFonts w:cs="Times New Roman"/>
                <w:color w:val="000000" w:themeColor="text1"/>
                <w:sz w:val="21"/>
              </w:rPr>
            </w:pPr>
            <w:r>
              <w:rPr>
                <w:rFonts w:cs="Times New Roman"/>
                <w:color w:val="000000" w:themeColor="text1"/>
                <w:sz w:val="21"/>
              </w:rPr>
              <w:t>固废</w:t>
            </w:r>
          </w:p>
        </w:tc>
        <w:tc>
          <w:tcPr>
            <w:tcW w:w="1295" w:type="dxa"/>
            <w:vAlign w:val="center"/>
          </w:tcPr>
          <w:p>
            <w:pPr>
              <w:widowControl/>
              <w:adjustRightInd w:val="0"/>
              <w:snapToGrid w:val="0"/>
              <w:jc w:val="center"/>
              <w:rPr>
                <w:rFonts w:cs="Times New Roman"/>
                <w:color w:val="000000" w:themeColor="text1"/>
                <w:sz w:val="21"/>
              </w:rPr>
            </w:pPr>
            <w:r>
              <w:rPr>
                <w:rFonts w:cs="Times New Roman"/>
                <w:color w:val="000000" w:themeColor="text1"/>
                <w:sz w:val="21"/>
              </w:rPr>
              <w:t>病房、医护人员</w:t>
            </w:r>
          </w:p>
        </w:tc>
        <w:tc>
          <w:tcPr>
            <w:tcW w:w="1602" w:type="dxa"/>
            <w:vAlign w:val="center"/>
          </w:tcPr>
          <w:p>
            <w:pPr>
              <w:adjustRightInd w:val="0"/>
              <w:snapToGrid w:val="0"/>
              <w:jc w:val="center"/>
              <w:rPr>
                <w:rFonts w:cs="Times New Roman"/>
                <w:color w:val="000000" w:themeColor="text1"/>
                <w:kern w:val="0"/>
                <w:sz w:val="21"/>
              </w:rPr>
            </w:pPr>
            <w:r>
              <w:rPr>
                <w:rFonts w:cs="Times New Roman"/>
                <w:color w:val="000000" w:themeColor="text1"/>
                <w:sz w:val="21"/>
              </w:rPr>
              <w:t>生活垃圾</w:t>
            </w:r>
          </w:p>
        </w:tc>
        <w:tc>
          <w:tcPr>
            <w:tcW w:w="2572" w:type="dxa"/>
            <w:gridSpan w:val="2"/>
            <w:vAlign w:val="center"/>
          </w:tcPr>
          <w:p>
            <w:pPr>
              <w:adjustRightInd w:val="0"/>
              <w:snapToGrid w:val="0"/>
              <w:jc w:val="center"/>
              <w:rPr>
                <w:rFonts w:cs="Times New Roman"/>
                <w:color w:val="000000" w:themeColor="text1"/>
                <w:sz w:val="21"/>
              </w:rPr>
            </w:pPr>
            <w:r>
              <w:rPr>
                <w:rFonts w:cs="Times New Roman"/>
                <w:color w:val="000000" w:themeColor="text1"/>
                <w:sz w:val="21"/>
              </w:rPr>
              <w:t>599.659t/a</w:t>
            </w:r>
          </w:p>
        </w:tc>
        <w:tc>
          <w:tcPr>
            <w:tcW w:w="3298" w:type="dxa"/>
            <w:gridSpan w:val="3"/>
            <w:vAlign w:val="center"/>
          </w:tcPr>
          <w:p>
            <w:pPr>
              <w:adjustRightInd w:val="0"/>
              <w:snapToGrid w:val="0"/>
              <w:jc w:val="center"/>
              <w:rPr>
                <w:rFonts w:cs="Times New Roman"/>
                <w:color w:val="000000" w:themeColor="text1"/>
                <w:sz w:val="21"/>
              </w:rPr>
            </w:pPr>
            <w:r>
              <w:rPr>
                <w:rFonts w:cs="Times New Roman"/>
                <w:color w:val="000000" w:themeColor="text1"/>
                <w:sz w:val="21"/>
              </w:rPr>
              <w:t>环卫部门统一处理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2" w:hRule="atLeast"/>
          <w:jc w:val="center"/>
        </w:trPr>
        <w:tc>
          <w:tcPr>
            <w:tcW w:w="821" w:type="dxa"/>
            <w:vMerge w:val="continue"/>
            <w:vAlign w:val="center"/>
          </w:tcPr>
          <w:p>
            <w:pPr>
              <w:adjustRightInd w:val="0"/>
              <w:snapToGrid w:val="0"/>
              <w:jc w:val="center"/>
              <w:rPr>
                <w:rFonts w:cs="Times New Roman"/>
                <w:color w:val="000000" w:themeColor="text1"/>
                <w:sz w:val="21"/>
              </w:rPr>
            </w:pPr>
          </w:p>
        </w:tc>
        <w:tc>
          <w:tcPr>
            <w:tcW w:w="1295" w:type="dxa"/>
            <w:vAlign w:val="center"/>
          </w:tcPr>
          <w:p>
            <w:pPr>
              <w:widowControl/>
              <w:adjustRightInd w:val="0"/>
              <w:snapToGrid w:val="0"/>
              <w:jc w:val="center"/>
              <w:rPr>
                <w:rFonts w:cs="Times New Roman"/>
                <w:color w:val="000000" w:themeColor="text1"/>
                <w:sz w:val="21"/>
              </w:rPr>
            </w:pPr>
            <w:r>
              <w:rPr>
                <w:rFonts w:hAnsi="宋体" w:cs="Times New Roman"/>
                <w:color w:val="000000" w:themeColor="text1"/>
                <w:sz w:val="21"/>
              </w:rPr>
              <w:t>病房、实验室</w:t>
            </w:r>
          </w:p>
        </w:tc>
        <w:tc>
          <w:tcPr>
            <w:tcW w:w="1602" w:type="dxa"/>
            <w:vAlign w:val="center"/>
          </w:tcPr>
          <w:p>
            <w:pPr>
              <w:jc w:val="center"/>
              <w:rPr>
                <w:rFonts w:cs="Times New Roman"/>
                <w:color w:val="000000" w:themeColor="text1"/>
                <w:sz w:val="21"/>
              </w:rPr>
            </w:pPr>
            <w:r>
              <w:rPr>
                <w:rFonts w:hAnsi="宋体" w:cs="Times New Roman"/>
                <w:color w:val="000000" w:themeColor="text1"/>
                <w:sz w:val="21"/>
              </w:rPr>
              <w:t>医疗固</w:t>
            </w:r>
          </w:p>
          <w:p>
            <w:pPr>
              <w:jc w:val="center"/>
              <w:rPr>
                <w:rFonts w:cs="Times New Roman"/>
                <w:color w:val="000000" w:themeColor="text1"/>
                <w:spacing w:val="-6"/>
                <w:sz w:val="21"/>
              </w:rPr>
            </w:pPr>
            <w:r>
              <w:rPr>
                <w:rFonts w:hAnsi="宋体" w:cs="Times New Roman"/>
                <w:color w:val="000000" w:themeColor="text1"/>
                <w:sz w:val="21"/>
              </w:rPr>
              <w:t>体废物</w:t>
            </w:r>
          </w:p>
        </w:tc>
        <w:tc>
          <w:tcPr>
            <w:tcW w:w="2572" w:type="dxa"/>
            <w:gridSpan w:val="2"/>
            <w:vAlign w:val="center"/>
          </w:tcPr>
          <w:p>
            <w:pPr>
              <w:jc w:val="center"/>
              <w:rPr>
                <w:rFonts w:cs="Times New Roman"/>
                <w:color w:val="000000" w:themeColor="text1"/>
                <w:sz w:val="21"/>
              </w:rPr>
            </w:pPr>
            <w:r>
              <w:rPr>
                <w:rFonts w:hint="eastAsia" w:cs="Times New Roman"/>
                <w:color w:val="000000" w:themeColor="text1"/>
                <w:sz w:val="21"/>
              </w:rPr>
              <w:t>141.255</w:t>
            </w:r>
            <w:r>
              <w:rPr>
                <w:rFonts w:cs="Times New Roman"/>
                <w:color w:val="000000" w:themeColor="text1"/>
                <w:sz w:val="21"/>
              </w:rPr>
              <w:t>t/a</w:t>
            </w:r>
          </w:p>
        </w:tc>
        <w:tc>
          <w:tcPr>
            <w:tcW w:w="3298" w:type="dxa"/>
            <w:gridSpan w:val="3"/>
            <w:vAlign w:val="center"/>
          </w:tcPr>
          <w:p>
            <w:pPr>
              <w:adjustRightInd w:val="0"/>
              <w:snapToGrid w:val="0"/>
              <w:jc w:val="center"/>
              <w:rPr>
                <w:rFonts w:cs="Times New Roman"/>
                <w:color w:val="000000" w:themeColor="text1"/>
                <w:sz w:val="21"/>
              </w:rPr>
            </w:pPr>
            <w:r>
              <w:rPr>
                <w:rFonts w:hAnsi="宋体" w:cs="Times New Roman"/>
                <w:color w:val="000000" w:themeColor="text1"/>
                <w:sz w:val="21"/>
              </w:rPr>
              <w:t>委托岳阳市方向固废安全处置有限公司集中处置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jc w:val="center"/>
        </w:trPr>
        <w:tc>
          <w:tcPr>
            <w:tcW w:w="821" w:type="dxa"/>
            <w:vMerge w:val="continue"/>
            <w:vAlign w:val="center"/>
          </w:tcPr>
          <w:p>
            <w:pPr>
              <w:pStyle w:val="13"/>
              <w:ind w:firstLine="420"/>
              <w:jc w:val="center"/>
              <w:rPr>
                <w:rFonts w:ascii="Times New Roman" w:hAnsi="Times New Roman" w:cs="Times New Roman"/>
                <w:color w:val="000000" w:themeColor="text1"/>
                <w:kern w:val="0"/>
                <w:sz w:val="21"/>
              </w:rPr>
            </w:pPr>
          </w:p>
        </w:tc>
        <w:tc>
          <w:tcPr>
            <w:tcW w:w="1295" w:type="dxa"/>
            <w:vAlign w:val="center"/>
          </w:tcPr>
          <w:p>
            <w:pPr>
              <w:pStyle w:val="13"/>
              <w:ind w:firstLine="0" w:firstLineChars="0"/>
              <w:rPr>
                <w:rFonts w:ascii="Times New Roman" w:hAnsi="Times New Roman" w:cs="Times New Roman"/>
                <w:color w:val="000000" w:themeColor="text1"/>
                <w:kern w:val="0"/>
                <w:sz w:val="21"/>
              </w:rPr>
            </w:pPr>
            <w:r>
              <w:rPr>
                <w:rFonts w:ascii="Times New Roman" w:hAnsi="宋体" w:cs="Times New Roman"/>
                <w:color w:val="000000" w:themeColor="text1"/>
                <w:spacing w:val="-6"/>
                <w:sz w:val="21"/>
              </w:rPr>
              <w:t>污水处理站</w:t>
            </w:r>
          </w:p>
        </w:tc>
        <w:tc>
          <w:tcPr>
            <w:tcW w:w="1602" w:type="dxa"/>
            <w:vAlign w:val="center"/>
          </w:tcPr>
          <w:p>
            <w:pPr>
              <w:jc w:val="center"/>
              <w:rPr>
                <w:rFonts w:cs="Times New Roman"/>
                <w:color w:val="000000" w:themeColor="text1"/>
                <w:sz w:val="21"/>
              </w:rPr>
            </w:pPr>
            <w:r>
              <w:rPr>
                <w:rFonts w:hAnsi="宋体" w:cs="Times New Roman"/>
                <w:color w:val="000000" w:themeColor="text1"/>
                <w:sz w:val="21"/>
              </w:rPr>
              <w:t>污水处</w:t>
            </w:r>
          </w:p>
          <w:p>
            <w:pPr>
              <w:adjustRightInd w:val="0"/>
              <w:snapToGrid w:val="0"/>
              <w:jc w:val="center"/>
              <w:rPr>
                <w:rFonts w:cs="Times New Roman"/>
                <w:color w:val="000000" w:themeColor="text1"/>
                <w:kern w:val="0"/>
                <w:sz w:val="21"/>
              </w:rPr>
            </w:pPr>
            <w:r>
              <w:rPr>
                <w:rFonts w:hAnsi="宋体" w:cs="Times New Roman"/>
                <w:color w:val="000000" w:themeColor="text1"/>
                <w:sz w:val="21"/>
              </w:rPr>
              <w:t>理污泥</w:t>
            </w:r>
          </w:p>
        </w:tc>
        <w:tc>
          <w:tcPr>
            <w:tcW w:w="2572" w:type="dxa"/>
            <w:gridSpan w:val="2"/>
            <w:vAlign w:val="center"/>
          </w:tcPr>
          <w:p>
            <w:pPr>
              <w:adjustRightInd w:val="0"/>
              <w:snapToGrid w:val="0"/>
              <w:jc w:val="center"/>
              <w:rPr>
                <w:rFonts w:cs="Times New Roman"/>
                <w:color w:val="000000" w:themeColor="text1"/>
                <w:sz w:val="21"/>
              </w:rPr>
            </w:pPr>
            <w:r>
              <w:rPr>
                <w:rFonts w:cs="Times New Roman"/>
                <w:color w:val="000000" w:themeColor="text1"/>
                <w:sz w:val="21"/>
              </w:rPr>
              <w:t>15.1t/a</w:t>
            </w:r>
          </w:p>
        </w:tc>
        <w:tc>
          <w:tcPr>
            <w:tcW w:w="3298" w:type="dxa"/>
            <w:gridSpan w:val="3"/>
            <w:shd w:val="clear" w:color="auto" w:fill="auto"/>
            <w:vAlign w:val="center"/>
          </w:tcPr>
          <w:p>
            <w:pPr>
              <w:adjustRightInd w:val="0"/>
              <w:snapToGrid w:val="0"/>
              <w:jc w:val="center"/>
              <w:rPr>
                <w:rFonts w:cs="Times New Roman"/>
                <w:color w:val="000000" w:themeColor="text1"/>
                <w:sz w:val="21"/>
              </w:rPr>
            </w:pPr>
            <w:r>
              <w:rPr>
                <w:rFonts w:hAnsi="宋体" w:cs="Times New Roman"/>
                <w:color w:val="000000" w:themeColor="text1"/>
                <w:spacing w:val="-10"/>
                <w:sz w:val="21"/>
              </w:rPr>
              <w:t>消毒脱水干化后</w:t>
            </w:r>
            <w:r>
              <w:rPr>
                <w:rFonts w:hint="eastAsia" w:hAnsi="宋体" w:cs="Times New Roman"/>
                <w:color w:val="000000" w:themeColor="text1"/>
                <w:spacing w:val="-10"/>
                <w:sz w:val="21"/>
              </w:rPr>
              <w:t>，委托有资质单位处理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jc w:val="center"/>
        </w:trPr>
        <w:tc>
          <w:tcPr>
            <w:tcW w:w="821" w:type="dxa"/>
            <w:vMerge w:val="continue"/>
            <w:vAlign w:val="center"/>
          </w:tcPr>
          <w:p>
            <w:pPr>
              <w:pStyle w:val="13"/>
              <w:ind w:firstLine="420"/>
              <w:jc w:val="center"/>
              <w:rPr>
                <w:rFonts w:ascii="Times New Roman" w:hAnsi="Times New Roman" w:cs="Times New Roman"/>
                <w:color w:val="000000" w:themeColor="text1"/>
                <w:kern w:val="0"/>
                <w:sz w:val="21"/>
              </w:rPr>
            </w:pPr>
          </w:p>
        </w:tc>
        <w:tc>
          <w:tcPr>
            <w:tcW w:w="1295" w:type="dxa"/>
            <w:vMerge w:val="restart"/>
            <w:vAlign w:val="center"/>
          </w:tcPr>
          <w:p>
            <w:pPr>
              <w:widowControl/>
              <w:adjustRightInd w:val="0"/>
              <w:snapToGrid w:val="0"/>
              <w:jc w:val="center"/>
              <w:rPr>
                <w:rFonts w:cs="Times New Roman"/>
                <w:color w:val="000000" w:themeColor="text1"/>
                <w:kern w:val="0"/>
                <w:sz w:val="21"/>
              </w:rPr>
            </w:pPr>
            <w:r>
              <w:rPr>
                <w:rFonts w:cs="Times New Roman"/>
                <w:color w:val="000000" w:themeColor="text1"/>
                <w:sz w:val="21"/>
              </w:rPr>
              <w:t>医院食堂</w:t>
            </w:r>
          </w:p>
        </w:tc>
        <w:tc>
          <w:tcPr>
            <w:tcW w:w="1602" w:type="dxa"/>
            <w:vAlign w:val="center"/>
          </w:tcPr>
          <w:p>
            <w:pPr>
              <w:adjustRightInd w:val="0"/>
              <w:snapToGrid w:val="0"/>
              <w:jc w:val="center"/>
              <w:rPr>
                <w:rFonts w:cs="Times New Roman"/>
                <w:color w:val="000000" w:themeColor="text1"/>
                <w:kern w:val="0"/>
                <w:sz w:val="21"/>
              </w:rPr>
            </w:pPr>
            <w:r>
              <w:rPr>
                <w:rFonts w:hAnsi="宋体" w:cs="Times New Roman"/>
                <w:color w:val="000000" w:themeColor="text1"/>
                <w:sz w:val="21"/>
              </w:rPr>
              <w:t>厨余垃圾</w:t>
            </w:r>
          </w:p>
        </w:tc>
        <w:tc>
          <w:tcPr>
            <w:tcW w:w="2572" w:type="dxa"/>
            <w:gridSpan w:val="2"/>
            <w:vAlign w:val="center"/>
          </w:tcPr>
          <w:p>
            <w:pPr>
              <w:jc w:val="center"/>
              <w:rPr>
                <w:rFonts w:cs="Times New Roman"/>
                <w:color w:val="000000" w:themeColor="text1"/>
                <w:sz w:val="21"/>
              </w:rPr>
            </w:pPr>
            <w:r>
              <w:rPr>
                <w:rFonts w:cs="Times New Roman"/>
                <w:color w:val="000000" w:themeColor="text1"/>
                <w:sz w:val="21"/>
              </w:rPr>
              <w:t>51.1t/a</w:t>
            </w:r>
          </w:p>
        </w:tc>
        <w:tc>
          <w:tcPr>
            <w:tcW w:w="3298" w:type="dxa"/>
            <w:gridSpan w:val="3"/>
            <w:vMerge w:val="restart"/>
            <w:shd w:val="clear" w:color="auto" w:fill="auto"/>
            <w:vAlign w:val="center"/>
          </w:tcPr>
          <w:p>
            <w:pPr>
              <w:adjustRightInd w:val="0"/>
              <w:snapToGrid w:val="0"/>
              <w:jc w:val="center"/>
              <w:rPr>
                <w:rFonts w:cs="Times New Roman"/>
                <w:color w:val="000000" w:themeColor="text1"/>
                <w:sz w:val="21"/>
              </w:rPr>
            </w:pPr>
            <w:r>
              <w:rPr>
                <w:rFonts w:eastAsia="宋体" w:cs="Times New Roman"/>
                <w:color w:val="000000" w:themeColor="text1"/>
                <w:sz w:val="21"/>
              </w:rPr>
              <w:t>交由有相关资质单位统一处理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jc w:val="center"/>
        </w:trPr>
        <w:tc>
          <w:tcPr>
            <w:tcW w:w="821" w:type="dxa"/>
            <w:vMerge w:val="continue"/>
            <w:vAlign w:val="center"/>
          </w:tcPr>
          <w:p>
            <w:pPr>
              <w:pStyle w:val="13"/>
              <w:ind w:firstLine="420"/>
              <w:jc w:val="center"/>
              <w:rPr>
                <w:rFonts w:ascii="Times New Roman" w:hAnsi="Times New Roman" w:cs="Times New Roman"/>
                <w:color w:val="000000" w:themeColor="text1"/>
                <w:kern w:val="0"/>
                <w:sz w:val="21"/>
              </w:rPr>
            </w:pPr>
          </w:p>
        </w:tc>
        <w:tc>
          <w:tcPr>
            <w:tcW w:w="1295" w:type="dxa"/>
            <w:vMerge w:val="continue"/>
            <w:vAlign w:val="center"/>
          </w:tcPr>
          <w:p>
            <w:pPr>
              <w:pStyle w:val="13"/>
              <w:ind w:firstLine="420"/>
              <w:jc w:val="center"/>
              <w:rPr>
                <w:rFonts w:ascii="Times New Roman" w:hAnsi="Times New Roman" w:cs="Times New Roman"/>
                <w:color w:val="000000" w:themeColor="text1"/>
                <w:kern w:val="0"/>
                <w:sz w:val="21"/>
              </w:rPr>
            </w:pPr>
          </w:p>
        </w:tc>
        <w:tc>
          <w:tcPr>
            <w:tcW w:w="1602" w:type="dxa"/>
            <w:vAlign w:val="center"/>
          </w:tcPr>
          <w:p>
            <w:pPr>
              <w:adjustRightInd w:val="0"/>
              <w:snapToGrid w:val="0"/>
              <w:jc w:val="center"/>
              <w:rPr>
                <w:rFonts w:cs="Times New Roman"/>
                <w:color w:val="000000" w:themeColor="text1"/>
                <w:kern w:val="0"/>
                <w:sz w:val="21"/>
              </w:rPr>
            </w:pPr>
            <w:r>
              <w:rPr>
                <w:rFonts w:hAnsi="宋体" w:cs="Times New Roman"/>
                <w:color w:val="000000" w:themeColor="text1"/>
                <w:spacing w:val="-6"/>
                <w:sz w:val="21"/>
              </w:rPr>
              <w:t>隔油沉淀池</w:t>
            </w:r>
          </w:p>
        </w:tc>
        <w:tc>
          <w:tcPr>
            <w:tcW w:w="2572" w:type="dxa"/>
            <w:gridSpan w:val="2"/>
            <w:vAlign w:val="center"/>
          </w:tcPr>
          <w:p>
            <w:pPr>
              <w:jc w:val="center"/>
              <w:rPr>
                <w:rFonts w:cs="Times New Roman"/>
                <w:color w:val="000000" w:themeColor="text1"/>
                <w:sz w:val="21"/>
              </w:rPr>
            </w:pPr>
            <w:r>
              <w:rPr>
                <w:rFonts w:cs="Times New Roman"/>
                <w:color w:val="000000" w:themeColor="text1"/>
                <w:sz w:val="21"/>
              </w:rPr>
              <w:t>1.69t/a</w:t>
            </w:r>
          </w:p>
        </w:tc>
        <w:tc>
          <w:tcPr>
            <w:tcW w:w="3298" w:type="dxa"/>
            <w:gridSpan w:val="3"/>
            <w:vMerge w:val="continue"/>
            <w:shd w:val="clear" w:color="auto" w:fill="auto"/>
            <w:vAlign w:val="center"/>
          </w:tcPr>
          <w:p>
            <w:pPr>
              <w:adjustRightInd w:val="0"/>
              <w:snapToGrid w:val="0"/>
              <w:jc w:val="center"/>
              <w:rPr>
                <w:rFonts w:cs="Times New Roman"/>
                <w:color w:val="000000" w:themeColor="text1"/>
                <w:sz w:val="21"/>
              </w:rPr>
            </w:pPr>
          </w:p>
        </w:tc>
      </w:tr>
    </w:tbl>
    <w:p>
      <w:pPr>
        <w:pStyle w:val="2"/>
        <w:rPr>
          <w:color w:val="000000" w:themeColor="text1"/>
        </w:rPr>
      </w:pPr>
      <w:bookmarkStart w:id="142" w:name="_Toc25826491"/>
      <w:r>
        <w:rPr>
          <w:rFonts w:hint="eastAsia"/>
          <w:color w:val="000000" w:themeColor="text1"/>
        </w:rPr>
        <w:t>环境现状调查与评价</w:t>
      </w:r>
      <w:bookmarkEnd w:id="133"/>
      <w:bookmarkEnd w:id="134"/>
      <w:bookmarkEnd w:id="135"/>
      <w:bookmarkEnd w:id="136"/>
      <w:bookmarkEnd w:id="142"/>
    </w:p>
    <w:p>
      <w:pPr>
        <w:pStyle w:val="4"/>
        <w:rPr>
          <w:color w:val="000000" w:themeColor="text1"/>
        </w:rPr>
      </w:pPr>
      <w:bookmarkStart w:id="143" w:name="_Toc532376153"/>
      <w:bookmarkStart w:id="144" w:name="_Toc25826492"/>
      <w:bookmarkStart w:id="145" w:name="_Toc532763210"/>
      <w:bookmarkStart w:id="146" w:name="_Toc532497637"/>
      <w:bookmarkStart w:id="147" w:name="_Toc532498746"/>
      <w:r>
        <w:rPr>
          <w:rFonts w:hint="eastAsia"/>
          <w:color w:val="000000" w:themeColor="text1"/>
        </w:rPr>
        <w:t>自然环境概况</w:t>
      </w:r>
      <w:bookmarkEnd w:id="143"/>
      <w:bookmarkEnd w:id="144"/>
      <w:bookmarkEnd w:id="145"/>
      <w:bookmarkEnd w:id="146"/>
      <w:bookmarkEnd w:id="147"/>
    </w:p>
    <w:p>
      <w:pPr>
        <w:pStyle w:val="5"/>
        <w:rPr>
          <w:color w:val="000000" w:themeColor="text1"/>
        </w:rPr>
      </w:pPr>
      <w:bookmarkStart w:id="148" w:name="_Toc532497638"/>
      <w:r>
        <w:rPr>
          <w:rFonts w:hint="eastAsia"/>
          <w:color w:val="000000" w:themeColor="text1"/>
        </w:rPr>
        <w:t>地理位置</w:t>
      </w:r>
      <w:bookmarkEnd w:id="148"/>
    </w:p>
    <w:p>
      <w:pPr>
        <w:spacing w:line="360" w:lineRule="auto"/>
        <w:ind w:firstLine="480" w:firstLineChars="200"/>
      </w:pPr>
      <w:r>
        <w:t>岳阳市位于湖南省的东北部，素称“湘北门户”。地处东经112°18′31″~114°9′6″，北纬28°25′33″~29°51′00″之间。东邻江西省铜鼓、修水县和湖南省通城县；南抵湖南省浏阳市、长沙县、望城县；西接湖南省南县、安乡县、沅江市；北界湖北省赤壁、洪湖、监利、石首县（市）。全市东西横跨177.84km，南北纵长157.87km。土地总面积14898km</w:t>
      </w:r>
      <w:r>
        <w:rPr>
          <w:vertAlign w:val="superscript"/>
        </w:rPr>
        <w:t>2</w:t>
      </w:r>
      <w:r>
        <w:t>，占全省总面积的7.05%。城市规划区面积845km</w:t>
      </w:r>
      <w:r>
        <w:rPr>
          <w:vertAlign w:val="superscript"/>
        </w:rPr>
        <w:t>2</w:t>
      </w:r>
      <w:r>
        <w:t>，其中市区建成区面积83.73km</w:t>
      </w:r>
      <w:r>
        <w:rPr>
          <w:vertAlign w:val="superscript"/>
        </w:rPr>
        <w:t>2</w:t>
      </w:r>
      <w:r>
        <w:t>。</w:t>
      </w:r>
    </w:p>
    <w:p>
      <w:pPr>
        <w:spacing w:line="360" w:lineRule="auto"/>
        <w:ind w:firstLine="480" w:firstLineChars="200"/>
      </w:pPr>
      <w:r>
        <w:rPr>
          <w:rFonts w:hint="eastAsia"/>
        </w:rPr>
        <w:t>本项目位于岳阳市岳阳楼区</w:t>
      </w:r>
      <w:r>
        <w:rPr>
          <w:rFonts w:cs="Times New Roman"/>
          <w:szCs w:val="24"/>
        </w:rPr>
        <w:t>福颐路48号</w:t>
      </w:r>
      <w:r>
        <w:rPr>
          <w:rFonts w:hint="eastAsia" w:cs="Times New Roman"/>
          <w:szCs w:val="24"/>
        </w:rPr>
        <w:t>，</w:t>
      </w:r>
      <w:r>
        <w:rPr>
          <w:rFonts w:cs="Times New Roman"/>
          <w:szCs w:val="24"/>
        </w:rPr>
        <w:t>本项目地理位置图见附图</w:t>
      </w:r>
      <w:r>
        <w:rPr>
          <w:rFonts w:hint="eastAsia" w:cs="Times New Roman"/>
          <w:szCs w:val="24"/>
        </w:rPr>
        <w:t>一。</w:t>
      </w:r>
    </w:p>
    <w:p>
      <w:pPr>
        <w:pStyle w:val="5"/>
        <w:rPr>
          <w:color w:val="000000" w:themeColor="text1"/>
        </w:rPr>
      </w:pPr>
      <w:bookmarkStart w:id="149" w:name="_Toc532497639"/>
      <w:r>
        <w:rPr>
          <w:rFonts w:hint="eastAsia"/>
          <w:color w:val="000000" w:themeColor="text1"/>
        </w:rPr>
        <w:t>地形地貌</w:t>
      </w:r>
      <w:bookmarkEnd w:id="149"/>
    </w:p>
    <w:p>
      <w:pPr>
        <w:widowControl/>
        <w:spacing w:line="360" w:lineRule="auto"/>
        <w:ind w:firstLine="420"/>
      </w:pPr>
      <w:r>
        <w:t>岳阳</w:t>
      </w:r>
      <w:r>
        <w:rPr>
          <w:rFonts w:hint="eastAsia"/>
        </w:rPr>
        <w:t>市属丘陵低山地形。境内地质构造复杂，为地壳运动褶皱上升部分，地势东高西低，呈阶梯状向东洞庭湖倾斜。地貌以岗丘地貌为主，间与平原、湖泊犬牙交错。山丘呈波状，海拔多在50—150米间，最高点麻布大山海拔358.8米，南湖、枫桥湖、东风湖、吉家湖、长江镶嵌于城区周围，水资源丰富。地处城中心的金鹗山，峰峦盘结，绿树成荫，主峰海拔97米，为城区最高点。随着城市建设的不断发展，许多岗丘被推平，建成工厂区与住宅区。外营力的作用，改变了原来的自然环境。</w:t>
      </w:r>
    </w:p>
    <w:p>
      <w:pPr>
        <w:widowControl/>
        <w:spacing w:line="360" w:lineRule="auto"/>
        <w:ind w:firstLine="420"/>
      </w:pPr>
      <w:r>
        <w:rPr>
          <w:rFonts w:hint="eastAsia"/>
        </w:rPr>
        <w:t>项目拟建地位于岳阳市的中部丘岗区，在长期雨水侵蚀和物理化学风化作用下，形成了较厚的风化壳，地质条件较好。</w:t>
      </w:r>
    </w:p>
    <w:p>
      <w:pPr>
        <w:autoSpaceDE w:val="0"/>
        <w:autoSpaceDN w:val="0"/>
        <w:adjustRightInd w:val="0"/>
        <w:spacing w:line="360" w:lineRule="auto"/>
        <w:ind w:firstLine="480" w:firstLineChars="200"/>
      </w:pPr>
      <w:r>
        <w:rPr>
          <w:rFonts w:hint="eastAsia"/>
        </w:rPr>
        <w:t>地震：根据《建筑抗震设计规范》(GB50011-2010），查得该地区地震动峰值加速度为0.1g，地震动反应谱特性周期为0.35S，对应地震烈度为7度，建筑物按7度设防。</w:t>
      </w:r>
    </w:p>
    <w:p>
      <w:pPr>
        <w:pStyle w:val="5"/>
        <w:rPr>
          <w:color w:val="000000" w:themeColor="text1"/>
        </w:rPr>
      </w:pPr>
      <w:bookmarkStart w:id="150" w:name="_Toc532497640"/>
      <w:r>
        <w:rPr>
          <w:rFonts w:hint="eastAsia"/>
          <w:color w:val="000000" w:themeColor="text1"/>
        </w:rPr>
        <w:t>气候气象</w:t>
      </w:r>
      <w:bookmarkEnd w:id="150"/>
    </w:p>
    <w:p>
      <w:pPr>
        <w:widowControl/>
        <w:spacing w:line="360" w:lineRule="auto"/>
        <w:ind w:firstLine="420"/>
      </w:pPr>
      <w:r>
        <w:t>岳阳市地处东亚季风区，属北亚热带气候。四季分明，气候温和，雨量充沛，光照充足，无霜期长，水热资源丰富；受季风气候影响，降雨量集中于雨季的4至7月；受长江与洞庭湖大型水体之调节，夏季最高温度未超过40℃，冬季严寒期短，有的年份无严寒期，年主导风向为NNE，冬季一月主导风向为NNE，盛夏七月主导风向为SSE。其主要气象参数如下：</w:t>
      </w:r>
    </w:p>
    <w:p>
      <w:pPr>
        <w:widowControl/>
        <w:spacing w:line="360" w:lineRule="auto"/>
        <w:ind w:firstLine="540" w:firstLineChars="225"/>
      </w:pPr>
      <w:r>
        <w:rPr>
          <w:rFonts w:hint="eastAsia"/>
        </w:rPr>
        <w:t>（1）</w:t>
      </w:r>
      <w:r>
        <w:t>气温（℃）</w:t>
      </w:r>
    </w:p>
    <w:p>
      <w:pPr>
        <w:widowControl/>
        <w:spacing w:line="360" w:lineRule="auto"/>
        <w:ind w:firstLine="420"/>
      </w:pPr>
      <w:r>
        <w:t xml:space="preserve"> 年平均气温                            17.1</w:t>
      </w:r>
    </w:p>
    <w:p>
      <w:pPr>
        <w:widowControl/>
        <w:spacing w:line="360" w:lineRule="auto"/>
        <w:ind w:firstLine="420"/>
      </w:pPr>
      <w:r>
        <w:t xml:space="preserve"> 最热月（7月）平均气温                29.1</w:t>
      </w:r>
    </w:p>
    <w:p>
      <w:pPr>
        <w:widowControl/>
        <w:spacing w:line="360" w:lineRule="auto"/>
        <w:ind w:firstLine="420"/>
      </w:pPr>
      <w:r>
        <w:t xml:space="preserve"> 最冷月（1月）平均气温                 4.7</w:t>
      </w:r>
    </w:p>
    <w:p>
      <w:pPr>
        <w:widowControl/>
        <w:spacing w:line="360" w:lineRule="auto"/>
        <w:ind w:firstLine="420"/>
      </w:pPr>
      <w:r>
        <w:t xml:space="preserve"> 极端最高气温                          39.3</w:t>
      </w:r>
    </w:p>
    <w:p>
      <w:pPr>
        <w:widowControl/>
        <w:spacing w:line="360" w:lineRule="auto"/>
        <w:ind w:firstLine="420"/>
      </w:pPr>
      <w:r>
        <w:t xml:space="preserve"> 极端最低气温                          -11.4</w:t>
      </w:r>
    </w:p>
    <w:p>
      <w:pPr>
        <w:widowControl/>
        <w:spacing w:line="360" w:lineRule="auto"/>
        <w:ind w:firstLine="480" w:firstLineChars="200"/>
      </w:pPr>
      <w:r>
        <w:rPr>
          <w:rFonts w:hint="eastAsia"/>
        </w:rPr>
        <w:t>（2）</w:t>
      </w:r>
      <w:r>
        <w:t>降水（mm）</w:t>
      </w:r>
    </w:p>
    <w:p>
      <w:pPr>
        <w:widowControl/>
        <w:spacing w:line="360" w:lineRule="auto"/>
        <w:ind w:firstLine="420"/>
      </w:pPr>
      <w:r>
        <w:t xml:space="preserve"> 年平均降雨量                          1271.4</w:t>
      </w:r>
    </w:p>
    <w:p>
      <w:pPr>
        <w:widowControl/>
        <w:spacing w:line="360" w:lineRule="auto"/>
        <w:ind w:firstLine="420"/>
      </w:pPr>
      <w:r>
        <w:t xml:space="preserve"> 极端年最大降雨量                      2336.5</w:t>
      </w:r>
    </w:p>
    <w:p>
      <w:pPr>
        <w:widowControl/>
        <w:spacing w:line="360" w:lineRule="auto"/>
        <w:ind w:firstLine="420"/>
      </w:pPr>
      <w:r>
        <w:t xml:space="preserve"> 极端年最小降雨量                      787.4</w:t>
      </w:r>
    </w:p>
    <w:p>
      <w:pPr>
        <w:widowControl/>
        <w:spacing w:line="360" w:lineRule="auto"/>
        <w:ind w:firstLine="420"/>
      </w:pPr>
      <w:r>
        <w:t xml:space="preserve"> 最大日降雨量                          246.1</w:t>
      </w:r>
    </w:p>
    <w:p>
      <w:pPr>
        <w:widowControl/>
        <w:spacing w:line="360" w:lineRule="auto"/>
        <w:ind w:firstLine="480" w:firstLineChars="200"/>
      </w:pPr>
      <w:r>
        <w:rPr>
          <w:rFonts w:hint="eastAsia"/>
        </w:rPr>
        <w:t>（3）</w:t>
      </w:r>
      <w:r>
        <w:t>相对湿度（%）</w:t>
      </w:r>
    </w:p>
    <w:p>
      <w:pPr>
        <w:widowControl/>
        <w:spacing w:line="360" w:lineRule="auto"/>
        <w:ind w:firstLine="540" w:firstLineChars="225"/>
      </w:pPr>
      <w:r>
        <w:t>年平均相对湿度                        78</w:t>
      </w:r>
    </w:p>
    <w:p>
      <w:pPr>
        <w:widowControl/>
        <w:spacing w:line="360" w:lineRule="auto"/>
        <w:ind w:firstLine="540" w:firstLineChars="225"/>
      </w:pPr>
      <w:r>
        <w:t>最热月平均相对湿度                    75</w:t>
      </w:r>
    </w:p>
    <w:p>
      <w:pPr>
        <w:widowControl/>
        <w:spacing w:line="360" w:lineRule="auto"/>
        <w:ind w:firstLine="540" w:firstLineChars="225"/>
      </w:pPr>
      <w:r>
        <w:t>最冷月平均相对湿度                    77</w:t>
      </w:r>
    </w:p>
    <w:p>
      <w:pPr>
        <w:widowControl/>
        <w:spacing w:line="360" w:lineRule="auto"/>
        <w:ind w:firstLine="480" w:firstLineChars="200"/>
      </w:pPr>
      <w:r>
        <w:rPr>
          <w:rFonts w:hint="eastAsia"/>
        </w:rPr>
        <w:t>（4）</w:t>
      </w:r>
      <w:r>
        <w:t>蒸发（mm）</w:t>
      </w:r>
    </w:p>
    <w:p>
      <w:pPr>
        <w:widowControl/>
        <w:spacing w:line="360" w:lineRule="auto"/>
        <w:ind w:firstLine="540" w:firstLineChars="225"/>
      </w:pPr>
      <w:r>
        <w:t>年平均蒸发量                         1392.4</w:t>
      </w:r>
    </w:p>
    <w:p>
      <w:pPr>
        <w:widowControl/>
        <w:spacing w:line="360" w:lineRule="auto"/>
        <w:ind w:firstLine="480" w:firstLineChars="200"/>
      </w:pPr>
      <w:r>
        <w:rPr>
          <w:rFonts w:hint="eastAsia"/>
        </w:rPr>
        <w:t>（5）</w:t>
      </w:r>
      <w:r>
        <w:t>风速（m/s）</w:t>
      </w:r>
    </w:p>
    <w:p>
      <w:pPr>
        <w:widowControl/>
        <w:spacing w:line="360" w:lineRule="auto"/>
        <w:ind w:firstLine="540" w:firstLineChars="225"/>
      </w:pPr>
      <w:r>
        <w:t>年平均风速                           2.9m/s</w:t>
      </w:r>
    </w:p>
    <w:p>
      <w:pPr>
        <w:widowControl/>
        <w:spacing w:line="360" w:lineRule="auto"/>
        <w:ind w:firstLine="480" w:firstLineChars="200"/>
      </w:pPr>
      <w:r>
        <w:rPr>
          <w:rFonts w:hint="eastAsia"/>
        </w:rPr>
        <w:t>（6）</w:t>
      </w:r>
      <w:r>
        <w:t>冻土（cm）</w:t>
      </w:r>
    </w:p>
    <w:p>
      <w:pPr>
        <w:widowControl/>
        <w:spacing w:line="360" w:lineRule="auto"/>
        <w:ind w:firstLine="540" w:firstLineChars="225"/>
      </w:pPr>
      <w:r>
        <w:t>冻土                                   5</w:t>
      </w:r>
    </w:p>
    <w:p>
      <w:pPr>
        <w:widowControl/>
        <w:spacing w:line="360" w:lineRule="auto"/>
        <w:ind w:firstLine="480" w:firstLineChars="200"/>
      </w:pPr>
      <w:r>
        <w:rPr>
          <w:rFonts w:hint="eastAsia"/>
        </w:rPr>
        <w:t>（7）</w:t>
      </w:r>
      <w:r>
        <w:t>地震烈度7度</w:t>
      </w:r>
    </w:p>
    <w:p>
      <w:pPr>
        <w:widowControl/>
        <w:spacing w:line="360" w:lineRule="auto"/>
        <w:ind w:firstLine="480" w:firstLineChars="200"/>
      </w:pPr>
      <w:r>
        <w:rPr>
          <w:rFonts w:hint="eastAsia"/>
        </w:rPr>
        <w:t>（8）</w:t>
      </w:r>
      <w:r>
        <w:t>十年一遇最大降雨量                 1679.4 mm</w:t>
      </w:r>
    </w:p>
    <w:p>
      <w:pPr>
        <w:widowControl/>
        <w:spacing w:line="360" w:lineRule="auto"/>
        <w:ind w:firstLine="540" w:firstLineChars="225"/>
      </w:pPr>
      <w:r>
        <w:t>三十年一遇最大降雨量                  1856.9 mm</w:t>
      </w:r>
    </w:p>
    <w:p>
      <w:pPr>
        <w:widowControl/>
        <w:spacing w:line="360" w:lineRule="auto"/>
        <w:ind w:firstLine="480" w:firstLineChars="200"/>
      </w:pPr>
      <w:r>
        <w:rPr>
          <w:rFonts w:hint="eastAsia"/>
        </w:rPr>
        <w:t>（9）</w:t>
      </w:r>
      <w:r>
        <w:t>十年一遇日最大降雨量               161.6 mm</w:t>
      </w:r>
    </w:p>
    <w:p>
      <w:pPr>
        <w:autoSpaceDE w:val="0"/>
        <w:autoSpaceDN w:val="0"/>
        <w:adjustRightInd w:val="0"/>
        <w:spacing w:line="360" w:lineRule="auto"/>
        <w:ind w:firstLine="480" w:firstLineChars="200"/>
        <w:jc w:val="left"/>
        <w:rPr>
          <w:rFonts w:cs="Times New Roman"/>
        </w:rPr>
      </w:pPr>
      <w:r>
        <w:t>三十年一遇日最大降雨量                 191.0 mm</w:t>
      </w:r>
    </w:p>
    <w:p>
      <w:pPr>
        <w:pStyle w:val="5"/>
        <w:rPr>
          <w:color w:val="000000" w:themeColor="text1"/>
        </w:rPr>
      </w:pPr>
      <w:bookmarkStart w:id="151" w:name="_Toc532497642"/>
      <w:r>
        <w:rPr>
          <w:rFonts w:hint="eastAsia"/>
          <w:color w:val="000000" w:themeColor="text1"/>
        </w:rPr>
        <w:t>水文水资源</w:t>
      </w:r>
      <w:bookmarkEnd w:id="151"/>
    </w:p>
    <w:p>
      <w:pPr>
        <w:spacing w:line="360" w:lineRule="auto"/>
        <w:ind w:firstLine="480" w:firstLineChars="200"/>
      </w:pPr>
      <w:r>
        <w:rPr>
          <w:rFonts w:hint="eastAsia"/>
        </w:rPr>
        <w:t>岳阳市水资源丰富，湖泊众多，河网密布，水系发达，洞庭湖纳湘、资、沅、澧四水汇入长江，素有洞庭水乡之称。河流主要属洞庭湖水系，其次是长江水系和鄱阳水系。洞庭湖水系流域面积占全市总面积的91.05%，长江水系占8.92%，鄱阳河水系占0.02%。长5km以上河流273条，大于10km的146条，大于50km的11条。除洞庭湖外，境内有大小内湖165个，总湖泊面积335.5km</w:t>
      </w:r>
      <w:r>
        <w:rPr>
          <w:rFonts w:hint="eastAsia"/>
          <w:vertAlign w:val="superscript"/>
        </w:rPr>
        <w:t>2</w:t>
      </w:r>
      <w:r>
        <w:rPr>
          <w:rFonts w:hint="eastAsia"/>
        </w:rPr>
        <w:t>。</w:t>
      </w:r>
    </w:p>
    <w:p>
      <w:pPr>
        <w:spacing w:line="360" w:lineRule="auto"/>
        <w:ind w:firstLine="480" w:firstLineChars="200"/>
        <w:rPr>
          <w:rFonts w:cs="Times New Roman"/>
        </w:rPr>
      </w:pPr>
      <w:r>
        <w:rPr>
          <w:rFonts w:hint="eastAsia" w:eastAsia="宋体" w:cs="宋体"/>
          <w:szCs w:val="24"/>
        </w:rPr>
        <w:t>东洞庭湖入长江的总出口江段，年平均过境量</w:t>
      </w:r>
      <w:r>
        <w:rPr>
          <w:rFonts w:eastAsia="宋体" w:cs="Times New Roman"/>
          <w:szCs w:val="24"/>
        </w:rPr>
        <w:t>3126</w:t>
      </w:r>
      <w:r>
        <w:rPr>
          <w:rFonts w:hint="eastAsia" w:eastAsia="宋体" w:cs="宋体"/>
          <w:szCs w:val="24"/>
        </w:rPr>
        <w:t>亿</w:t>
      </w:r>
      <w:r>
        <w:rPr>
          <w:rFonts w:eastAsia="宋体" w:cs="Times New Roman"/>
          <w:szCs w:val="24"/>
        </w:rPr>
        <w:t>m</w:t>
      </w:r>
      <w:r>
        <w:rPr>
          <w:rFonts w:eastAsia="宋体" w:cs="Times New Roman"/>
          <w:szCs w:val="24"/>
          <w:vertAlign w:val="superscript"/>
        </w:rPr>
        <w:t>3</w:t>
      </w:r>
      <w:r>
        <w:rPr>
          <w:rFonts w:hint="eastAsia" w:eastAsia="宋体" w:cs="宋体"/>
          <w:szCs w:val="24"/>
        </w:rPr>
        <w:t>，最高水位</w:t>
      </w:r>
      <w:r>
        <w:rPr>
          <w:rFonts w:eastAsia="宋体" w:cs="Times New Roman"/>
          <w:szCs w:val="24"/>
        </w:rPr>
        <w:t>35.31m</w:t>
      </w:r>
      <w:r>
        <w:rPr>
          <w:rFonts w:hint="eastAsia" w:eastAsia="宋体" w:cs="宋体"/>
          <w:szCs w:val="24"/>
        </w:rPr>
        <w:t>，最低水位</w:t>
      </w:r>
      <w:r>
        <w:rPr>
          <w:rFonts w:eastAsia="宋体" w:cs="Times New Roman"/>
          <w:szCs w:val="24"/>
        </w:rPr>
        <w:t>17.06m</w:t>
      </w:r>
      <w:r>
        <w:rPr>
          <w:rFonts w:hint="eastAsia" w:eastAsia="宋体" w:cs="宋体"/>
          <w:szCs w:val="24"/>
        </w:rPr>
        <w:t>。长江水最大流量</w:t>
      </w:r>
      <w:r>
        <w:rPr>
          <w:rFonts w:eastAsia="宋体" w:cs="Times New Roman"/>
          <w:szCs w:val="24"/>
        </w:rPr>
        <w:t>43460m</w:t>
      </w:r>
      <w:r>
        <w:rPr>
          <w:rFonts w:eastAsia="宋体" w:cs="Times New Roman"/>
          <w:szCs w:val="24"/>
          <w:vertAlign w:val="superscript"/>
        </w:rPr>
        <w:t>3</w:t>
      </w:r>
      <w:r>
        <w:rPr>
          <w:rFonts w:eastAsia="宋体" w:cs="Times New Roman"/>
          <w:szCs w:val="24"/>
        </w:rPr>
        <w:t>/s</w:t>
      </w:r>
      <w:r>
        <w:rPr>
          <w:rFonts w:hint="eastAsia" w:eastAsia="宋体" w:cs="宋体"/>
          <w:szCs w:val="24"/>
        </w:rPr>
        <w:t>，最小流量</w:t>
      </w:r>
      <w:r>
        <w:rPr>
          <w:rFonts w:eastAsia="宋体" w:cs="Times New Roman"/>
          <w:szCs w:val="24"/>
        </w:rPr>
        <w:t>860m</w:t>
      </w:r>
      <w:r>
        <w:rPr>
          <w:rFonts w:eastAsia="宋体" w:cs="Times New Roman"/>
          <w:szCs w:val="24"/>
          <w:vertAlign w:val="superscript"/>
        </w:rPr>
        <w:t>3</w:t>
      </w:r>
      <w:r>
        <w:rPr>
          <w:rFonts w:eastAsia="宋体" w:cs="Times New Roman"/>
          <w:szCs w:val="24"/>
        </w:rPr>
        <w:t>/s</w:t>
      </w:r>
      <w:r>
        <w:rPr>
          <w:rFonts w:hint="eastAsia" w:eastAsia="宋体" w:cs="宋体"/>
          <w:szCs w:val="24"/>
        </w:rPr>
        <w:t>。历年平均流量</w:t>
      </w:r>
      <w:r>
        <w:rPr>
          <w:rFonts w:eastAsia="宋体" w:cs="Times New Roman"/>
          <w:szCs w:val="24"/>
        </w:rPr>
        <w:t>3150m</w:t>
      </w:r>
      <w:r>
        <w:rPr>
          <w:rFonts w:eastAsia="宋体" w:cs="Times New Roman"/>
          <w:szCs w:val="24"/>
          <w:vertAlign w:val="superscript"/>
        </w:rPr>
        <w:t>3</w:t>
      </w:r>
      <w:r>
        <w:rPr>
          <w:rFonts w:eastAsia="宋体" w:cs="Times New Roman"/>
          <w:szCs w:val="24"/>
        </w:rPr>
        <w:t>/s</w:t>
      </w:r>
      <w:r>
        <w:rPr>
          <w:rFonts w:hint="eastAsia" w:eastAsia="宋体" w:cs="宋体"/>
          <w:szCs w:val="24"/>
        </w:rPr>
        <w:t>，历年最小流量</w:t>
      </w:r>
      <w:r>
        <w:rPr>
          <w:rFonts w:eastAsia="宋体" w:cs="Times New Roman"/>
          <w:szCs w:val="24"/>
        </w:rPr>
        <w:t>377m</w:t>
      </w:r>
      <w:r>
        <w:rPr>
          <w:rFonts w:eastAsia="宋体" w:cs="Times New Roman"/>
          <w:szCs w:val="24"/>
          <w:vertAlign w:val="superscript"/>
        </w:rPr>
        <w:t>3</w:t>
      </w:r>
      <w:r>
        <w:rPr>
          <w:rFonts w:eastAsia="宋体" w:cs="Times New Roman"/>
          <w:szCs w:val="24"/>
        </w:rPr>
        <w:t>/s</w:t>
      </w:r>
      <w:r>
        <w:rPr>
          <w:rFonts w:hint="eastAsia" w:eastAsia="宋体" w:cs="宋体"/>
          <w:szCs w:val="24"/>
        </w:rPr>
        <w:t>，历年最大断面平均含沙量</w:t>
      </w:r>
      <w:r>
        <w:rPr>
          <w:rFonts w:eastAsia="宋体" w:cs="Times New Roman"/>
          <w:szCs w:val="24"/>
        </w:rPr>
        <w:t>1.7kg/m</w:t>
      </w:r>
      <w:r>
        <w:rPr>
          <w:rFonts w:eastAsia="宋体" w:cs="Times New Roman"/>
          <w:szCs w:val="24"/>
          <w:vertAlign w:val="superscript"/>
        </w:rPr>
        <w:t>3</w:t>
      </w:r>
      <w:r>
        <w:rPr>
          <w:rFonts w:hint="eastAsia" w:eastAsia="宋体" w:cs="宋体"/>
          <w:szCs w:val="24"/>
        </w:rPr>
        <w:t>，历年最小断面平均含沙量</w:t>
      </w:r>
      <w:r>
        <w:rPr>
          <w:rFonts w:eastAsia="宋体" w:cs="Times New Roman"/>
          <w:szCs w:val="24"/>
        </w:rPr>
        <w:t>0.017kg/m</w:t>
      </w:r>
      <w:r>
        <w:rPr>
          <w:rFonts w:eastAsia="宋体" w:cs="Times New Roman"/>
          <w:szCs w:val="24"/>
          <w:vertAlign w:val="superscript"/>
        </w:rPr>
        <w:t>3</w:t>
      </w:r>
      <w:r>
        <w:rPr>
          <w:rFonts w:hint="eastAsia" w:eastAsia="宋体" w:cs="宋体"/>
          <w:szCs w:val="24"/>
        </w:rPr>
        <w:t>。东洞庭湖水最高水温</w:t>
      </w:r>
      <w:r>
        <w:rPr>
          <w:rFonts w:eastAsia="宋体" w:cs="Times New Roman"/>
          <w:szCs w:val="24"/>
        </w:rPr>
        <w:t>33.2℃</w:t>
      </w:r>
      <w:r>
        <w:rPr>
          <w:rFonts w:hint="eastAsia" w:eastAsia="宋体" w:cs="宋体"/>
          <w:szCs w:val="24"/>
        </w:rPr>
        <w:t>，最低水温</w:t>
      </w:r>
      <w:r>
        <w:rPr>
          <w:rFonts w:eastAsia="宋体" w:cs="Times New Roman"/>
          <w:szCs w:val="24"/>
        </w:rPr>
        <w:t>3℃</w:t>
      </w:r>
      <w:r>
        <w:rPr>
          <w:rFonts w:hint="eastAsia" w:eastAsia="宋体" w:cs="宋体"/>
          <w:szCs w:val="24"/>
        </w:rPr>
        <w:t>，冬季平均水温</w:t>
      </w:r>
      <w:r>
        <w:rPr>
          <w:rFonts w:eastAsia="宋体" w:cs="Times New Roman"/>
          <w:szCs w:val="24"/>
        </w:rPr>
        <w:t>6.9℃</w:t>
      </w:r>
      <w:r>
        <w:rPr>
          <w:rFonts w:hint="eastAsia" w:eastAsia="宋体" w:cs="宋体"/>
          <w:szCs w:val="24"/>
        </w:rPr>
        <w:t>。</w:t>
      </w:r>
    </w:p>
    <w:p>
      <w:pPr>
        <w:pStyle w:val="35"/>
        <w:adjustRightInd w:val="0"/>
        <w:snapToGrid w:val="0"/>
        <w:spacing w:before="0" w:beforeAutospacing="0" w:after="0" w:afterAutospacing="0" w:line="360" w:lineRule="auto"/>
        <w:ind w:firstLine="480" w:firstLineChars="200"/>
        <w:jc w:val="both"/>
      </w:pPr>
      <w:r>
        <w:rPr>
          <w:rFonts w:ascii="Times New Roman" w:cs="Times New Roman"/>
        </w:rPr>
        <w:t>东风湖流域周边主要有城陵矶（七里山）水文站，七里山水文站有关特征值见</w:t>
      </w:r>
      <w:r>
        <w:fldChar w:fldCharType="begin"/>
      </w:r>
      <w:r>
        <w:instrText xml:space="preserve"> REF _Ref14095344 \h  \* MERGEFORMAT </w:instrText>
      </w:r>
      <w:r>
        <w:fldChar w:fldCharType="separate"/>
      </w:r>
      <w:r>
        <w:rPr>
          <w:rFonts w:ascii="Times New Roman" w:cs="Times New Roman"/>
        </w:rPr>
        <w:t>表</w:t>
      </w:r>
      <w:r>
        <w:rPr>
          <w:rFonts w:ascii="Times New Roman" w:hAnsi="Times New Roman" w:cs="Times New Roman"/>
        </w:rPr>
        <w:t>4.1</w:t>
      </w:r>
      <w:r>
        <w:rPr>
          <w:rFonts w:ascii="Times New Roman" w:hAnsi="Times New Roman" w:cs="Times New Roman"/>
        </w:rPr>
        <w:noBreakHyphen/>
      </w:r>
      <w:r>
        <w:rPr>
          <w:rFonts w:ascii="Times New Roman" w:hAnsi="Times New Roman" w:cs="Times New Roman"/>
        </w:rPr>
        <w:t>1</w:t>
      </w:r>
      <w:r>
        <w:rPr>
          <w:rFonts w:ascii="Times New Roman" w:hAnsi="Times New Roman" w:cs="Times New Roman"/>
        </w:rPr>
        <w:fldChar w:fldCharType="end"/>
      </w:r>
      <w:r>
        <w:rPr>
          <w:rFonts w:hint="eastAsia"/>
        </w:rPr>
        <w:t>。</w:t>
      </w:r>
    </w:p>
    <w:p>
      <w:pPr>
        <w:pStyle w:val="14"/>
        <w:spacing w:line="240" w:lineRule="auto"/>
        <w:rPr>
          <w:rFonts w:cs="Times New Roman"/>
        </w:rPr>
      </w:pPr>
      <w:bookmarkStart w:id="152" w:name="_Ref14095344"/>
      <w:r>
        <w:rPr>
          <w:rFonts w:hint="eastAsia"/>
        </w:rPr>
        <w:t>表</w:t>
      </w:r>
      <w:r>
        <w:fldChar w:fldCharType="begin"/>
      </w:r>
      <w:r>
        <w:instrText xml:space="preserve"> STYLEREF 2 \s </w:instrText>
      </w:r>
      <w:r>
        <w:fldChar w:fldCharType="separate"/>
      </w:r>
      <w:r>
        <w:t>4.1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bookmarkEnd w:id="152"/>
      <w:r>
        <w:rPr>
          <w:rFonts w:hint="eastAsia" w:cs="Times New Roman"/>
        </w:rPr>
        <w:t xml:space="preserve"> 主要水文特征值表</w:t>
      </w:r>
    </w:p>
    <w:tbl>
      <w:tblPr>
        <w:tblStyle w:val="39"/>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3831"/>
        <w:gridCol w:w="2907"/>
        <w:gridCol w:w="290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86" w:type="pct"/>
            <w:vAlign w:val="center"/>
          </w:tcPr>
          <w:p>
            <w:pPr>
              <w:pStyle w:val="131"/>
            </w:pPr>
            <w:r>
              <w:t>项目</w:t>
            </w:r>
          </w:p>
        </w:tc>
        <w:tc>
          <w:tcPr>
            <w:tcW w:w="1507" w:type="pct"/>
            <w:vAlign w:val="center"/>
          </w:tcPr>
          <w:p>
            <w:pPr>
              <w:pStyle w:val="131"/>
            </w:pPr>
            <w:r>
              <w:t>单位</w:t>
            </w:r>
          </w:p>
        </w:tc>
        <w:tc>
          <w:tcPr>
            <w:tcW w:w="1507" w:type="pct"/>
            <w:vAlign w:val="center"/>
          </w:tcPr>
          <w:p>
            <w:pPr>
              <w:pStyle w:val="131"/>
            </w:pPr>
            <w:r>
              <w:t>七里山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86" w:type="pct"/>
            <w:vAlign w:val="center"/>
          </w:tcPr>
          <w:p>
            <w:pPr>
              <w:pStyle w:val="131"/>
            </w:pPr>
            <w:r>
              <w:t>历年最大流量</w:t>
            </w:r>
          </w:p>
        </w:tc>
        <w:tc>
          <w:tcPr>
            <w:tcW w:w="1507" w:type="pct"/>
            <w:vAlign w:val="center"/>
          </w:tcPr>
          <w:p>
            <w:pPr>
              <w:pStyle w:val="131"/>
            </w:pPr>
            <w:r>
              <w:t>m</w:t>
            </w:r>
            <w:r>
              <w:rPr>
                <w:vertAlign w:val="superscript"/>
              </w:rPr>
              <w:t>3</w:t>
            </w:r>
            <w:r>
              <w:t>/s</w:t>
            </w:r>
          </w:p>
        </w:tc>
        <w:tc>
          <w:tcPr>
            <w:tcW w:w="1507" w:type="pct"/>
            <w:vAlign w:val="center"/>
          </w:tcPr>
          <w:p>
            <w:pPr>
              <w:pStyle w:val="131"/>
            </w:pPr>
            <w:r>
              <w:t>57900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86" w:type="pct"/>
            <w:vAlign w:val="center"/>
          </w:tcPr>
          <w:p>
            <w:pPr>
              <w:pStyle w:val="131"/>
            </w:pPr>
            <w:r>
              <w:t>发生时间</w:t>
            </w:r>
          </w:p>
        </w:tc>
        <w:tc>
          <w:tcPr>
            <w:tcW w:w="1507" w:type="pct"/>
            <w:vAlign w:val="center"/>
          </w:tcPr>
          <w:p>
            <w:pPr>
              <w:pStyle w:val="131"/>
            </w:pPr>
            <w:r>
              <w:t>年.月.日</w:t>
            </w:r>
          </w:p>
        </w:tc>
        <w:tc>
          <w:tcPr>
            <w:tcW w:w="1507" w:type="pct"/>
            <w:vAlign w:val="center"/>
          </w:tcPr>
          <w:p>
            <w:pPr>
              <w:pStyle w:val="131"/>
            </w:pPr>
            <w:r>
              <w:t>1931.7.30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86" w:type="pct"/>
            <w:vAlign w:val="center"/>
          </w:tcPr>
          <w:p>
            <w:pPr>
              <w:pStyle w:val="131"/>
            </w:pPr>
            <w:r>
              <w:t>历年最小流量</w:t>
            </w:r>
          </w:p>
        </w:tc>
        <w:tc>
          <w:tcPr>
            <w:tcW w:w="1507" w:type="pct"/>
            <w:vAlign w:val="center"/>
          </w:tcPr>
          <w:p>
            <w:pPr>
              <w:pStyle w:val="131"/>
            </w:pPr>
            <w:r>
              <w:t>m</w:t>
            </w:r>
            <w:r>
              <w:rPr>
                <w:vertAlign w:val="superscript"/>
              </w:rPr>
              <w:t>3</w:t>
            </w:r>
            <w:r>
              <w:t>/s</w:t>
            </w:r>
          </w:p>
        </w:tc>
        <w:tc>
          <w:tcPr>
            <w:tcW w:w="1507" w:type="pct"/>
            <w:vAlign w:val="center"/>
          </w:tcPr>
          <w:p>
            <w:pPr>
              <w:pStyle w:val="131"/>
            </w:pPr>
            <w:r>
              <w:t>377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86" w:type="pct"/>
            <w:vAlign w:val="center"/>
          </w:tcPr>
          <w:p>
            <w:pPr>
              <w:pStyle w:val="131"/>
            </w:pPr>
            <w:r>
              <w:t>发生时间</w:t>
            </w:r>
          </w:p>
        </w:tc>
        <w:tc>
          <w:tcPr>
            <w:tcW w:w="1507" w:type="pct"/>
            <w:vAlign w:val="center"/>
          </w:tcPr>
          <w:p>
            <w:pPr>
              <w:pStyle w:val="131"/>
            </w:pPr>
            <w:r>
              <w:t>年.月.日</w:t>
            </w:r>
          </w:p>
        </w:tc>
        <w:tc>
          <w:tcPr>
            <w:tcW w:w="1507" w:type="pct"/>
            <w:vAlign w:val="center"/>
          </w:tcPr>
          <w:p>
            <w:pPr>
              <w:pStyle w:val="131"/>
            </w:pPr>
            <w:r>
              <w:t>1975.10.5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86" w:type="pct"/>
            <w:vAlign w:val="center"/>
          </w:tcPr>
          <w:p>
            <w:pPr>
              <w:pStyle w:val="131"/>
            </w:pPr>
            <w:r>
              <w:t>多年平均洪峰流量</w:t>
            </w:r>
          </w:p>
        </w:tc>
        <w:tc>
          <w:tcPr>
            <w:tcW w:w="1507" w:type="pct"/>
            <w:vAlign w:val="center"/>
          </w:tcPr>
          <w:p>
            <w:pPr>
              <w:pStyle w:val="131"/>
            </w:pPr>
            <w:r>
              <w:t>m</w:t>
            </w:r>
            <w:r>
              <w:rPr>
                <w:vertAlign w:val="superscript"/>
              </w:rPr>
              <w:t>3</w:t>
            </w:r>
            <w:r>
              <w:t>/s</w:t>
            </w:r>
          </w:p>
        </w:tc>
        <w:tc>
          <w:tcPr>
            <w:tcW w:w="1507" w:type="pct"/>
            <w:vAlign w:val="center"/>
          </w:tcPr>
          <w:p>
            <w:pPr>
              <w:pStyle w:val="131"/>
            </w:pPr>
            <w:r>
              <w:t>28300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86" w:type="pct"/>
            <w:vAlign w:val="center"/>
          </w:tcPr>
          <w:p>
            <w:pPr>
              <w:pStyle w:val="131"/>
            </w:pPr>
            <w:r>
              <w:t>多年平均流量</w:t>
            </w:r>
          </w:p>
        </w:tc>
        <w:tc>
          <w:tcPr>
            <w:tcW w:w="1507" w:type="pct"/>
            <w:vAlign w:val="center"/>
          </w:tcPr>
          <w:p>
            <w:pPr>
              <w:pStyle w:val="131"/>
            </w:pPr>
            <w:r>
              <w:t>m</w:t>
            </w:r>
            <w:r>
              <w:rPr>
                <w:vertAlign w:val="superscript"/>
              </w:rPr>
              <w:t>3</w:t>
            </w:r>
            <w:r>
              <w:t>/s</w:t>
            </w:r>
          </w:p>
        </w:tc>
        <w:tc>
          <w:tcPr>
            <w:tcW w:w="1507" w:type="pct"/>
            <w:vAlign w:val="center"/>
          </w:tcPr>
          <w:p>
            <w:pPr>
              <w:pStyle w:val="131"/>
            </w:pPr>
            <w:r>
              <w:t>8970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86" w:type="pct"/>
            <w:vAlign w:val="center"/>
          </w:tcPr>
          <w:p>
            <w:pPr>
              <w:pStyle w:val="131"/>
            </w:pPr>
            <w:r>
              <w:t>历年最大平均流量</w:t>
            </w:r>
          </w:p>
        </w:tc>
        <w:tc>
          <w:tcPr>
            <w:tcW w:w="1507" w:type="pct"/>
            <w:vAlign w:val="center"/>
          </w:tcPr>
          <w:p>
            <w:pPr>
              <w:pStyle w:val="131"/>
            </w:pPr>
            <w:r>
              <w:t>m</w:t>
            </w:r>
            <w:r>
              <w:rPr>
                <w:vertAlign w:val="superscript"/>
              </w:rPr>
              <w:t>3</w:t>
            </w:r>
            <w:r>
              <w:t>/s</w:t>
            </w:r>
          </w:p>
        </w:tc>
        <w:tc>
          <w:tcPr>
            <w:tcW w:w="1507" w:type="pct"/>
            <w:vAlign w:val="center"/>
          </w:tcPr>
          <w:p>
            <w:pPr>
              <w:pStyle w:val="131"/>
            </w:pPr>
            <w:r>
              <w:t>16700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86" w:type="pct"/>
            <w:vAlign w:val="center"/>
          </w:tcPr>
          <w:p>
            <w:pPr>
              <w:pStyle w:val="131"/>
            </w:pPr>
            <w:r>
              <w:t>出现年份</w:t>
            </w:r>
          </w:p>
        </w:tc>
        <w:tc>
          <w:tcPr>
            <w:tcW w:w="1507" w:type="pct"/>
            <w:vAlign w:val="center"/>
          </w:tcPr>
          <w:p>
            <w:pPr>
              <w:pStyle w:val="131"/>
            </w:pPr>
          </w:p>
        </w:tc>
        <w:tc>
          <w:tcPr>
            <w:tcW w:w="1507" w:type="pct"/>
            <w:vAlign w:val="center"/>
          </w:tcPr>
          <w:p>
            <w:pPr>
              <w:pStyle w:val="131"/>
            </w:pPr>
            <w:r>
              <w:t>1954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86" w:type="pct"/>
            <w:vAlign w:val="center"/>
          </w:tcPr>
          <w:p>
            <w:pPr>
              <w:pStyle w:val="131"/>
            </w:pPr>
            <w:r>
              <w:t>历年最高水位</w:t>
            </w:r>
          </w:p>
        </w:tc>
        <w:tc>
          <w:tcPr>
            <w:tcW w:w="1507" w:type="pct"/>
            <w:vAlign w:val="center"/>
          </w:tcPr>
          <w:p>
            <w:pPr>
              <w:pStyle w:val="131"/>
            </w:pPr>
            <w:r>
              <w:t>m.85黄海</w:t>
            </w:r>
          </w:p>
        </w:tc>
        <w:tc>
          <w:tcPr>
            <w:tcW w:w="1507" w:type="pct"/>
            <w:vAlign w:val="center"/>
          </w:tcPr>
          <w:p>
            <w:pPr>
              <w:pStyle w:val="131"/>
            </w:pPr>
            <w:r>
              <w:t>34.00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86" w:type="pct"/>
            <w:vAlign w:val="center"/>
          </w:tcPr>
          <w:p>
            <w:pPr>
              <w:pStyle w:val="131"/>
            </w:pPr>
            <w:r>
              <w:t>发生时间</w:t>
            </w:r>
          </w:p>
        </w:tc>
        <w:tc>
          <w:tcPr>
            <w:tcW w:w="1507" w:type="pct"/>
            <w:vAlign w:val="center"/>
          </w:tcPr>
          <w:p>
            <w:pPr>
              <w:pStyle w:val="131"/>
            </w:pPr>
            <w:r>
              <w:t>年.月.日</w:t>
            </w:r>
          </w:p>
        </w:tc>
        <w:tc>
          <w:tcPr>
            <w:tcW w:w="1507" w:type="pct"/>
            <w:vAlign w:val="center"/>
          </w:tcPr>
          <w:p>
            <w:pPr>
              <w:pStyle w:val="131"/>
            </w:pPr>
            <w:r>
              <w:t>1988.8.20</w:t>
            </w:r>
          </w:p>
        </w:tc>
      </w:tr>
    </w:tbl>
    <w:p>
      <w:pPr>
        <w:spacing w:line="360" w:lineRule="auto"/>
        <w:ind w:firstLine="470" w:firstLineChars="196"/>
        <w:rPr>
          <w:rFonts w:cs="Times New Roman"/>
        </w:rPr>
      </w:pPr>
      <w:r>
        <w:rPr>
          <w:rFonts w:cs="Times New Roman"/>
        </w:rPr>
        <w:t>据城陵矶（七里山）站1950年～2012年的资料分析，暴雨多发生在4～9月，最大暴雨主要出现在6～8月（其中最大24小时暴雨6月占32%、7月占22%、8月占17%，最大15日暴雨6月占25%、7月占15%、8月占13%），而年最高洪水位主要出现在7月（其中6月占11%、7月占59%、8月占13%）。暴雨与洪水遭遇机率很高，对排涝十分不利。洪水的时空变化特性与暴雨一致，每年4-9月份为汛期，以5-8月发生高洪次数最多，占87%左右，高洪水位持续时间长，历时可达1个月左右。</w:t>
      </w:r>
    </w:p>
    <w:p>
      <w:pPr>
        <w:pStyle w:val="14"/>
        <w:ind w:firstLine="480" w:firstLineChars="200"/>
        <w:jc w:val="both"/>
        <w:rPr>
          <w:b w:val="0"/>
          <w:u w:val="single"/>
        </w:rPr>
      </w:pPr>
      <w:r>
        <w:rPr>
          <w:rFonts w:cs="Times New Roman"/>
          <w:b w:val="0"/>
        </w:rPr>
        <w:t>根据岳阳市气象站统计，岳阳市多年平均水面蒸发量为1446mm，其多年平均蒸发量月分配见</w:t>
      </w:r>
      <w:r>
        <w:fldChar w:fldCharType="begin"/>
      </w:r>
      <w:r>
        <w:instrText xml:space="preserve">REF _Ref517339778 \h  \* MERGEFORMAT </w:instrText>
      </w:r>
      <w:r>
        <w:fldChar w:fldCharType="separate"/>
      </w:r>
      <w:r>
        <w:rPr>
          <w:rFonts w:cs="Times New Roman"/>
          <w:b w:val="0"/>
        </w:rPr>
        <w:t>表</w:t>
      </w:r>
      <w:r>
        <w:rPr>
          <w:rFonts w:cs="Times New Roman"/>
          <w:b w:val="0"/>
        </w:rPr>
        <w:fldChar w:fldCharType="end"/>
      </w:r>
      <w:r>
        <w:rPr>
          <w:rFonts w:cs="Times New Roman"/>
          <w:b w:val="0"/>
        </w:rPr>
        <w:t>：</w:t>
      </w:r>
    </w:p>
    <w:p>
      <w:pPr>
        <w:pStyle w:val="14"/>
        <w:spacing w:line="240" w:lineRule="auto"/>
      </w:pPr>
      <w:r>
        <w:rPr>
          <w:rFonts w:hint="eastAsia"/>
        </w:rPr>
        <w:t>表</w:t>
      </w:r>
      <w:r>
        <w:fldChar w:fldCharType="begin"/>
      </w:r>
      <w:r>
        <w:instrText xml:space="preserve"> STYLEREF 2 \s </w:instrText>
      </w:r>
      <w:r>
        <w:fldChar w:fldCharType="separate"/>
      </w:r>
      <w:r>
        <w:t>4.1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w:t>
      </w:r>
      <w:r>
        <w:fldChar w:fldCharType="end"/>
      </w:r>
      <w:r>
        <w:rPr>
          <w:rFonts w:hint="eastAsia"/>
        </w:rPr>
        <w:t xml:space="preserve">  东风湖水面蒸发量逐月分配表单位  mm</w:t>
      </w:r>
    </w:p>
    <w:tbl>
      <w:tblPr>
        <w:tblStyle w:val="39"/>
        <w:tblW w:w="9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690"/>
        <w:gridCol w:w="690"/>
        <w:gridCol w:w="690"/>
        <w:gridCol w:w="691"/>
        <w:gridCol w:w="691"/>
        <w:gridCol w:w="691"/>
        <w:gridCol w:w="691"/>
        <w:gridCol w:w="691"/>
        <w:gridCol w:w="691"/>
        <w:gridCol w:w="691"/>
        <w:gridCol w:w="691"/>
        <w:gridCol w:w="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pStyle w:val="131"/>
            </w:pPr>
            <w:r>
              <w:rPr>
                <w:rFonts w:hint="eastAsia"/>
              </w:rPr>
              <w:t>合计</w:t>
            </w:r>
          </w:p>
        </w:tc>
        <w:tc>
          <w:tcPr>
            <w:tcW w:w="690" w:type="dxa"/>
            <w:vAlign w:val="center"/>
          </w:tcPr>
          <w:p>
            <w:pPr>
              <w:pStyle w:val="131"/>
            </w:pPr>
            <w:r>
              <w:rPr>
                <w:rFonts w:hint="eastAsia"/>
              </w:rPr>
              <w:t>1月</w:t>
            </w:r>
          </w:p>
        </w:tc>
        <w:tc>
          <w:tcPr>
            <w:tcW w:w="690" w:type="dxa"/>
            <w:vAlign w:val="center"/>
          </w:tcPr>
          <w:p>
            <w:pPr>
              <w:pStyle w:val="131"/>
            </w:pPr>
            <w:r>
              <w:rPr>
                <w:rFonts w:hint="eastAsia"/>
              </w:rPr>
              <w:t>2月</w:t>
            </w:r>
          </w:p>
        </w:tc>
        <w:tc>
          <w:tcPr>
            <w:tcW w:w="690" w:type="dxa"/>
            <w:vAlign w:val="center"/>
          </w:tcPr>
          <w:p>
            <w:pPr>
              <w:pStyle w:val="131"/>
            </w:pPr>
            <w:r>
              <w:rPr>
                <w:rFonts w:hint="eastAsia"/>
              </w:rPr>
              <w:t>3月</w:t>
            </w:r>
          </w:p>
        </w:tc>
        <w:tc>
          <w:tcPr>
            <w:tcW w:w="691" w:type="dxa"/>
            <w:vAlign w:val="center"/>
          </w:tcPr>
          <w:p>
            <w:pPr>
              <w:pStyle w:val="131"/>
            </w:pPr>
            <w:r>
              <w:rPr>
                <w:rFonts w:hint="eastAsia"/>
              </w:rPr>
              <w:t>4月</w:t>
            </w:r>
          </w:p>
        </w:tc>
        <w:tc>
          <w:tcPr>
            <w:tcW w:w="691" w:type="dxa"/>
            <w:vAlign w:val="center"/>
          </w:tcPr>
          <w:p>
            <w:pPr>
              <w:pStyle w:val="131"/>
            </w:pPr>
            <w:r>
              <w:rPr>
                <w:rFonts w:hint="eastAsia"/>
              </w:rPr>
              <w:t>5月</w:t>
            </w:r>
          </w:p>
        </w:tc>
        <w:tc>
          <w:tcPr>
            <w:tcW w:w="691" w:type="dxa"/>
            <w:vAlign w:val="center"/>
          </w:tcPr>
          <w:p>
            <w:pPr>
              <w:pStyle w:val="131"/>
            </w:pPr>
            <w:r>
              <w:rPr>
                <w:rFonts w:hint="eastAsia"/>
              </w:rPr>
              <w:t>6月</w:t>
            </w:r>
          </w:p>
        </w:tc>
        <w:tc>
          <w:tcPr>
            <w:tcW w:w="691" w:type="dxa"/>
            <w:vAlign w:val="center"/>
          </w:tcPr>
          <w:p>
            <w:pPr>
              <w:pStyle w:val="131"/>
            </w:pPr>
            <w:r>
              <w:rPr>
                <w:rFonts w:hint="eastAsia"/>
              </w:rPr>
              <w:t>7月</w:t>
            </w:r>
          </w:p>
        </w:tc>
        <w:tc>
          <w:tcPr>
            <w:tcW w:w="691" w:type="dxa"/>
            <w:vAlign w:val="center"/>
          </w:tcPr>
          <w:p>
            <w:pPr>
              <w:pStyle w:val="131"/>
            </w:pPr>
            <w:r>
              <w:rPr>
                <w:rFonts w:hint="eastAsia"/>
              </w:rPr>
              <w:t>8月</w:t>
            </w:r>
          </w:p>
        </w:tc>
        <w:tc>
          <w:tcPr>
            <w:tcW w:w="691" w:type="dxa"/>
            <w:vAlign w:val="center"/>
          </w:tcPr>
          <w:p>
            <w:pPr>
              <w:pStyle w:val="131"/>
            </w:pPr>
            <w:r>
              <w:rPr>
                <w:rFonts w:hint="eastAsia"/>
              </w:rPr>
              <w:t>9月</w:t>
            </w:r>
          </w:p>
        </w:tc>
        <w:tc>
          <w:tcPr>
            <w:tcW w:w="691" w:type="dxa"/>
            <w:vAlign w:val="center"/>
          </w:tcPr>
          <w:p>
            <w:pPr>
              <w:pStyle w:val="131"/>
            </w:pPr>
            <w:r>
              <w:rPr>
                <w:rFonts w:hint="eastAsia"/>
              </w:rPr>
              <w:t>10月</w:t>
            </w:r>
          </w:p>
        </w:tc>
        <w:tc>
          <w:tcPr>
            <w:tcW w:w="691" w:type="dxa"/>
            <w:vAlign w:val="center"/>
          </w:tcPr>
          <w:p>
            <w:pPr>
              <w:pStyle w:val="131"/>
            </w:pPr>
            <w:r>
              <w:rPr>
                <w:rFonts w:hint="eastAsia"/>
              </w:rPr>
              <w:t>11月</w:t>
            </w:r>
          </w:p>
        </w:tc>
        <w:tc>
          <w:tcPr>
            <w:tcW w:w="702" w:type="dxa"/>
            <w:vAlign w:val="center"/>
          </w:tcPr>
          <w:p>
            <w:pPr>
              <w:pStyle w:val="131"/>
            </w:pPr>
            <w:r>
              <w:rPr>
                <w:rFonts w:hint="eastAsia"/>
              </w:rPr>
              <w:t>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pStyle w:val="131"/>
            </w:pPr>
            <w:r>
              <w:rPr>
                <w:rFonts w:hint="eastAsia"/>
              </w:rPr>
              <w:t>1446</w:t>
            </w:r>
          </w:p>
        </w:tc>
        <w:tc>
          <w:tcPr>
            <w:tcW w:w="690" w:type="dxa"/>
            <w:vAlign w:val="center"/>
          </w:tcPr>
          <w:p>
            <w:pPr>
              <w:pStyle w:val="131"/>
            </w:pPr>
            <w:r>
              <w:rPr>
                <w:rFonts w:hint="eastAsia"/>
              </w:rPr>
              <w:t>45</w:t>
            </w:r>
          </w:p>
        </w:tc>
        <w:tc>
          <w:tcPr>
            <w:tcW w:w="690" w:type="dxa"/>
            <w:vAlign w:val="center"/>
          </w:tcPr>
          <w:p>
            <w:pPr>
              <w:pStyle w:val="131"/>
            </w:pPr>
            <w:r>
              <w:rPr>
                <w:rFonts w:hint="eastAsia"/>
              </w:rPr>
              <w:t>52</w:t>
            </w:r>
          </w:p>
        </w:tc>
        <w:tc>
          <w:tcPr>
            <w:tcW w:w="690" w:type="dxa"/>
            <w:vAlign w:val="center"/>
          </w:tcPr>
          <w:p>
            <w:pPr>
              <w:pStyle w:val="131"/>
            </w:pPr>
            <w:r>
              <w:rPr>
                <w:rFonts w:hint="eastAsia"/>
              </w:rPr>
              <w:t>80</w:t>
            </w:r>
          </w:p>
        </w:tc>
        <w:tc>
          <w:tcPr>
            <w:tcW w:w="691" w:type="dxa"/>
            <w:vAlign w:val="center"/>
          </w:tcPr>
          <w:p>
            <w:pPr>
              <w:pStyle w:val="131"/>
            </w:pPr>
            <w:r>
              <w:rPr>
                <w:rFonts w:hint="eastAsia"/>
              </w:rPr>
              <w:t>107</w:t>
            </w:r>
          </w:p>
        </w:tc>
        <w:tc>
          <w:tcPr>
            <w:tcW w:w="691" w:type="dxa"/>
            <w:vAlign w:val="center"/>
          </w:tcPr>
          <w:p>
            <w:pPr>
              <w:pStyle w:val="131"/>
            </w:pPr>
            <w:r>
              <w:rPr>
                <w:rFonts w:hint="eastAsia"/>
              </w:rPr>
              <w:t>135</w:t>
            </w:r>
          </w:p>
        </w:tc>
        <w:tc>
          <w:tcPr>
            <w:tcW w:w="691" w:type="dxa"/>
            <w:vAlign w:val="center"/>
          </w:tcPr>
          <w:p>
            <w:pPr>
              <w:pStyle w:val="131"/>
            </w:pPr>
            <w:r>
              <w:rPr>
                <w:rFonts w:hint="eastAsia"/>
              </w:rPr>
              <w:t>166</w:t>
            </w:r>
          </w:p>
        </w:tc>
        <w:tc>
          <w:tcPr>
            <w:tcW w:w="691" w:type="dxa"/>
            <w:vAlign w:val="center"/>
          </w:tcPr>
          <w:p>
            <w:pPr>
              <w:pStyle w:val="131"/>
            </w:pPr>
            <w:r>
              <w:rPr>
                <w:rFonts w:hint="eastAsia"/>
              </w:rPr>
              <w:t>254</w:t>
            </w:r>
          </w:p>
        </w:tc>
        <w:tc>
          <w:tcPr>
            <w:tcW w:w="691" w:type="dxa"/>
            <w:vAlign w:val="center"/>
          </w:tcPr>
          <w:p>
            <w:pPr>
              <w:pStyle w:val="131"/>
            </w:pPr>
            <w:r>
              <w:rPr>
                <w:rFonts w:hint="eastAsia"/>
              </w:rPr>
              <w:t>215</w:t>
            </w:r>
          </w:p>
        </w:tc>
        <w:tc>
          <w:tcPr>
            <w:tcW w:w="691" w:type="dxa"/>
            <w:vAlign w:val="center"/>
          </w:tcPr>
          <w:p>
            <w:pPr>
              <w:pStyle w:val="131"/>
            </w:pPr>
            <w:r>
              <w:rPr>
                <w:rFonts w:hint="eastAsia"/>
              </w:rPr>
              <w:t>152</w:t>
            </w:r>
          </w:p>
        </w:tc>
        <w:tc>
          <w:tcPr>
            <w:tcW w:w="691" w:type="dxa"/>
            <w:vAlign w:val="center"/>
          </w:tcPr>
          <w:p>
            <w:pPr>
              <w:pStyle w:val="131"/>
            </w:pPr>
            <w:r>
              <w:rPr>
                <w:rFonts w:hint="eastAsia"/>
              </w:rPr>
              <w:t>107</w:t>
            </w:r>
          </w:p>
        </w:tc>
        <w:tc>
          <w:tcPr>
            <w:tcW w:w="691" w:type="dxa"/>
            <w:vAlign w:val="center"/>
          </w:tcPr>
          <w:p>
            <w:pPr>
              <w:pStyle w:val="131"/>
            </w:pPr>
            <w:r>
              <w:rPr>
                <w:rFonts w:hint="eastAsia"/>
              </w:rPr>
              <w:t>74</w:t>
            </w:r>
          </w:p>
        </w:tc>
        <w:tc>
          <w:tcPr>
            <w:tcW w:w="702" w:type="dxa"/>
            <w:vAlign w:val="center"/>
          </w:tcPr>
          <w:p>
            <w:pPr>
              <w:pStyle w:val="131"/>
            </w:pPr>
            <w:r>
              <w:rPr>
                <w:rFonts w:hint="eastAsia"/>
              </w:rPr>
              <w:t>59</w:t>
            </w:r>
          </w:p>
        </w:tc>
      </w:tr>
    </w:tbl>
    <w:p>
      <w:pPr>
        <w:pStyle w:val="5"/>
      </w:pPr>
      <w:r>
        <w:rPr>
          <w:rFonts w:hint="eastAsia"/>
        </w:rPr>
        <w:t>土壤</w:t>
      </w:r>
    </w:p>
    <w:p>
      <w:pPr>
        <w:spacing w:line="360" w:lineRule="auto"/>
        <w:ind w:firstLine="480" w:firstLineChars="200"/>
      </w:pPr>
      <w:r>
        <w:t>岳阳市总国土面积15019平方公里，耕地面积32.10千公顷，其中水田面积17.33千公顷。区域表土为受长江和洞庭湖控制的冲积土，表层以粘土为主，夹少量砂土，厚度在0.4-12.64m，呈红褐色、黄褐色、深绿色和紫红色等类型；自然土壤以湖土和红壤为主，农耕以水稻土和菜园土为主。</w:t>
      </w:r>
    </w:p>
    <w:p>
      <w:pPr>
        <w:pStyle w:val="5"/>
      </w:pPr>
      <w:r>
        <w:rPr>
          <w:rFonts w:hint="eastAsia"/>
        </w:rPr>
        <w:t>生态环境概况</w:t>
      </w:r>
    </w:p>
    <w:p>
      <w:pPr>
        <w:spacing w:line="360" w:lineRule="auto"/>
        <w:ind w:firstLine="480" w:firstLineChars="200"/>
      </w:pPr>
      <w:r>
        <w:t>项目区域地带性植被为常绿阔叶林，植被类型主要为马尾松、杉木林、杂木灌丛</w:t>
      </w:r>
      <w:r>
        <w:rPr>
          <w:rFonts w:hint="eastAsia"/>
        </w:rPr>
        <w:t>，</w:t>
      </w:r>
      <w:r>
        <w:t>山地植被覆盖率高，多达</w:t>
      </w:r>
      <w:r>
        <w:rPr>
          <w:rFonts w:hint="eastAsia"/>
        </w:rPr>
        <w:t>5</w:t>
      </w:r>
      <w:r>
        <w:t>0%以上。</w:t>
      </w:r>
      <w:r>
        <w:rPr>
          <w:rFonts w:hint="eastAsia"/>
        </w:rPr>
        <w:t>区域</w:t>
      </w:r>
      <w:r>
        <w:t>内主要的野生木本植物有马尾松、杉木、香樟、榕树、化香、枫香、枫杨、油茶、苦槠、朴树、青冈、构树、槐树、冬青、构骨、山胡椒、女贞、黄檀、花椒、野桐、盐肤木、乌泡、鸡桑、楠竹、花竹等</w:t>
      </w:r>
      <w:r>
        <w:rPr>
          <w:rFonts w:hint="eastAsia"/>
        </w:rPr>
        <w:t>，</w:t>
      </w:r>
      <w:r>
        <w:t>草本植物主要有白茅、野古草、香茅草、狗尾草、车前草、野菊花、狗牙根、芒、蒲公英等</w:t>
      </w:r>
      <w:r>
        <w:rPr>
          <w:rFonts w:hint="eastAsia"/>
        </w:rPr>
        <w:t>，</w:t>
      </w:r>
      <w:r>
        <w:t>另外还有多种蕨类和藤本植物</w:t>
      </w:r>
      <w:r>
        <w:rPr>
          <w:rFonts w:hint="eastAsia"/>
        </w:rPr>
        <w:t>；</w:t>
      </w:r>
      <w:r>
        <w:t>野生动物较少，主要有野兔、黄鼠狼、蛇、鼠、蛙、昆虫类及麻雀、八哥等鸟类</w:t>
      </w:r>
      <w:r>
        <w:rPr>
          <w:rFonts w:hint="eastAsia"/>
        </w:rPr>
        <w:t>；</w:t>
      </w:r>
      <w:r>
        <w:t>农作物主要有水稻、玉米、小麦、薯类、油菜、蔬菜、瓜果等粮食作物和蔬菜经济类植物。</w:t>
      </w:r>
    </w:p>
    <w:p>
      <w:pPr>
        <w:spacing w:line="360" w:lineRule="auto"/>
        <w:ind w:firstLine="480" w:firstLineChars="200"/>
      </w:pPr>
      <w:r>
        <w:rPr>
          <w:rFonts w:hint="eastAsia"/>
        </w:rPr>
        <w:t>项目拟建地为城市规划建设区，受人为活动影响较大，调查过程中未</w:t>
      </w:r>
      <w:r>
        <w:t>发现野生的珍稀濒危植物种类和名</w:t>
      </w:r>
      <w:r>
        <w:rPr>
          <w:rFonts w:hint="eastAsia"/>
        </w:rPr>
        <w:t>木</w:t>
      </w:r>
      <w:r>
        <w:t>古树</w:t>
      </w:r>
      <w:r>
        <w:rPr>
          <w:rFonts w:hint="eastAsia"/>
        </w:rPr>
        <w:t>。</w:t>
      </w:r>
    </w:p>
    <w:p>
      <w:pPr>
        <w:pStyle w:val="5"/>
      </w:pPr>
      <w:r>
        <w:t>马壕污水处理厂</w:t>
      </w:r>
    </w:p>
    <w:p>
      <w:pPr>
        <w:spacing w:line="360" w:lineRule="auto"/>
        <w:ind w:firstLine="480" w:firstLineChars="200"/>
      </w:pPr>
      <w:bookmarkStart w:id="153" w:name="OLE_LINK1"/>
      <w:bookmarkStart w:id="154" w:name="OLE_LINK2"/>
      <w:r>
        <w:rPr>
          <w:rFonts w:hint="eastAsia"/>
        </w:rPr>
        <w:t>岳阳市马壕污水处理厂位于东风湖以南、湖东路以西，马壕污水处理厂出水水质满足《城镇污水处理厂污染物排放标准（GB18918-2002）》一级A标准要求后排入东风湖。污水处理厂处理工艺见下图所示。</w:t>
      </w:r>
    </w:p>
    <w:bookmarkEnd w:id="153"/>
    <w:bookmarkEnd w:id="154"/>
    <w:p>
      <w:pPr>
        <w:pStyle w:val="14"/>
      </w:pPr>
      <w:r>
        <w:object>
          <v:shape id="_x0000_i1028" o:spt="75" type="#_x0000_t75" style="height:149.55pt;width:440pt;" o:ole="t" filled="f" o:preferrelative="t" stroked="f" coordsize="21600,21600">
            <v:path/>
            <v:fill on="f" focussize="0,0"/>
            <v:stroke on="f" joinstyle="miter"/>
            <v:imagedata r:id="rId16" o:title=""/>
            <o:lock v:ext="edit" aspectratio="t"/>
            <w10:wrap type="none"/>
            <w10:anchorlock/>
          </v:shape>
          <o:OLEObject Type="Embed" ProgID="Visio.Drawing.11" ShapeID="_x0000_i1028" DrawAspect="Content" ObjectID="_1468075727" r:id="rId15">
            <o:LockedField>false</o:LockedField>
          </o:OLEObject>
        </w:object>
      </w:r>
    </w:p>
    <w:p>
      <w:pPr>
        <w:pStyle w:val="14"/>
        <w:rPr>
          <w:szCs w:val="24"/>
        </w:rPr>
      </w:pPr>
      <w:r>
        <w:rPr>
          <w:rFonts w:hint="eastAsia"/>
        </w:rPr>
        <w:t>图</w:t>
      </w:r>
      <w:r>
        <w:fldChar w:fldCharType="begin"/>
      </w:r>
      <w:r>
        <w:instrText xml:space="preserve"> STYLEREF 2 \s </w:instrText>
      </w:r>
      <w:r>
        <w:fldChar w:fldCharType="separate"/>
      </w:r>
      <w:r>
        <w:t>4.1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1</w:t>
      </w:r>
      <w:r>
        <w:fldChar w:fldCharType="end"/>
      </w:r>
      <w:r>
        <w:rPr>
          <w:rFonts w:hint="eastAsia"/>
        </w:rPr>
        <w:t xml:space="preserve">  污水处理厂工艺流程图</w:t>
      </w:r>
    </w:p>
    <w:p>
      <w:pPr>
        <w:spacing w:line="360" w:lineRule="auto"/>
        <w:ind w:firstLine="480" w:firstLineChars="200"/>
      </w:pPr>
      <w:r>
        <w:rPr>
          <w:rFonts w:hint="eastAsia"/>
        </w:rPr>
        <w:t>工艺简述：</w:t>
      </w:r>
    </w:p>
    <w:p>
      <w:pPr>
        <w:spacing w:line="360" w:lineRule="auto"/>
        <w:ind w:firstLine="480" w:firstLineChars="200"/>
        <w:rPr>
          <w:rFonts w:cs="Times New Roman"/>
        </w:rPr>
      </w:pPr>
      <w:r>
        <w:rPr>
          <w:rFonts w:cs="Times New Roman"/>
        </w:rPr>
        <w:t>（1）粗格栅间、污水提升泵站：本项目采用钢丝绳牵引式格栅除污机拦截固体污染物，保护水泵不受损害。拦截的栅渣通过螺旋输送机输送，用栅渣压实机进行部分脱水以降低含水率（60%）和体积后打包外运。污水通过提升泵提高水位，保证污水能在后续处理过程中自流。</w:t>
      </w:r>
    </w:p>
    <w:p>
      <w:pPr>
        <w:spacing w:line="360" w:lineRule="auto"/>
        <w:ind w:firstLine="480" w:firstLineChars="200"/>
        <w:rPr>
          <w:rFonts w:cs="Times New Roman"/>
        </w:rPr>
      </w:pPr>
      <w:r>
        <w:rPr>
          <w:rFonts w:cs="Times New Roman"/>
        </w:rPr>
        <w:t>（2）细格栅及曝气沉砂池：项目采用机械回转式细格栅去除污水中的小型漂浮物，细小的纤维物质和固体颗粒。</w:t>
      </w:r>
    </w:p>
    <w:p>
      <w:pPr>
        <w:spacing w:line="360" w:lineRule="auto"/>
        <w:ind w:firstLine="480" w:firstLineChars="200"/>
        <w:rPr>
          <w:rFonts w:cs="Times New Roman"/>
          <w:color w:val="000000" w:themeColor="text1"/>
        </w:rPr>
      </w:pPr>
      <w:r>
        <w:rPr>
          <w:rFonts w:cs="Times New Roman"/>
          <w:color w:val="000000" w:themeColor="text1"/>
        </w:rPr>
        <w:t>（3）A</w:t>
      </w:r>
      <w:r>
        <w:rPr>
          <w:rFonts w:cs="Times New Roman"/>
          <w:color w:val="000000" w:themeColor="text1"/>
          <w:vertAlign w:val="superscript"/>
        </w:rPr>
        <w:t>2</w:t>
      </w:r>
      <w:r>
        <w:rPr>
          <w:rFonts w:cs="Times New Roman"/>
          <w:color w:val="000000" w:themeColor="text1"/>
        </w:rPr>
        <w:t>O生化池：厌氧池可使污泥在厌氧状态下很好地絮凝，可防止丝状菌生长，改善污泥的沉淀性能，同时微生物在厌氧条件下将细胞中的磷释放，同时将部分的氨硝化，增强脱氮除磷效果。</w:t>
      </w:r>
    </w:p>
    <w:p>
      <w:pPr>
        <w:spacing w:line="360" w:lineRule="auto"/>
        <w:ind w:firstLine="480" w:firstLineChars="200"/>
        <w:rPr>
          <w:rFonts w:cs="Times New Roman"/>
        </w:rPr>
      </w:pPr>
      <w:r>
        <w:rPr>
          <w:rFonts w:cs="Times New Roman"/>
        </w:rPr>
        <w:t>（4）二沉池：二沉池主要进行泥水分离，保证出水水质；回流污泥，维持曝气池内的污泥浓度。二沉池排出的主要污染物为剩余污泥。</w:t>
      </w:r>
    </w:p>
    <w:p>
      <w:pPr>
        <w:spacing w:line="360" w:lineRule="auto"/>
        <w:ind w:firstLine="480" w:firstLineChars="200"/>
        <w:rPr>
          <w:rFonts w:cs="Times New Roman"/>
        </w:rPr>
      </w:pPr>
      <w:r>
        <w:rPr>
          <w:rFonts w:cs="Times New Roman"/>
        </w:rPr>
        <w:t>（5）高效沉淀池：高效沉淀池主要是进一步通过混凝沉淀降低污水中的污染物质。</w:t>
      </w:r>
    </w:p>
    <w:p>
      <w:pPr>
        <w:spacing w:line="360" w:lineRule="auto"/>
        <w:ind w:firstLine="480" w:firstLineChars="200"/>
        <w:rPr>
          <w:rFonts w:cs="Times New Roman"/>
        </w:rPr>
      </w:pPr>
      <w:r>
        <w:rPr>
          <w:rFonts w:cs="Times New Roman"/>
        </w:rPr>
        <w:t>（6）紫外线消毒渠：项目用紫外线对出水消毒，紫外线(UV)消毒是一种高效、安全、环保、经济的技术，能够有效地杀灭致病病毒、细菌和原生动物。</w:t>
      </w:r>
    </w:p>
    <w:p>
      <w:pPr>
        <w:spacing w:line="360" w:lineRule="auto"/>
        <w:ind w:firstLine="480" w:firstLineChars="200"/>
        <w:rPr>
          <w:rFonts w:cs="Times New Roman"/>
        </w:rPr>
      </w:pPr>
      <w:r>
        <w:rPr>
          <w:rFonts w:cs="Times New Roman"/>
        </w:rPr>
        <w:t>（7）贮泥池及污泥脱水间</w:t>
      </w:r>
    </w:p>
    <w:p>
      <w:pPr>
        <w:spacing w:line="360" w:lineRule="auto"/>
        <w:ind w:firstLine="480" w:firstLineChars="200"/>
      </w:pPr>
      <w:r>
        <w:rPr>
          <w:rFonts w:cs="Times New Roman"/>
        </w:rPr>
        <w:t>剩余污泥浓缩脱水前先进入贮泥池，起调节作用，污泥在贮泥池内的停留时间控制在1h之内，防止磷释放。污泥经贮泥池调节后用带式压滤机压缩至含水率60%。</w:t>
      </w:r>
    </w:p>
    <w:p>
      <w:pPr>
        <w:pStyle w:val="4"/>
        <w:rPr>
          <w:color w:val="000000" w:themeColor="text1"/>
        </w:rPr>
      </w:pPr>
      <w:bookmarkStart w:id="155" w:name="_Toc532498748"/>
      <w:bookmarkStart w:id="156" w:name="_Toc532763212"/>
      <w:bookmarkStart w:id="157" w:name="_Toc532497647"/>
      <w:bookmarkStart w:id="158" w:name="_Toc532376155"/>
      <w:bookmarkStart w:id="159" w:name="_Toc25826493"/>
      <w:r>
        <w:rPr>
          <w:rFonts w:hint="eastAsia"/>
          <w:color w:val="000000" w:themeColor="text1"/>
        </w:rPr>
        <w:t>环境质量现状监测与评价</w:t>
      </w:r>
      <w:bookmarkEnd w:id="155"/>
      <w:bookmarkEnd w:id="156"/>
      <w:bookmarkEnd w:id="157"/>
      <w:bookmarkEnd w:id="158"/>
      <w:bookmarkEnd w:id="159"/>
    </w:p>
    <w:p>
      <w:pPr>
        <w:pStyle w:val="5"/>
        <w:rPr>
          <w:color w:val="000000" w:themeColor="text1"/>
        </w:rPr>
      </w:pPr>
      <w:bookmarkStart w:id="160" w:name="_Toc532497648"/>
      <w:r>
        <w:rPr>
          <w:rFonts w:hint="eastAsia"/>
          <w:color w:val="000000" w:themeColor="text1"/>
        </w:rPr>
        <w:t>地表水环境现状调查及评级</w:t>
      </w:r>
      <w:bookmarkEnd w:id="160"/>
    </w:p>
    <w:p>
      <w:pPr>
        <w:spacing w:line="360" w:lineRule="auto"/>
        <w:ind w:firstLine="480" w:firstLineChars="200"/>
        <w:rPr>
          <w:rFonts w:cs="Times New Roman"/>
        </w:rPr>
      </w:pPr>
      <w:r>
        <w:rPr>
          <w:rFonts w:cs="Times New Roman"/>
        </w:rPr>
        <w:t>本项目污水经过自建污水处理厂处理后排入市政管网，经马壕污水处理厂处理，处理后排入东风湖。根据《岳阳市水环境功能区划分》（岳政办发[2010]30号），东风湖为景观娱乐用水区，水环境功能区参照执行IV类标准。本项目引用《岳阳市马壕污水处理厂扩容建设项目》中岳阳市衡润检测有限公司对东风湖水体的监测数据</w:t>
      </w:r>
      <w:r>
        <w:rPr>
          <w:rFonts w:hint="eastAsia" w:cs="Times New Roman"/>
        </w:rPr>
        <w:t>，</w:t>
      </w:r>
      <w:r>
        <w:rPr>
          <w:rFonts w:cs="Times New Roman"/>
        </w:rPr>
        <w:t>具体监测值见下表所示。</w:t>
      </w:r>
    </w:p>
    <w:p>
      <w:pPr>
        <w:pStyle w:val="14"/>
        <w:spacing w:line="240" w:lineRule="auto"/>
      </w:pPr>
      <w:r>
        <w:rPr>
          <w:rFonts w:hint="eastAsia"/>
        </w:rPr>
        <w:t>表</w:t>
      </w:r>
      <w:r>
        <w:fldChar w:fldCharType="begin"/>
      </w:r>
      <w:r>
        <w:instrText xml:space="preserve"> STYLEREF 2 \s </w:instrText>
      </w:r>
      <w:r>
        <w:fldChar w:fldCharType="separate"/>
      </w:r>
      <w:r>
        <w:t>4.2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rPr>
          <w:rFonts w:hint="eastAsia"/>
        </w:rPr>
        <w:t xml:space="preserve">  地表水监测数据及评价结果一览表</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5"/>
        <w:gridCol w:w="1411"/>
        <w:gridCol w:w="1231"/>
        <w:gridCol w:w="1231"/>
        <w:gridCol w:w="1229"/>
        <w:gridCol w:w="1231"/>
        <w:gridCol w:w="1046"/>
        <w:gridCol w:w="1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604" w:type="pct"/>
            <w:vAlign w:val="center"/>
          </w:tcPr>
          <w:p>
            <w:pPr>
              <w:pStyle w:val="78"/>
              <w:rPr>
                <w:kern w:val="2"/>
                <w:szCs w:val="21"/>
              </w:rPr>
            </w:pPr>
            <w:r>
              <w:rPr>
                <w:rFonts w:hint="eastAsia"/>
                <w:szCs w:val="21"/>
              </w:rPr>
              <w:t>检测点位</w:t>
            </w:r>
          </w:p>
        </w:tc>
        <w:tc>
          <w:tcPr>
            <w:tcW w:w="731" w:type="pct"/>
            <w:vAlign w:val="center"/>
          </w:tcPr>
          <w:p>
            <w:pPr>
              <w:pStyle w:val="78"/>
              <w:rPr>
                <w:kern w:val="2"/>
                <w:szCs w:val="21"/>
              </w:rPr>
            </w:pPr>
            <w:r>
              <w:rPr>
                <w:rFonts w:hint="eastAsia"/>
                <w:szCs w:val="21"/>
              </w:rPr>
              <w:t>检测项目</w:t>
            </w:r>
          </w:p>
        </w:tc>
        <w:tc>
          <w:tcPr>
            <w:tcW w:w="638" w:type="pct"/>
            <w:vAlign w:val="center"/>
          </w:tcPr>
          <w:p>
            <w:pPr>
              <w:pStyle w:val="78"/>
              <w:rPr>
                <w:kern w:val="2"/>
                <w:szCs w:val="21"/>
              </w:rPr>
            </w:pPr>
            <w:r>
              <w:rPr>
                <w:rFonts w:hint="eastAsia"/>
                <w:szCs w:val="21"/>
              </w:rPr>
              <w:t>2018年11</w:t>
            </w:r>
            <w:r>
              <w:rPr>
                <w:rFonts w:hint="eastAsia" w:ascii="宋体" w:hAnsi="宋体"/>
                <w:szCs w:val="21"/>
              </w:rPr>
              <w:t>月</w:t>
            </w:r>
            <w:r>
              <w:rPr>
                <w:rFonts w:hint="eastAsia"/>
                <w:szCs w:val="21"/>
              </w:rPr>
              <w:t>1</w:t>
            </w:r>
            <w:r>
              <w:rPr>
                <w:rFonts w:hint="eastAsia" w:ascii="宋体" w:hAnsi="宋体"/>
                <w:szCs w:val="21"/>
              </w:rPr>
              <w:t>日</w:t>
            </w:r>
          </w:p>
        </w:tc>
        <w:tc>
          <w:tcPr>
            <w:tcW w:w="638" w:type="pct"/>
            <w:vAlign w:val="center"/>
          </w:tcPr>
          <w:p>
            <w:pPr>
              <w:pStyle w:val="78"/>
              <w:rPr>
                <w:kern w:val="2"/>
                <w:szCs w:val="21"/>
              </w:rPr>
            </w:pPr>
            <w:r>
              <w:rPr>
                <w:rFonts w:hint="eastAsia"/>
                <w:szCs w:val="21"/>
              </w:rPr>
              <w:t>2018年11</w:t>
            </w:r>
            <w:r>
              <w:rPr>
                <w:rFonts w:hint="eastAsia" w:ascii="宋体" w:hAnsi="宋体"/>
                <w:szCs w:val="21"/>
              </w:rPr>
              <w:t>月</w:t>
            </w:r>
            <w:r>
              <w:rPr>
                <w:rFonts w:hint="eastAsia"/>
                <w:szCs w:val="21"/>
              </w:rPr>
              <w:t>2</w:t>
            </w:r>
            <w:r>
              <w:rPr>
                <w:rFonts w:hint="eastAsia" w:ascii="宋体" w:hAnsi="宋体"/>
                <w:szCs w:val="21"/>
              </w:rPr>
              <w:t>日</w:t>
            </w:r>
          </w:p>
        </w:tc>
        <w:tc>
          <w:tcPr>
            <w:tcW w:w="637" w:type="pct"/>
            <w:vAlign w:val="center"/>
          </w:tcPr>
          <w:p>
            <w:pPr>
              <w:pStyle w:val="78"/>
              <w:rPr>
                <w:kern w:val="2"/>
                <w:szCs w:val="21"/>
              </w:rPr>
            </w:pPr>
            <w:r>
              <w:rPr>
                <w:rFonts w:hint="eastAsia"/>
                <w:szCs w:val="21"/>
              </w:rPr>
              <w:t>2018年11</w:t>
            </w:r>
            <w:r>
              <w:rPr>
                <w:rFonts w:hint="eastAsia" w:ascii="宋体" w:hAnsi="宋体"/>
                <w:szCs w:val="21"/>
              </w:rPr>
              <w:t>月</w:t>
            </w:r>
            <w:r>
              <w:rPr>
                <w:rFonts w:hint="eastAsia"/>
                <w:szCs w:val="21"/>
              </w:rPr>
              <w:t>3</w:t>
            </w:r>
            <w:r>
              <w:rPr>
                <w:rFonts w:hint="eastAsia" w:ascii="宋体" w:hAnsi="宋体"/>
                <w:szCs w:val="21"/>
              </w:rPr>
              <w:t>日</w:t>
            </w:r>
          </w:p>
        </w:tc>
        <w:tc>
          <w:tcPr>
            <w:tcW w:w="638" w:type="pct"/>
            <w:vAlign w:val="center"/>
          </w:tcPr>
          <w:p>
            <w:pPr>
              <w:pStyle w:val="78"/>
              <w:rPr>
                <w:kern w:val="2"/>
                <w:szCs w:val="21"/>
              </w:rPr>
            </w:pPr>
            <w:r>
              <w:rPr>
                <w:rFonts w:hint="eastAsia"/>
                <w:szCs w:val="21"/>
              </w:rPr>
              <w:t>平均值</w:t>
            </w:r>
          </w:p>
        </w:tc>
        <w:tc>
          <w:tcPr>
            <w:tcW w:w="542" w:type="pct"/>
            <w:vAlign w:val="center"/>
          </w:tcPr>
          <w:p>
            <w:pPr>
              <w:pStyle w:val="78"/>
              <w:rPr>
                <w:kern w:val="2"/>
                <w:szCs w:val="21"/>
              </w:rPr>
            </w:pPr>
            <w:r>
              <w:rPr>
                <w:rFonts w:hint="eastAsia"/>
                <w:szCs w:val="21"/>
              </w:rPr>
              <w:t>标准值</w:t>
            </w:r>
          </w:p>
        </w:tc>
        <w:tc>
          <w:tcPr>
            <w:tcW w:w="571" w:type="pct"/>
            <w:vAlign w:val="center"/>
          </w:tcPr>
          <w:p>
            <w:pPr>
              <w:pStyle w:val="78"/>
              <w:rPr>
                <w:kern w:val="2"/>
                <w:szCs w:val="21"/>
              </w:rPr>
            </w:pPr>
            <w:r>
              <w:rPr>
                <w:rFonts w:hint="eastAsia"/>
                <w:szCs w:val="21"/>
              </w:rPr>
              <w:t>超标率%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04" w:type="pct"/>
            <w:vMerge w:val="restart"/>
            <w:vAlign w:val="center"/>
          </w:tcPr>
          <w:p>
            <w:pPr>
              <w:pStyle w:val="78"/>
              <w:rPr>
                <w:kern w:val="2"/>
                <w:szCs w:val="21"/>
              </w:rPr>
            </w:pPr>
            <w:r>
              <w:rPr>
                <w:rFonts w:hint="eastAsia"/>
                <w:szCs w:val="21"/>
              </w:rPr>
              <w:t>W4:马壕污水处理厂排污口下游500m</w:t>
            </w:r>
            <w:r>
              <w:rPr>
                <w:rFonts w:hint="eastAsia" w:ascii="宋体" w:hAnsi="宋体"/>
                <w:szCs w:val="21"/>
              </w:rPr>
              <w:t>处</w:t>
            </w:r>
          </w:p>
        </w:tc>
        <w:tc>
          <w:tcPr>
            <w:tcW w:w="731" w:type="pct"/>
            <w:vAlign w:val="center"/>
          </w:tcPr>
          <w:p>
            <w:pPr>
              <w:pStyle w:val="78"/>
              <w:rPr>
                <w:kern w:val="2"/>
                <w:szCs w:val="21"/>
              </w:rPr>
            </w:pPr>
            <w:r>
              <w:rPr>
                <w:rFonts w:hint="eastAsia"/>
                <w:szCs w:val="21"/>
              </w:rPr>
              <w:t>pH</w:t>
            </w:r>
          </w:p>
        </w:tc>
        <w:tc>
          <w:tcPr>
            <w:tcW w:w="638" w:type="pct"/>
            <w:vAlign w:val="center"/>
          </w:tcPr>
          <w:p>
            <w:pPr>
              <w:pStyle w:val="78"/>
              <w:rPr>
                <w:kern w:val="2"/>
                <w:szCs w:val="21"/>
              </w:rPr>
            </w:pPr>
            <w:r>
              <w:rPr>
                <w:rFonts w:hint="eastAsia"/>
                <w:szCs w:val="21"/>
              </w:rPr>
              <w:t>6.52</w:t>
            </w:r>
          </w:p>
        </w:tc>
        <w:tc>
          <w:tcPr>
            <w:tcW w:w="638" w:type="pct"/>
            <w:vAlign w:val="center"/>
          </w:tcPr>
          <w:p>
            <w:pPr>
              <w:pStyle w:val="78"/>
              <w:rPr>
                <w:kern w:val="2"/>
                <w:szCs w:val="21"/>
              </w:rPr>
            </w:pPr>
            <w:r>
              <w:rPr>
                <w:rFonts w:hint="eastAsia"/>
                <w:szCs w:val="21"/>
              </w:rPr>
              <w:t>6.71</w:t>
            </w:r>
          </w:p>
        </w:tc>
        <w:tc>
          <w:tcPr>
            <w:tcW w:w="637" w:type="pct"/>
            <w:vAlign w:val="center"/>
          </w:tcPr>
          <w:p>
            <w:pPr>
              <w:pStyle w:val="78"/>
              <w:rPr>
                <w:kern w:val="2"/>
                <w:szCs w:val="21"/>
              </w:rPr>
            </w:pPr>
            <w:r>
              <w:rPr>
                <w:rFonts w:hint="eastAsia"/>
                <w:szCs w:val="21"/>
              </w:rPr>
              <w:t>7.06</w:t>
            </w:r>
          </w:p>
        </w:tc>
        <w:tc>
          <w:tcPr>
            <w:tcW w:w="638" w:type="pct"/>
            <w:vAlign w:val="center"/>
          </w:tcPr>
          <w:p>
            <w:pPr>
              <w:pStyle w:val="78"/>
              <w:rPr>
                <w:kern w:val="2"/>
                <w:szCs w:val="21"/>
              </w:rPr>
            </w:pPr>
            <w:r>
              <w:rPr>
                <w:rFonts w:hint="eastAsia"/>
                <w:szCs w:val="21"/>
              </w:rPr>
              <w:t>/</w:t>
            </w:r>
          </w:p>
        </w:tc>
        <w:tc>
          <w:tcPr>
            <w:tcW w:w="542" w:type="pct"/>
            <w:vAlign w:val="center"/>
          </w:tcPr>
          <w:p>
            <w:pPr>
              <w:pStyle w:val="78"/>
              <w:rPr>
                <w:kern w:val="2"/>
                <w:szCs w:val="21"/>
              </w:rPr>
            </w:pPr>
            <w:r>
              <w:rPr>
                <w:rFonts w:hint="eastAsia"/>
                <w:szCs w:val="21"/>
              </w:rPr>
              <w:t>6-9</w:t>
            </w:r>
          </w:p>
        </w:tc>
        <w:tc>
          <w:tcPr>
            <w:tcW w:w="571" w:type="pct"/>
            <w:vAlign w:val="center"/>
          </w:tcPr>
          <w:p>
            <w:pPr>
              <w:pStyle w:val="78"/>
              <w:rPr>
                <w:kern w:val="2"/>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604" w:type="pct"/>
            <w:vMerge w:val="continue"/>
            <w:vAlign w:val="center"/>
          </w:tcPr>
          <w:p>
            <w:pPr>
              <w:widowControl/>
              <w:jc w:val="center"/>
              <w:rPr>
                <w:rFonts w:eastAsia="宋体" w:cs="Times New Roman"/>
                <w:color w:val="000000"/>
                <w:sz w:val="21"/>
              </w:rPr>
            </w:pPr>
          </w:p>
        </w:tc>
        <w:tc>
          <w:tcPr>
            <w:tcW w:w="731" w:type="pct"/>
            <w:vAlign w:val="center"/>
          </w:tcPr>
          <w:p>
            <w:pPr>
              <w:pStyle w:val="78"/>
              <w:rPr>
                <w:kern w:val="2"/>
                <w:szCs w:val="21"/>
              </w:rPr>
            </w:pPr>
            <w:r>
              <w:rPr>
                <w:rFonts w:hint="eastAsia"/>
                <w:szCs w:val="21"/>
              </w:rPr>
              <w:t>COD</w:t>
            </w:r>
            <w:r>
              <w:rPr>
                <w:rFonts w:hint="eastAsia"/>
                <w:szCs w:val="21"/>
                <w:vertAlign w:val="subscript"/>
              </w:rPr>
              <w:t>Mn</w:t>
            </w:r>
          </w:p>
        </w:tc>
        <w:tc>
          <w:tcPr>
            <w:tcW w:w="638" w:type="pct"/>
            <w:vAlign w:val="center"/>
          </w:tcPr>
          <w:p>
            <w:pPr>
              <w:pStyle w:val="78"/>
              <w:rPr>
                <w:kern w:val="2"/>
                <w:szCs w:val="21"/>
              </w:rPr>
            </w:pPr>
            <w:r>
              <w:rPr>
                <w:rFonts w:hint="eastAsia"/>
                <w:szCs w:val="21"/>
              </w:rPr>
              <w:t>15.80</w:t>
            </w:r>
          </w:p>
        </w:tc>
        <w:tc>
          <w:tcPr>
            <w:tcW w:w="638" w:type="pct"/>
            <w:vAlign w:val="center"/>
          </w:tcPr>
          <w:p>
            <w:pPr>
              <w:pStyle w:val="78"/>
              <w:rPr>
                <w:kern w:val="2"/>
                <w:szCs w:val="21"/>
              </w:rPr>
            </w:pPr>
            <w:r>
              <w:rPr>
                <w:rFonts w:hint="eastAsia"/>
                <w:szCs w:val="21"/>
              </w:rPr>
              <w:t>14.72</w:t>
            </w:r>
          </w:p>
        </w:tc>
        <w:tc>
          <w:tcPr>
            <w:tcW w:w="637" w:type="pct"/>
            <w:vAlign w:val="center"/>
          </w:tcPr>
          <w:p>
            <w:pPr>
              <w:pStyle w:val="78"/>
              <w:rPr>
                <w:kern w:val="2"/>
                <w:szCs w:val="21"/>
              </w:rPr>
            </w:pPr>
            <w:r>
              <w:rPr>
                <w:rFonts w:hint="eastAsia"/>
                <w:szCs w:val="21"/>
              </w:rPr>
              <w:t>15.56</w:t>
            </w:r>
          </w:p>
        </w:tc>
        <w:tc>
          <w:tcPr>
            <w:tcW w:w="638" w:type="pct"/>
            <w:vAlign w:val="center"/>
          </w:tcPr>
          <w:p>
            <w:pPr>
              <w:pStyle w:val="78"/>
              <w:rPr>
                <w:kern w:val="2"/>
                <w:szCs w:val="21"/>
              </w:rPr>
            </w:pPr>
            <w:r>
              <w:rPr>
                <w:rFonts w:hint="eastAsia"/>
                <w:szCs w:val="21"/>
              </w:rPr>
              <w:t>15.36</w:t>
            </w:r>
          </w:p>
        </w:tc>
        <w:tc>
          <w:tcPr>
            <w:tcW w:w="542" w:type="pct"/>
            <w:vAlign w:val="center"/>
          </w:tcPr>
          <w:p>
            <w:pPr>
              <w:pStyle w:val="78"/>
              <w:rPr>
                <w:kern w:val="2"/>
                <w:szCs w:val="21"/>
              </w:rPr>
            </w:pPr>
            <w:r>
              <w:rPr>
                <w:rFonts w:hint="eastAsia"/>
                <w:szCs w:val="21"/>
              </w:rPr>
              <w:t>≤10</w:t>
            </w:r>
          </w:p>
        </w:tc>
        <w:tc>
          <w:tcPr>
            <w:tcW w:w="571" w:type="pct"/>
            <w:vAlign w:val="center"/>
          </w:tcPr>
          <w:p>
            <w:pPr>
              <w:pStyle w:val="78"/>
              <w:rPr>
                <w:kern w:val="2"/>
                <w:szCs w:val="21"/>
              </w:rPr>
            </w:pPr>
            <w:r>
              <w:rPr>
                <w:rFonts w:hint="eastAsia"/>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604" w:type="pct"/>
            <w:vMerge w:val="continue"/>
            <w:vAlign w:val="center"/>
          </w:tcPr>
          <w:p>
            <w:pPr>
              <w:widowControl/>
              <w:jc w:val="center"/>
              <w:rPr>
                <w:rFonts w:eastAsia="宋体" w:cs="Times New Roman"/>
                <w:color w:val="000000"/>
                <w:sz w:val="21"/>
              </w:rPr>
            </w:pPr>
          </w:p>
        </w:tc>
        <w:tc>
          <w:tcPr>
            <w:tcW w:w="731" w:type="pct"/>
            <w:vAlign w:val="center"/>
          </w:tcPr>
          <w:p>
            <w:pPr>
              <w:pStyle w:val="78"/>
              <w:rPr>
                <w:kern w:val="2"/>
                <w:szCs w:val="21"/>
              </w:rPr>
            </w:pPr>
            <w:r>
              <w:rPr>
                <w:rFonts w:hint="eastAsia"/>
                <w:szCs w:val="21"/>
              </w:rPr>
              <w:t>COD</w:t>
            </w:r>
            <w:r>
              <w:rPr>
                <w:rFonts w:hint="eastAsia"/>
                <w:szCs w:val="21"/>
                <w:vertAlign w:val="subscript"/>
              </w:rPr>
              <w:t>Cr</w:t>
            </w:r>
          </w:p>
        </w:tc>
        <w:tc>
          <w:tcPr>
            <w:tcW w:w="638" w:type="pct"/>
            <w:vAlign w:val="center"/>
          </w:tcPr>
          <w:p>
            <w:pPr>
              <w:pStyle w:val="78"/>
              <w:rPr>
                <w:kern w:val="2"/>
                <w:szCs w:val="21"/>
              </w:rPr>
            </w:pPr>
            <w:r>
              <w:rPr>
                <w:rFonts w:hint="eastAsia"/>
                <w:szCs w:val="21"/>
              </w:rPr>
              <w:t>38</w:t>
            </w:r>
          </w:p>
        </w:tc>
        <w:tc>
          <w:tcPr>
            <w:tcW w:w="638" w:type="pct"/>
            <w:vAlign w:val="center"/>
          </w:tcPr>
          <w:p>
            <w:pPr>
              <w:pStyle w:val="78"/>
              <w:rPr>
                <w:kern w:val="2"/>
                <w:szCs w:val="21"/>
              </w:rPr>
            </w:pPr>
            <w:r>
              <w:rPr>
                <w:rFonts w:hint="eastAsia"/>
                <w:szCs w:val="21"/>
              </w:rPr>
              <w:t>35</w:t>
            </w:r>
          </w:p>
        </w:tc>
        <w:tc>
          <w:tcPr>
            <w:tcW w:w="637" w:type="pct"/>
            <w:vAlign w:val="center"/>
          </w:tcPr>
          <w:p>
            <w:pPr>
              <w:pStyle w:val="78"/>
              <w:rPr>
                <w:kern w:val="2"/>
                <w:szCs w:val="21"/>
              </w:rPr>
            </w:pPr>
            <w:r>
              <w:rPr>
                <w:rFonts w:hint="eastAsia"/>
                <w:szCs w:val="21"/>
              </w:rPr>
              <w:t>36</w:t>
            </w:r>
          </w:p>
        </w:tc>
        <w:tc>
          <w:tcPr>
            <w:tcW w:w="638" w:type="pct"/>
            <w:vAlign w:val="center"/>
          </w:tcPr>
          <w:p>
            <w:pPr>
              <w:pStyle w:val="78"/>
              <w:rPr>
                <w:kern w:val="2"/>
                <w:szCs w:val="21"/>
              </w:rPr>
            </w:pPr>
            <w:r>
              <w:rPr>
                <w:rFonts w:hint="eastAsia"/>
                <w:szCs w:val="21"/>
              </w:rPr>
              <w:t>36.33</w:t>
            </w:r>
          </w:p>
        </w:tc>
        <w:tc>
          <w:tcPr>
            <w:tcW w:w="542" w:type="pct"/>
            <w:vAlign w:val="center"/>
          </w:tcPr>
          <w:p>
            <w:pPr>
              <w:pStyle w:val="78"/>
              <w:rPr>
                <w:kern w:val="2"/>
                <w:szCs w:val="21"/>
              </w:rPr>
            </w:pPr>
            <w:r>
              <w:rPr>
                <w:rFonts w:hint="eastAsia"/>
                <w:szCs w:val="21"/>
              </w:rPr>
              <w:t>≤30</w:t>
            </w:r>
          </w:p>
        </w:tc>
        <w:tc>
          <w:tcPr>
            <w:tcW w:w="571" w:type="pct"/>
            <w:vAlign w:val="center"/>
          </w:tcPr>
          <w:p>
            <w:pPr>
              <w:pStyle w:val="78"/>
              <w:rPr>
                <w:kern w:val="2"/>
                <w:szCs w:val="21"/>
              </w:rPr>
            </w:pPr>
            <w:r>
              <w:rPr>
                <w:rFonts w:hint="eastAsia"/>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604" w:type="pct"/>
            <w:vMerge w:val="continue"/>
            <w:vAlign w:val="center"/>
          </w:tcPr>
          <w:p>
            <w:pPr>
              <w:widowControl/>
              <w:jc w:val="center"/>
              <w:rPr>
                <w:rFonts w:eastAsia="宋体" w:cs="Times New Roman"/>
                <w:color w:val="000000"/>
                <w:sz w:val="21"/>
              </w:rPr>
            </w:pPr>
          </w:p>
        </w:tc>
        <w:tc>
          <w:tcPr>
            <w:tcW w:w="731" w:type="pct"/>
            <w:vAlign w:val="center"/>
          </w:tcPr>
          <w:p>
            <w:pPr>
              <w:pStyle w:val="78"/>
              <w:rPr>
                <w:kern w:val="2"/>
                <w:szCs w:val="21"/>
              </w:rPr>
            </w:pPr>
            <w:r>
              <w:rPr>
                <w:rFonts w:hint="eastAsia"/>
                <w:szCs w:val="21"/>
              </w:rPr>
              <w:t>氨氮</w:t>
            </w:r>
          </w:p>
        </w:tc>
        <w:tc>
          <w:tcPr>
            <w:tcW w:w="638" w:type="pct"/>
            <w:vAlign w:val="center"/>
          </w:tcPr>
          <w:p>
            <w:pPr>
              <w:pStyle w:val="78"/>
              <w:rPr>
                <w:kern w:val="2"/>
                <w:szCs w:val="21"/>
              </w:rPr>
            </w:pPr>
            <w:r>
              <w:rPr>
                <w:rFonts w:hint="eastAsia"/>
                <w:szCs w:val="21"/>
              </w:rPr>
              <w:t>0.86</w:t>
            </w:r>
          </w:p>
        </w:tc>
        <w:tc>
          <w:tcPr>
            <w:tcW w:w="638" w:type="pct"/>
            <w:vAlign w:val="center"/>
          </w:tcPr>
          <w:p>
            <w:pPr>
              <w:pStyle w:val="78"/>
              <w:rPr>
                <w:kern w:val="2"/>
                <w:szCs w:val="21"/>
              </w:rPr>
            </w:pPr>
            <w:r>
              <w:rPr>
                <w:rFonts w:hint="eastAsia"/>
                <w:szCs w:val="21"/>
              </w:rPr>
              <w:t>0.97</w:t>
            </w:r>
          </w:p>
        </w:tc>
        <w:tc>
          <w:tcPr>
            <w:tcW w:w="637" w:type="pct"/>
            <w:vAlign w:val="center"/>
          </w:tcPr>
          <w:p>
            <w:pPr>
              <w:pStyle w:val="78"/>
              <w:rPr>
                <w:kern w:val="2"/>
                <w:szCs w:val="21"/>
              </w:rPr>
            </w:pPr>
            <w:r>
              <w:rPr>
                <w:rFonts w:hint="eastAsia"/>
                <w:szCs w:val="21"/>
              </w:rPr>
              <w:t>0.81</w:t>
            </w:r>
          </w:p>
        </w:tc>
        <w:tc>
          <w:tcPr>
            <w:tcW w:w="638" w:type="pct"/>
            <w:vAlign w:val="center"/>
          </w:tcPr>
          <w:p>
            <w:pPr>
              <w:pStyle w:val="78"/>
              <w:rPr>
                <w:kern w:val="2"/>
                <w:szCs w:val="21"/>
              </w:rPr>
            </w:pPr>
            <w:r>
              <w:rPr>
                <w:rFonts w:hint="eastAsia"/>
                <w:szCs w:val="21"/>
              </w:rPr>
              <w:t>0.88</w:t>
            </w:r>
          </w:p>
        </w:tc>
        <w:tc>
          <w:tcPr>
            <w:tcW w:w="542" w:type="pct"/>
            <w:vAlign w:val="center"/>
          </w:tcPr>
          <w:p>
            <w:pPr>
              <w:pStyle w:val="78"/>
              <w:rPr>
                <w:kern w:val="2"/>
                <w:szCs w:val="21"/>
              </w:rPr>
            </w:pPr>
            <w:r>
              <w:rPr>
                <w:rFonts w:hint="eastAsia"/>
                <w:szCs w:val="21"/>
              </w:rPr>
              <w:t>≤1.5</w:t>
            </w:r>
          </w:p>
        </w:tc>
        <w:tc>
          <w:tcPr>
            <w:tcW w:w="571" w:type="pct"/>
            <w:vAlign w:val="center"/>
          </w:tcPr>
          <w:p>
            <w:pPr>
              <w:pStyle w:val="78"/>
              <w:rPr>
                <w:kern w:val="2"/>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604" w:type="pct"/>
            <w:vMerge w:val="continue"/>
            <w:vAlign w:val="center"/>
          </w:tcPr>
          <w:p>
            <w:pPr>
              <w:widowControl/>
              <w:jc w:val="center"/>
              <w:rPr>
                <w:rFonts w:eastAsia="宋体" w:cs="Times New Roman"/>
                <w:color w:val="000000"/>
                <w:sz w:val="21"/>
              </w:rPr>
            </w:pPr>
          </w:p>
        </w:tc>
        <w:tc>
          <w:tcPr>
            <w:tcW w:w="731" w:type="pct"/>
            <w:vAlign w:val="center"/>
          </w:tcPr>
          <w:p>
            <w:pPr>
              <w:pStyle w:val="78"/>
              <w:rPr>
                <w:kern w:val="2"/>
                <w:szCs w:val="21"/>
              </w:rPr>
            </w:pPr>
            <w:r>
              <w:rPr>
                <w:rFonts w:hint="eastAsia"/>
                <w:szCs w:val="21"/>
              </w:rPr>
              <w:t>TP</w:t>
            </w:r>
          </w:p>
        </w:tc>
        <w:tc>
          <w:tcPr>
            <w:tcW w:w="638" w:type="pct"/>
            <w:vAlign w:val="center"/>
          </w:tcPr>
          <w:p>
            <w:pPr>
              <w:pStyle w:val="78"/>
              <w:rPr>
                <w:kern w:val="2"/>
                <w:szCs w:val="21"/>
              </w:rPr>
            </w:pPr>
            <w:r>
              <w:rPr>
                <w:rFonts w:hint="eastAsia"/>
                <w:szCs w:val="21"/>
              </w:rPr>
              <w:t>0.41</w:t>
            </w:r>
          </w:p>
        </w:tc>
        <w:tc>
          <w:tcPr>
            <w:tcW w:w="638" w:type="pct"/>
            <w:vAlign w:val="center"/>
          </w:tcPr>
          <w:p>
            <w:pPr>
              <w:pStyle w:val="78"/>
              <w:rPr>
                <w:kern w:val="2"/>
                <w:szCs w:val="21"/>
              </w:rPr>
            </w:pPr>
            <w:r>
              <w:rPr>
                <w:rFonts w:hint="eastAsia"/>
                <w:szCs w:val="21"/>
              </w:rPr>
              <w:t>0.39</w:t>
            </w:r>
          </w:p>
        </w:tc>
        <w:tc>
          <w:tcPr>
            <w:tcW w:w="637" w:type="pct"/>
            <w:vAlign w:val="center"/>
          </w:tcPr>
          <w:p>
            <w:pPr>
              <w:pStyle w:val="78"/>
              <w:rPr>
                <w:kern w:val="2"/>
                <w:szCs w:val="21"/>
              </w:rPr>
            </w:pPr>
            <w:r>
              <w:rPr>
                <w:rFonts w:hint="eastAsia"/>
                <w:szCs w:val="21"/>
              </w:rPr>
              <w:t>0.35</w:t>
            </w:r>
          </w:p>
        </w:tc>
        <w:tc>
          <w:tcPr>
            <w:tcW w:w="638" w:type="pct"/>
            <w:vAlign w:val="center"/>
          </w:tcPr>
          <w:p>
            <w:pPr>
              <w:pStyle w:val="78"/>
              <w:rPr>
                <w:kern w:val="2"/>
                <w:szCs w:val="21"/>
              </w:rPr>
            </w:pPr>
            <w:r>
              <w:rPr>
                <w:rFonts w:hint="eastAsia"/>
                <w:szCs w:val="21"/>
              </w:rPr>
              <w:t>0.38</w:t>
            </w:r>
          </w:p>
        </w:tc>
        <w:tc>
          <w:tcPr>
            <w:tcW w:w="542" w:type="pct"/>
            <w:vAlign w:val="center"/>
          </w:tcPr>
          <w:p>
            <w:pPr>
              <w:pStyle w:val="78"/>
              <w:rPr>
                <w:kern w:val="2"/>
                <w:szCs w:val="21"/>
              </w:rPr>
            </w:pPr>
            <w:r>
              <w:rPr>
                <w:rFonts w:hint="eastAsia"/>
                <w:szCs w:val="21"/>
              </w:rPr>
              <w:t>≤0.1</w:t>
            </w:r>
          </w:p>
        </w:tc>
        <w:tc>
          <w:tcPr>
            <w:tcW w:w="571" w:type="pct"/>
            <w:vAlign w:val="center"/>
          </w:tcPr>
          <w:p>
            <w:pPr>
              <w:pStyle w:val="78"/>
              <w:rPr>
                <w:kern w:val="2"/>
                <w:szCs w:val="21"/>
              </w:rPr>
            </w:pPr>
            <w:r>
              <w:rPr>
                <w:rFonts w:hint="eastAsia"/>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604" w:type="pct"/>
            <w:vMerge w:val="continue"/>
            <w:vAlign w:val="center"/>
          </w:tcPr>
          <w:p>
            <w:pPr>
              <w:widowControl/>
              <w:jc w:val="center"/>
              <w:rPr>
                <w:rFonts w:eastAsia="宋体" w:cs="Times New Roman"/>
                <w:color w:val="000000"/>
                <w:sz w:val="21"/>
              </w:rPr>
            </w:pPr>
          </w:p>
        </w:tc>
        <w:tc>
          <w:tcPr>
            <w:tcW w:w="731" w:type="pct"/>
            <w:vAlign w:val="center"/>
          </w:tcPr>
          <w:p>
            <w:pPr>
              <w:pStyle w:val="78"/>
              <w:rPr>
                <w:kern w:val="2"/>
                <w:szCs w:val="21"/>
              </w:rPr>
            </w:pPr>
            <w:r>
              <w:rPr>
                <w:rFonts w:hint="eastAsia"/>
                <w:szCs w:val="21"/>
              </w:rPr>
              <w:t>TN</w:t>
            </w:r>
          </w:p>
        </w:tc>
        <w:tc>
          <w:tcPr>
            <w:tcW w:w="638" w:type="pct"/>
            <w:vAlign w:val="center"/>
          </w:tcPr>
          <w:p>
            <w:pPr>
              <w:pStyle w:val="78"/>
              <w:rPr>
                <w:kern w:val="2"/>
                <w:szCs w:val="21"/>
              </w:rPr>
            </w:pPr>
            <w:r>
              <w:rPr>
                <w:rFonts w:hint="eastAsia"/>
                <w:szCs w:val="21"/>
              </w:rPr>
              <w:t>5.62</w:t>
            </w:r>
          </w:p>
        </w:tc>
        <w:tc>
          <w:tcPr>
            <w:tcW w:w="638" w:type="pct"/>
            <w:vAlign w:val="center"/>
          </w:tcPr>
          <w:p>
            <w:pPr>
              <w:pStyle w:val="78"/>
              <w:rPr>
                <w:kern w:val="2"/>
                <w:szCs w:val="21"/>
              </w:rPr>
            </w:pPr>
            <w:r>
              <w:rPr>
                <w:rFonts w:hint="eastAsia"/>
                <w:szCs w:val="21"/>
              </w:rPr>
              <w:t>5.83</w:t>
            </w:r>
          </w:p>
        </w:tc>
        <w:tc>
          <w:tcPr>
            <w:tcW w:w="637" w:type="pct"/>
            <w:vAlign w:val="center"/>
          </w:tcPr>
          <w:p>
            <w:pPr>
              <w:pStyle w:val="78"/>
              <w:rPr>
                <w:kern w:val="2"/>
                <w:szCs w:val="21"/>
              </w:rPr>
            </w:pPr>
            <w:r>
              <w:rPr>
                <w:rFonts w:hint="eastAsia"/>
                <w:szCs w:val="21"/>
              </w:rPr>
              <w:t>6.04</w:t>
            </w:r>
          </w:p>
        </w:tc>
        <w:tc>
          <w:tcPr>
            <w:tcW w:w="638" w:type="pct"/>
            <w:vAlign w:val="center"/>
          </w:tcPr>
          <w:p>
            <w:pPr>
              <w:pStyle w:val="78"/>
              <w:rPr>
                <w:kern w:val="2"/>
                <w:szCs w:val="21"/>
              </w:rPr>
            </w:pPr>
            <w:r>
              <w:rPr>
                <w:rFonts w:hint="eastAsia"/>
                <w:szCs w:val="21"/>
              </w:rPr>
              <w:t>5.83</w:t>
            </w:r>
          </w:p>
        </w:tc>
        <w:tc>
          <w:tcPr>
            <w:tcW w:w="542" w:type="pct"/>
            <w:vAlign w:val="center"/>
          </w:tcPr>
          <w:p>
            <w:pPr>
              <w:pStyle w:val="78"/>
              <w:rPr>
                <w:kern w:val="2"/>
                <w:szCs w:val="21"/>
              </w:rPr>
            </w:pPr>
            <w:r>
              <w:rPr>
                <w:rFonts w:hint="eastAsia"/>
                <w:szCs w:val="21"/>
              </w:rPr>
              <w:t>≤1.5</w:t>
            </w:r>
          </w:p>
        </w:tc>
        <w:tc>
          <w:tcPr>
            <w:tcW w:w="571" w:type="pct"/>
            <w:vAlign w:val="center"/>
          </w:tcPr>
          <w:p>
            <w:pPr>
              <w:pStyle w:val="78"/>
              <w:rPr>
                <w:kern w:val="2"/>
                <w:szCs w:val="21"/>
              </w:rPr>
            </w:pPr>
            <w:r>
              <w:rPr>
                <w:rFonts w:hint="eastAsia"/>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604" w:type="pct"/>
            <w:vMerge w:val="continue"/>
            <w:vAlign w:val="center"/>
          </w:tcPr>
          <w:p>
            <w:pPr>
              <w:widowControl/>
              <w:jc w:val="center"/>
              <w:rPr>
                <w:rFonts w:eastAsia="宋体" w:cs="Times New Roman"/>
                <w:color w:val="000000"/>
                <w:sz w:val="21"/>
              </w:rPr>
            </w:pPr>
          </w:p>
        </w:tc>
        <w:tc>
          <w:tcPr>
            <w:tcW w:w="731" w:type="pct"/>
            <w:vAlign w:val="center"/>
          </w:tcPr>
          <w:p>
            <w:pPr>
              <w:pStyle w:val="78"/>
              <w:rPr>
                <w:kern w:val="2"/>
                <w:szCs w:val="21"/>
              </w:rPr>
            </w:pPr>
            <w:r>
              <w:rPr>
                <w:rFonts w:hint="eastAsia"/>
                <w:szCs w:val="21"/>
              </w:rPr>
              <w:t>SS</w:t>
            </w:r>
          </w:p>
        </w:tc>
        <w:tc>
          <w:tcPr>
            <w:tcW w:w="638" w:type="pct"/>
            <w:vAlign w:val="center"/>
          </w:tcPr>
          <w:p>
            <w:pPr>
              <w:pStyle w:val="78"/>
              <w:rPr>
                <w:kern w:val="2"/>
                <w:szCs w:val="21"/>
              </w:rPr>
            </w:pPr>
            <w:r>
              <w:rPr>
                <w:rFonts w:hint="eastAsia"/>
                <w:szCs w:val="21"/>
              </w:rPr>
              <w:t>33</w:t>
            </w:r>
          </w:p>
        </w:tc>
        <w:tc>
          <w:tcPr>
            <w:tcW w:w="638" w:type="pct"/>
            <w:vAlign w:val="center"/>
          </w:tcPr>
          <w:p>
            <w:pPr>
              <w:pStyle w:val="78"/>
              <w:rPr>
                <w:kern w:val="2"/>
                <w:szCs w:val="21"/>
              </w:rPr>
            </w:pPr>
            <w:r>
              <w:rPr>
                <w:rFonts w:hint="eastAsia"/>
                <w:szCs w:val="21"/>
              </w:rPr>
              <w:t>36</w:t>
            </w:r>
          </w:p>
        </w:tc>
        <w:tc>
          <w:tcPr>
            <w:tcW w:w="637" w:type="pct"/>
            <w:vAlign w:val="center"/>
          </w:tcPr>
          <w:p>
            <w:pPr>
              <w:pStyle w:val="78"/>
              <w:rPr>
                <w:kern w:val="2"/>
                <w:szCs w:val="21"/>
              </w:rPr>
            </w:pPr>
            <w:r>
              <w:rPr>
                <w:rFonts w:hint="eastAsia"/>
                <w:szCs w:val="21"/>
              </w:rPr>
              <w:t>28</w:t>
            </w:r>
          </w:p>
        </w:tc>
        <w:tc>
          <w:tcPr>
            <w:tcW w:w="638" w:type="pct"/>
            <w:vAlign w:val="center"/>
          </w:tcPr>
          <w:p>
            <w:pPr>
              <w:pStyle w:val="78"/>
              <w:rPr>
                <w:kern w:val="2"/>
                <w:szCs w:val="21"/>
              </w:rPr>
            </w:pPr>
            <w:r>
              <w:rPr>
                <w:rFonts w:hint="eastAsia"/>
                <w:szCs w:val="21"/>
              </w:rPr>
              <w:t>32.33</w:t>
            </w:r>
          </w:p>
        </w:tc>
        <w:tc>
          <w:tcPr>
            <w:tcW w:w="542" w:type="pct"/>
            <w:vAlign w:val="center"/>
          </w:tcPr>
          <w:p>
            <w:pPr>
              <w:pStyle w:val="78"/>
              <w:rPr>
                <w:kern w:val="2"/>
                <w:szCs w:val="21"/>
              </w:rPr>
            </w:pPr>
            <w:r>
              <w:rPr>
                <w:rFonts w:hint="eastAsia"/>
                <w:szCs w:val="21"/>
              </w:rPr>
              <w:t>/</w:t>
            </w:r>
          </w:p>
        </w:tc>
        <w:tc>
          <w:tcPr>
            <w:tcW w:w="571" w:type="pct"/>
            <w:vAlign w:val="center"/>
          </w:tcPr>
          <w:p>
            <w:pPr>
              <w:pStyle w:val="78"/>
              <w:rPr>
                <w:kern w:val="2"/>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604" w:type="pct"/>
            <w:vMerge w:val="continue"/>
            <w:vAlign w:val="center"/>
          </w:tcPr>
          <w:p>
            <w:pPr>
              <w:widowControl/>
              <w:jc w:val="center"/>
              <w:rPr>
                <w:rFonts w:eastAsia="宋体" w:cs="Times New Roman"/>
                <w:color w:val="000000"/>
                <w:sz w:val="21"/>
              </w:rPr>
            </w:pPr>
          </w:p>
        </w:tc>
        <w:tc>
          <w:tcPr>
            <w:tcW w:w="731" w:type="pct"/>
            <w:vAlign w:val="center"/>
          </w:tcPr>
          <w:p>
            <w:pPr>
              <w:pStyle w:val="78"/>
              <w:rPr>
                <w:kern w:val="2"/>
                <w:szCs w:val="21"/>
              </w:rPr>
            </w:pPr>
            <w:r>
              <w:rPr>
                <w:rFonts w:hint="eastAsia"/>
                <w:szCs w:val="21"/>
              </w:rPr>
              <w:t>BOD</w:t>
            </w:r>
            <w:r>
              <w:rPr>
                <w:rFonts w:hint="eastAsia"/>
                <w:szCs w:val="21"/>
                <w:vertAlign w:val="subscript"/>
              </w:rPr>
              <w:t>5</w:t>
            </w:r>
          </w:p>
        </w:tc>
        <w:tc>
          <w:tcPr>
            <w:tcW w:w="638" w:type="pct"/>
            <w:vAlign w:val="center"/>
          </w:tcPr>
          <w:p>
            <w:pPr>
              <w:pStyle w:val="78"/>
              <w:rPr>
                <w:kern w:val="2"/>
                <w:szCs w:val="21"/>
              </w:rPr>
            </w:pPr>
            <w:r>
              <w:rPr>
                <w:rFonts w:hint="eastAsia"/>
                <w:szCs w:val="21"/>
              </w:rPr>
              <w:t>7.2</w:t>
            </w:r>
          </w:p>
        </w:tc>
        <w:tc>
          <w:tcPr>
            <w:tcW w:w="638" w:type="pct"/>
            <w:vAlign w:val="center"/>
          </w:tcPr>
          <w:p>
            <w:pPr>
              <w:pStyle w:val="78"/>
              <w:rPr>
                <w:kern w:val="2"/>
                <w:szCs w:val="21"/>
              </w:rPr>
            </w:pPr>
            <w:r>
              <w:rPr>
                <w:rFonts w:hint="eastAsia"/>
                <w:szCs w:val="21"/>
              </w:rPr>
              <w:t>6.9</w:t>
            </w:r>
          </w:p>
        </w:tc>
        <w:tc>
          <w:tcPr>
            <w:tcW w:w="637" w:type="pct"/>
            <w:vAlign w:val="center"/>
          </w:tcPr>
          <w:p>
            <w:pPr>
              <w:pStyle w:val="78"/>
              <w:rPr>
                <w:kern w:val="2"/>
                <w:szCs w:val="21"/>
              </w:rPr>
            </w:pPr>
            <w:r>
              <w:rPr>
                <w:rFonts w:hint="eastAsia"/>
                <w:szCs w:val="21"/>
              </w:rPr>
              <w:t>6.8</w:t>
            </w:r>
          </w:p>
        </w:tc>
        <w:tc>
          <w:tcPr>
            <w:tcW w:w="638" w:type="pct"/>
            <w:vAlign w:val="center"/>
          </w:tcPr>
          <w:p>
            <w:pPr>
              <w:pStyle w:val="78"/>
              <w:rPr>
                <w:kern w:val="2"/>
                <w:szCs w:val="21"/>
              </w:rPr>
            </w:pPr>
            <w:r>
              <w:rPr>
                <w:rFonts w:hint="eastAsia"/>
                <w:szCs w:val="21"/>
              </w:rPr>
              <w:t>6.97</w:t>
            </w:r>
          </w:p>
        </w:tc>
        <w:tc>
          <w:tcPr>
            <w:tcW w:w="542" w:type="pct"/>
            <w:vAlign w:val="center"/>
          </w:tcPr>
          <w:p>
            <w:pPr>
              <w:pStyle w:val="78"/>
              <w:rPr>
                <w:kern w:val="2"/>
                <w:szCs w:val="21"/>
              </w:rPr>
            </w:pPr>
            <w:r>
              <w:rPr>
                <w:rFonts w:hint="eastAsia"/>
                <w:szCs w:val="21"/>
              </w:rPr>
              <w:t>≤6</w:t>
            </w:r>
          </w:p>
        </w:tc>
        <w:tc>
          <w:tcPr>
            <w:tcW w:w="571" w:type="pct"/>
            <w:vAlign w:val="center"/>
          </w:tcPr>
          <w:p>
            <w:pPr>
              <w:pStyle w:val="78"/>
              <w:rPr>
                <w:kern w:val="2"/>
                <w:szCs w:val="21"/>
              </w:rPr>
            </w:pPr>
            <w:r>
              <w:rPr>
                <w:rFonts w:hint="eastAsia"/>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604" w:type="pct"/>
            <w:vMerge w:val="continue"/>
            <w:vAlign w:val="center"/>
          </w:tcPr>
          <w:p>
            <w:pPr>
              <w:widowControl/>
              <w:jc w:val="center"/>
              <w:rPr>
                <w:rFonts w:eastAsia="宋体" w:cs="Times New Roman"/>
                <w:color w:val="000000"/>
                <w:sz w:val="21"/>
              </w:rPr>
            </w:pPr>
          </w:p>
        </w:tc>
        <w:tc>
          <w:tcPr>
            <w:tcW w:w="731" w:type="pct"/>
            <w:vAlign w:val="center"/>
          </w:tcPr>
          <w:p>
            <w:pPr>
              <w:pStyle w:val="78"/>
              <w:rPr>
                <w:kern w:val="2"/>
                <w:szCs w:val="21"/>
              </w:rPr>
            </w:pPr>
            <w:r>
              <w:rPr>
                <w:rFonts w:hint="eastAsia"/>
                <w:szCs w:val="21"/>
              </w:rPr>
              <w:t>石油类</w:t>
            </w:r>
          </w:p>
        </w:tc>
        <w:tc>
          <w:tcPr>
            <w:tcW w:w="638" w:type="pct"/>
            <w:vAlign w:val="center"/>
          </w:tcPr>
          <w:p>
            <w:pPr>
              <w:pStyle w:val="78"/>
              <w:rPr>
                <w:kern w:val="2"/>
                <w:szCs w:val="21"/>
              </w:rPr>
            </w:pPr>
            <w:r>
              <w:rPr>
                <w:rFonts w:hint="eastAsia"/>
                <w:szCs w:val="21"/>
              </w:rPr>
              <w:t>0.07</w:t>
            </w:r>
          </w:p>
        </w:tc>
        <w:tc>
          <w:tcPr>
            <w:tcW w:w="638" w:type="pct"/>
            <w:vAlign w:val="center"/>
          </w:tcPr>
          <w:p>
            <w:pPr>
              <w:pStyle w:val="78"/>
              <w:rPr>
                <w:kern w:val="2"/>
                <w:szCs w:val="21"/>
              </w:rPr>
            </w:pPr>
            <w:r>
              <w:rPr>
                <w:rFonts w:hint="eastAsia"/>
                <w:szCs w:val="21"/>
              </w:rPr>
              <w:t>0.07</w:t>
            </w:r>
          </w:p>
        </w:tc>
        <w:tc>
          <w:tcPr>
            <w:tcW w:w="637" w:type="pct"/>
            <w:vAlign w:val="center"/>
          </w:tcPr>
          <w:p>
            <w:pPr>
              <w:pStyle w:val="78"/>
              <w:rPr>
                <w:kern w:val="2"/>
                <w:szCs w:val="21"/>
              </w:rPr>
            </w:pPr>
            <w:r>
              <w:rPr>
                <w:rFonts w:hint="eastAsia"/>
                <w:szCs w:val="21"/>
              </w:rPr>
              <w:t>0.06</w:t>
            </w:r>
          </w:p>
        </w:tc>
        <w:tc>
          <w:tcPr>
            <w:tcW w:w="638" w:type="pct"/>
            <w:vAlign w:val="center"/>
          </w:tcPr>
          <w:p>
            <w:pPr>
              <w:pStyle w:val="78"/>
              <w:rPr>
                <w:kern w:val="2"/>
                <w:szCs w:val="21"/>
              </w:rPr>
            </w:pPr>
            <w:r>
              <w:rPr>
                <w:rFonts w:hint="eastAsia"/>
                <w:szCs w:val="21"/>
              </w:rPr>
              <w:t>0.067</w:t>
            </w:r>
          </w:p>
        </w:tc>
        <w:tc>
          <w:tcPr>
            <w:tcW w:w="542" w:type="pct"/>
            <w:vAlign w:val="center"/>
          </w:tcPr>
          <w:p>
            <w:pPr>
              <w:pStyle w:val="78"/>
              <w:rPr>
                <w:kern w:val="2"/>
                <w:szCs w:val="21"/>
              </w:rPr>
            </w:pPr>
            <w:r>
              <w:rPr>
                <w:rFonts w:hint="eastAsia"/>
                <w:szCs w:val="21"/>
              </w:rPr>
              <w:t>≤0.5</w:t>
            </w:r>
          </w:p>
        </w:tc>
        <w:tc>
          <w:tcPr>
            <w:tcW w:w="571" w:type="pct"/>
            <w:vAlign w:val="center"/>
          </w:tcPr>
          <w:p>
            <w:pPr>
              <w:pStyle w:val="78"/>
              <w:rPr>
                <w:kern w:val="2"/>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604" w:type="pct"/>
            <w:vMerge w:val="continue"/>
            <w:vAlign w:val="center"/>
          </w:tcPr>
          <w:p>
            <w:pPr>
              <w:widowControl/>
              <w:jc w:val="center"/>
              <w:rPr>
                <w:rFonts w:eastAsia="宋体" w:cs="Times New Roman"/>
                <w:color w:val="000000"/>
                <w:sz w:val="21"/>
              </w:rPr>
            </w:pPr>
          </w:p>
        </w:tc>
        <w:tc>
          <w:tcPr>
            <w:tcW w:w="731" w:type="pct"/>
            <w:vAlign w:val="center"/>
          </w:tcPr>
          <w:p>
            <w:pPr>
              <w:pStyle w:val="78"/>
              <w:rPr>
                <w:kern w:val="2"/>
                <w:szCs w:val="21"/>
              </w:rPr>
            </w:pPr>
            <w:r>
              <w:rPr>
                <w:rFonts w:hint="eastAsia"/>
                <w:szCs w:val="21"/>
              </w:rPr>
              <w:t>动植物油</w:t>
            </w:r>
          </w:p>
        </w:tc>
        <w:tc>
          <w:tcPr>
            <w:tcW w:w="638" w:type="pct"/>
            <w:vAlign w:val="center"/>
          </w:tcPr>
          <w:p>
            <w:pPr>
              <w:pStyle w:val="78"/>
              <w:rPr>
                <w:kern w:val="2"/>
                <w:szCs w:val="21"/>
              </w:rPr>
            </w:pPr>
            <w:r>
              <w:rPr>
                <w:rFonts w:hint="eastAsia"/>
                <w:szCs w:val="21"/>
              </w:rPr>
              <w:t>0.05</w:t>
            </w:r>
          </w:p>
        </w:tc>
        <w:tc>
          <w:tcPr>
            <w:tcW w:w="638" w:type="pct"/>
            <w:vAlign w:val="center"/>
          </w:tcPr>
          <w:p>
            <w:pPr>
              <w:pStyle w:val="78"/>
              <w:rPr>
                <w:kern w:val="2"/>
                <w:szCs w:val="21"/>
              </w:rPr>
            </w:pPr>
            <w:r>
              <w:rPr>
                <w:rFonts w:hint="eastAsia"/>
                <w:szCs w:val="21"/>
              </w:rPr>
              <w:t>0.06</w:t>
            </w:r>
          </w:p>
        </w:tc>
        <w:tc>
          <w:tcPr>
            <w:tcW w:w="637" w:type="pct"/>
            <w:vAlign w:val="center"/>
          </w:tcPr>
          <w:p>
            <w:pPr>
              <w:pStyle w:val="78"/>
              <w:rPr>
                <w:kern w:val="2"/>
                <w:szCs w:val="21"/>
              </w:rPr>
            </w:pPr>
            <w:r>
              <w:rPr>
                <w:rFonts w:hint="eastAsia"/>
                <w:szCs w:val="21"/>
              </w:rPr>
              <w:t>0.04</w:t>
            </w:r>
          </w:p>
        </w:tc>
        <w:tc>
          <w:tcPr>
            <w:tcW w:w="638" w:type="pct"/>
            <w:vAlign w:val="center"/>
          </w:tcPr>
          <w:p>
            <w:pPr>
              <w:pStyle w:val="78"/>
              <w:rPr>
                <w:kern w:val="2"/>
                <w:szCs w:val="21"/>
              </w:rPr>
            </w:pPr>
            <w:r>
              <w:rPr>
                <w:rFonts w:hint="eastAsia"/>
                <w:szCs w:val="21"/>
              </w:rPr>
              <w:t>0.05</w:t>
            </w:r>
          </w:p>
        </w:tc>
        <w:tc>
          <w:tcPr>
            <w:tcW w:w="542" w:type="pct"/>
            <w:vAlign w:val="center"/>
          </w:tcPr>
          <w:p>
            <w:pPr>
              <w:pStyle w:val="78"/>
              <w:rPr>
                <w:kern w:val="2"/>
                <w:szCs w:val="21"/>
              </w:rPr>
            </w:pPr>
            <w:r>
              <w:rPr>
                <w:rFonts w:hint="eastAsia"/>
                <w:szCs w:val="21"/>
              </w:rPr>
              <w:t>/</w:t>
            </w:r>
          </w:p>
        </w:tc>
        <w:tc>
          <w:tcPr>
            <w:tcW w:w="571" w:type="pct"/>
            <w:vAlign w:val="center"/>
          </w:tcPr>
          <w:p>
            <w:pPr>
              <w:pStyle w:val="78"/>
              <w:rPr>
                <w:kern w:val="2"/>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604" w:type="pct"/>
            <w:vMerge w:val="continue"/>
            <w:vAlign w:val="center"/>
          </w:tcPr>
          <w:p>
            <w:pPr>
              <w:widowControl/>
              <w:jc w:val="center"/>
              <w:rPr>
                <w:rFonts w:eastAsia="宋体" w:cs="Times New Roman"/>
                <w:color w:val="000000"/>
                <w:sz w:val="21"/>
              </w:rPr>
            </w:pPr>
          </w:p>
        </w:tc>
        <w:tc>
          <w:tcPr>
            <w:tcW w:w="731" w:type="pct"/>
            <w:vAlign w:val="center"/>
          </w:tcPr>
          <w:p>
            <w:pPr>
              <w:pStyle w:val="78"/>
              <w:rPr>
                <w:kern w:val="2"/>
                <w:szCs w:val="21"/>
              </w:rPr>
            </w:pPr>
            <w:r>
              <w:rPr>
                <w:rFonts w:hint="eastAsia"/>
                <w:szCs w:val="21"/>
              </w:rPr>
              <w:t>粪大肠菌群（CFU/L</w:t>
            </w:r>
            <w:r>
              <w:rPr>
                <w:rFonts w:hint="eastAsia" w:ascii="宋体" w:hAnsi="宋体"/>
                <w:szCs w:val="21"/>
              </w:rPr>
              <w:t>）</w:t>
            </w:r>
          </w:p>
        </w:tc>
        <w:tc>
          <w:tcPr>
            <w:tcW w:w="638" w:type="pct"/>
            <w:vAlign w:val="center"/>
          </w:tcPr>
          <w:p>
            <w:pPr>
              <w:pStyle w:val="78"/>
              <w:rPr>
                <w:kern w:val="2"/>
                <w:szCs w:val="21"/>
              </w:rPr>
            </w:pPr>
            <w:r>
              <w:rPr>
                <w:rFonts w:hint="eastAsia"/>
                <w:szCs w:val="21"/>
              </w:rPr>
              <w:t>35000</w:t>
            </w:r>
          </w:p>
        </w:tc>
        <w:tc>
          <w:tcPr>
            <w:tcW w:w="638" w:type="pct"/>
            <w:vAlign w:val="center"/>
          </w:tcPr>
          <w:p>
            <w:pPr>
              <w:pStyle w:val="78"/>
              <w:rPr>
                <w:kern w:val="2"/>
                <w:szCs w:val="21"/>
              </w:rPr>
            </w:pPr>
            <w:r>
              <w:rPr>
                <w:rFonts w:hint="eastAsia"/>
                <w:szCs w:val="21"/>
              </w:rPr>
              <w:t>31000</w:t>
            </w:r>
          </w:p>
        </w:tc>
        <w:tc>
          <w:tcPr>
            <w:tcW w:w="637" w:type="pct"/>
            <w:vAlign w:val="center"/>
          </w:tcPr>
          <w:p>
            <w:pPr>
              <w:pStyle w:val="78"/>
              <w:rPr>
                <w:kern w:val="2"/>
                <w:szCs w:val="21"/>
              </w:rPr>
            </w:pPr>
            <w:r>
              <w:rPr>
                <w:rFonts w:hint="eastAsia"/>
                <w:szCs w:val="21"/>
              </w:rPr>
              <w:t>32000</w:t>
            </w:r>
          </w:p>
        </w:tc>
        <w:tc>
          <w:tcPr>
            <w:tcW w:w="638" w:type="pct"/>
            <w:vAlign w:val="center"/>
          </w:tcPr>
          <w:p>
            <w:pPr>
              <w:pStyle w:val="78"/>
              <w:rPr>
                <w:kern w:val="2"/>
                <w:szCs w:val="21"/>
              </w:rPr>
            </w:pPr>
            <w:r>
              <w:rPr>
                <w:rFonts w:hint="eastAsia"/>
                <w:szCs w:val="21"/>
              </w:rPr>
              <w:t>32667</w:t>
            </w:r>
          </w:p>
        </w:tc>
        <w:tc>
          <w:tcPr>
            <w:tcW w:w="542" w:type="pct"/>
            <w:vAlign w:val="center"/>
          </w:tcPr>
          <w:p>
            <w:pPr>
              <w:pStyle w:val="78"/>
              <w:rPr>
                <w:kern w:val="2"/>
                <w:szCs w:val="21"/>
              </w:rPr>
            </w:pPr>
            <w:r>
              <w:rPr>
                <w:rFonts w:hint="eastAsia"/>
                <w:szCs w:val="21"/>
              </w:rPr>
              <w:t>≤20000</w:t>
            </w:r>
          </w:p>
        </w:tc>
        <w:tc>
          <w:tcPr>
            <w:tcW w:w="571" w:type="pct"/>
            <w:vAlign w:val="center"/>
          </w:tcPr>
          <w:p>
            <w:pPr>
              <w:pStyle w:val="78"/>
              <w:rPr>
                <w:kern w:val="2"/>
                <w:szCs w:val="21"/>
              </w:rPr>
            </w:pPr>
            <w:r>
              <w:rPr>
                <w:rFonts w:hint="eastAsia"/>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604" w:type="pct"/>
            <w:vMerge w:val="restart"/>
            <w:vAlign w:val="center"/>
          </w:tcPr>
          <w:p>
            <w:pPr>
              <w:pStyle w:val="78"/>
              <w:rPr>
                <w:kern w:val="2"/>
                <w:szCs w:val="21"/>
              </w:rPr>
            </w:pPr>
            <w:r>
              <w:rPr>
                <w:rFonts w:hint="eastAsia"/>
                <w:szCs w:val="21"/>
              </w:rPr>
              <w:t>W5:马壕污水处理厂排污口下游1500m</w:t>
            </w:r>
            <w:r>
              <w:rPr>
                <w:rFonts w:hint="eastAsia" w:ascii="宋体" w:hAnsi="宋体"/>
                <w:szCs w:val="21"/>
              </w:rPr>
              <w:t>处</w:t>
            </w:r>
          </w:p>
        </w:tc>
        <w:tc>
          <w:tcPr>
            <w:tcW w:w="731" w:type="pct"/>
            <w:vAlign w:val="center"/>
          </w:tcPr>
          <w:p>
            <w:pPr>
              <w:pStyle w:val="78"/>
              <w:rPr>
                <w:kern w:val="2"/>
                <w:szCs w:val="21"/>
              </w:rPr>
            </w:pPr>
            <w:r>
              <w:rPr>
                <w:rFonts w:hint="eastAsia"/>
                <w:szCs w:val="21"/>
              </w:rPr>
              <w:t>pH</w:t>
            </w:r>
          </w:p>
        </w:tc>
        <w:tc>
          <w:tcPr>
            <w:tcW w:w="638" w:type="pct"/>
            <w:vAlign w:val="center"/>
          </w:tcPr>
          <w:p>
            <w:pPr>
              <w:pStyle w:val="78"/>
              <w:rPr>
                <w:kern w:val="2"/>
                <w:szCs w:val="21"/>
              </w:rPr>
            </w:pPr>
            <w:r>
              <w:rPr>
                <w:rFonts w:hint="eastAsia"/>
                <w:szCs w:val="21"/>
              </w:rPr>
              <w:t>6.62</w:t>
            </w:r>
          </w:p>
        </w:tc>
        <w:tc>
          <w:tcPr>
            <w:tcW w:w="638" w:type="pct"/>
            <w:vAlign w:val="center"/>
          </w:tcPr>
          <w:p>
            <w:pPr>
              <w:pStyle w:val="78"/>
              <w:rPr>
                <w:kern w:val="2"/>
                <w:szCs w:val="21"/>
              </w:rPr>
            </w:pPr>
            <w:r>
              <w:rPr>
                <w:rFonts w:hint="eastAsia"/>
                <w:szCs w:val="21"/>
              </w:rPr>
              <w:t>6.85</w:t>
            </w:r>
          </w:p>
        </w:tc>
        <w:tc>
          <w:tcPr>
            <w:tcW w:w="637" w:type="pct"/>
            <w:vAlign w:val="center"/>
          </w:tcPr>
          <w:p>
            <w:pPr>
              <w:pStyle w:val="78"/>
              <w:rPr>
                <w:kern w:val="2"/>
                <w:szCs w:val="21"/>
              </w:rPr>
            </w:pPr>
            <w:r>
              <w:rPr>
                <w:rFonts w:hint="eastAsia"/>
                <w:szCs w:val="21"/>
              </w:rPr>
              <w:t>6.90</w:t>
            </w:r>
          </w:p>
        </w:tc>
        <w:tc>
          <w:tcPr>
            <w:tcW w:w="638" w:type="pct"/>
            <w:vAlign w:val="center"/>
          </w:tcPr>
          <w:p>
            <w:pPr>
              <w:pStyle w:val="78"/>
              <w:rPr>
                <w:kern w:val="2"/>
                <w:szCs w:val="21"/>
              </w:rPr>
            </w:pPr>
            <w:r>
              <w:rPr>
                <w:rFonts w:hint="eastAsia"/>
                <w:szCs w:val="21"/>
              </w:rPr>
              <w:t>/</w:t>
            </w:r>
          </w:p>
        </w:tc>
        <w:tc>
          <w:tcPr>
            <w:tcW w:w="542" w:type="pct"/>
            <w:vAlign w:val="center"/>
          </w:tcPr>
          <w:p>
            <w:pPr>
              <w:pStyle w:val="78"/>
              <w:rPr>
                <w:kern w:val="2"/>
                <w:szCs w:val="21"/>
              </w:rPr>
            </w:pPr>
            <w:r>
              <w:rPr>
                <w:rFonts w:hint="eastAsia"/>
                <w:szCs w:val="21"/>
              </w:rPr>
              <w:t>6-9</w:t>
            </w:r>
          </w:p>
        </w:tc>
        <w:tc>
          <w:tcPr>
            <w:tcW w:w="571" w:type="pct"/>
            <w:vAlign w:val="center"/>
          </w:tcPr>
          <w:p>
            <w:pPr>
              <w:pStyle w:val="78"/>
              <w:rPr>
                <w:kern w:val="2"/>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604" w:type="pct"/>
            <w:vMerge w:val="continue"/>
            <w:vAlign w:val="center"/>
          </w:tcPr>
          <w:p>
            <w:pPr>
              <w:widowControl/>
              <w:jc w:val="center"/>
              <w:rPr>
                <w:rFonts w:eastAsia="宋体" w:cs="Times New Roman"/>
                <w:color w:val="000000"/>
                <w:sz w:val="21"/>
              </w:rPr>
            </w:pPr>
          </w:p>
        </w:tc>
        <w:tc>
          <w:tcPr>
            <w:tcW w:w="731" w:type="pct"/>
            <w:vAlign w:val="center"/>
          </w:tcPr>
          <w:p>
            <w:pPr>
              <w:pStyle w:val="78"/>
              <w:rPr>
                <w:kern w:val="2"/>
                <w:szCs w:val="21"/>
              </w:rPr>
            </w:pPr>
            <w:r>
              <w:rPr>
                <w:rFonts w:hint="eastAsia"/>
                <w:szCs w:val="21"/>
              </w:rPr>
              <w:t>CODMn</w:t>
            </w:r>
          </w:p>
        </w:tc>
        <w:tc>
          <w:tcPr>
            <w:tcW w:w="638" w:type="pct"/>
            <w:vAlign w:val="center"/>
          </w:tcPr>
          <w:p>
            <w:pPr>
              <w:pStyle w:val="78"/>
              <w:rPr>
                <w:kern w:val="2"/>
                <w:szCs w:val="21"/>
              </w:rPr>
            </w:pPr>
            <w:r>
              <w:rPr>
                <w:rFonts w:hint="eastAsia"/>
                <w:szCs w:val="21"/>
              </w:rPr>
              <w:t>10.80</w:t>
            </w:r>
          </w:p>
        </w:tc>
        <w:tc>
          <w:tcPr>
            <w:tcW w:w="638" w:type="pct"/>
            <w:vAlign w:val="center"/>
          </w:tcPr>
          <w:p>
            <w:pPr>
              <w:pStyle w:val="78"/>
              <w:rPr>
                <w:kern w:val="2"/>
                <w:szCs w:val="21"/>
              </w:rPr>
            </w:pPr>
            <w:r>
              <w:rPr>
                <w:rFonts w:hint="eastAsia"/>
                <w:szCs w:val="21"/>
              </w:rPr>
              <w:t>10.52</w:t>
            </w:r>
          </w:p>
        </w:tc>
        <w:tc>
          <w:tcPr>
            <w:tcW w:w="637" w:type="pct"/>
            <w:vAlign w:val="center"/>
          </w:tcPr>
          <w:p>
            <w:pPr>
              <w:pStyle w:val="78"/>
              <w:rPr>
                <w:kern w:val="2"/>
                <w:szCs w:val="21"/>
              </w:rPr>
            </w:pPr>
            <w:r>
              <w:rPr>
                <w:rFonts w:hint="eastAsia"/>
                <w:szCs w:val="21"/>
              </w:rPr>
              <w:t>10.96</w:t>
            </w:r>
          </w:p>
        </w:tc>
        <w:tc>
          <w:tcPr>
            <w:tcW w:w="638" w:type="pct"/>
            <w:vAlign w:val="center"/>
          </w:tcPr>
          <w:p>
            <w:pPr>
              <w:pStyle w:val="78"/>
              <w:rPr>
                <w:kern w:val="2"/>
                <w:szCs w:val="21"/>
              </w:rPr>
            </w:pPr>
            <w:r>
              <w:rPr>
                <w:rFonts w:hint="eastAsia"/>
                <w:szCs w:val="21"/>
              </w:rPr>
              <w:t>10.76</w:t>
            </w:r>
          </w:p>
        </w:tc>
        <w:tc>
          <w:tcPr>
            <w:tcW w:w="542" w:type="pct"/>
            <w:vAlign w:val="center"/>
          </w:tcPr>
          <w:p>
            <w:pPr>
              <w:pStyle w:val="78"/>
              <w:rPr>
                <w:kern w:val="2"/>
                <w:szCs w:val="21"/>
              </w:rPr>
            </w:pPr>
            <w:r>
              <w:rPr>
                <w:rFonts w:hint="eastAsia"/>
                <w:szCs w:val="21"/>
              </w:rPr>
              <w:t>≤10</w:t>
            </w:r>
          </w:p>
        </w:tc>
        <w:tc>
          <w:tcPr>
            <w:tcW w:w="571" w:type="pct"/>
            <w:vAlign w:val="center"/>
          </w:tcPr>
          <w:p>
            <w:pPr>
              <w:pStyle w:val="78"/>
              <w:rPr>
                <w:kern w:val="2"/>
                <w:szCs w:val="21"/>
              </w:rPr>
            </w:pPr>
            <w:r>
              <w:rPr>
                <w:rFonts w:hint="eastAsia"/>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604" w:type="pct"/>
            <w:vMerge w:val="continue"/>
            <w:vAlign w:val="center"/>
          </w:tcPr>
          <w:p>
            <w:pPr>
              <w:widowControl/>
              <w:jc w:val="center"/>
              <w:rPr>
                <w:rFonts w:eastAsia="宋体" w:cs="Times New Roman"/>
                <w:color w:val="000000"/>
                <w:sz w:val="21"/>
              </w:rPr>
            </w:pPr>
          </w:p>
        </w:tc>
        <w:tc>
          <w:tcPr>
            <w:tcW w:w="731" w:type="pct"/>
            <w:vAlign w:val="center"/>
          </w:tcPr>
          <w:p>
            <w:pPr>
              <w:pStyle w:val="78"/>
              <w:rPr>
                <w:kern w:val="2"/>
                <w:szCs w:val="21"/>
              </w:rPr>
            </w:pPr>
            <w:r>
              <w:rPr>
                <w:rFonts w:hint="eastAsia"/>
                <w:szCs w:val="21"/>
              </w:rPr>
              <w:t>CODCr</w:t>
            </w:r>
          </w:p>
        </w:tc>
        <w:tc>
          <w:tcPr>
            <w:tcW w:w="638" w:type="pct"/>
            <w:vAlign w:val="center"/>
          </w:tcPr>
          <w:p>
            <w:pPr>
              <w:pStyle w:val="78"/>
              <w:rPr>
                <w:kern w:val="2"/>
                <w:szCs w:val="21"/>
              </w:rPr>
            </w:pPr>
            <w:r>
              <w:rPr>
                <w:rFonts w:hint="eastAsia"/>
                <w:szCs w:val="21"/>
              </w:rPr>
              <w:t>29</w:t>
            </w:r>
          </w:p>
        </w:tc>
        <w:tc>
          <w:tcPr>
            <w:tcW w:w="638" w:type="pct"/>
            <w:vAlign w:val="center"/>
          </w:tcPr>
          <w:p>
            <w:pPr>
              <w:pStyle w:val="78"/>
              <w:rPr>
                <w:kern w:val="2"/>
                <w:szCs w:val="21"/>
              </w:rPr>
            </w:pPr>
            <w:r>
              <w:rPr>
                <w:rFonts w:hint="eastAsia"/>
                <w:szCs w:val="21"/>
              </w:rPr>
              <w:t>26</w:t>
            </w:r>
          </w:p>
        </w:tc>
        <w:tc>
          <w:tcPr>
            <w:tcW w:w="637" w:type="pct"/>
            <w:vAlign w:val="center"/>
          </w:tcPr>
          <w:p>
            <w:pPr>
              <w:pStyle w:val="78"/>
              <w:rPr>
                <w:kern w:val="2"/>
                <w:szCs w:val="21"/>
              </w:rPr>
            </w:pPr>
            <w:r>
              <w:rPr>
                <w:rFonts w:hint="eastAsia"/>
                <w:szCs w:val="21"/>
              </w:rPr>
              <w:t>30</w:t>
            </w:r>
          </w:p>
        </w:tc>
        <w:tc>
          <w:tcPr>
            <w:tcW w:w="638" w:type="pct"/>
            <w:vAlign w:val="center"/>
          </w:tcPr>
          <w:p>
            <w:pPr>
              <w:pStyle w:val="78"/>
              <w:rPr>
                <w:kern w:val="2"/>
                <w:szCs w:val="21"/>
              </w:rPr>
            </w:pPr>
            <w:r>
              <w:rPr>
                <w:rFonts w:hint="eastAsia"/>
                <w:szCs w:val="21"/>
              </w:rPr>
              <w:t>28.33</w:t>
            </w:r>
          </w:p>
        </w:tc>
        <w:tc>
          <w:tcPr>
            <w:tcW w:w="542" w:type="pct"/>
            <w:vAlign w:val="center"/>
          </w:tcPr>
          <w:p>
            <w:pPr>
              <w:pStyle w:val="78"/>
              <w:rPr>
                <w:kern w:val="2"/>
                <w:szCs w:val="21"/>
              </w:rPr>
            </w:pPr>
            <w:r>
              <w:rPr>
                <w:rFonts w:hint="eastAsia"/>
                <w:szCs w:val="21"/>
              </w:rPr>
              <w:t>≤30</w:t>
            </w:r>
          </w:p>
        </w:tc>
        <w:tc>
          <w:tcPr>
            <w:tcW w:w="571" w:type="pct"/>
            <w:vAlign w:val="center"/>
          </w:tcPr>
          <w:p>
            <w:pPr>
              <w:pStyle w:val="78"/>
              <w:rPr>
                <w:kern w:val="2"/>
                <w:szCs w:val="21"/>
              </w:rPr>
            </w:pPr>
            <w:r>
              <w:rPr>
                <w:rFonts w:hint="eastAsia"/>
                <w:szCs w:val="21"/>
              </w:rPr>
              <w:t>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604" w:type="pct"/>
            <w:vMerge w:val="continue"/>
            <w:vAlign w:val="center"/>
          </w:tcPr>
          <w:p>
            <w:pPr>
              <w:widowControl/>
              <w:jc w:val="center"/>
              <w:rPr>
                <w:rFonts w:eastAsia="宋体" w:cs="Times New Roman"/>
                <w:color w:val="000000"/>
                <w:sz w:val="21"/>
              </w:rPr>
            </w:pPr>
          </w:p>
        </w:tc>
        <w:tc>
          <w:tcPr>
            <w:tcW w:w="731" w:type="pct"/>
            <w:vAlign w:val="center"/>
          </w:tcPr>
          <w:p>
            <w:pPr>
              <w:pStyle w:val="78"/>
              <w:rPr>
                <w:kern w:val="2"/>
                <w:szCs w:val="21"/>
              </w:rPr>
            </w:pPr>
            <w:r>
              <w:rPr>
                <w:rFonts w:hint="eastAsia"/>
                <w:szCs w:val="21"/>
              </w:rPr>
              <w:t>氨氮</w:t>
            </w:r>
          </w:p>
        </w:tc>
        <w:tc>
          <w:tcPr>
            <w:tcW w:w="638" w:type="pct"/>
            <w:vAlign w:val="center"/>
          </w:tcPr>
          <w:p>
            <w:pPr>
              <w:pStyle w:val="78"/>
              <w:rPr>
                <w:kern w:val="2"/>
                <w:szCs w:val="21"/>
              </w:rPr>
            </w:pPr>
            <w:r>
              <w:rPr>
                <w:rFonts w:hint="eastAsia"/>
                <w:szCs w:val="21"/>
              </w:rPr>
              <w:t>0.69</w:t>
            </w:r>
          </w:p>
        </w:tc>
        <w:tc>
          <w:tcPr>
            <w:tcW w:w="638" w:type="pct"/>
            <w:vAlign w:val="center"/>
          </w:tcPr>
          <w:p>
            <w:pPr>
              <w:pStyle w:val="78"/>
              <w:rPr>
                <w:kern w:val="2"/>
                <w:szCs w:val="21"/>
              </w:rPr>
            </w:pPr>
            <w:r>
              <w:rPr>
                <w:rFonts w:hint="eastAsia"/>
                <w:szCs w:val="21"/>
              </w:rPr>
              <w:t>0.71</w:t>
            </w:r>
          </w:p>
        </w:tc>
        <w:tc>
          <w:tcPr>
            <w:tcW w:w="637" w:type="pct"/>
            <w:vAlign w:val="center"/>
          </w:tcPr>
          <w:p>
            <w:pPr>
              <w:pStyle w:val="78"/>
              <w:rPr>
                <w:kern w:val="2"/>
                <w:szCs w:val="21"/>
              </w:rPr>
            </w:pPr>
            <w:r>
              <w:rPr>
                <w:rFonts w:hint="eastAsia"/>
                <w:szCs w:val="21"/>
              </w:rPr>
              <w:t>0.60</w:t>
            </w:r>
          </w:p>
        </w:tc>
        <w:tc>
          <w:tcPr>
            <w:tcW w:w="638" w:type="pct"/>
            <w:vAlign w:val="center"/>
          </w:tcPr>
          <w:p>
            <w:pPr>
              <w:pStyle w:val="78"/>
              <w:rPr>
                <w:kern w:val="2"/>
                <w:szCs w:val="21"/>
              </w:rPr>
            </w:pPr>
            <w:r>
              <w:rPr>
                <w:rFonts w:hint="eastAsia"/>
                <w:szCs w:val="21"/>
              </w:rPr>
              <w:t>0.67</w:t>
            </w:r>
          </w:p>
        </w:tc>
        <w:tc>
          <w:tcPr>
            <w:tcW w:w="542" w:type="pct"/>
            <w:vAlign w:val="center"/>
          </w:tcPr>
          <w:p>
            <w:pPr>
              <w:pStyle w:val="78"/>
              <w:rPr>
                <w:kern w:val="2"/>
                <w:szCs w:val="21"/>
              </w:rPr>
            </w:pPr>
            <w:r>
              <w:rPr>
                <w:rFonts w:hint="eastAsia"/>
                <w:szCs w:val="21"/>
              </w:rPr>
              <w:t>≤1.5</w:t>
            </w:r>
          </w:p>
        </w:tc>
        <w:tc>
          <w:tcPr>
            <w:tcW w:w="571" w:type="pct"/>
            <w:vAlign w:val="center"/>
          </w:tcPr>
          <w:p>
            <w:pPr>
              <w:pStyle w:val="78"/>
              <w:rPr>
                <w:kern w:val="2"/>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604" w:type="pct"/>
            <w:vMerge w:val="continue"/>
            <w:vAlign w:val="center"/>
          </w:tcPr>
          <w:p>
            <w:pPr>
              <w:widowControl/>
              <w:jc w:val="center"/>
              <w:rPr>
                <w:rFonts w:eastAsia="宋体" w:cs="Times New Roman"/>
                <w:color w:val="000000"/>
                <w:sz w:val="21"/>
              </w:rPr>
            </w:pPr>
          </w:p>
        </w:tc>
        <w:tc>
          <w:tcPr>
            <w:tcW w:w="731" w:type="pct"/>
            <w:vAlign w:val="center"/>
          </w:tcPr>
          <w:p>
            <w:pPr>
              <w:pStyle w:val="78"/>
              <w:rPr>
                <w:kern w:val="2"/>
                <w:szCs w:val="21"/>
              </w:rPr>
            </w:pPr>
            <w:r>
              <w:rPr>
                <w:rFonts w:hint="eastAsia"/>
                <w:szCs w:val="21"/>
              </w:rPr>
              <w:t>TP</w:t>
            </w:r>
          </w:p>
        </w:tc>
        <w:tc>
          <w:tcPr>
            <w:tcW w:w="638" w:type="pct"/>
            <w:vAlign w:val="center"/>
          </w:tcPr>
          <w:p>
            <w:pPr>
              <w:pStyle w:val="78"/>
              <w:rPr>
                <w:kern w:val="2"/>
                <w:szCs w:val="21"/>
              </w:rPr>
            </w:pPr>
            <w:r>
              <w:rPr>
                <w:rFonts w:hint="eastAsia"/>
                <w:szCs w:val="21"/>
              </w:rPr>
              <w:t>0.32</w:t>
            </w:r>
          </w:p>
        </w:tc>
        <w:tc>
          <w:tcPr>
            <w:tcW w:w="638" w:type="pct"/>
            <w:vAlign w:val="center"/>
          </w:tcPr>
          <w:p>
            <w:pPr>
              <w:pStyle w:val="78"/>
              <w:rPr>
                <w:kern w:val="2"/>
                <w:szCs w:val="21"/>
              </w:rPr>
            </w:pPr>
            <w:r>
              <w:rPr>
                <w:rFonts w:hint="eastAsia"/>
                <w:szCs w:val="21"/>
              </w:rPr>
              <w:t>0.26</w:t>
            </w:r>
          </w:p>
        </w:tc>
        <w:tc>
          <w:tcPr>
            <w:tcW w:w="637" w:type="pct"/>
            <w:vAlign w:val="center"/>
          </w:tcPr>
          <w:p>
            <w:pPr>
              <w:pStyle w:val="78"/>
              <w:rPr>
                <w:kern w:val="2"/>
                <w:szCs w:val="21"/>
              </w:rPr>
            </w:pPr>
            <w:r>
              <w:rPr>
                <w:rFonts w:hint="eastAsia"/>
                <w:szCs w:val="21"/>
              </w:rPr>
              <w:t>0.32</w:t>
            </w:r>
          </w:p>
        </w:tc>
        <w:tc>
          <w:tcPr>
            <w:tcW w:w="638" w:type="pct"/>
            <w:vAlign w:val="center"/>
          </w:tcPr>
          <w:p>
            <w:pPr>
              <w:pStyle w:val="78"/>
              <w:rPr>
                <w:kern w:val="2"/>
                <w:szCs w:val="21"/>
              </w:rPr>
            </w:pPr>
            <w:r>
              <w:rPr>
                <w:rFonts w:hint="eastAsia"/>
                <w:szCs w:val="21"/>
              </w:rPr>
              <w:t>0.3</w:t>
            </w:r>
          </w:p>
        </w:tc>
        <w:tc>
          <w:tcPr>
            <w:tcW w:w="542" w:type="pct"/>
            <w:vAlign w:val="center"/>
          </w:tcPr>
          <w:p>
            <w:pPr>
              <w:pStyle w:val="78"/>
              <w:rPr>
                <w:kern w:val="2"/>
                <w:szCs w:val="21"/>
              </w:rPr>
            </w:pPr>
            <w:r>
              <w:rPr>
                <w:rFonts w:hint="eastAsia"/>
                <w:szCs w:val="21"/>
              </w:rPr>
              <w:t>≤0.1</w:t>
            </w:r>
          </w:p>
        </w:tc>
        <w:tc>
          <w:tcPr>
            <w:tcW w:w="571" w:type="pct"/>
            <w:vAlign w:val="center"/>
          </w:tcPr>
          <w:p>
            <w:pPr>
              <w:pStyle w:val="78"/>
              <w:rPr>
                <w:kern w:val="2"/>
                <w:szCs w:val="21"/>
              </w:rPr>
            </w:pPr>
            <w:r>
              <w:rPr>
                <w:rFonts w:hint="eastAsia"/>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604" w:type="pct"/>
            <w:vMerge w:val="continue"/>
            <w:vAlign w:val="center"/>
          </w:tcPr>
          <w:p>
            <w:pPr>
              <w:widowControl/>
              <w:jc w:val="center"/>
              <w:rPr>
                <w:rFonts w:eastAsia="宋体" w:cs="Times New Roman"/>
                <w:color w:val="000000"/>
                <w:sz w:val="21"/>
              </w:rPr>
            </w:pPr>
          </w:p>
        </w:tc>
        <w:tc>
          <w:tcPr>
            <w:tcW w:w="731" w:type="pct"/>
            <w:vAlign w:val="center"/>
          </w:tcPr>
          <w:p>
            <w:pPr>
              <w:pStyle w:val="78"/>
              <w:rPr>
                <w:kern w:val="2"/>
                <w:szCs w:val="21"/>
              </w:rPr>
            </w:pPr>
            <w:r>
              <w:rPr>
                <w:rFonts w:hint="eastAsia"/>
                <w:szCs w:val="21"/>
              </w:rPr>
              <w:t>TN</w:t>
            </w:r>
          </w:p>
        </w:tc>
        <w:tc>
          <w:tcPr>
            <w:tcW w:w="638" w:type="pct"/>
            <w:vAlign w:val="center"/>
          </w:tcPr>
          <w:p>
            <w:pPr>
              <w:pStyle w:val="78"/>
              <w:rPr>
                <w:kern w:val="2"/>
                <w:szCs w:val="21"/>
              </w:rPr>
            </w:pPr>
            <w:r>
              <w:rPr>
                <w:rFonts w:hint="eastAsia"/>
                <w:szCs w:val="21"/>
              </w:rPr>
              <w:t>4.12</w:t>
            </w:r>
          </w:p>
        </w:tc>
        <w:tc>
          <w:tcPr>
            <w:tcW w:w="638" w:type="pct"/>
            <w:vAlign w:val="center"/>
          </w:tcPr>
          <w:p>
            <w:pPr>
              <w:pStyle w:val="78"/>
              <w:rPr>
                <w:kern w:val="2"/>
                <w:szCs w:val="21"/>
              </w:rPr>
            </w:pPr>
            <w:r>
              <w:rPr>
                <w:rFonts w:hint="eastAsia"/>
                <w:szCs w:val="21"/>
              </w:rPr>
              <w:t>4.84</w:t>
            </w:r>
          </w:p>
        </w:tc>
        <w:tc>
          <w:tcPr>
            <w:tcW w:w="637" w:type="pct"/>
            <w:vAlign w:val="center"/>
          </w:tcPr>
          <w:p>
            <w:pPr>
              <w:pStyle w:val="78"/>
              <w:rPr>
                <w:kern w:val="2"/>
                <w:szCs w:val="21"/>
              </w:rPr>
            </w:pPr>
            <w:r>
              <w:rPr>
                <w:rFonts w:hint="eastAsia"/>
                <w:szCs w:val="21"/>
              </w:rPr>
              <w:t>4.62</w:t>
            </w:r>
          </w:p>
        </w:tc>
        <w:tc>
          <w:tcPr>
            <w:tcW w:w="638" w:type="pct"/>
            <w:vAlign w:val="center"/>
          </w:tcPr>
          <w:p>
            <w:pPr>
              <w:pStyle w:val="78"/>
              <w:rPr>
                <w:kern w:val="2"/>
                <w:szCs w:val="21"/>
              </w:rPr>
            </w:pPr>
            <w:r>
              <w:rPr>
                <w:rFonts w:hint="eastAsia"/>
                <w:szCs w:val="21"/>
              </w:rPr>
              <w:t>4.53</w:t>
            </w:r>
          </w:p>
        </w:tc>
        <w:tc>
          <w:tcPr>
            <w:tcW w:w="542" w:type="pct"/>
            <w:vAlign w:val="center"/>
          </w:tcPr>
          <w:p>
            <w:pPr>
              <w:pStyle w:val="78"/>
              <w:rPr>
                <w:kern w:val="2"/>
                <w:szCs w:val="21"/>
              </w:rPr>
            </w:pPr>
            <w:r>
              <w:rPr>
                <w:rFonts w:hint="eastAsia"/>
                <w:szCs w:val="21"/>
              </w:rPr>
              <w:t>≤1.5</w:t>
            </w:r>
          </w:p>
        </w:tc>
        <w:tc>
          <w:tcPr>
            <w:tcW w:w="571" w:type="pct"/>
            <w:vAlign w:val="center"/>
          </w:tcPr>
          <w:p>
            <w:pPr>
              <w:pStyle w:val="78"/>
              <w:rPr>
                <w:kern w:val="2"/>
                <w:szCs w:val="21"/>
              </w:rPr>
            </w:pPr>
            <w:r>
              <w:rPr>
                <w:rFonts w:hint="eastAsia"/>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604" w:type="pct"/>
            <w:vMerge w:val="continue"/>
            <w:vAlign w:val="center"/>
          </w:tcPr>
          <w:p>
            <w:pPr>
              <w:widowControl/>
              <w:jc w:val="center"/>
              <w:rPr>
                <w:rFonts w:eastAsia="宋体" w:cs="Times New Roman"/>
                <w:color w:val="000000"/>
                <w:sz w:val="21"/>
              </w:rPr>
            </w:pPr>
          </w:p>
        </w:tc>
        <w:tc>
          <w:tcPr>
            <w:tcW w:w="731" w:type="pct"/>
            <w:vAlign w:val="center"/>
          </w:tcPr>
          <w:p>
            <w:pPr>
              <w:pStyle w:val="78"/>
              <w:rPr>
                <w:kern w:val="2"/>
                <w:szCs w:val="21"/>
              </w:rPr>
            </w:pPr>
            <w:r>
              <w:rPr>
                <w:rFonts w:hint="eastAsia"/>
                <w:szCs w:val="21"/>
              </w:rPr>
              <w:t>SS</w:t>
            </w:r>
          </w:p>
        </w:tc>
        <w:tc>
          <w:tcPr>
            <w:tcW w:w="638" w:type="pct"/>
            <w:vAlign w:val="center"/>
          </w:tcPr>
          <w:p>
            <w:pPr>
              <w:pStyle w:val="78"/>
              <w:rPr>
                <w:kern w:val="2"/>
                <w:szCs w:val="21"/>
              </w:rPr>
            </w:pPr>
            <w:r>
              <w:rPr>
                <w:rFonts w:hint="eastAsia"/>
                <w:szCs w:val="21"/>
              </w:rPr>
              <w:t>26</w:t>
            </w:r>
          </w:p>
        </w:tc>
        <w:tc>
          <w:tcPr>
            <w:tcW w:w="638" w:type="pct"/>
            <w:vAlign w:val="center"/>
          </w:tcPr>
          <w:p>
            <w:pPr>
              <w:pStyle w:val="78"/>
              <w:rPr>
                <w:kern w:val="2"/>
                <w:szCs w:val="21"/>
              </w:rPr>
            </w:pPr>
            <w:r>
              <w:rPr>
                <w:rFonts w:hint="eastAsia"/>
                <w:szCs w:val="21"/>
              </w:rPr>
              <w:t>30</w:t>
            </w:r>
          </w:p>
        </w:tc>
        <w:tc>
          <w:tcPr>
            <w:tcW w:w="637" w:type="pct"/>
            <w:vAlign w:val="center"/>
          </w:tcPr>
          <w:p>
            <w:pPr>
              <w:pStyle w:val="78"/>
              <w:rPr>
                <w:kern w:val="2"/>
                <w:szCs w:val="21"/>
              </w:rPr>
            </w:pPr>
            <w:r>
              <w:rPr>
                <w:rFonts w:hint="eastAsia"/>
                <w:szCs w:val="21"/>
              </w:rPr>
              <w:t>28</w:t>
            </w:r>
          </w:p>
        </w:tc>
        <w:tc>
          <w:tcPr>
            <w:tcW w:w="638" w:type="pct"/>
            <w:vAlign w:val="center"/>
          </w:tcPr>
          <w:p>
            <w:pPr>
              <w:pStyle w:val="78"/>
              <w:rPr>
                <w:kern w:val="2"/>
                <w:szCs w:val="21"/>
              </w:rPr>
            </w:pPr>
            <w:r>
              <w:rPr>
                <w:rFonts w:hint="eastAsia"/>
                <w:szCs w:val="21"/>
              </w:rPr>
              <w:t>28</w:t>
            </w:r>
          </w:p>
        </w:tc>
        <w:tc>
          <w:tcPr>
            <w:tcW w:w="542" w:type="pct"/>
            <w:vAlign w:val="center"/>
          </w:tcPr>
          <w:p>
            <w:pPr>
              <w:pStyle w:val="78"/>
              <w:rPr>
                <w:kern w:val="2"/>
                <w:szCs w:val="21"/>
              </w:rPr>
            </w:pPr>
            <w:r>
              <w:rPr>
                <w:rFonts w:hint="eastAsia"/>
                <w:szCs w:val="21"/>
              </w:rPr>
              <w:t>/</w:t>
            </w:r>
          </w:p>
        </w:tc>
        <w:tc>
          <w:tcPr>
            <w:tcW w:w="571" w:type="pct"/>
            <w:vAlign w:val="center"/>
          </w:tcPr>
          <w:p>
            <w:pPr>
              <w:pStyle w:val="78"/>
              <w:rPr>
                <w:kern w:val="2"/>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604" w:type="pct"/>
            <w:vMerge w:val="continue"/>
            <w:vAlign w:val="center"/>
          </w:tcPr>
          <w:p>
            <w:pPr>
              <w:widowControl/>
              <w:jc w:val="center"/>
              <w:rPr>
                <w:rFonts w:eastAsia="宋体" w:cs="Times New Roman"/>
                <w:color w:val="000000"/>
                <w:sz w:val="21"/>
              </w:rPr>
            </w:pPr>
          </w:p>
        </w:tc>
        <w:tc>
          <w:tcPr>
            <w:tcW w:w="731" w:type="pct"/>
            <w:vAlign w:val="center"/>
          </w:tcPr>
          <w:p>
            <w:pPr>
              <w:pStyle w:val="78"/>
              <w:rPr>
                <w:kern w:val="2"/>
                <w:szCs w:val="21"/>
              </w:rPr>
            </w:pPr>
            <w:r>
              <w:rPr>
                <w:rFonts w:hint="eastAsia"/>
                <w:szCs w:val="21"/>
              </w:rPr>
              <w:t>BOD</w:t>
            </w:r>
            <w:r>
              <w:rPr>
                <w:rFonts w:hint="eastAsia"/>
                <w:szCs w:val="21"/>
                <w:vertAlign w:val="subscript"/>
              </w:rPr>
              <w:t>5</w:t>
            </w:r>
          </w:p>
        </w:tc>
        <w:tc>
          <w:tcPr>
            <w:tcW w:w="638" w:type="pct"/>
            <w:vAlign w:val="center"/>
          </w:tcPr>
          <w:p>
            <w:pPr>
              <w:pStyle w:val="78"/>
              <w:rPr>
                <w:kern w:val="2"/>
                <w:szCs w:val="21"/>
              </w:rPr>
            </w:pPr>
            <w:r>
              <w:rPr>
                <w:rFonts w:hint="eastAsia"/>
                <w:szCs w:val="21"/>
              </w:rPr>
              <w:t>5.6</w:t>
            </w:r>
          </w:p>
        </w:tc>
        <w:tc>
          <w:tcPr>
            <w:tcW w:w="638" w:type="pct"/>
            <w:vAlign w:val="center"/>
          </w:tcPr>
          <w:p>
            <w:pPr>
              <w:pStyle w:val="78"/>
              <w:rPr>
                <w:kern w:val="2"/>
                <w:szCs w:val="21"/>
              </w:rPr>
            </w:pPr>
            <w:r>
              <w:rPr>
                <w:rFonts w:hint="eastAsia"/>
                <w:szCs w:val="21"/>
              </w:rPr>
              <w:t>5.3</w:t>
            </w:r>
          </w:p>
        </w:tc>
        <w:tc>
          <w:tcPr>
            <w:tcW w:w="637" w:type="pct"/>
            <w:vAlign w:val="center"/>
          </w:tcPr>
          <w:p>
            <w:pPr>
              <w:pStyle w:val="78"/>
              <w:rPr>
                <w:kern w:val="2"/>
                <w:szCs w:val="21"/>
              </w:rPr>
            </w:pPr>
            <w:r>
              <w:rPr>
                <w:rFonts w:hint="eastAsia"/>
                <w:szCs w:val="21"/>
              </w:rPr>
              <w:t>5.0</w:t>
            </w:r>
          </w:p>
        </w:tc>
        <w:tc>
          <w:tcPr>
            <w:tcW w:w="638" w:type="pct"/>
            <w:vAlign w:val="center"/>
          </w:tcPr>
          <w:p>
            <w:pPr>
              <w:pStyle w:val="78"/>
              <w:rPr>
                <w:kern w:val="2"/>
                <w:szCs w:val="21"/>
              </w:rPr>
            </w:pPr>
            <w:r>
              <w:rPr>
                <w:rFonts w:hint="eastAsia"/>
                <w:szCs w:val="21"/>
              </w:rPr>
              <w:t>5.3</w:t>
            </w:r>
          </w:p>
        </w:tc>
        <w:tc>
          <w:tcPr>
            <w:tcW w:w="542" w:type="pct"/>
            <w:vAlign w:val="center"/>
          </w:tcPr>
          <w:p>
            <w:pPr>
              <w:pStyle w:val="78"/>
              <w:rPr>
                <w:kern w:val="2"/>
                <w:szCs w:val="21"/>
              </w:rPr>
            </w:pPr>
            <w:r>
              <w:rPr>
                <w:rFonts w:hint="eastAsia"/>
                <w:szCs w:val="21"/>
              </w:rPr>
              <w:t>≤6</w:t>
            </w:r>
          </w:p>
        </w:tc>
        <w:tc>
          <w:tcPr>
            <w:tcW w:w="571" w:type="pct"/>
            <w:vAlign w:val="center"/>
          </w:tcPr>
          <w:p>
            <w:pPr>
              <w:pStyle w:val="78"/>
              <w:rPr>
                <w:kern w:val="2"/>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604" w:type="pct"/>
            <w:vMerge w:val="continue"/>
            <w:vAlign w:val="center"/>
          </w:tcPr>
          <w:p>
            <w:pPr>
              <w:widowControl/>
              <w:jc w:val="center"/>
              <w:rPr>
                <w:rFonts w:eastAsia="宋体" w:cs="Times New Roman"/>
                <w:color w:val="000000"/>
                <w:sz w:val="21"/>
              </w:rPr>
            </w:pPr>
          </w:p>
        </w:tc>
        <w:tc>
          <w:tcPr>
            <w:tcW w:w="731" w:type="pct"/>
            <w:vAlign w:val="center"/>
          </w:tcPr>
          <w:p>
            <w:pPr>
              <w:pStyle w:val="78"/>
              <w:rPr>
                <w:kern w:val="2"/>
                <w:szCs w:val="21"/>
              </w:rPr>
            </w:pPr>
            <w:r>
              <w:rPr>
                <w:rFonts w:hint="eastAsia"/>
                <w:szCs w:val="21"/>
              </w:rPr>
              <w:t>石油类</w:t>
            </w:r>
          </w:p>
        </w:tc>
        <w:tc>
          <w:tcPr>
            <w:tcW w:w="638" w:type="pct"/>
            <w:vAlign w:val="center"/>
          </w:tcPr>
          <w:p>
            <w:pPr>
              <w:pStyle w:val="78"/>
              <w:rPr>
                <w:kern w:val="2"/>
                <w:szCs w:val="21"/>
              </w:rPr>
            </w:pPr>
            <w:r>
              <w:rPr>
                <w:rFonts w:hint="eastAsia"/>
                <w:szCs w:val="21"/>
              </w:rPr>
              <w:t>0.08</w:t>
            </w:r>
          </w:p>
        </w:tc>
        <w:tc>
          <w:tcPr>
            <w:tcW w:w="638" w:type="pct"/>
            <w:vAlign w:val="center"/>
          </w:tcPr>
          <w:p>
            <w:pPr>
              <w:pStyle w:val="78"/>
              <w:rPr>
                <w:kern w:val="2"/>
                <w:szCs w:val="21"/>
              </w:rPr>
            </w:pPr>
            <w:r>
              <w:rPr>
                <w:rFonts w:hint="eastAsia"/>
                <w:szCs w:val="21"/>
              </w:rPr>
              <w:t>0.07</w:t>
            </w:r>
          </w:p>
        </w:tc>
        <w:tc>
          <w:tcPr>
            <w:tcW w:w="637" w:type="pct"/>
            <w:vAlign w:val="center"/>
          </w:tcPr>
          <w:p>
            <w:pPr>
              <w:pStyle w:val="78"/>
              <w:rPr>
                <w:kern w:val="2"/>
                <w:szCs w:val="21"/>
              </w:rPr>
            </w:pPr>
            <w:r>
              <w:rPr>
                <w:rFonts w:hint="eastAsia"/>
                <w:szCs w:val="21"/>
              </w:rPr>
              <w:t>0.09</w:t>
            </w:r>
          </w:p>
        </w:tc>
        <w:tc>
          <w:tcPr>
            <w:tcW w:w="638" w:type="pct"/>
            <w:vAlign w:val="center"/>
          </w:tcPr>
          <w:p>
            <w:pPr>
              <w:pStyle w:val="78"/>
              <w:rPr>
                <w:kern w:val="2"/>
                <w:szCs w:val="21"/>
              </w:rPr>
            </w:pPr>
            <w:r>
              <w:rPr>
                <w:rFonts w:hint="eastAsia"/>
                <w:szCs w:val="21"/>
              </w:rPr>
              <w:t>0.08</w:t>
            </w:r>
          </w:p>
        </w:tc>
        <w:tc>
          <w:tcPr>
            <w:tcW w:w="542" w:type="pct"/>
            <w:vAlign w:val="center"/>
          </w:tcPr>
          <w:p>
            <w:pPr>
              <w:pStyle w:val="78"/>
              <w:rPr>
                <w:kern w:val="2"/>
                <w:szCs w:val="21"/>
              </w:rPr>
            </w:pPr>
            <w:r>
              <w:rPr>
                <w:rFonts w:hint="eastAsia"/>
                <w:szCs w:val="21"/>
              </w:rPr>
              <w:t>≤0.5</w:t>
            </w:r>
          </w:p>
        </w:tc>
        <w:tc>
          <w:tcPr>
            <w:tcW w:w="571" w:type="pct"/>
            <w:vAlign w:val="center"/>
          </w:tcPr>
          <w:p>
            <w:pPr>
              <w:pStyle w:val="78"/>
              <w:rPr>
                <w:kern w:val="2"/>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604" w:type="pct"/>
            <w:vMerge w:val="continue"/>
            <w:vAlign w:val="center"/>
          </w:tcPr>
          <w:p>
            <w:pPr>
              <w:widowControl/>
              <w:jc w:val="center"/>
              <w:rPr>
                <w:rFonts w:eastAsia="宋体" w:cs="Times New Roman"/>
                <w:color w:val="000000"/>
                <w:sz w:val="21"/>
              </w:rPr>
            </w:pPr>
          </w:p>
        </w:tc>
        <w:tc>
          <w:tcPr>
            <w:tcW w:w="731" w:type="pct"/>
            <w:vAlign w:val="center"/>
          </w:tcPr>
          <w:p>
            <w:pPr>
              <w:pStyle w:val="78"/>
              <w:rPr>
                <w:kern w:val="2"/>
                <w:szCs w:val="21"/>
              </w:rPr>
            </w:pPr>
            <w:r>
              <w:rPr>
                <w:rFonts w:hint="eastAsia"/>
                <w:szCs w:val="21"/>
              </w:rPr>
              <w:t>动植物油</w:t>
            </w:r>
          </w:p>
        </w:tc>
        <w:tc>
          <w:tcPr>
            <w:tcW w:w="638" w:type="pct"/>
            <w:vAlign w:val="center"/>
          </w:tcPr>
          <w:p>
            <w:pPr>
              <w:pStyle w:val="78"/>
              <w:rPr>
                <w:kern w:val="2"/>
                <w:szCs w:val="21"/>
              </w:rPr>
            </w:pPr>
            <w:r>
              <w:rPr>
                <w:rFonts w:hint="eastAsia"/>
                <w:szCs w:val="21"/>
              </w:rPr>
              <w:t>0.04</w:t>
            </w:r>
          </w:p>
        </w:tc>
        <w:tc>
          <w:tcPr>
            <w:tcW w:w="638" w:type="pct"/>
            <w:vAlign w:val="center"/>
          </w:tcPr>
          <w:p>
            <w:pPr>
              <w:pStyle w:val="78"/>
              <w:rPr>
                <w:kern w:val="2"/>
                <w:szCs w:val="21"/>
              </w:rPr>
            </w:pPr>
            <w:r>
              <w:rPr>
                <w:rFonts w:hint="eastAsia"/>
                <w:szCs w:val="21"/>
              </w:rPr>
              <w:t>0.07</w:t>
            </w:r>
          </w:p>
        </w:tc>
        <w:tc>
          <w:tcPr>
            <w:tcW w:w="637" w:type="pct"/>
            <w:vAlign w:val="center"/>
          </w:tcPr>
          <w:p>
            <w:pPr>
              <w:pStyle w:val="78"/>
              <w:rPr>
                <w:kern w:val="2"/>
                <w:szCs w:val="21"/>
              </w:rPr>
            </w:pPr>
            <w:r>
              <w:rPr>
                <w:rFonts w:hint="eastAsia"/>
                <w:szCs w:val="21"/>
              </w:rPr>
              <w:t>0.04</w:t>
            </w:r>
          </w:p>
        </w:tc>
        <w:tc>
          <w:tcPr>
            <w:tcW w:w="638" w:type="pct"/>
            <w:vAlign w:val="center"/>
          </w:tcPr>
          <w:p>
            <w:pPr>
              <w:pStyle w:val="78"/>
              <w:rPr>
                <w:kern w:val="2"/>
                <w:szCs w:val="21"/>
              </w:rPr>
            </w:pPr>
            <w:r>
              <w:rPr>
                <w:rFonts w:hint="eastAsia"/>
                <w:szCs w:val="21"/>
              </w:rPr>
              <w:t>0.05</w:t>
            </w:r>
          </w:p>
        </w:tc>
        <w:tc>
          <w:tcPr>
            <w:tcW w:w="542" w:type="pct"/>
            <w:vAlign w:val="center"/>
          </w:tcPr>
          <w:p>
            <w:pPr>
              <w:pStyle w:val="78"/>
              <w:rPr>
                <w:kern w:val="2"/>
                <w:szCs w:val="21"/>
              </w:rPr>
            </w:pPr>
            <w:r>
              <w:rPr>
                <w:rFonts w:hint="eastAsia"/>
                <w:szCs w:val="21"/>
              </w:rPr>
              <w:t>/</w:t>
            </w:r>
          </w:p>
        </w:tc>
        <w:tc>
          <w:tcPr>
            <w:tcW w:w="571" w:type="pct"/>
            <w:vAlign w:val="center"/>
          </w:tcPr>
          <w:p>
            <w:pPr>
              <w:pStyle w:val="78"/>
              <w:rPr>
                <w:kern w:val="2"/>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604" w:type="pct"/>
            <w:vMerge w:val="continue"/>
            <w:vAlign w:val="center"/>
          </w:tcPr>
          <w:p>
            <w:pPr>
              <w:widowControl/>
              <w:jc w:val="center"/>
              <w:rPr>
                <w:rFonts w:eastAsia="宋体" w:cs="Times New Roman"/>
                <w:color w:val="000000"/>
                <w:sz w:val="21"/>
              </w:rPr>
            </w:pPr>
          </w:p>
        </w:tc>
        <w:tc>
          <w:tcPr>
            <w:tcW w:w="731" w:type="pct"/>
            <w:vAlign w:val="center"/>
          </w:tcPr>
          <w:p>
            <w:pPr>
              <w:pStyle w:val="78"/>
              <w:rPr>
                <w:kern w:val="2"/>
                <w:szCs w:val="21"/>
              </w:rPr>
            </w:pPr>
            <w:r>
              <w:rPr>
                <w:rFonts w:hint="eastAsia"/>
                <w:szCs w:val="21"/>
              </w:rPr>
              <w:t>粪大肠菌群（CFU/L</w:t>
            </w:r>
            <w:r>
              <w:rPr>
                <w:rFonts w:hint="eastAsia" w:ascii="宋体" w:hAnsi="宋体"/>
                <w:szCs w:val="21"/>
              </w:rPr>
              <w:t>）</w:t>
            </w:r>
          </w:p>
        </w:tc>
        <w:tc>
          <w:tcPr>
            <w:tcW w:w="638" w:type="pct"/>
            <w:vAlign w:val="center"/>
          </w:tcPr>
          <w:p>
            <w:pPr>
              <w:pStyle w:val="78"/>
              <w:rPr>
                <w:kern w:val="2"/>
                <w:szCs w:val="21"/>
              </w:rPr>
            </w:pPr>
            <w:r>
              <w:rPr>
                <w:rFonts w:hint="eastAsia"/>
                <w:szCs w:val="21"/>
              </w:rPr>
              <w:t>33000</w:t>
            </w:r>
          </w:p>
        </w:tc>
        <w:tc>
          <w:tcPr>
            <w:tcW w:w="638" w:type="pct"/>
            <w:vAlign w:val="center"/>
          </w:tcPr>
          <w:p>
            <w:pPr>
              <w:pStyle w:val="78"/>
              <w:rPr>
                <w:kern w:val="2"/>
                <w:szCs w:val="21"/>
              </w:rPr>
            </w:pPr>
            <w:r>
              <w:rPr>
                <w:rFonts w:hint="eastAsia"/>
                <w:szCs w:val="21"/>
              </w:rPr>
              <w:t>37000</w:t>
            </w:r>
          </w:p>
        </w:tc>
        <w:tc>
          <w:tcPr>
            <w:tcW w:w="637" w:type="pct"/>
            <w:vAlign w:val="center"/>
          </w:tcPr>
          <w:p>
            <w:pPr>
              <w:pStyle w:val="78"/>
              <w:rPr>
                <w:kern w:val="2"/>
                <w:szCs w:val="21"/>
              </w:rPr>
            </w:pPr>
            <w:r>
              <w:rPr>
                <w:rFonts w:hint="eastAsia"/>
                <w:szCs w:val="21"/>
              </w:rPr>
              <w:t>34000</w:t>
            </w:r>
          </w:p>
        </w:tc>
        <w:tc>
          <w:tcPr>
            <w:tcW w:w="638" w:type="pct"/>
            <w:vAlign w:val="center"/>
          </w:tcPr>
          <w:p>
            <w:pPr>
              <w:pStyle w:val="78"/>
              <w:rPr>
                <w:kern w:val="2"/>
                <w:szCs w:val="21"/>
              </w:rPr>
            </w:pPr>
            <w:r>
              <w:rPr>
                <w:rFonts w:hint="eastAsia"/>
                <w:szCs w:val="21"/>
              </w:rPr>
              <w:t>34667</w:t>
            </w:r>
          </w:p>
        </w:tc>
        <w:tc>
          <w:tcPr>
            <w:tcW w:w="542" w:type="pct"/>
            <w:vAlign w:val="center"/>
          </w:tcPr>
          <w:p>
            <w:pPr>
              <w:pStyle w:val="78"/>
              <w:rPr>
                <w:kern w:val="2"/>
                <w:szCs w:val="21"/>
              </w:rPr>
            </w:pPr>
            <w:r>
              <w:rPr>
                <w:rFonts w:hint="eastAsia"/>
                <w:szCs w:val="21"/>
              </w:rPr>
              <w:t>≤20000</w:t>
            </w:r>
          </w:p>
        </w:tc>
        <w:tc>
          <w:tcPr>
            <w:tcW w:w="571" w:type="pct"/>
            <w:vAlign w:val="center"/>
          </w:tcPr>
          <w:p>
            <w:pPr>
              <w:pStyle w:val="78"/>
              <w:rPr>
                <w:kern w:val="2"/>
                <w:szCs w:val="21"/>
              </w:rPr>
            </w:pPr>
            <w:r>
              <w:rPr>
                <w:rFonts w:hint="eastAsia"/>
                <w:szCs w:val="21"/>
              </w:rPr>
              <w:t>100</w:t>
            </w:r>
          </w:p>
        </w:tc>
      </w:tr>
    </w:tbl>
    <w:p>
      <w:pPr>
        <w:spacing w:line="360" w:lineRule="auto"/>
        <w:ind w:firstLine="480" w:firstLineChars="200"/>
        <w:rPr>
          <w:rFonts w:cs="Times New Roman"/>
        </w:rPr>
      </w:pPr>
      <w:r>
        <w:rPr>
          <w:rFonts w:cs="Times New Roman"/>
        </w:rPr>
        <w:t>从上表可以看出，东风湖上湖W4水质监测断面各项指标除pH、总氮、SS、动植物油外均超过了《地表水环境质量标准》（GB3838—2002）中的Ⅳ类标准要求，W5水质监测断面除pH、总氮、BOD</w:t>
      </w:r>
      <w:r>
        <w:rPr>
          <w:rFonts w:cs="Times New Roman"/>
          <w:vertAlign w:val="subscript"/>
        </w:rPr>
        <w:t>5</w:t>
      </w:r>
      <w:r>
        <w:rPr>
          <w:rFonts w:cs="Times New Roman"/>
        </w:rPr>
        <w:t>、SS、动植物油、石油类外均超过了《地表水环境质量标准》（GB3838—2002）中的Ⅳ类标准要求。东风湖上湖出现超标的主要原因是东风湖周边居民污水未进行收集处理，直接排入东风湖，导致东风湖水质出现超标现象。</w:t>
      </w:r>
    </w:p>
    <w:p>
      <w:pPr>
        <w:pStyle w:val="5"/>
        <w:rPr>
          <w:color w:val="000000" w:themeColor="text1"/>
        </w:rPr>
      </w:pPr>
      <w:bookmarkStart w:id="161" w:name="_Toc532497649"/>
      <w:r>
        <w:rPr>
          <w:rFonts w:hint="eastAsia"/>
          <w:color w:val="000000" w:themeColor="text1"/>
        </w:rPr>
        <w:t>地下水环境现状调查及评价</w:t>
      </w:r>
      <w:bookmarkEnd w:id="161"/>
    </w:p>
    <w:p>
      <w:pPr>
        <w:spacing w:line="360" w:lineRule="auto"/>
        <w:ind w:firstLine="480" w:firstLineChars="200"/>
      </w:pPr>
      <w:r>
        <w:rPr>
          <w:rFonts w:cs="Times New Roman"/>
          <w:color w:val="000000" w:themeColor="text1"/>
        </w:rPr>
        <w:t>根据</w:t>
      </w:r>
      <w:r>
        <w:rPr>
          <w:rFonts w:hint="eastAsia" w:cs="Times New Roman"/>
          <w:color w:val="000000" w:themeColor="text1"/>
        </w:rPr>
        <w:t>《环境影响评价技术导则  地下水环境》（HJ610-2016）有关规定，本项目属于</w:t>
      </w:r>
      <w:r>
        <w:rPr>
          <w:rFonts w:cs="Times New Roman"/>
          <w:color w:val="000000" w:themeColor="text1"/>
        </w:rPr>
        <w:t>Ⅳ类建设项目（除需要编制报告书的三甲医院为Ⅲ类项目，其余均为Ⅳ类项目</w:t>
      </w:r>
      <w:r>
        <w:rPr>
          <w:rFonts w:hint="eastAsia" w:cs="Times New Roman"/>
          <w:color w:val="000000" w:themeColor="text1"/>
        </w:rPr>
        <w:t>），</w:t>
      </w:r>
      <w:r>
        <w:rPr>
          <w:rFonts w:cs="Times New Roman"/>
          <w:color w:val="000000" w:themeColor="text1"/>
        </w:rPr>
        <w:t>本项目不属于三甲医院</w:t>
      </w:r>
      <w:r>
        <w:rPr>
          <w:rFonts w:hint="eastAsia" w:cs="Times New Roman"/>
          <w:color w:val="000000" w:themeColor="text1"/>
        </w:rPr>
        <w:t>，</w:t>
      </w:r>
      <w:r>
        <w:rPr>
          <w:rFonts w:cs="Times New Roman"/>
          <w:color w:val="000000" w:themeColor="text1"/>
        </w:rPr>
        <w:t>因此为Ⅳ类项目</w:t>
      </w:r>
      <w:r>
        <w:rPr>
          <w:rFonts w:hint="eastAsia" w:cs="Times New Roman"/>
          <w:color w:val="000000" w:themeColor="text1"/>
        </w:rPr>
        <w:t>。</w:t>
      </w:r>
      <w:r>
        <w:rPr>
          <w:rFonts w:cs="Times New Roman"/>
          <w:color w:val="000000" w:themeColor="text1"/>
        </w:rPr>
        <w:t>根据导则</w:t>
      </w:r>
      <w:r>
        <w:rPr>
          <w:rFonts w:hint="eastAsia" w:cs="Times New Roman"/>
          <w:color w:val="000000" w:themeColor="text1"/>
        </w:rPr>
        <w:t>的</w:t>
      </w:r>
      <w:r>
        <w:rPr>
          <w:rFonts w:cs="Times New Roman"/>
          <w:color w:val="000000" w:themeColor="text1"/>
        </w:rPr>
        <w:t>规定</w:t>
      </w:r>
      <w:r>
        <w:rPr>
          <w:rFonts w:hint="eastAsia" w:cs="Times New Roman"/>
          <w:color w:val="000000" w:themeColor="text1"/>
        </w:rPr>
        <w:t>，</w:t>
      </w:r>
      <w:r>
        <w:rPr>
          <w:rFonts w:cs="Times New Roman"/>
          <w:color w:val="000000" w:themeColor="text1"/>
        </w:rPr>
        <w:t>Ⅳ类项目不开展地下水环境影响评级，且本项目营运期不取地下水</w:t>
      </w:r>
      <w:r>
        <w:rPr>
          <w:rFonts w:hint="eastAsia" w:cs="Times New Roman"/>
          <w:color w:val="000000" w:themeColor="text1"/>
        </w:rPr>
        <w:t>，也</w:t>
      </w:r>
      <w:r>
        <w:rPr>
          <w:rFonts w:cs="Times New Roman"/>
          <w:color w:val="000000" w:themeColor="text1"/>
        </w:rPr>
        <w:t>不向地下注水</w:t>
      </w:r>
      <w:r>
        <w:rPr>
          <w:rFonts w:hint="eastAsia" w:cs="Times New Roman"/>
          <w:color w:val="000000" w:themeColor="text1"/>
        </w:rPr>
        <w:t>，</w:t>
      </w:r>
      <w:r>
        <w:rPr>
          <w:rFonts w:cs="Times New Roman"/>
          <w:color w:val="000000" w:themeColor="text1"/>
        </w:rPr>
        <w:t>项目营运期废水能够进入市政污水管网</w:t>
      </w:r>
      <w:r>
        <w:rPr>
          <w:rFonts w:hint="eastAsia" w:cs="Times New Roman"/>
          <w:color w:val="000000" w:themeColor="text1"/>
        </w:rPr>
        <w:t>，</w:t>
      </w:r>
      <w:r>
        <w:rPr>
          <w:rFonts w:cs="Times New Roman"/>
          <w:color w:val="000000" w:themeColor="text1"/>
        </w:rPr>
        <w:t>因此对地下水影响相对不明显</w:t>
      </w:r>
      <w:r>
        <w:rPr>
          <w:rFonts w:hint="eastAsia" w:cs="Times New Roman"/>
          <w:color w:val="000000" w:themeColor="text1"/>
        </w:rPr>
        <w:t>，则</w:t>
      </w:r>
      <w:r>
        <w:rPr>
          <w:rFonts w:cs="Times New Roman"/>
          <w:color w:val="000000" w:themeColor="text1"/>
        </w:rPr>
        <w:t>本环评针对地下水环境影响评价从简</w:t>
      </w:r>
      <w:r>
        <w:rPr>
          <w:rFonts w:hint="eastAsia" w:cs="Times New Roman"/>
          <w:color w:val="000000" w:themeColor="text1"/>
        </w:rPr>
        <w:t>，</w:t>
      </w:r>
      <w:r>
        <w:rPr>
          <w:rFonts w:cs="Times New Roman"/>
          <w:color w:val="000000" w:themeColor="text1"/>
        </w:rPr>
        <w:t>仅提出相应的地下水防治措施</w:t>
      </w:r>
      <w:r>
        <w:rPr>
          <w:rFonts w:hint="eastAsia" w:cs="Times New Roman"/>
          <w:color w:val="000000" w:themeColor="text1"/>
        </w:rPr>
        <w:t>。</w:t>
      </w:r>
    </w:p>
    <w:p>
      <w:pPr>
        <w:pStyle w:val="5"/>
        <w:rPr>
          <w:color w:val="000000" w:themeColor="text1"/>
        </w:rPr>
      </w:pPr>
      <w:bookmarkStart w:id="162" w:name="_Toc532497650"/>
      <w:r>
        <w:rPr>
          <w:rFonts w:hint="eastAsia"/>
          <w:color w:val="000000" w:themeColor="text1"/>
        </w:rPr>
        <w:t>环境空气现状调查及评级</w:t>
      </w:r>
      <w:bookmarkEnd w:id="162"/>
    </w:p>
    <w:p>
      <w:pPr>
        <w:adjustRightInd w:val="0"/>
        <w:snapToGrid w:val="0"/>
        <w:spacing w:line="360" w:lineRule="auto"/>
        <w:ind w:firstLine="480" w:firstLineChars="200"/>
        <w:rPr>
          <w:rFonts w:cs="Times New Roman"/>
        </w:rPr>
      </w:pPr>
      <w:r>
        <w:rPr>
          <w:rFonts w:cs="Times New Roman"/>
        </w:rPr>
        <w:t>根据《环境影响评价技术导则-大气环境》（HJ2.2-2018）中“6环境空气质量现状调查与评价”内容，首先需要调查项目所在区域环境质量达标情况，作为项目所在区域是否为达标区的判定依据。并且根据导则“5.5依据评价所需环境空气质量现状、气象资料等故据的可获得性、故量质量、代表性等因素，选择近3年中数据相对完整的1个日历年作为评价基准年”的内容，本项目筛选的评价基准年为2018年。区域达标判定所用数据引用2018年岳阳市环境监测站点的基本污染物环境质量现状数据，结论来自岳阳市环境保护局公开发布的2018年环境质量公报。具体达标判定监测数据及评价结果见下表。仅对特征因子硫化氢和氨气进行监测。特征污染因子监测见</w:t>
      </w:r>
      <w:r>
        <w:fldChar w:fldCharType="begin"/>
      </w:r>
      <w:r>
        <w:instrText xml:space="preserve"> REF _Ref23702030 \h  \* MERGEFORMAT </w:instrText>
      </w:r>
      <w:r>
        <w:fldChar w:fldCharType="separate"/>
      </w:r>
      <w:r>
        <w:rPr>
          <w:rFonts w:cs="Times New Roman"/>
        </w:rPr>
        <w:t>表4.2</w:t>
      </w:r>
      <w:r>
        <w:rPr>
          <w:rFonts w:cs="Times New Roman"/>
        </w:rPr>
        <w:noBreakHyphen/>
      </w:r>
      <w:r>
        <w:rPr>
          <w:rFonts w:cs="Times New Roman"/>
        </w:rPr>
        <w:t>4</w:t>
      </w:r>
      <w:r>
        <w:rPr>
          <w:rFonts w:cs="Times New Roman"/>
        </w:rPr>
        <w:fldChar w:fldCharType="end"/>
      </w:r>
      <w:r>
        <w:rPr>
          <w:rFonts w:cs="Times New Roman"/>
        </w:rPr>
        <w:t>。</w:t>
      </w:r>
    </w:p>
    <w:p>
      <w:pPr>
        <w:pStyle w:val="14"/>
        <w:spacing w:line="240" w:lineRule="auto"/>
      </w:pPr>
      <w:bookmarkStart w:id="163" w:name="_Ref23702006"/>
      <w:r>
        <w:rPr>
          <w:rFonts w:hint="eastAsia"/>
        </w:rPr>
        <w:t>表</w:t>
      </w:r>
      <w:r>
        <w:fldChar w:fldCharType="begin"/>
      </w:r>
      <w:r>
        <w:instrText xml:space="preserve"> STYLEREF 2 \s </w:instrText>
      </w:r>
      <w:r>
        <w:fldChar w:fldCharType="separate"/>
      </w:r>
      <w:r>
        <w:t>4.2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w:t>
      </w:r>
      <w:r>
        <w:fldChar w:fldCharType="end"/>
      </w:r>
      <w:bookmarkEnd w:id="163"/>
      <w:r>
        <w:rPr>
          <w:rFonts w:hint="eastAsia"/>
        </w:rPr>
        <w:t xml:space="preserve">  </w:t>
      </w:r>
      <w:r>
        <w:t>2018年岳阳市城区空气质量现状评价表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2088"/>
        <w:gridCol w:w="912"/>
        <w:gridCol w:w="1484"/>
        <w:gridCol w:w="1484"/>
        <w:gridCol w:w="1239"/>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547" w:type="pct"/>
            <w:noWrap/>
            <w:vAlign w:val="center"/>
          </w:tcPr>
          <w:p>
            <w:pPr>
              <w:jc w:val="center"/>
              <w:rPr>
                <w:rFonts w:cs="Times New Roman"/>
                <w:sz w:val="21"/>
              </w:rPr>
            </w:pPr>
            <w:r>
              <w:rPr>
                <w:rFonts w:cs="Times New Roman"/>
                <w:sz w:val="21"/>
              </w:rPr>
              <w:t>评价因子</w:t>
            </w:r>
          </w:p>
        </w:tc>
        <w:tc>
          <w:tcPr>
            <w:tcW w:w="1083" w:type="pct"/>
            <w:noWrap/>
            <w:vAlign w:val="center"/>
          </w:tcPr>
          <w:p>
            <w:pPr>
              <w:jc w:val="center"/>
              <w:rPr>
                <w:rFonts w:cs="Times New Roman"/>
                <w:sz w:val="21"/>
              </w:rPr>
            </w:pPr>
            <w:r>
              <w:rPr>
                <w:rFonts w:cs="Times New Roman"/>
                <w:sz w:val="21"/>
              </w:rPr>
              <w:t>评均时段</w:t>
            </w:r>
          </w:p>
        </w:tc>
        <w:tc>
          <w:tcPr>
            <w:tcW w:w="473" w:type="pct"/>
            <w:noWrap/>
            <w:vAlign w:val="center"/>
          </w:tcPr>
          <w:p>
            <w:pPr>
              <w:jc w:val="center"/>
              <w:rPr>
                <w:rFonts w:cs="Times New Roman"/>
                <w:sz w:val="21"/>
              </w:rPr>
            </w:pPr>
            <w:r>
              <w:rPr>
                <w:rFonts w:cs="Times New Roman"/>
                <w:sz w:val="21"/>
              </w:rPr>
              <w:t>百分位</w:t>
            </w:r>
          </w:p>
        </w:tc>
        <w:tc>
          <w:tcPr>
            <w:tcW w:w="769" w:type="pct"/>
            <w:noWrap/>
            <w:vAlign w:val="center"/>
          </w:tcPr>
          <w:p>
            <w:pPr>
              <w:jc w:val="center"/>
              <w:rPr>
                <w:rFonts w:cs="Times New Roman"/>
                <w:sz w:val="21"/>
              </w:rPr>
            </w:pPr>
            <w:r>
              <w:rPr>
                <w:rFonts w:cs="Times New Roman"/>
                <w:sz w:val="21"/>
              </w:rPr>
              <w:t>现状浓度/</w:t>
            </w:r>
          </w:p>
          <w:p>
            <w:pPr>
              <w:jc w:val="center"/>
              <w:rPr>
                <w:rFonts w:cs="Times New Roman"/>
                <w:sz w:val="21"/>
              </w:rPr>
            </w:pPr>
            <w:r>
              <w:rPr>
                <w:rFonts w:cs="Times New Roman"/>
                <w:sz w:val="21"/>
              </w:rPr>
              <w:t>μg/m</w:t>
            </w:r>
            <w:r>
              <w:rPr>
                <w:rFonts w:cs="Times New Roman"/>
                <w:sz w:val="21"/>
                <w:vertAlign w:val="superscript"/>
              </w:rPr>
              <w:t>3</w:t>
            </w:r>
          </w:p>
        </w:tc>
        <w:tc>
          <w:tcPr>
            <w:tcW w:w="769" w:type="pct"/>
            <w:noWrap/>
            <w:vAlign w:val="center"/>
          </w:tcPr>
          <w:p>
            <w:pPr>
              <w:jc w:val="center"/>
              <w:rPr>
                <w:rFonts w:cs="Times New Roman"/>
                <w:sz w:val="21"/>
              </w:rPr>
            </w:pPr>
            <w:r>
              <w:rPr>
                <w:rFonts w:cs="Times New Roman"/>
                <w:sz w:val="21"/>
              </w:rPr>
              <w:t>标准浓度/</w:t>
            </w:r>
          </w:p>
          <w:p>
            <w:pPr>
              <w:jc w:val="center"/>
              <w:rPr>
                <w:rFonts w:cs="Times New Roman"/>
                <w:sz w:val="21"/>
              </w:rPr>
            </w:pPr>
            <w:r>
              <w:rPr>
                <w:rFonts w:cs="Times New Roman"/>
                <w:sz w:val="21"/>
              </w:rPr>
              <w:t>μg/m</w:t>
            </w:r>
            <w:r>
              <w:rPr>
                <w:rFonts w:cs="Times New Roman"/>
                <w:sz w:val="21"/>
                <w:vertAlign w:val="superscript"/>
              </w:rPr>
              <w:t>3</w:t>
            </w:r>
          </w:p>
        </w:tc>
        <w:tc>
          <w:tcPr>
            <w:tcW w:w="642" w:type="pct"/>
            <w:noWrap/>
            <w:vAlign w:val="center"/>
          </w:tcPr>
          <w:p>
            <w:pPr>
              <w:jc w:val="center"/>
              <w:rPr>
                <w:rFonts w:cs="Times New Roman"/>
                <w:sz w:val="21"/>
              </w:rPr>
            </w:pPr>
            <w:r>
              <w:rPr>
                <w:rFonts w:cs="Times New Roman"/>
                <w:sz w:val="21"/>
              </w:rPr>
              <w:t>占标率/%</w:t>
            </w:r>
          </w:p>
        </w:tc>
        <w:tc>
          <w:tcPr>
            <w:tcW w:w="718" w:type="pct"/>
            <w:noWrap/>
            <w:vAlign w:val="center"/>
          </w:tcPr>
          <w:p>
            <w:pPr>
              <w:jc w:val="center"/>
              <w:rPr>
                <w:rFonts w:cs="Times New Roman"/>
                <w:sz w:val="21"/>
              </w:rPr>
            </w:pPr>
            <w:r>
              <w:rPr>
                <w:rFonts w:cs="Times New Roman"/>
                <w:sz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547" w:type="pct"/>
            <w:noWrap/>
            <w:vAlign w:val="center"/>
          </w:tcPr>
          <w:p>
            <w:pPr>
              <w:jc w:val="center"/>
              <w:rPr>
                <w:rFonts w:cs="Times New Roman"/>
                <w:sz w:val="21"/>
              </w:rPr>
            </w:pPr>
            <w:r>
              <w:rPr>
                <w:rFonts w:cs="Times New Roman"/>
                <w:sz w:val="21"/>
              </w:rPr>
              <w:t>SO</w:t>
            </w:r>
            <w:r>
              <w:rPr>
                <w:rFonts w:cs="Times New Roman"/>
                <w:sz w:val="21"/>
                <w:vertAlign w:val="subscript"/>
              </w:rPr>
              <w:t>2</w:t>
            </w:r>
          </w:p>
        </w:tc>
        <w:tc>
          <w:tcPr>
            <w:tcW w:w="1083" w:type="pct"/>
            <w:noWrap/>
            <w:vAlign w:val="center"/>
          </w:tcPr>
          <w:p>
            <w:pPr>
              <w:jc w:val="center"/>
              <w:rPr>
                <w:rFonts w:cs="Times New Roman"/>
                <w:sz w:val="21"/>
              </w:rPr>
            </w:pPr>
            <w:r>
              <w:rPr>
                <w:rFonts w:cs="Times New Roman"/>
                <w:sz w:val="21"/>
              </w:rPr>
              <w:t>年平均浓度</w:t>
            </w:r>
          </w:p>
        </w:tc>
        <w:tc>
          <w:tcPr>
            <w:tcW w:w="473" w:type="pct"/>
            <w:noWrap/>
            <w:vAlign w:val="center"/>
          </w:tcPr>
          <w:p>
            <w:pPr>
              <w:jc w:val="center"/>
              <w:rPr>
                <w:rFonts w:cs="Times New Roman"/>
                <w:sz w:val="21"/>
              </w:rPr>
            </w:pPr>
            <w:r>
              <w:rPr>
                <w:rFonts w:cs="Times New Roman"/>
                <w:sz w:val="21"/>
              </w:rPr>
              <w:t>-</w:t>
            </w:r>
          </w:p>
        </w:tc>
        <w:tc>
          <w:tcPr>
            <w:tcW w:w="769" w:type="pct"/>
            <w:noWrap/>
            <w:vAlign w:val="center"/>
          </w:tcPr>
          <w:p>
            <w:pPr>
              <w:jc w:val="center"/>
              <w:rPr>
                <w:rFonts w:cs="Times New Roman"/>
                <w:sz w:val="21"/>
              </w:rPr>
            </w:pPr>
            <w:r>
              <w:rPr>
                <w:rFonts w:cs="Times New Roman"/>
                <w:sz w:val="21"/>
              </w:rPr>
              <w:t>10</w:t>
            </w:r>
          </w:p>
        </w:tc>
        <w:tc>
          <w:tcPr>
            <w:tcW w:w="769" w:type="pct"/>
            <w:noWrap/>
            <w:vAlign w:val="center"/>
          </w:tcPr>
          <w:p>
            <w:pPr>
              <w:jc w:val="center"/>
              <w:rPr>
                <w:rFonts w:cs="Times New Roman"/>
                <w:sz w:val="21"/>
              </w:rPr>
            </w:pPr>
            <w:r>
              <w:rPr>
                <w:rFonts w:cs="Times New Roman"/>
                <w:sz w:val="21"/>
              </w:rPr>
              <w:t>60</w:t>
            </w:r>
          </w:p>
        </w:tc>
        <w:tc>
          <w:tcPr>
            <w:tcW w:w="642" w:type="pct"/>
            <w:noWrap/>
            <w:vAlign w:val="center"/>
          </w:tcPr>
          <w:p>
            <w:pPr>
              <w:jc w:val="center"/>
              <w:rPr>
                <w:rFonts w:cs="Times New Roman"/>
                <w:sz w:val="21"/>
              </w:rPr>
            </w:pPr>
            <w:r>
              <w:rPr>
                <w:rFonts w:cs="Times New Roman"/>
                <w:sz w:val="21"/>
              </w:rPr>
              <w:t>0.167</w:t>
            </w:r>
          </w:p>
        </w:tc>
        <w:tc>
          <w:tcPr>
            <w:tcW w:w="718" w:type="pct"/>
            <w:noWrap/>
            <w:vAlign w:val="center"/>
          </w:tcPr>
          <w:p>
            <w:pPr>
              <w:jc w:val="center"/>
              <w:rPr>
                <w:rFonts w:cs="Times New Roman"/>
                <w:sz w:val="21"/>
              </w:rPr>
            </w:pPr>
            <w:r>
              <w:rPr>
                <w:rFonts w:cs="Times New Roman"/>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547" w:type="pct"/>
            <w:noWrap/>
            <w:vAlign w:val="center"/>
          </w:tcPr>
          <w:p>
            <w:pPr>
              <w:jc w:val="center"/>
              <w:rPr>
                <w:rFonts w:cs="Times New Roman"/>
                <w:sz w:val="21"/>
              </w:rPr>
            </w:pPr>
            <w:r>
              <w:rPr>
                <w:rFonts w:cs="Times New Roman"/>
                <w:sz w:val="21"/>
              </w:rPr>
              <w:t>NO</w:t>
            </w:r>
            <w:r>
              <w:rPr>
                <w:rFonts w:cs="Times New Roman"/>
                <w:sz w:val="21"/>
                <w:vertAlign w:val="subscript"/>
              </w:rPr>
              <w:t>2</w:t>
            </w:r>
          </w:p>
        </w:tc>
        <w:tc>
          <w:tcPr>
            <w:tcW w:w="1083" w:type="pct"/>
            <w:noWrap/>
            <w:vAlign w:val="center"/>
          </w:tcPr>
          <w:p>
            <w:pPr>
              <w:jc w:val="center"/>
              <w:rPr>
                <w:rFonts w:cs="Times New Roman"/>
                <w:sz w:val="21"/>
              </w:rPr>
            </w:pPr>
            <w:r>
              <w:rPr>
                <w:rFonts w:cs="Times New Roman"/>
                <w:sz w:val="21"/>
              </w:rPr>
              <w:t>年平均浓度</w:t>
            </w:r>
          </w:p>
        </w:tc>
        <w:tc>
          <w:tcPr>
            <w:tcW w:w="473" w:type="pct"/>
            <w:noWrap/>
            <w:vAlign w:val="center"/>
          </w:tcPr>
          <w:p>
            <w:pPr>
              <w:jc w:val="center"/>
              <w:rPr>
                <w:rFonts w:cs="Times New Roman"/>
                <w:sz w:val="21"/>
              </w:rPr>
            </w:pPr>
          </w:p>
        </w:tc>
        <w:tc>
          <w:tcPr>
            <w:tcW w:w="769" w:type="pct"/>
            <w:noWrap/>
            <w:vAlign w:val="center"/>
          </w:tcPr>
          <w:p>
            <w:pPr>
              <w:jc w:val="center"/>
              <w:rPr>
                <w:rFonts w:cs="Times New Roman"/>
                <w:sz w:val="21"/>
              </w:rPr>
            </w:pPr>
            <w:r>
              <w:rPr>
                <w:rFonts w:cs="Times New Roman"/>
                <w:sz w:val="21"/>
              </w:rPr>
              <w:t>2</w:t>
            </w:r>
          </w:p>
        </w:tc>
        <w:tc>
          <w:tcPr>
            <w:tcW w:w="769" w:type="pct"/>
            <w:noWrap/>
            <w:vAlign w:val="center"/>
          </w:tcPr>
          <w:p>
            <w:pPr>
              <w:jc w:val="center"/>
              <w:rPr>
                <w:rFonts w:cs="Times New Roman"/>
                <w:sz w:val="21"/>
              </w:rPr>
            </w:pPr>
            <w:r>
              <w:rPr>
                <w:rFonts w:cs="Times New Roman"/>
                <w:sz w:val="21"/>
              </w:rPr>
              <w:t>40</w:t>
            </w:r>
          </w:p>
        </w:tc>
        <w:tc>
          <w:tcPr>
            <w:tcW w:w="642" w:type="pct"/>
            <w:noWrap/>
            <w:vAlign w:val="center"/>
          </w:tcPr>
          <w:p>
            <w:pPr>
              <w:jc w:val="center"/>
              <w:rPr>
                <w:rFonts w:cs="Times New Roman"/>
                <w:sz w:val="21"/>
              </w:rPr>
            </w:pPr>
            <w:r>
              <w:rPr>
                <w:rFonts w:cs="Times New Roman"/>
                <w:sz w:val="21"/>
              </w:rPr>
              <w:t>0.575</w:t>
            </w:r>
          </w:p>
        </w:tc>
        <w:tc>
          <w:tcPr>
            <w:tcW w:w="718" w:type="pct"/>
            <w:noWrap/>
            <w:vAlign w:val="center"/>
          </w:tcPr>
          <w:p>
            <w:pPr>
              <w:jc w:val="center"/>
              <w:rPr>
                <w:rFonts w:cs="Times New Roman"/>
                <w:sz w:val="21"/>
              </w:rPr>
            </w:pPr>
            <w:r>
              <w:rPr>
                <w:rFonts w:cs="Times New Roman"/>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547" w:type="pct"/>
            <w:noWrap/>
            <w:vAlign w:val="center"/>
          </w:tcPr>
          <w:p>
            <w:pPr>
              <w:jc w:val="center"/>
              <w:rPr>
                <w:rFonts w:cs="Times New Roman"/>
                <w:sz w:val="21"/>
              </w:rPr>
            </w:pPr>
            <w:r>
              <w:rPr>
                <w:rFonts w:cs="Times New Roman"/>
                <w:sz w:val="21"/>
              </w:rPr>
              <w:t>CO</w:t>
            </w:r>
          </w:p>
        </w:tc>
        <w:tc>
          <w:tcPr>
            <w:tcW w:w="1083" w:type="pct"/>
            <w:noWrap/>
            <w:vAlign w:val="center"/>
          </w:tcPr>
          <w:p>
            <w:pPr>
              <w:jc w:val="center"/>
              <w:rPr>
                <w:rFonts w:cs="Times New Roman"/>
                <w:sz w:val="21"/>
              </w:rPr>
            </w:pPr>
            <w:r>
              <w:rPr>
                <w:rFonts w:cs="Times New Roman"/>
                <w:sz w:val="21"/>
              </w:rPr>
              <w:t>百分位上日平均</w:t>
            </w:r>
          </w:p>
        </w:tc>
        <w:tc>
          <w:tcPr>
            <w:tcW w:w="473" w:type="pct"/>
            <w:noWrap/>
            <w:vAlign w:val="center"/>
          </w:tcPr>
          <w:p>
            <w:pPr>
              <w:jc w:val="center"/>
              <w:rPr>
                <w:rFonts w:cs="Times New Roman"/>
                <w:sz w:val="21"/>
              </w:rPr>
            </w:pPr>
            <w:r>
              <w:rPr>
                <w:rFonts w:cs="Times New Roman"/>
                <w:sz w:val="21"/>
              </w:rPr>
              <w:t>95</w:t>
            </w:r>
          </w:p>
        </w:tc>
        <w:tc>
          <w:tcPr>
            <w:tcW w:w="769" w:type="pct"/>
            <w:noWrap/>
            <w:vAlign w:val="center"/>
          </w:tcPr>
          <w:p>
            <w:pPr>
              <w:jc w:val="center"/>
              <w:rPr>
                <w:rFonts w:cs="Times New Roman"/>
                <w:sz w:val="21"/>
              </w:rPr>
            </w:pPr>
            <w:r>
              <w:rPr>
                <w:rFonts w:cs="Times New Roman"/>
                <w:sz w:val="21"/>
              </w:rPr>
              <w:t>1.4</w:t>
            </w:r>
          </w:p>
        </w:tc>
        <w:tc>
          <w:tcPr>
            <w:tcW w:w="769" w:type="pct"/>
            <w:noWrap/>
            <w:vAlign w:val="center"/>
          </w:tcPr>
          <w:p>
            <w:pPr>
              <w:jc w:val="center"/>
              <w:rPr>
                <w:rFonts w:cs="Times New Roman"/>
                <w:sz w:val="21"/>
              </w:rPr>
            </w:pPr>
            <w:r>
              <w:rPr>
                <w:rFonts w:cs="Times New Roman"/>
                <w:sz w:val="21"/>
              </w:rPr>
              <w:t>4mg/m</w:t>
            </w:r>
            <w:r>
              <w:rPr>
                <w:rFonts w:cs="Times New Roman"/>
                <w:sz w:val="21"/>
                <w:vertAlign w:val="superscript"/>
              </w:rPr>
              <w:t>3</w:t>
            </w:r>
          </w:p>
        </w:tc>
        <w:tc>
          <w:tcPr>
            <w:tcW w:w="642" w:type="pct"/>
            <w:noWrap/>
            <w:vAlign w:val="center"/>
          </w:tcPr>
          <w:p>
            <w:pPr>
              <w:jc w:val="center"/>
              <w:rPr>
                <w:rFonts w:cs="Times New Roman"/>
                <w:sz w:val="21"/>
              </w:rPr>
            </w:pPr>
            <w:r>
              <w:rPr>
                <w:rFonts w:cs="Times New Roman"/>
                <w:sz w:val="21"/>
              </w:rPr>
              <w:t>0.35</w:t>
            </w:r>
          </w:p>
        </w:tc>
        <w:tc>
          <w:tcPr>
            <w:tcW w:w="718" w:type="pct"/>
            <w:noWrap/>
            <w:vAlign w:val="center"/>
          </w:tcPr>
          <w:p>
            <w:pPr>
              <w:jc w:val="center"/>
              <w:rPr>
                <w:rFonts w:cs="Times New Roman"/>
                <w:sz w:val="21"/>
              </w:rPr>
            </w:pPr>
            <w:r>
              <w:rPr>
                <w:rFonts w:cs="Times New Roman"/>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547" w:type="pct"/>
            <w:noWrap/>
            <w:vAlign w:val="center"/>
          </w:tcPr>
          <w:p>
            <w:pPr>
              <w:jc w:val="center"/>
              <w:rPr>
                <w:rFonts w:cs="Times New Roman"/>
                <w:sz w:val="21"/>
              </w:rPr>
            </w:pPr>
            <w:r>
              <w:rPr>
                <w:rFonts w:cs="Times New Roman"/>
                <w:sz w:val="21"/>
              </w:rPr>
              <w:t>臭氧</w:t>
            </w:r>
          </w:p>
        </w:tc>
        <w:tc>
          <w:tcPr>
            <w:tcW w:w="1083" w:type="pct"/>
            <w:noWrap/>
            <w:vAlign w:val="center"/>
          </w:tcPr>
          <w:p>
            <w:pPr>
              <w:jc w:val="center"/>
              <w:rPr>
                <w:rFonts w:cs="Times New Roman"/>
                <w:sz w:val="21"/>
              </w:rPr>
            </w:pPr>
            <w:r>
              <w:rPr>
                <w:rFonts w:cs="Times New Roman"/>
                <w:sz w:val="21"/>
              </w:rPr>
              <w:t>8h平均质量浓度</w:t>
            </w:r>
          </w:p>
        </w:tc>
        <w:tc>
          <w:tcPr>
            <w:tcW w:w="473" w:type="pct"/>
            <w:noWrap/>
            <w:vAlign w:val="center"/>
          </w:tcPr>
          <w:p>
            <w:pPr>
              <w:jc w:val="center"/>
              <w:rPr>
                <w:rFonts w:cs="Times New Roman"/>
                <w:sz w:val="21"/>
              </w:rPr>
            </w:pPr>
            <w:r>
              <w:rPr>
                <w:rFonts w:cs="Times New Roman"/>
                <w:sz w:val="21"/>
              </w:rPr>
              <w:t>90</w:t>
            </w:r>
          </w:p>
        </w:tc>
        <w:tc>
          <w:tcPr>
            <w:tcW w:w="769" w:type="pct"/>
            <w:noWrap/>
            <w:vAlign w:val="center"/>
          </w:tcPr>
          <w:p>
            <w:pPr>
              <w:jc w:val="center"/>
              <w:rPr>
                <w:rFonts w:cs="Times New Roman"/>
                <w:sz w:val="21"/>
              </w:rPr>
            </w:pPr>
            <w:r>
              <w:rPr>
                <w:rFonts w:cs="Times New Roman"/>
                <w:sz w:val="21"/>
              </w:rPr>
              <w:t>155</w:t>
            </w:r>
          </w:p>
        </w:tc>
        <w:tc>
          <w:tcPr>
            <w:tcW w:w="769" w:type="pct"/>
            <w:noWrap/>
            <w:vAlign w:val="center"/>
          </w:tcPr>
          <w:p>
            <w:pPr>
              <w:jc w:val="center"/>
              <w:rPr>
                <w:rFonts w:cs="Times New Roman"/>
                <w:sz w:val="21"/>
              </w:rPr>
            </w:pPr>
            <w:r>
              <w:rPr>
                <w:rFonts w:cs="Times New Roman"/>
                <w:sz w:val="21"/>
              </w:rPr>
              <w:t>160</w:t>
            </w:r>
          </w:p>
        </w:tc>
        <w:tc>
          <w:tcPr>
            <w:tcW w:w="642" w:type="pct"/>
            <w:noWrap/>
            <w:vAlign w:val="center"/>
          </w:tcPr>
          <w:p>
            <w:pPr>
              <w:jc w:val="center"/>
              <w:rPr>
                <w:rFonts w:cs="Times New Roman"/>
                <w:sz w:val="21"/>
              </w:rPr>
            </w:pPr>
            <w:r>
              <w:rPr>
                <w:rFonts w:cs="Times New Roman"/>
                <w:sz w:val="21"/>
              </w:rPr>
              <w:t>0.969</w:t>
            </w:r>
          </w:p>
        </w:tc>
        <w:tc>
          <w:tcPr>
            <w:tcW w:w="718" w:type="pct"/>
            <w:noWrap/>
            <w:vAlign w:val="center"/>
          </w:tcPr>
          <w:p>
            <w:pPr>
              <w:jc w:val="center"/>
              <w:rPr>
                <w:rFonts w:cs="Times New Roman"/>
                <w:sz w:val="21"/>
              </w:rPr>
            </w:pPr>
            <w:r>
              <w:rPr>
                <w:rFonts w:cs="Times New Roman"/>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547" w:type="pct"/>
            <w:noWrap/>
            <w:vAlign w:val="center"/>
          </w:tcPr>
          <w:p>
            <w:pPr>
              <w:jc w:val="center"/>
              <w:rPr>
                <w:rFonts w:cs="Times New Roman"/>
                <w:sz w:val="21"/>
              </w:rPr>
            </w:pPr>
            <w:r>
              <w:rPr>
                <w:rFonts w:cs="Times New Roman"/>
                <w:sz w:val="21"/>
              </w:rPr>
              <w:t>PM</w:t>
            </w:r>
            <w:r>
              <w:rPr>
                <w:rFonts w:cs="Times New Roman"/>
                <w:sz w:val="21"/>
                <w:vertAlign w:val="subscript"/>
              </w:rPr>
              <w:t>2.5</w:t>
            </w:r>
          </w:p>
        </w:tc>
        <w:tc>
          <w:tcPr>
            <w:tcW w:w="1083" w:type="pct"/>
            <w:noWrap/>
            <w:vAlign w:val="center"/>
          </w:tcPr>
          <w:p>
            <w:pPr>
              <w:jc w:val="center"/>
              <w:rPr>
                <w:rFonts w:cs="Times New Roman"/>
                <w:sz w:val="21"/>
              </w:rPr>
            </w:pPr>
            <w:r>
              <w:rPr>
                <w:rFonts w:cs="Times New Roman"/>
                <w:sz w:val="21"/>
              </w:rPr>
              <w:t>年平均浓度</w:t>
            </w:r>
          </w:p>
        </w:tc>
        <w:tc>
          <w:tcPr>
            <w:tcW w:w="473" w:type="pct"/>
            <w:noWrap/>
            <w:vAlign w:val="center"/>
          </w:tcPr>
          <w:p>
            <w:pPr>
              <w:jc w:val="center"/>
              <w:rPr>
                <w:rFonts w:cs="Times New Roman"/>
                <w:sz w:val="21"/>
              </w:rPr>
            </w:pPr>
            <w:r>
              <w:rPr>
                <w:rFonts w:cs="Times New Roman"/>
                <w:sz w:val="21"/>
              </w:rPr>
              <w:t>-</w:t>
            </w:r>
          </w:p>
        </w:tc>
        <w:tc>
          <w:tcPr>
            <w:tcW w:w="769" w:type="pct"/>
            <w:noWrap/>
            <w:vAlign w:val="center"/>
          </w:tcPr>
          <w:p>
            <w:pPr>
              <w:jc w:val="center"/>
              <w:rPr>
                <w:rFonts w:cs="Times New Roman"/>
                <w:sz w:val="21"/>
              </w:rPr>
            </w:pPr>
            <w:r>
              <w:rPr>
                <w:rFonts w:cs="Times New Roman"/>
                <w:sz w:val="21"/>
              </w:rPr>
              <w:t>45</w:t>
            </w:r>
          </w:p>
        </w:tc>
        <w:tc>
          <w:tcPr>
            <w:tcW w:w="769" w:type="pct"/>
            <w:noWrap/>
            <w:vAlign w:val="center"/>
          </w:tcPr>
          <w:p>
            <w:pPr>
              <w:jc w:val="center"/>
              <w:rPr>
                <w:rFonts w:cs="Times New Roman"/>
                <w:sz w:val="21"/>
              </w:rPr>
            </w:pPr>
            <w:r>
              <w:rPr>
                <w:rFonts w:cs="Times New Roman"/>
                <w:sz w:val="21"/>
              </w:rPr>
              <w:t>35</w:t>
            </w:r>
          </w:p>
        </w:tc>
        <w:tc>
          <w:tcPr>
            <w:tcW w:w="642" w:type="pct"/>
            <w:noWrap/>
            <w:vAlign w:val="center"/>
          </w:tcPr>
          <w:p>
            <w:pPr>
              <w:jc w:val="center"/>
              <w:rPr>
                <w:rFonts w:cs="Times New Roman"/>
                <w:sz w:val="21"/>
              </w:rPr>
            </w:pPr>
            <w:r>
              <w:rPr>
                <w:rFonts w:cs="Times New Roman"/>
                <w:sz w:val="21"/>
              </w:rPr>
              <w:t>1.29</w:t>
            </w:r>
          </w:p>
        </w:tc>
        <w:tc>
          <w:tcPr>
            <w:tcW w:w="718" w:type="pct"/>
            <w:noWrap/>
            <w:vAlign w:val="center"/>
          </w:tcPr>
          <w:p>
            <w:pPr>
              <w:jc w:val="center"/>
              <w:rPr>
                <w:rFonts w:cs="Times New Roman"/>
                <w:sz w:val="21"/>
              </w:rPr>
            </w:pPr>
            <w:r>
              <w:rPr>
                <w:rFonts w:cs="Times New Roman"/>
                <w:sz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547" w:type="pct"/>
            <w:noWrap/>
            <w:vAlign w:val="center"/>
          </w:tcPr>
          <w:p>
            <w:pPr>
              <w:jc w:val="center"/>
              <w:rPr>
                <w:rFonts w:cs="Times New Roman"/>
                <w:sz w:val="21"/>
              </w:rPr>
            </w:pPr>
            <w:r>
              <w:rPr>
                <w:rFonts w:cs="Times New Roman"/>
                <w:sz w:val="21"/>
              </w:rPr>
              <w:t>PM</w:t>
            </w:r>
            <w:r>
              <w:rPr>
                <w:rFonts w:cs="Times New Roman"/>
                <w:sz w:val="21"/>
                <w:vertAlign w:val="subscript"/>
              </w:rPr>
              <w:t>10</w:t>
            </w:r>
          </w:p>
        </w:tc>
        <w:tc>
          <w:tcPr>
            <w:tcW w:w="1083" w:type="pct"/>
            <w:noWrap/>
            <w:vAlign w:val="center"/>
          </w:tcPr>
          <w:p>
            <w:pPr>
              <w:jc w:val="center"/>
              <w:rPr>
                <w:rFonts w:cs="Times New Roman"/>
                <w:sz w:val="21"/>
              </w:rPr>
            </w:pPr>
            <w:r>
              <w:rPr>
                <w:rFonts w:cs="Times New Roman"/>
                <w:sz w:val="21"/>
              </w:rPr>
              <w:t>年平均浓度</w:t>
            </w:r>
          </w:p>
        </w:tc>
        <w:tc>
          <w:tcPr>
            <w:tcW w:w="473" w:type="pct"/>
            <w:noWrap/>
            <w:vAlign w:val="center"/>
          </w:tcPr>
          <w:p>
            <w:pPr>
              <w:jc w:val="center"/>
              <w:rPr>
                <w:rFonts w:cs="Times New Roman"/>
                <w:sz w:val="21"/>
              </w:rPr>
            </w:pPr>
            <w:r>
              <w:rPr>
                <w:rFonts w:cs="Times New Roman"/>
                <w:sz w:val="21"/>
              </w:rPr>
              <w:t>-</w:t>
            </w:r>
          </w:p>
        </w:tc>
        <w:tc>
          <w:tcPr>
            <w:tcW w:w="769" w:type="pct"/>
            <w:noWrap/>
            <w:vAlign w:val="center"/>
          </w:tcPr>
          <w:p>
            <w:pPr>
              <w:jc w:val="center"/>
              <w:rPr>
                <w:rFonts w:cs="Times New Roman"/>
                <w:sz w:val="21"/>
              </w:rPr>
            </w:pPr>
            <w:r>
              <w:rPr>
                <w:rFonts w:cs="Times New Roman"/>
                <w:sz w:val="21"/>
              </w:rPr>
              <w:t>72</w:t>
            </w:r>
          </w:p>
        </w:tc>
        <w:tc>
          <w:tcPr>
            <w:tcW w:w="769" w:type="pct"/>
            <w:noWrap/>
            <w:vAlign w:val="center"/>
          </w:tcPr>
          <w:p>
            <w:pPr>
              <w:jc w:val="center"/>
              <w:rPr>
                <w:rFonts w:cs="Times New Roman"/>
                <w:sz w:val="21"/>
              </w:rPr>
            </w:pPr>
            <w:r>
              <w:rPr>
                <w:rFonts w:cs="Times New Roman"/>
                <w:sz w:val="21"/>
              </w:rPr>
              <w:t>70</w:t>
            </w:r>
          </w:p>
        </w:tc>
        <w:tc>
          <w:tcPr>
            <w:tcW w:w="642" w:type="pct"/>
            <w:noWrap/>
            <w:vAlign w:val="center"/>
          </w:tcPr>
          <w:p>
            <w:pPr>
              <w:jc w:val="center"/>
              <w:rPr>
                <w:rFonts w:cs="Times New Roman"/>
                <w:sz w:val="21"/>
              </w:rPr>
            </w:pPr>
            <w:r>
              <w:rPr>
                <w:rFonts w:cs="Times New Roman"/>
                <w:sz w:val="21"/>
              </w:rPr>
              <w:t>1.03</w:t>
            </w:r>
          </w:p>
        </w:tc>
        <w:tc>
          <w:tcPr>
            <w:tcW w:w="718" w:type="pct"/>
            <w:noWrap/>
            <w:vAlign w:val="center"/>
          </w:tcPr>
          <w:p>
            <w:pPr>
              <w:jc w:val="center"/>
              <w:rPr>
                <w:rFonts w:cs="Times New Roman"/>
                <w:sz w:val="21"/>
              </w:rPr>
            </w:pPr>
            <w:r>
              <w:rPr>
                <w:rFonts w:cs="Times New Roman"/>
                <w:sz w:val="21"/>
              </w:rPr>
              <w:t>不达标</w:t>
            </w:r>
          </w:p>
        </w:tc>
      </w:tr>
    </w:tbl>
    <w:p>
      <w:pPr>
        <w:spacing w:line="360" w:lineRule="auto"/>
        <w:ind w:firstLine="480" w:firstLineChars="200"/>
        <w:rPr>
          <w:rFonts w:cs="Times New Roman"/>
          <w:kern w:val="0"/>
          <w:szCs w:val="20"/>
        </w:rPr>
      </w:pPr>
      <w:r>
        <w:rPr>
          <w:rFonts w:cs="Times New Roman"/>
          <w:kern w:val="0"/>
        </w:rPr>
        <w:t>由上表中监测数据可知项目所在区域为不达标区域。</w:t>
      </w:r>
    </w:p>
    <w:p>
      <w:pPr>
        <w:pStyle w:val="14"/>
        <w:ind w:firstLine="480" w:firstLineChars="200"/>
        <w:jc w:val="both"/>
        <w:rPr>
          <w:rFonts w:cs="Times New Roman"/>
          <w:b w:val="0"/>
        </w:rPr>
      </w:pPr>
      <w:r>
        <w:rPr>
          <w:rFonts w:cs="Times New Roman"/>
          <w:b w:val="0"/>
          <w:kern w:val="0"/>
        </w:rPr>
        <w:t>根据</w:t>
      </w:r>
      <w:r>
        <w:rPr>
          <w:rFonts w:cs="Times New Roman"/>
          <w:b w:val="0"/>
        </w:rPr>
        <w:t>湖南省人民政府 2018 年6月18日发布的《湖南省污染防治攻坚战三年行动计划（2018—2020）年》的通知（湘政发〔2018〕17号）要求：到2020年，岳阳、益阳PM</w:t>
      </w:r>
      <w:r>
        <w:rPr>
          <w:rFonts w:cs="Times New Roman"/>
          <w:b w:val="0"/>
          <w:vertAlign w:val="subscript"/>
        </w:rPr>
        <w:t>10</w:t>
      </w:r>
      <w:r>
        <w:rPr>
          <w:rFonts w:cs="Times New Roman"/>
          <w:b w:val="0"/>
        </w:rPr>
        <w:t>年均浓度平均值下降到71μg/m</w:t>
      </w:r>
      <w:r>
        <w:rPr>
          <w:rFonts w:cs="Times New Roman"/>
          <w:b w:val="0"/>
          <w:vertAlign w:val="superscript"/>
        </w:rPr>
        <w:t>3</w:t>
      </w:r>
      <w:r>
        <w:rPr>
          <w:rFonts w:cs="Times New Roman"/>
          <w:b w:val="0"/>
        </w:rPr>
        <w:t>以下。同时根据岳阳市大气污染防治行动计划要求，当地政府加大环境治理力度，采取更为严格的大气防治手段，在岳阳市及岳阳县2020年PM</w:t>
      </w:r>
      <w:r>
        <w:rPr>
          <w:rFonts w:cs="Times New Roman"/>
          <w:b w:val="0"/>
          <w:vertAlign w:val="subscript"/>
        </w:rPr>
        <w:t>10</w:t>
      </w:r>
      <w:r>
        <w:rPr>
          <w:rFonts w:cs="Times New Roman"/>
          <w:b w:val="0"/>
        </w:rPr>
        <w:t>限期达标规划值后，2020年的PM</w:t>
      </w:r>
      <w:r>
        <w:rPr>
          <w:rFonts w:cs="Times New Roman"/>
          <w:b w:val="0"/>
          <w:vertAlign w:val="subscript"/>
        </w:rPr>
        <w:t>10</w:t>
      </w:r>
      <w:r>
        <w:rPr>
          <w:rFonts w:cs="Times New Roman"/>
          <w:b w:val="0"/>
        </w:rPr>
        <w:t>年平均质量浓度能符合环境质量标准，满足环境空气功能区二类区的要求，大气环境质量将得到改善。</w:t>
      </w:r>
    </w:p>
    <w:p>
      <w:pPr>
        <w:widowControl/>
        <w:spacing w:line="360" w:lineRule="auto"/>
        <w:ind w:firstLine="480" w:firstLineChars="200"/>
        <w:jc w:val="left"/>
        <w:rPr>
          <w:rFonts w:cs="Times New Roman"/>
        </w:rPr>
      </w:pPr>
      <w:r>
        <w:rPr>
          <w:rFonts w:cs="Times New Roman"/>
        </w:rPr>
        <w:t>（2）特征因子监测数据</w:t>
      </w:r>
    </w:p>
    <w:p>
      <w:pPr>
        <w:widowControl/>
        <w:spacing w:line="360" w:lineRule="auto"/>
        <w:ind w:firstLine="480" w:firstLineChars="200"/>
        <w:jc w:val="left"/>
        <w:rPr>
          <w:rFonts w:cs="Times New Roman"/>
        </w:rPr>
      </w:pPr>
      <w:r>
        <w:rPr>
          <w:rFonts w:cs="Times New Roman" w:hAnsiTheme="minorEastAsia"/>
        </w:rPr>
        <w:t>①监测点位</w:t>
      </w:r>
    </w:p>
    <w:p>
      <w:pPr>
        <w:widowControl/>
        <w:spacing w:line="360" w:lineRule="auto"/>
        <w:ind w:firstLine="480" w:firstLineChars="200"/>
        <w:jc w:val="left"/>
        <w:rPr>
          <w:rFonts w:cs="Times New Roman"/>
        </w:rPr>
      </w:pPr>
      <w:r>
        <w:rPr>
          <w:rFonts w:cs="Times New Roman" w:hAnsiTheme="minorEastAsia"/>
        </w:rPr>
        <w:t>本项目监测点位见下表所示。</w:t>
      </w:r>
    </w:p>
    <w:p>
      <w:pPr>
        <w:pStyle w:val="14"/>
        <w:spacing w:line="240" w:lineRule="auto"/>
      </w:pPr>
      <w:r>
        <w:rPr>
          <w:rFonts w:hint="eastAsia"/>
        </w:rPr>
        <w:t>表</w:t>
      </w:r>
      <w:r>
        <w:fldChar w:fldCharType="begin"/>
      </w:r>
      <w:r>
        <w:instrText xml:space="preserve"> STYLEREF 2 \s </w:instrText>
      </w:r>
      <w:r>
        <w:fldChar w:fldCharType="separate"/>
      </w:r>
      <w:r>
        <w:t>4.2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3</w:t>
      </w:r>
      <w:r>
        <w:fldChar w:fldCharType="end"/>
      </w:r>
      <w:r>
        <w:rPr>
          <w:rFonts w:hint="eastAsia"/>
        </w:rPr>
        <w:t xml:space="preserve"> 大气环境监测布点</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6"/>
        <w:gridCol w:w="3831"/>
        <w:gridCol w:w="3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190" w:type="pct"/>
            <w:vAlign w:val="center"/>
          </w:tcPr>
          <w:p>
            <w:pPr>
              <w:adjustRightInd w:val="0"/>
              <w:snapToGrid w:val="0"/>
              <w:spacing w:line="300" w:lineRule="exact"/>
              <w:jc w:val="center"/>
              <w:rPr>
                <w:color w:val="000000" w:themeColor="text1"/>
                <w:sz w:val="21"/>
              </w:rPr>
            </w:pPr>
            <w:r>
              <w:rPr>
                <w:color w:val="000000" w:themeColor="text1"/>
                <w:sz w:val="21"/>
              </w:rPr>
              <w:t>序号</w:t>
            </w:r>
          </w:p>
        </w:tc>
        <w:tc>
          <w:tcPr>
            <w:tcW w:w="1986" w:type="pct"/>
            <w:vAlign w:val="center"/>
          </w:tcPr>
          <w:p>
            <w:pPr>
              <w:adjustRightInd w:val="0"/>
              <w:snapToGrid w:val="0"/>
              <w:spacing w:line="300" w:lineRule="exact"/>
              <w:jc w:val="center"/>
              <w:rPr>
                <w:color w:val="000000" w:themeColor="text1"/>
                <w:sz w:val="21"/>
              </w:rPr>
            </w:pPr>
            <w:r>
              <w:rPr>
                <w:color w:val="000000" w:themeColor="text1"/>
                <w:sz w:val="21"/>
              </w:rPr>
              <w:t>监测点位</w:t>
            </w:r>
          </w:p>
        </w:tc>
        <w:tc>
          <w:tcPr>
            <w:tcW w:w="1824" w:type="pct"/>
            <w:vAlign w:val="center"/>
          </w:tcPr>
          <w:p>
            <w:pPr>
              <w:adjustRightInd w:val="0"/>
              <w:snapToGrid w:val="0"/>
              <w:spacing w:line="300" w:lineRule="exact"/>
              <w:jc w:val="center"/>
              <w:rPr>
                <w:color w:val="000000" w:themeColor="text1"/>
                <w:sz w:val="21"/>
              </w:rPr>
            </w:pPr>
            <w:r>
              <w:rPr>
                <w:color w:val="000000" w:themeColor="text1"/>
                <w:sz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90" w:type="pct"/>
            <w:vAlign w:val="center"/>
          </w:tcPr>
          <w:p>
            <w:pPr>
              <w:adjustRightInd w:val="0"/>
              <w:snapToGrid w:val="0"/>
              <w:spacing w:line="300" w:lineRule="exact"/>
              <w:jc w:val="center"/>
              <w:rPr>
                <w:color w:val="000000" w:themeColor="text1"/>
                <w:sz w:val="21"/>
              </w:rPr>
            </w:pPr>
            <w:r>
              <w:rPr>
                <w:rFonts w:hint="eastAsia"/>
                <w:color w:val="000000" w:themeColor="text1"/>
                <w:sz w:val="21"/>
              </w:rPr>
              <w:t>Q1</w:t>
            </w:r>
          </w:p>
        </w:tc>
        <w:tc>
          <w:tcPr>
            <w:tcW w:w="1986" w:type="pct"/>
            <w:vAlign w:val="center"/>
          </w:tcPr>
          <w:p>
            <w:pPr>
              <w:adjustRightInd w:val="0"/>
              <w:snapToGrid w:val="0"/>
              <w:jc w:val="center"/>
              <w:rPr>
                <w:color w:val="000000" w:themeColor="text1"/>
                <w:sz w:val="21"/>
              </w:rPr>
            </w:pPr>
            <w:r>
              <w:rPr>
                <w:rFonts w:hint="eastAsia"/>
                <w:color w:val="000000" w:themeColor="text1"/>
                <w:sz w:val="21"/>
              </w:rPr>
              <w:t>项目拟建地东北面上风向70m处居民</w:t>
            </w:r>
          </w:p>
        </w:tc>
        <w:tc>
          <w:tcPr>
            <w:tcW w:w="1824" w:type="pct"/>
            <w:vAlign w:val="center"/>
          </w:tcPr>
          <w:p>
            <w:pPr>
              <w:adjustRightInd w:val="0"/>
              <w:snapToGrid w:val="0"/>
              <w:spacing w:line="300" w:lineRule="exact"/>
              <w:jc w:val="center"/>
              <w:rPr>
                <w:color w:val="000000" w:themeColor="text1"/>
                <w:sz w:val="21"/>
              </w:rPr>
            </w:pPr>
            <w:r>
              <w:rPr>
                <w:color w:val="000000" w:themeColor="text1"/>
                <w:sz w:val="21"/>
              </w:rPr>
              <w:t>对照点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190" w:type="pct"/>
            <w:vAlign w:val="center"/>
          </w:tcPr>
          <w:p>
            <w:pPr>
              <w:adjustRightInd w:val="0"/>
              <w:snapToGrid w:val="0"/>
              <w:spacing w:line="300" w:lineRule="exact"/>
              <w:jc w:val="center"/>
              <w:rPr>
                <w:color w:val="000000" w:themeColor="text1"/>
                <w:sz w:val="21"/>
              </w:rPr>
            </w:pPr>
            <w:r>
              <w:rPr>
                <w:rFonts w:hint="eastAsia"/>
                <w:color w:val="000000" w:themeColor="text1"/>
                <w:sz w:val="21"/>
              </w:rPr>
              <w:t>Q</w:t>
            </w:r>
            <w:r>
              <w:rPr>
                <w:color w:val="000000" w:themeColor="text1"/>
                <w:sz w:val="21"/>
              </w:rPr>
              <w:t>2</w:t>
            </w:r>
          </w:p>
        </w:tc>
        <w:tc>
          <w:tcPr>
            <w:tcW w:w="1986" w:type="pct"/>
            <w:vAlign w:val="center"/>
          </w:tcPr>
          <w:p>
            <w:pPr>
              <w:adjustRightInd w:val="0"/>
              <w:snapToGrid w:val="0"/>
              <w:jc w:val="center"/>
              <w:rPr>
                <w:color w:val="000000" w:themeColor="text1"/>
                <w:sz w:val="21"/>
              </w:rPr>
            </w:pPr>
            <w:r>
              <w:rPr>
                <w:rFonts w:hint="eastAsia"/>
                <w:color w:val="000000" w:themeColor="text1"/>
                <w:sz w:val="21"/>
              </w:rPr>
              <w:t>项目拟建地西南面下风向60m处居民</w:t>
            </w:r>
          </w:p>
        </w:tc>
        <w:tc>
          <w:tcPr>
            <w:tcW w:w="1824" w:type="pct"/>
            <w:vAlign w:val="center"/>
          </w:tcPr>
          <w:p>
            <w:pPr>
              <w:adjustRightInd w:val="0"/>
              <w:snapToGrid w:val="0"/>
              <w:spacing w:line="300" w:lineRule="exact"/>
              <w:jc w:val="center"/>
              <w:rPr>
                <w:color w:val="000000" w:themeColor="text1"/>
                <w:spacing w:val="-4"/>
                <w:sz w:val="21"/>
              </w:rPr>
            </w:pPr>
            <w:r>
              <w:rPr>
                <w:rFonts w:hAnsi="宋体"/>
                <w:color w:val="000000" w:themeColor="text1"/>
                <w:spacing w:val="-4"/>
                <w:sz w:val="21"/>
              </w:rPr>
              <w:t>关心点</w:t>
            </w:r>
          </w:p>
        </w:tc>
      </w:tr>
    </w:tbl>
    <w:p>
      <w:pPr>
        <w:widowControl/>
        <w:spacing w:line="360" w:lineRule="auto"/>
        <w:ind w:firstLine="480" w:firstLineChars="200"/>
        <w:jc w:val="left"/>
        <w:rPr>
          <w:rFonts w:eastAsia="方正宋三简体"/>
          <w:vertAlign w:val="subscript"/>
        </w:rPr>
      </w:pPr>
      <w:r>
        <w:rPr>
          <w:rFonts w:hint="eastAsia" w:asciiTheme="minorEastAsia" w:hAnsiTheme="minorEastAsia"/>
        </w:rPr>
        <w:t>②监测项目：</w:t>
      </w:r>
      <w:r>
        <w:rPr>
          <w:rFonts w:eastAsia="方正宋三简体"/>
        </w:rPr>
        <w:t>H</w:t>
      </w:r>
      <w:r>
        <w:rPr>
          <w:rFonts w:eastAsia="方正宋三简体"/>
          <w:vertAlign w:val="subscript"/>
        </w:rPr>
        <w:t>2</w:t>
      </w:r>
      <w:r>
        <w:rPr>
          <w:rFonts w:eastAsia="方正宋三简体"/>
        </w:rPr>
        <w:t>S、NH</w:t>
      </w:r>
      <w:r>
        <w:rPr>
          <w:rFonts w:eastAsia="方正宋三简体"/>
          <w:vertAlign w:val="subscript"/>
        </w:rPr>
        <w:t>3</w:t>
      </w:r>
    </w:p>
    <w:p>
      <w:pPr>
        <w:widowControl/>
        <w:spacing w:line="360" w:lineRule="auto"/>
        <w:ind w:firstLine="480" w:firstLineChars="200"/>
        <w:jc w:val="left"/>
        <w:rPr>
          <w:szCs w:val="24"/>
        </w:rPr>
      </w:pPr>
      <w:r>
        <w:rPr>
          <w:rFonts w:hint="eastAsia" w:eastAsia="方正宋三简体"/>
          <w:szCs w:val="24"/>
        </w:rPr>
        <w:t>③</w:t>
      </w:r>
      <w:r>
        <w:rPr>
          <w:szCs w:val="24"/>
        </w:rPr>
        <w:t>采样时间和频率：其中特征污染因子监测进行连续7天采样，取日均值</w:t>
      </w:r>
      <w:r>
        <w:rPr>
          <w:rFonts w:hint="eastAsia"/>
          <w:szCs w:val="24"/>
        </w:rPr>
        <w:t>（一次），</w:t>
      </w:r>
      <w:r>
        <w:rPr>
          <w:szCs w:val="24"/>
        </w:rPr>
        <w:t>日均值采样时间参考《环境空气质量标准》（GB3095-2012）中对数据有效性的规定。监测时请记录采样期间气象参数（包括气温、气压、风向、风速、天气状况）。</w:t>
      </w:r>
    </w:p>
    <w:p>
      <w:pPr>
        <w:widowControl/>
        <w:spacing w:line="360" w:lineRule="auto"/>
        <w:ind w:firstLine="480" w:firstLineChars="200"/>
        <w:jc w:val="left"/>
        <w:rPr>
          <w:color w:val="000000" w:themeColor="text1"/>
          <w:szCs w:val="24"/>
        </w:rPr>
      </w:pPr>
      <w:r>
        <w:rPr>
          <w:rFonts w:hint="eastAsia" w:asciiTheme="minorEastAsia" w:hAnsiTheme="minorEastAsia"/>
          <w:szCs w:val="24"/>
        </w:rPr>
        <w:t>④</w:t>
      </w:r>
      <w:r>
        <w:rPr>
          <w:color w:val="000000" w:themeColor="text1"/>
          <w:szCs w:val="24"/>
        </w:rPr>
        <w:t>执行标准：</w:t>
      </w:r>
      <w:r>
        <w:rPr>
          <w:szCs w:val="24"/>
        </w:rPr>
        <w:t>NH</w:t>
      </w:r>
      <w:r>
        <w:rPr>
          <w:szCs w:val="24"/>
          <w:vertAlign w:val="subscript"/>
        </w:rPr>
        <w:t>3</w:t>
      </w:r>
      <w:r>
        <w:rPr>
          <w:szCs w:val="24"/>
        </w:rPr>
        <w:t>、H</w:t>
      </w:r>
      <w:r>
        <w:rPr>
          <w:szCs w:val="24"/>
          <w:vertAlign w:val="subscript"/>
        </w:rPr>
        <w:t>2</w:t>
      </w:r>
      <w:r>
        <w:rPr>
          <w:szCs w:val="24"/>
        </w:rPr>
        <w:t>S参考《环境影响评价技术导则大气环境》（HJ2.2-2018）中附录 D.1“其他污染物空气质量浓度参考限值”</w:t>
      </w:r>
      <w:r>
        <w:rPr>
          <w:color w:val="000000" w:themeColor="text1"/>
          <w:szCs w:val="24"/>
        </w:rPr>
        <w:t>。</w:t>
      </w:r>
      <w:r>
        <w:rPr>
          <w:rFonts w:hint="eastAsia"/>
          <w:color w:val="000000" w:themeColor="text1"/>
          <w:szCs w:val="24"/>
        </w:rPr>
        <w:t>（H</w:t>
      </w:r>
      <w:r>
        <w:rPr>
          <w:rFonts w:hint="eastAsia"/>
          <w:color w:val="000000" w:themeColor="text1"/>
          <w:szCs w:val="24"/>
          <w:vertAlign w:val="subscript"/>
        </w:rPr>
        <w:t>2</w:t>
      </w:r>
      <w:r>
        <w:rPr>
          <w:rFonts w:hint="eastAsia"/>
          <w:color w:val="000000" w:themeColor="text1"/>
          <w:szCs w:val="24"/>
        </w:rPr>
        <w:t>S：0.01</w:t>
      </w:r>
      <w:r>
        <w:rPr>
          <w:color w:val="000000" w:themeColor="text1"/>
          <w:szCs w:val="24"/>
        </w:rPr>
        <w:t>mg/m</w:t>
      </w:r>
      <w:r>
        <w:rPr>
          <w:color w:val="000000" w:themeColor="text1"/>
          <w:szCs w:val="24"/>
          <w:vertAlign w:val="superscript"/>
        </w:rPr>
        <w:t>3</w:t>
      </w:r>
      <w:r>
        <w:rPr>
          <w:rFonts w:hint="eastAsia"/>
          <w:color w:val="000000" w:themeColor="text1"/>
          <w:szCs w:val="24"/>
        </w:rPr>
        <w:t>、NH</w:t>
      </w:r>
      <w:r>
        <w:rPr>
          <w:rFonts w:hint="eastAsia"/>
          <w:color w:val="000000" w:themeColor="text1"/>
          <w:szCs w:val="24"/>
          <w:vertAlign w:val="subscript"/>
        </w:rPr>
        <w:t>3</w:t>
      </w:r>
      <w:r>
        <w:rPr>
          <w:rFonts w:hint="eastAsia"/>
          <w:color w:val="000000" w:themeColor="text1"/>
          <w:szCs w:val="24"/>
        </w:rPr>
        <w:t>：0.2</w:t>
      </w:r>
      <w:r>
        <w:rPr>
          <w:color w:val="000000" w:themeColor="text1"/>
          <w:szCs w:val="24"/>
        </w:rPr>
        <w:t xml:space="preserve"> mg/m</w:t>
      </w:r>
      <w:r>
        <w:rPr>
          <w:color w:val="000000" w:themeColor="text1"/>
          <w:szCs w:val="24"/>
          <w:vertAlign w:val="superscript"/>
        </w:rPr>
        <w:t>3</w:t>
      </w:r>
      <w:r>
        <w:rPr>
          <w:rFonts w:hint="eastAsia"/>
          <w:color w:val="000000" w:themeColor="text1"/>
          <w:szCs w:val="24"/>
        </w:rPr>
        <w:t>）</w:t>
      </w:r>
    </w:p>
    <w:p>
      <w:pPr>
        <w:widowControl/>
        <w:spacing w:line="360" w:lineRule="auto"/>
        <w:ind w:firstLine="480" w:firstLineChars="200"/>
        <w:jc w:val="left"/>
        <w:rPr>
          <w:color w:val="000000" w:themeColor="text1"/>
        </w:rPr>
      </w:pPr>
      <w:r>
        <w:rPr>
          <w:rFonts w:hint="eastAsia"/>
          <w:color w:val="000000" w:themeColor="text1"/>
        </w:rPr>
        <w:t>本项目特征污染因子监测统计见下表所示。</w:t>
      </w:r>
    </w:p>
    <w:p>
      <w:pPr>
        <w:pStyle w:val="14"/>
        <w:spacing w:line="240" w:lineRule="auto"/>
        <w:rPr>
          <w:color w:val="000000" w:themeColor="text1"/>
        </w:rPr>
      </w:pPr>
      <w:bookmarkStart w:id="164" w:name="_Ref23702030"/>
      <w:r>
        <w:rPr>
          <w:rFonts w:hint="eastAsia"/>
        </w:rPr>
        <w:t>表</w:t>
      </w:r>
      <w:r>
        <w:fldChar w:fldCharType="begin"/>
      </w:r>
      <w:r>
        <w:instrText xml:space="preserve"> STYLEREF 2 \s </w:instrText>
      </w:r>
      <w:r>
        <w:fldChar w:fldCharType="separate"/>
      </w:r>
      <w:r>
        <w:t>4.2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4</w:t>
      </w:r>
      <w:r>
        <w:fldChar w:fldCharType="end"/>
      </w:r>
      <w:bookmarkEnd w:id="164"/>
      <w:r>
        <w:rPr>
          <w:rFonts w:hint="eastAsia"/>
        </w:rPr>
        <w:t xml:space="preserve">  特征污染因子监测结果统计一览表</w:t>
      </w:r>
    </w:p>
    <w:tbl>
      <w:tblPr>
        <w:tblStyle w:val="39"/>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249"/>
        <w:gridCol w:w="2291"/>
        <w:gridCol w:w="2380"/>
        <w:gridCol w:w="2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192" w:type="pct"/>
            <w:vMerge w:val="restart"/>
            <w:vAlign w:val="center"/>
          </w:tcPr>
          <w:p>
            <w:pPr>
              <w:autoSpaceDE w:val="0"/>
              <w:autoSpaceDN w:val="0"/>
              <w:jc w:val="center"/>
              <w:rPr>
                <w:rFonts w:ascii="宋体" w:eastAsia="宋体" w:cs="Times New Roman"/>
                <w:bCs/>
                <w:kern w:val="0"/>
                <w:sz w:val="21"/>
              </w:rPr>
            </w:pPr>
            <w:r>
              <w:rPr>
                <w:rFonts w:hint="eastAsia" w:ascii="宋体" w:eastAsia="宋体" w:cs="Times New Roman"/>
                <w:bCs/>
                <w:kern w:val="0"/>
                <w:sz w:val="21"/>
              </w:rPr>
              <w:t>采样点位</w:t>
            </w:r>
          </w:p>
        </w:tc>
        <w:tc>
          <w:tcPr>
            <w:tcW w:w="1214" w:type="pct"/>
            <w:vMerge w:val="restart"/>
            <w:vAlign w:val="center"/>
          </w:tcPr>
          <w:p>
            <w:pPr>
              <w:autoSpaceDE w:val="0"/>
              <w:autoSpaceDN w:val="0"/>
              <w:jc w:val="center"/>
              <w:rPr>
                <w:rFonts w:ascii="宋体" w:eastAsia="宋体" w:cs="Times New Roman"/>
                <w:bCs/>
                <w:kern w:val="0"/>
                <w:sz w:val="21"/>
              </w:rPr>
            </w:pPr>
            <w:r>
              <w:rPr>
                <w:rFonts w:hint="eastAsia" w:ascii="宋体" w:eastAsia="宋体" w:cs="Times New Roman"/>
                <w:bCs/>
                <w:kern w:val="0"/>
                <w:sz w:val="21"/>
              </w:rPr>
              <w:t>采样日期</w:t>
            </w:r>
          </w:p>
        </w:tc>
        <w:tc>
          <w:tcPr>
            <w:tcW w:w="2594" w:type="pct"/>
            <w:gridSpan w:val="2"/>
            <w:vAlign w:val="center"/>
          </w:tcPr>
          <w:p>
            <w:pPr>
              <w:autoSpaceDE w:val="0"/>
              <w:autoSpaceDN w:val="0"/>
              <w:spacing w:before="68"/>
              <w:ind w:left="29"/>
              <w:jc w:val="center"/>
              <w:rPr>
                <w:rFonts w:eastAsia="宋体" w:cs="Times New Roman"/>
                <w:bCs/>
                <w:kern w:val="0"/>
                <w:sz w:val="13"/>
                <w:szCs w:val="13"/>
              </w:rPr>
            </w:pPr>
            <w:r>
              <w:rPr>
                <w:rFonts w:hint="eastAsia" w:eastAsia="宋体" w:cs="Times New Roman"/>
                <w:kern w:val="0"/>
                <w:sz w:val="21"/>
              </w:rPr>
              <w:t xml:space="preserve">检测结果 </w:t>
            </w:r>
            <w:r>
              <w:rPr>
                <w:rFonts w:eastAsia="宋体" w:cs="Times New Roman"/>
                <w:kern w:val="0"/>
                <w:sz w:val="21"/>
              </w:rPr>
              <w:t>mg/m</w:t>
            </w:r>
            <w:r>
              <w:rPr>
                <w:rFonts w:eastAsia="宋体" w:cs="Times New Roman"/>
                <w:kern w:val="0"/>
                <w:sz w:val="21"/>
                <w:vertAlign w:val="super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192" w:type="pct"/>
            <w:vMerge w:val="continue"/>
            <w:vAlign w:val="center"/>
          </w:tcPr>
          <w:p>
            <w:pPr>
              <w:widowControl/>
              <w:jc w:val="center"/>
              <w:rPr>
                <w:rFonts w:ascii="宋体" w:eastAsia="宋体" w:cs="Times New Roman"/>
                <w:bCs/>
                <w:kern w:val="0"/>
                <w:sz w:val="21"/>
              </w:rPr>
            </w:pPr>
          </w:p>
        </w:tc>
        <w:tc>
          <w:tcPr>
            <w:tcW w:w="1214" w:type="pct"/>
            <w:vMerge w:val="continue"/>
            <w:vAlign w:val="center"/>
          </w:tcPr>
          <w:p>
            <w:pPr>
              <w:widowControl/>
              <w:jc w:val="center"/>
              <w:rPr>
                <w:rFonts w:ascii="宋体" w:eastAsia="宋体" w:cs="Times New Roman"/>
                <w:bCs/>
                <w:kern w:val="0"/>
                <w:sz w:val="21"/>
              </w:rPr>
            </w:pPr>
          </w:p>
        </w:tc>
        <w:tc>
          <w:tcPr>
            <w:tcW w:w="1261" w:type="pct"/>
            <w:vAlign w:val="center"/>
          </w:tcPr>
          <w:p>
            <w:pPr>
              <w:autoSpaceDE w:val="0"/>
              <w:autoSpaceDN w:val="0"/>
              <w:spacing w:before="68"/>
              <w:ind w:left="29"/>
              <w:jc w:val="center"/>
              <w:rPr>
                <w:rFonts w:eastAsia="宋体" w:cs="Times New Roman"/>
                <w:kern w:val="0"/>
                <w:sz w:val="21"/>
              </w:rPr>
            </w:pPr>
            <w:r>
              <w:rPr>
                <w:rFonts w:hint="eastAsia" w:eastAsia="宋体" w:cs="Times New Roman"/>
                <w:kern w:val="0"/>
                <w:sz w:val="21"/>
              </w:rPr>
              <w:t>氨气</w:t>
            </w:r>
          </w:p>
        </w:tc>
        <w:tc>
          <w:tcPr>
            <w:tcW w:w="1333" w:type="pct"/>
            <w:vAlign w:val="center"/>
          </w:tcPr>
          <w:p>
            <w:pPr>
              <w:autoSpaceDE w:val="0"/>
              <w:autoSpaceDN w:val="0"/>
              <w:spacing w:before="68"/>
              <w:ind w:left="29"/>
              <w:jc w:val="center"/>
              <w:rPr>
                <w:rFonts w:eastAsia="宋体" w:cs="Times New Roman"/>
                <w:kern w:val="0"/>
                <w:sz w:val="21"/>
              </w:rPr>
            </w:pPr>
            <w:r>
              <w:rPr>
                <w:rFonts w:hint="eastAsia" w:eastAsia="宋体" w:cs="Times New Roman"/>
                <w:kern w:val="0"/>
                <w:sz w:val="21"/>
              </w:rPr>
              <w:t>硫化氢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192" w:type="pct"/>
            <w:vMerge w:val="restart"/>
            <w:vAlign w:val="center"/>
          </w:tcPr>
          <w:p>
            <w:pPr>
              <w:autoSpaceDE w:val="0"/>
              <w:autoSpaceDN w:val="0"/>
              <w:jc w:val="center"/>
              <w:rPr>
                <w:rFonts w:ascii="宋体" w:eastAsia="宋体" w:cs="Times New Roman"/>
                <w:kern w:val="0"/>
                <w:sz w:val="21"/>
              </w:rPr>
            </w:pPr>
            <w:r>
              <w:rPr>
                <w:rFonts w:eastAsia="宋体" w:cs="Times New Roman"/>
                <w:kern w:val="0"/>
                <w:sz w:val="21"/>
              </w:rPr>
              <w:t>Q1</w:t>
            </w:r>
          </w:p>
        </w:tc>
        <w:tc>
          <w:tcPr>
            <w:tcW w:w="1214" w:type="pct"/>
            <w:vAlign w:val="center"/>
          </w:tcPr>
          <w:p>
            <w:pPr>
              <w:autoSpaceDE w:val="0"/>
              <w:autoSpaceDN w:val="0"/>
              <w:spacing w:before="68"/>
              <w:ind w:left="29"/>
              <w:jc w:val="center"/>
              <w:rPr>
                <w:rFonts w:eastAsia="宋体" w:cs="Times New Roman"/>
                <w:kern w:val="0"/>
                <w:sz w:val="21"/>
              </w:rPr>
            </w:pPr>
            <w:r>
              <w:rPr>
                <w:rFonts w:eastAsia="宋体" w:cs="Times New Roman"/>
                <w:kern w:val="0"/>
                <w:sz w:val="21"/>
              </w:rPr>
              <w:t>2019.8.1</w:t>
            </w:r>
          </w:p>
        </w:tc>
        <w:tc>
          <w:tcPr>
            <w:tcW w:w="1261" w:type="pct"/>
            <w:vAlign w:val="center"/>
          </w:tcPr>
          <w:p>
            <w:pPr>
              <w:autoSpaceDE w:val="0"/>
              <w:autoSpaceDN w:val="0"/>
              <w:spacing w:before="68"/>
              <w:ind w:left="29"/>
              <w:jc w:val="center"/>
              <w:rPr>
                <w:rFonts w:eastAsia="宋体" w:cs="Times New Roman"/>
                <w:kern w:val="0"/>
                <w:sz w:val="21"/>
              </w:rPr>
            </w:pPr>
            <w:r>
              <w:rPr>
                <w:rFonts w:eastAsia="宋体" w:cs="Times New Roman"/>
                <w:kern w:val="0"/>
                <w:sz w:val="21"/>
              </w:rPr>
              <w:t>0.13</w:t>
            </w:r>
          </w:p>
        </w:tc>
        <w:tc>
          <w:tcPr>
            <w:tcW w:w="1333" w:type="pct"/>
            <w:vAlign w:val="center"/>
          </w:tcPr>
          <w:p>
            <w:pPr>
              <w:autoSpaceDE w:val="0"/>
              <w:autoSpaceDN w:val="0"/>
              <w:spacing w:before="68"/>
              <w:ind w:left="29"/>
              <w:jc w:val="center"/>
              <w:rPr>
                <w:rFonts w:eastAsia="宋体" w:cs="Times New Roman"/>
                <w:kern w:val="0"/>
                <w:sz w:val="21"/>
              </w:rPr>
            </w:pPr>
            <w:r>
              <w:rPr>
                <w:rFonts w:eastAsia="宋体" w:cs="Times New Roman"/>
                <w:kern w:val="0"/>
                <w:sz w:val="21"/>
              </w:rPr>
              <w:t>0.004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192" w:type="pct"/>
            <w:vMerge w:val="continue"/>
            <w:vAlign w:val="center"/>
          </w:tcPr>
          <w:p>
            <w:pPr>
              <w:widowControl/>
              <w:jc w:val="center"/>
              <w:rPr>
                <w:rFonts w:ascii="宋体" w:eastAsia="宋体" w:cs="Times New Roman"/>
                <w:kern w:val="0"/>
                <w:sz w:val="21"/>
              </w:rPr>
            </w:pPr>
          </w:p>
        </w:tc>
        <w:tc>
          <w:tcPr>
            <w:tcW w:w="1214" w:type="pct"/>
            <w:vAlign w:val="center"/>
          </w:tcPr>
          <w:p>
            <w:pPr>
              <w:autoSpaceDE w:val="0"/>
              <w:autoSpaceDN w:val="0"/>
              <w:spacing w:before="68"/>
              <w:ind w:left="29"/>
              <w:jc w:val="center"/>
              <w:rPr>
                <w:rFonts w:eastAsia="宋体" w:cs="Times New Roman"/>
                <w:kern w:val="0"/>
                <w:sz w:val="21"/>
              </w:rPr>
            </w:pPr>
            <w:r>
              <w:rPr>
                <w:rFonts w:eastAsia="宋体" w:cs="Times New Roman"/>
                <w:kern w:val="0"/>
                <w:sz w:val="21"/>
              </w:rPr>
              <w:t>2019.8.2</w:t>
            </w:r>
          </w:p>
        </w:tc>
        <w:tc>
          <w:tcPr>
            <w:tcW w:w="1261" w:type="pct"/>
            <w:vAlign w:val="center"/>
          </w:tcPr>
          <w:p>
            <w:pPr>
              <w:autoSpaceDE w:val="0"/>
              <w:autoSpaceDN w:val="0"/>
              <w:spacing w:before="68"/>
              <w:ind w:left="29"/>
              <w:jc w:val="center"/>
              <w:rPr>
                <w:rFonts w:eastAsia="宋体" w:cs="Times New Roman"/>
                <w:kern w:val="0"/>
                <w:sz w:val="21"/>
              </w:rPr>
            </w:pPr>
            <w:r>
              <w:rPr>
                <w:rFonts w:eastAsia="宋体" w:cs="Times New Roman"/>
                <w:kern w:val="0"/>
                <w:sz w:val="21"/>
              </w:rPr>
              <w:t>0.15</w:t>
            </w:r>
          </w:p>
        </w:tc>
        <w:tc>
          <w:tcPr>
            <w:tcW w:w="1333" w:type="pct"/>
            <w:vAlign w:val="center"/>
          </w:tcPr>
          <w:p>
            <w:pPr>
              <w:autoSpaceDE w:val="0"/>
              <w:autoSpaceDN w:val="0"/>
              <w:spacing w:before="68"/>
              <w:ind w:left="29"/>
              <w:jc w:val="center"/>
              <w:rPr>
                <w:rFonts w:eastAsia="宋体" w:cs="Times New Roman"/>
                <w:kern w:val="0"/>
                <w:sz w:val="21"/>
              </w:rPr>
            </w:pPr>
            <w:r>
              <w:rPr>
                <w:rFonts w:eastAsia="宋体" w:cs="Times New Roman"/>
                <w:kern w:val="0"/>
                <w:sz w:val="21"/>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192" w:type="pct"/>
            <w:vMerge w:val="continue"/>
            <w:vAlign w:val="center"/>
          </w:tcPr>
          <w:p>
            <w:pPr>
              <w:widowControl/>
              <w:jc w:val="center"/>
              <w:rPr>
                <w:rFonts w:ascii="宋体" w:eastAsia="宋体" w:cs="Times New Roman"/>
                <w:kern w:val="0"/>
                <w:sz w:val="21"/>
              </w:rPr>
            </w:pPr>
          </w:p>
        </w:tc>
        <w:tc>
          <w:tcPr>
            <w:tcW w:w="1214" w:type="pct"/>
            <w:vAlign w:val="center"/>
          </w:tcPr>
          <w:p>
            <w:pPr>
              <w:autoSpaceDE w:val="0"/>
              <w:autoSpaceDN w:val="0"/>
              <w:spacing w:before="68"/>
              <w:ind w:left="29"/>
              <w:jc w:val="center"/>
              <w:rPr>
                <w:rFonts w:eastAsia="宋体" w:cs="Times New Roman"/>
                <w:kern w:val="0"/>
                <w:sz w:val="21"/>
              </w:rPr>
            </w:pPr>
            <w:r>
              <w:rPr>
                <w:rFonts w:eastAsia="宋体" w:cs="Times New Roman"/>
                <w:kern w:val="0"/>
                <w:sz w:val="21"/>
              </w:rPr>
              <w:t>2019.8.3</w:t>
            </w:r>
          </w:p>
        </w:tc>
        <w:tc>
          <w:tcPr>
            <w:tcW w:w="1261" w:type="pct"/>
            <w:vAlign w:val="center"/>
          </w:tcPr>
          <w:p>
            <w:pPr>
              <w:autoSpaceDE w:val="0"/>
              <w:autoSpaceDN w:val="0"/>
              <w:spacing w:before="68"/>
              <w:ind w:left="29"/>
              <w:jc w:val="center"/>
              <w:rPr>
                <w:rFonts w:eastAsia="宋体" w:cs="Times New Roman"/>
                <w:kern w:val="0"/>
                <w:sz w:val="21"/>
              </w:rPr>
            </w:pPr>
            <w:r>
              <w:rPr>
                <w:rFonts w:eastAsia="宋体" w:cs="Times New Roman"/>
                <w:kern w:val="0"/>
                <w:sz w:val="21"/>
              </w:rPr>
              <w:t>0.12</w:t>
            </w:r>
          </w:p>
        </w:tc>
        <w:tc>
          <w:tcPr>
            <w:tcW w:w="1333" w:type="pct"/>
            <w:vAlign w:val="center"/>
          </w:tcPr>
          <w:p>
            <w:pPr>
              <w:autoSpaceDE w:val="0"/>
              <w:autoSpaceDN w:val="0"/>
              <w:spacing w:before="68"/>
              <w:ind w:left="29"/>
              <w:jc w:val="center"/>
              <w:rPr>
                <w:rFonts w:eastAsia="宋体" w:cs="Times New Roman"/>
                <w:kern w:val="0"/>
                <w:sz w:val="21"/>
              </w:rPr>
            </w:pPr>
            <w:r>
              <w:rPr>
                <w:rFonts w:eastAsia="宋体" w:cs="Times New Roman"/>
                <w:kern w:val="0"/>
                <w:sz w:val="21"/>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192" w:type="pct"/>
            <w:vMerge w:val="continue"/>
            <w:vAlign w:val="center"/>
          </w:tcPr>
          <w:p>
            <w:pPr>
              <w:widowControl/>
              <w:jc w:val="center"/>
              <w:rPr>
                <w:rFonts w:ascii="宋体" w:eastAsia="宋体" w:cs="Times New Roman"/>
                <w:kern w:val="0"/>
                <w:sz w:val="21"/>
              </w:rPr>
            </w:pPr>
          </w:p>
        </w:tc>
        <w:tc>
          <w:tcPr>
            <w:tcW w:w="1214" w:type="pct"/>
            <w:vAlign w:val="center"/>
          </w:tcPr>
          <w:p>
            <w:pPr>
              <w:autoSpaceDE w:val="0"/>
              <w:autoSpaceDN w:val="0"/>
              <w:spacing w:before="68"/>
              <w:ind w:left="29"/>
              <w:jc w:val="center"/>
              <w:rPr>
                <w:rFonts w:eastAsia="宋体" w:cs="Times New Roman"/>
                <w:kern w:val="0"/>
                <w:sz w:val="21"/>
              </w:rPr>
            </w:pPr>
            <w:r>
              <w:rPr>
                <w:rFonts w:eastAsia="宋体" w:cs="Times New Roman"/>
                <w:kern w:val="0"/>
                <w:sz w:val="21"/>
              </w:rPr>
              <w:t>2019.8.4</w:t>
            </w:r>
          </w:p>
        </w:tc>
        <w:tc>
          <w:tcPr>
            <w:tcW w:w="1261" w:type="pct"/>
            <w:vAlign w:val="center"/>
          </w:tcPr>
          <w:p>
            <w:pPr>
              <w:autoSpaceDE w:val="0"/>
              <w:autoSpaceDN w:val="0"/>
              <w:spacing w:before="68"/>
              <w:ind w:left="29"/>
              <w:jc w:val="center"/>
              <w:rPr>
                <w:rFonts w:eastAsia="宋体" w:cs="Times New Roman"/>
                <w:kern w:val="0"/>
                <w:sz w:val="21"/>
              </w:rPr>
            </w:pPr>
            <w:r>
              <w:rPr>
                <w:rFonts w:eastAsia="宋体" w:cs="Times New Roman"/>
                <w:kern w:val="0"/>
                <w:sz w:val="21"/>
              </w:rPr>
              <w:t>0.18</w:t>
            </w:r>
          </w:p>
        </w:tc>
        <w:tc>
          <w:tcPr>
            <w:tcW w:w="1333" w:type="pct"/>
            <w:vAlign w:val="center"/>
          </w:tcPr>
          <w:p>
            <w:pPr>
              <w:autoSpaceDE w:val="0"/>
              <w:autoSpaceDN w:val="0"/>
              <w:spacing w:before="68"/>
              <w:ind w:left="29"/>
              <w:jc w:val="center"/>
              <w:rPr>
                <w:rFonts w:eastAsia="宋体" w:cs="Times New Roman"/>
                <w:kern w:val="0"/>
                <w:sz w:val="21"/>
              </w:rPr>
            </w:pPr>
            <w:r>
              <w:rPr>
                <w:rFonts w:eastAsia="宋体" w:cs="Times New Roman"/>
                <w:kern w:val="0"/>
                <w:sz w:val="21"/>
              </w:rPr>
              <w:t>0.008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192" w:type="pct"/>
            <w:vMerge w:val="continue"/>
            <w:vAlign w:val="center"/>
          </w:tcPr>
          <w:p>
            <w:pPr>
              <w:widowControl/>
              <w:jc w:val="center"/>
              <w:rPr>
                <w:rFonts w:ascii="宋体" w:eastAsia="宋体" w:cs="Times New Roman"/>
                <w:kern w:val="0"/>
                <w:sz w:val="21"/>
              </w:rPr>
            </w:pPr>
          </w:p>
        </w:tc>
        <w:tc>
          <w:tcPr>
            <w:tcW w:w="1214" w:type="pct"/>
            <w:vAlign w:val="center"/>
          </w:tcPr>
          <w:p>
            <w:pPr>
              <w:autoSpaceDE w:val="0"/>
              <w:autoSpaceDN w:val="0"/>
              <w:spacing w:before="68"/>
              <w:ind w:left="29"/>
              <w:jc w:val="center"/>
              <w:rPr>
                <w:rFonts w:eastAsia="宋体" w:cs="Times New Roman"/>
                <w:kern w:val="0"/>
                <w:sz w:val="21"/>
              </w:rPr>
            </w:pPr>
            <w:r>
              <w:rPr>
                <w:rFonts w:eastAsia="宋体" w:cs="Times New Roman"/>
                <w:kern w:val="0"/>
                <w:sz w:val="21"/>
              </w:rPr>
              <w:t>2019.8.5</w:t>
            </w:r>
          </w:p>
        </w:tc>
        <w:tc>
          <w:tcPr>
            <w:tcW w:w="1261" w:type="pct"/>
            <w:vAlign w:val="center"/>
          </w:tcPr>
          <w:p>
            <w:pPr>
              <w:autoSpaceDE w:val="0"/>
              <w:autoSpaceDN w:val="0"/>
              <w:spacing w:before="68"/>
              <w:ind w:left="29"/>
              <w:jc w:val="center"/>
              <w:rPr>
                <w:rFonts w:eastAsia="宋体" w:cs="Times New Roman"/>
                <w:kern w:val="0"/>
                <w:sz w:val="21"/>
              </w:rPr>
            </w:pPr>
            <w:r>
              <w:rPr>
                <w:rFonts w:eastAsia="宋体" w:cs="Times New Roman"/>
                <w:kern w:val="0"/>
                <w:sz w:val="21"/>
              </w:rPr>
              <w:t>0.16</w:t>
            </w:r>
          </w:p>
        </w:tc>
        <w:tc>
          <w:tcPr>
            <w:tcW w:w="1333" w:type="pct"/>
            <w:vAlign w:val="center"/>
          </w:tcPr>
          <w:p>
            <w:pPr>
              <w:autoSpaceDE w:val="0"/>
              <w:autoSpaceDN w:val="0"/>
              <w:spacing w:before="68"/>
              <w:ind w:left="29"/>
              <w:jc w:val="center"/>
              <w:rPr>
                <w:rFonts w:eastAsia="宋体" w:cs="Times New Roman"/>
                <w:kern w:val="0"/>
                <w:sz w:val="21"/>
              </w:rPr>
            </w:pPr>
            <w:r>
              <w:rPr>
                <w:rFonts w:eastAsia="宋体" w:cs="Times New Roman"/>
                <w:kern w:val="0"/>
                <w:sz w:val="21"/>
              </w:rPr>
              <w:t>0.006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192" w:type="pct"/>
            <w:vMerge w:val="continue"/>
            <w:vAlign w:val="center"/>
          </w:tcPr>
          <w:p>
            <w:pPr>
              <w:widowControl/>
              <w:jc w:val="center"/>
              <w:rPr>
                <w:rFonts w:ascii="宋体" w:eastAsia="宋体" w:cs="Times New Roman"/>
                <w:kern w:val="0"/>
                <w:sz w:val="21"/>
              </w:rPr>
            </w:pPr>
          </w:p>
        </w:tc>
        <w:tc>
          <w:tcPr>
            <w:tcW w:w="1214" w:type="pct"/>
            <w:vAlign w:val="center"/>
          </w:tcPr>
          <w:p>
            <w:pPr>
              <w:autoSpaceDE w:val="0"/>
              <w:autoSpaceDN w:val="0"/>
              <w:spacing w:before="68"/>
              <w:ind w:left="29"/>
              <w:jc w:val="center"/>
              <w:rPr>
                <w:rFonts w:eastAsia="宋体" w:cs="Times New Roman"/>
                <w:kern w:val="0"/>
                <w:sz w:val="21"/>
              </w:rPr>
            </w:pPr>
            <w:r>
              <w:rPr>
                <w:rFonts w:eastAsia="宋体" w:cs="Times New Roman"/>
                <w:kern w:val="0"/>
                <w:sz w:val="21"/>
              </w:rPr>
              <w:t>2019.8.6</w:t>
            </w:r>
          </w:p>
        </w:tc>
        <w:tc>
          <w:tcPr>
            <w:tcW w:w="1261" w:type="pct"/>
            <w:vAlign w:val="center"/>
          </w:tcPr>
          <w:p>
            <w:pPr>
              <w:autoSpaceDE w:val="0"/>
              <w:autoSpaceDN w:val="0"/>
              <w:spacing w:before="68"/>
              <w:ind w:left="29"/>
              <w:jc w:val="center"/>
              <w:rPr>
                <w:rFonts w:eastAsia="宋体" w:cs="Times New Roman"/>
                <w:kern w:val="0"/>
                <w:sz w:val="21"/>
              </w:rPr>
            </w:pPr>
            <w:r>
              <w:rPr>
                <w:rFonts w:eastAsia="宋体" w:cs="Times New Roman"/>
                <w:kern w:val="0"/>
                <w:sz w:val="21"/>
              </w:rPr>
              <w:t>0.19</w:t>
            </w:r>
          </w:p>
        </w:tc>
        <w:tc>
          <w:tcPr>
            <w:tcW w:w="1333" w:type="pct"/>
            <w:vAlign w:val="center"/>
          </w:tcPr>
          <w:p>
            <w:pPr>
              <w:autoSpaceDE w:val="0"/>
              <w:autoSpaceDN w:val="0"/>
              <w:spacing w:before="68"/>
              <w:ind w:left="29"/>
              <w:jc w:val="center"/>
              <w:rPr>
                <w:rFonts w:eastAsia="宋体" w:cs="Times New Roman"/>
                <w:kern w:val="0"/>
                <w:sz w:val="21"/>
              </w:rPr>
            </w:pPr>
            <w:r>
              <w:rPr>
                <w:rFonts w:eastAsia="宋体" w:cs="Times New Roman"/>
                <w:kern w:val="0"/>
                <w:sz w:val="21"/>
              </w:rPr>
              <w:t>0.003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192" w:type="pct"/>
            <w:vMerge w:val="continue"/>
            <w:vAlign w:val="center"/>
          </w:tcPr>
          <w:p>
            <w:pPr>
              <w:widowControl/>
              <w:jc w:val="center"/>
              <w:rPr>
                <w:rFonts w:ascii="宋体" w:eastAsia="宋体" w:cs="Times New Roman"/>
                <w:kern w:val="0"/>
                <w:sz w:val="21"/>
              </w:rPr>
            </w:pPr>
          </w:p>
        </w:tc>
        <w:tc>
          <w:tcPr>
            <w:tcW w:w="1214" w:type="pct"/>
            <w:vAlign w:val="center"/>
          </w:tcPr>
          <w:p>
            <w:pPr>
              <w:autoSpaceDE w:val="0"/>
              <w:autoSpaceDN w:val="0"/>
              <w:spacing w:before="68"/>
              <w:ind w:left="29"/>
              <w:jc w:val="center"/>
              <w:rPr>
                <w:rFonts w:eastAsia="宋体" w:cs="Times New Roman"/>
                <w:kern w:val="0"/>
                <w:sz w:val="21"/>
              </w:rPr>
            </w:pPr>
            <w:r>
              <w:rPr>
                <w:rFonts w:eastAsia="宋体" w:cs="Times New Roman"/>
                <w:kern w:val="0"/>
                <w:sz w:val="21"/>
              </w:rPr>
              <w:t>2019.8.7</w:t>
            </w:r>
          </w:p>
        </w:tc>
        <w:tc>
          <w:tcPr>
            <w:tcW w:w="1261" w:type="pct"/>
            <w:vAlign w:val="center"/>
          </w:tcPr>
          <w:p>
            <w:pPr>
              <w:autoSpaceDE w:val="0"/>
              <w:autoSpaceDN w:val="0"/>
              <w:spacing w:before="68"/>
              <w:ind w:left="29"/>
              <w:jc w:val="center"/>
              <w:rPr>
                <w:rFonts w:eastAsia="宋体" w:cs="Times New Roman"/>
                <w:kern w:val="0"/>
                <w:sz w:val="21"/>
              </w:rPr>
            </w:pPr>
            <w:r>
              <w:rPr>
                <w:rFonts w:eastAsia="宋体" w:cs="Times New Roman"/>
                <w:kern w:val="0"/>
                <w:sz w:val="21"/>
              </w:rPr>
              <w:t>0.16</w:t>
            </w:r>
          </w:p>
        </w:tc>
        <w:tc>
          <w:tcPr>
            <w:tcW w:w="1333" w:type="pct"/>
            <w:vAlign w:val="center"/>
          </w:tcPr>
          <w:p>
            <w:pPr>
              <w:autoSpaceDE w:val="0"/>
              <w:autoSpaceDN w:val="0"/>
              <w:spacing w:before="68"/>
              <w:ind w:left="29"/>
              <w:jc w:val="center"/>
              <w:rPr>
                <w:rFonts w:eastAsia="宋体" w:cs="Times New Roman"/>
                <w:kern w:val="0"/>
                <w:sz w:val="21"/>
              </w:rPr>
            </w:pPr>
            <w:r>
              <w:rPr>
                <w:rFonts w:eastAsia="宋体" w:cs="Times New Roman"/>
                <w:kern w:val="0"/>
                <w:sz w:val="21"/>
              </w:rPr>
              <w:t>0.002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192" w:type="pct"/>
            <w:vMerge w:val="restart"/>
            <w:vAlign w:val="center"/>
          </w:tcPr>
          <w:p>
            <w:pPr>
              <w:autoSpaceDE w:val="0"/>
              <w:autoSpaceDN w:val="0"/>
              <w:jc w:val="center"/>
              <w:rPr>
                <w:rFonts w:ascii="宋体" w:eastAsia="宋体" w:cs="Times New Roman"/>
                <w:kern w:val="0"/>
                <w:sz w:val="21"/>
              </w:rPr>
            </w:pPr>
            <w:r>
              <w:rPr>
                <w:rFonts w:eastAsia="宋体" w:cs="Times New Roman"/>
                <w:kern w:val="0"/>
                <w:sz w:val="21"/>
              </w:rPr>
              <w:t>Q2</w:t>
            </w:r>
          </w:p>
        </w:tc>
        <w:tc>
          <w:tcPr>
            <w:tcW w:w="1214" w:type="pct"/>
            <w:vAlign w:val="center"/>
          </w:tcPr>
          <w:p>
            <w:pPr>
              <w:autoSpaceDE w:val="0"/>
              <w:autoSpaceDN w:val="0"/>
              <w:spacing w:before="68"/>
              <w:ind w:left="29"/>
              <w:jc w:val="center"/>
              <w:rPr>
                <w:rFonts w:eastAsia="宋体" w:cs="Times New Roman"/>
                <w:kern w:val="0"/>
                <w:sz w:val="21"/>
              </w:rPr>
            </w:pPr>
            <w:r>
              <w:rPr>
                <w:rFonts w:eastAsia="宋体" w:cs="Times New Roman"/>
                <w:kern w:val="0"/>
                <w:sz w:val="21"/>
              </w:rPr>
              <w:t>2019.8.1</w:t>
            </w:r>
          </w:p>
        </w:tc>
        <w:tc>
          <w:tcPr>
            <w:tcW w:w="1261" w:type="pct"/>
            <w:vAlign w:val="center"/>
          </w:tcPr>
          <w:p>
            <w:pPr>
              <w:autoSpaceDE w:val="0"/>
              <w:autoSpaceDN w:val="0"/>
              <w:spacing w:before="68"/>
              <w:ind w:left="29"/>
              <w:jc w:val="center"/>
              <w:rPr>
                <w:rFonts w:eastAsia="宋体" w:cs="Times New Roman"/>
                <w:kern w:val="0"/>
                <w:sz w:val="21"/>
              </w:rPr>
            </w:pPr>
            <w:r>
              <w:rPr>
                <w:rFonts w:eastAsia="宋体" w:cs="Times New Roman"/>
                <w:kern w:val="0"/>
                <w:sz w:val="21"/>
              </w:rPr>
              <w:t>0.14</w:t>
            </w:r>
          </w:p>
        </w:tc>
        <w:tc>
          <w:tcPr>
            <w:tcW w:w="1333" w:type="pct"/>
            <w:vAlign w:val="center"/>
          </w:tcPr>
          <w:p>
            <w:pPr>
              <w:autoSpaceDE w:val="0"/>
              <w:autoSpaceDN w:val="0"/>
              <w:spacing w:before="68"/>
              <w:ind w:left="29"/>
              <w:jc w:val="center"/>
              <w:rPr>
                <w:rFonts w:eastAsia="宋体" w:cs="Times New Roman"/>
                <w:kern w:val="0"/>
                <w:sz w:val="21"/>
              </w:rPr>
            </w:pPr>
            <w:r>
              <w:rPr>
                <w:rFonts w:eastAsia="宋体" w:cs="Times New Roman"/>
                <w:kern w:val="0"/>
                <w:sz w:val="21"/>
              </w:rPr>
              <w:t>0.006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192" w:type="pct"/>
            <w:vMerge w:val="continue"/>
            <w:vAlign w:val="center"/>
          </w:tcPr>
          <w:p>
            <w:pPr>
              <w:widowControl/>
              <w:jc w:val="center"/>
              <w:rPr>
                <w:rFonts w:ascii="宋体" w:eastAsia="宋体" w:cs="Times New Roman"/>
                <w:kern w:val="0"/>
                <w:sz w:val="21"/>
              </w:rPr>
            </w:pPr>
          </w:p>
        </w:tc>
        <w:tc>
          <w:tcPr>
            <w:tcW w:w="1214" w:type="pct"/>
            <w:vAlign w:val="center"/>
          </w:tcPr>
          <w:p>
            <w:pPr>
              <w:autoSpaceDE w:val="0"/>
              <w:autoSpaceDN w:val="0"/>
              <w:spacing w:before="68"/>
              <w:ind w:left="29"/>
              <w:jc w:val="center"/>
              <w:rPr>
                <w:rFonts w:eastAsia="宋体" w:cs="Times New Roman"/>
                <w:kern w:val="0"/>
                <w:sz w:val="21"/>
              </w:rPr>
            </w:pPr>
            <w:r>
              <w:rPr>
                <w:rFonts w:eastAsia="宋体" w:cs="Times New Roman"/>
                <w:kern w:val="0"/>
                <w:sz w:val="21"/>
              </w:rPr>
              <w:t>2019.8.2</w:t>
            </w:r>
          </w:p>
        </w:tc>
        <w:tc>
          <w:tcPr>
            <w:tcW w:w="1261" w:type="pct"/>
            <w:vAlign w:val="center"/>
          </w:tcPr>
          <w:p>
            <w:pPr>
              <w:autoSpaceDE w:val="0"/>
              <w:autoSpaceDN w:val="0"/>
              <w:spacing w:before="68"/>
              <w:ind w:left="29"/>
              <w:jc w:val="center"/>
              <w:rPr>
                <w:rFonts w:eastAsia="宋体" w:cs="Times New Roman"/>
                <w:kern w:val="0"/>
                <w:sz w:val="21"/>
              </w:rPr>
            </w:pPr>
            <w:r>
              <w:rPr>
                <w:rFonts w:eastAsia="宋体" w:cs="Times New Roman"/>
                <w:kern w:val="0"/>
                <w:sz w:val="21"/>
              </w:rPr>
              <w:t>0.16</w:t>
            </w:r>
          </w:p>
        </w:tc>
        <w:tc>
          <w:tcPr>
            <w:tcW w:w="1333" w:type="pct"/>
            <w:vAlign w:val="center"/>
          </w:tcPr>
          <w:p>
            <w:pPr>
              <w:autoSpaceDE w:val="0"/>
              <w:autoSpaceDN w:val="0"/>
              <w:spacing w:before="68"/>
              <w:ind w:left="29"/>
              <w:jc w:val="center"/>
              <w:rPr>
                <w:rFonts w:eastAsia="宋体" w:cs="Times New Roman"/>
                <w:kern w:val="0"/>
                <w:sz w:val="21"/>
              </w:rPr>
            </w:pPr>
            <w:r>
              <w:rPr>
                <w:rFonts w:eastAsia="宋体" w:cs="Times New Roman"/>
                <w:kern w:val="0"/>
                <w:sz w:val="21"/>
              </w:rPr>
              <w:t>0.009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192" w:type="pct"/>
            <w:vMerge w:val="continue"/>
            <w:vAlign w:val="center"/>
          </w:tcPr>
          <w:p>
            <w:pPr>
              <w:widowControl/>
              <w:jc w:val="center"/>
              <w:rPr>
                <w:rFonts w:ascii="宋体" w:eastAsia="宋体" w:cs="Times New Roman"/>
                <w:kern w:val="0"/>
                <w:sz w:val="21"/>
              </w:rPr>
            </w:pPr>
          </w:p>
        </w:tc>
        <w:tc>
          <w:tcPr>
            <w:tcW w:w="1214" w:type="pct"/>
            <w:vAlign w:val="center"/>
          </w:tcPr>
          <w:p>
            <w:pPr>
              <w:autoSpaceDE w:val="0"/>
              <w:autoSpaceDN w:val="0"/>
              <w:spacing w:before="68"/>
              <w:ind w:left="29"/>
              <w:jc w:val="center"/>
              <w:rPr>
                <w:rFonts w:eastAsia="宋体" w:cs="Times New Roman"/>
                <w:kern w:val="0"/>
                <w:sz w:val="21"/>
              </w:rPr>
            </w:pPr>
            <w:r>
              <w:rPr>
                <w:rFonts w:eastAsia="宋体" w:cs="Times New Roman"/>
                <w:kern w:val="0"/>
                <w:sz w:val="21"/>
              </w:rPr>
              <w:t>2019.8.3</w:t>
            </w:r>
          </w:p>
        </w:tc>
        <w:tc>
          <w:tcPr>
            <w:tcW w:w="1261" w:type="pct"/>
            <w:vAlign w:val="center"/>
          </w:tcPr>
          <w:p>
            <w:pPr>
              <w:autoSpaceDE w:val="0"/>
              <w:autoSpaceDN w:val="0"/>
              <w:spacing w:before="68"/>
              <w:ind w:left="29"/>
              <w:jc w:val="center"/>
              <w:rPr>
                <w:rFonts w:eastAsia="宋体" w:cs="Times New Roman"/>
                <w:kern w:val="0"/>
                <w:sz w:val="21"/>
              </w:rPr>
            </w:pPr>
            <w:r>
              <w:rPr>
                <w:rFonts w:eastAsia="宋体" w:cs="Times New Roman"/>
                <w:kern w:val="0"/>
                <w:sz w:val="21"/>
              </w:rPr>
              <w:t>0.13</w:t>
            </w:r>
          </w:p>
        </w:tc>
        <w:tc>
          <w:tcPr>
            <w:tcW w:w="1333" w:type="pct"/>
            <w:vAlign w:val="center"/>
          </w:tcPr>
          <w:p>
            <w:pPr>
              <w:autoSpaceDE w:val="0"/>
              <w:autoSpaceDN w:val="0"/>
              <w:spacing w:before="68"/>
              <w:ind w:left="29"/>
              <w:jc w:val="center"/>
              <w:rPr>
                <w:rFonts w:eastAsia="宋体" w:cs="Times New Roman"/>
                <w:kern w:val="0"/>
                <w:sz w:val="21"/>
              </w:rPr>
            </w:pPr>
            <w:r>
              <w:rPr>
                <w:rFonts w:eastAsia="宋体" w:cs="Times New Roman"/>
                <w:kern w:val="0"/>
                <w:sz w:val="21"/>
              </w:rPr>
              <w:t>0.008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192" w:type="pct"/>
            <w:vMerge w:val="continue"/>
            <w:vAlign w:val="center"/>
          </w:tcPr>
          <w:p>
            <w:pPr>
              <w:widowControl/>
              <w:jc w:val="center"/>
              <w:rPr>
                <w:rFonts w:ascii="宋体" w:eastAsia="宋体" w:cs="Times New Roman"/>
                <w:kern w:val="0"/>
                <w:sz w:val="21"/>
              </w:rPr>
            </w:pPr>
          </w:p>
        </w:tc>
        <w:tc>
          <w:tcPr>
            <w:tcW w:w="1214" w:type="pct"/>
            <w:vAlign w:val="center"/>
          </w:tcPr>
          <w:p>
            <w:pPr>
              <w:autoSpaceDE w:val="0"/>
              <w:autoSpaceDN w:val="0"/>
              <w:spacing w:before="68"/>
              <w:ind w:left="29"/>
              <w:jc w:val="center"/>
              <w:rPr>
                <w:rFonts w:eastAsia="宋体" w:cs="Times New Roman"/>
                <w:kern w:val="0"/>
                <w:sz w:val="21"/>
              </w:rPr>
            </w:pPr>
            <w:r>
              <w:rPr>
                <w:rFonts w:eastAsia="宋体" w:cs="Times New Roman"/>
                <w:kern w:val="0"/>
                <w:sz w:val="21"/>
              </w:rPr>
              <w:t>2019.8.4</w:t>
            </w:r>
          </w:p>
        </w:tc>
        <w:tc>
          <w:tcPr>
            <w:tcW w:w="1261" w:type="pct"/>
            <w:vAlign w:val="center"/>
          </w:tcPr>
          <w:p>
            <w:pPr>
              <w:autoSpaceDE w:val="0"/>
              <w:autoSpaceDN w:val="0"/>
              <w:spacing w:before="68"/>
              <w:ind w:left="29"/>
              <w:jc w:val="center"/>
              <w:rPr>
                <w:rFonts w:eastAsia="宋体" w:cs="Times New Roman"/>
                <w:kern w:val="0"/>
                <w:sz w:val="21"/>
              </w:rPr>
            </w:pPr>
            <w:r>
              <w:rPr>
                <w:rFonts w:eastAsia="宋体" w:cs="Times New Roman"/>
                <w:kern w:val="0"/>
                <w:sz w:val="21"/>
              </w:rPr>
              <w:t>0.18</w:t>
            </w:r>
          </w:p>
        </w:tc>
        <w:tc>
          <w:tcPr>
            <w:tcW w:w="1333" w:type="pct"/>
            <w:vAlign w:val="center"/>
          </w:tcPr>
          <w:p>
            <w:pPr>
              <w:autoSpaceDE w:val="0"/>
              <w:autoSpaceDN w:val="0"/>
              <w:spacing w:before="68"/>
              <w:ind w:left="29"/>
              <w:jc w:val="center"/>
              <w:rPr>
                <w:rFonts w:eastAsia="宋体" w:cs="Times New Roman"/>
                <w:kern w:val="0"/>
                <w:sz w:val="21"/>
              </w:rPr>
            </w:pPr>
            <w:r>
              <w:rPr>
                <w:rFonts w:eastAsia="宋体" w:cs="Times New Roman"/>
                <w:kern w:val="0"/>
                <w:sz w:val="21"/>
              </w:rPr>
              <w:t>0.008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192" w:type="pct"/>
            <w:vMerge w:val="continue"/>
            <w:vAlign w:val="center"/>
          </w:tcPr>
          <w:p>
            <w:pPr>
              <w:widowControl/>
              <w:jc w:val="center"/>
              <w:rPr>
                <w:rFonts w:ascii="宋体" w:eastAsia="宋体" w:cs="Times New Roman"/>
                <w:kern w:val="0"/>
                <w:sz w:val="21"/>
              </w:rPr>
            </w:pPr>
          </w:p>
        </w:tc>
        <w:tc>
          <w:tcPr>
            <w:tcW w:w="1214" w:type="pct"/>
            <w:vAlign w:val="center"/>
          </w:tcPr>
          <w:p>
            <w:pPr>
              <w:autoSpaceDE w:val="0"/>
              <w:autoSpaceDN w:val="0"/>
              <w:spacing w:before="68"/>
              <w:ind w:left="29"/>
              <w:jc w:val="center"/>
              <w:rPr>
                <w:rFonts w:eastAsia="宋体" w:cs="Times New Roman"/>
                <w:kern w:val="0"/>
                <w:sz w:val="21"/>
              </w:rPr>
            </w:pPr>
            <w:r>
              <w:rPr>
                <w:rFonts w:eastAsia="宋体" w:cs="Times New Roman"/>
                <w:kern w:val="0"/>
                <w:sz w:val="21"/>
              </w:rPr>
              <w:t>2019.8.5</w:t>
            </w:r>
          </w:p>
        </w:tc>
        <w:tc>
          <w:tcPr>
            <w:tcW w:w="1261" w:type="pct"/>
            <w:vAlign w:val="center"/>
          </w:tcPr>
          <w:p>
            <w:pPr>
              <w:autoSpaceDE w:val="0"/>
              <w:autoSpaceDN w:val="0"/>
              <w:spacing w:before="68"/>
              <w:ind w:left="29"/>
              <w:jc w:val="center"/>
              <w:rPr>
                <w:rFonts w:eastAsia="宋体" w:cs="Times New Roman"/>
                <w:kern w:val="0"/>
                <w:sz w:val="21"/>
              </w:rPr>
            </w:pPr>
            <w:r>
              <w:rPr>
                <w:rFonts w:eastAsia="宋体" w:cs="Times New Roman"/>
                <w:kern w:val="0"/>
                <w:sz w:val="21"/>
              </w:rPr>
              <w:t>0.17</w:t>
            </w:r>
          </w:p>
        </w:tc>
        <w:tc>
          <w:tcPr>
            <w:tcW w:w="1333" w:type="pct"/>
            <w:vAlign w:val="center"/>
          </w:tcPr>
          <w:p>
            <w:pPr>
              <w:autoSpaceDE w:val="0"/>
              <w:autoSpaceDN w:val="0"/>
              <w:spacing w:before="68"/>
              <w:ind w:left="29"/>
              <w:jc w:val="center"/>
              <w:rPr>
                <w:rFonts w:eastAsia="宋体" w:cs="Times New Roman"/>
                <w:kern w:val="0"/>
                <w:sz w:val="21"/>
              </w:rPr>
            </w:pPr>
            <w:r>
              <w:rPr>
                <w:rFonts w:eastAsia="宋体" w:cs="Times New Roman"/>
                <w:kern w:val="0"/>
                <w:sz w:val="21"/>
              </w:rPr>
              <w:t>0.009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192" w:type="pct"/>
            <w:vMerge w:val="continue"/>
            <w:vAlign w:val="center"/>
          </w:tcPr>
          <w:p>
            <w:pPr>
              <w:widowControl/>
              <w:jc w:val="center"/>
              <w:rPr>
                <w:rFonts w:ascii="宋体" w:eastAsia="宋体" w:cs="Times New Roman"/>
                <w:kern w:val="0"/>
                <w:sz w:val="21"/>
              </w:rPr>
            </w:pPr>
          </w:p>
        </w:tc>
        <w:tc>
          <w:tcPr>
            <w:tcW w:w="1214" w:type="pct"/>
            <w:vAlign w:val="center"/>
          </w:tcPr>
          <w:p>
            <w:pPr>
              <w:autoSpaceDE w:val="0"/>
              <w:autoSpaceDN w:val="0"/>
              <w:spacing w:before="68"/>
              <w:ind w:left="29"/>
              <w:jc w:val="center"/>
              <w:rPr>
                <w:rFonts w:eastAsia="宋体" w:cs="Times New Roman"/>
                <w:kern w:val="0"/>
                <w:sz w:val="21"/>
              </w:rPr>
            </w:pPr>
            <w:r>
              <w:rPr>
                <w:rFonts w:eastAsia="宋体" w:cs="Times New Roman"/>
                <w:kern w:val="0"/>
                <w:sz w:val="21"/>
              </w:rPr>
              <w:t>2019.8.6</w:t>
            </w:r>
          </w:p>
        </w:tc>
        <w:tc>
          <w:tcPr>
            <w:tcW w:w="1261" w:type="pct"/>
            <w:vAlign w:val="center"/>
          </w:tcPr>
          <w:p>
            <w:pPr>
              <w:autoSpaceDE w:val="0"/>
              <w:autoSpaceDN w:val="0"/>
              <w:spacing w:before="68"/>
              <w:ind w:left="29"/>
              <w:jc w:val="center"/>
              <w:rPr>
                <w:rFonts w:eastAsia="宋体" w:cs="Times New Roman"/>
                <w:kern w:val="0"/>
                <w:sz w:val="21"/>
              </w:rPr>
            </w:pPr>
            <w:r>
              <w:rPr>
                <w:rFonts w:eastAsia="宋体" w:cs="Times New Roman"/>
                <w:kern w:val="0"/>
                <w:sz w:val="21"/>
              </w:rPr>
              <w:t>0.10</w:t>
            </w:r>
          </w:p>
        </w:tc>
        <w:tc>
          <w:tcPr>
            <w:tcW w:w="1333" w:type="pct"/>
            <w:vAlign w:val="center"/>
          </w:tcPr>
          <w:p>
            <w:pPr>
              <w:autoSpaceDE w:val="0"/>
              <w:autoSpaceDN w:val="0"/>
              <w:spacing w:before="68"/>
              <w:ind w:left="29"/>
              <w:jc w:val="center"/>
              <w:rPr>
                <w:rFonts w:eastAsia="宋体" w:cs="Times New Roman"/>
                <w:kern w:val="0"/>
                <w:sz w:val="21"/>
              </w:rPr>
            </w:pPr>
            <w:r>
              <w:rPr>
                <w:rFonts w:eastAsia="宋体" w:cs="Times New Roman"/>
                <w:kern w:val="0"/>
                <w:sz w:val="21"/>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192" w:type="pct"/>
            <w:vMerge w:val="continue"/>
            <w:vAlign w:val="center"/>
          </w:tcPr>
          <w:p>
            <w:pPr>
              <w:widowControl/>
              <w:jc w:val="center"/>
              <w:rPr>
                <w:rFonts w:ascii="宋体" w:eastAsia="宋体" w:cs="Times New Roman"/>
                <w:kern w:val="0"/>
                <w:sz w:val="21"/>
              </w:rPr>
            </w:pPr>
          </w:p>
        </w:tc>
        <w:tc>
          <w:tcPr>
            <w:tcW w:w="1214" w:type="pct"/>
            <w:vAlign w:val="center"/>
          </w:tcPr>
          <w:p>
            <w:pPr>
              <w:autoSpaceDE w:val="0"/>
              <w:autoSpaceDN w:val="0"/>
              <w:spacing w:before="68"/>
              <w:ind w:left="29"/>
              <w:jc w:val="center"/>
              <w:rPr>
                <w:rFonts w:eastAsia="宋体" w:cs="Times New Roman"/>
                <w:kern w:val="0"/>
                <w:sz w:val="21"/>
              </w:rPr>
            </w:pPr>
            <w:r>
              <w:rPr>
                <w:rFonts w:eastAsia="宋体" w:cs="Times New Roman"/>
                <w:kern w:val="0"/>
                <w:sz w:val="21"/>
              </w:rPr>
              <w:t>2019.8.7</w:t>
            </w:r>
          </w:p>
        </w:tc>
        <w:tc>
          <w:tcPr>
            <w:tcW w:w="1261" w:type="pct"/>
            <w:vAlign w:val="center"/>
          </w:tcPr>
          <w:p>
            <w:pPr>
              <w:autoSpaceDE w:val="0"/>
              <w:autoSpaceDN w:val="0"/>
              <w:spacing w:before="68"/>
              <w:ind w:left="29"/>
              <w:jc w:val="center"/>
              <w:rPr>
                <w:rFonts w:eastAsia="宋体" w:cs="Times New Roman"/>
                <w:kern w:val="0"/>
                <w:sz w:val="21"/>
              </w:rPr>
            </w:pPr>
            <w:r>
              <w:rPr>
                <w:rFonts w:eastAsia="宋体" w:cs="Times New Roman"/>
                <w:kern w:val="0"/>
                <w:sz w:val="21"/>
              </w:rPr>
              <w:t>0.19</w:t>
            </w:r>
          </w:p>
        </w:tc>
        <w:tc>
          <w:tcPr>
            <w:tcW w:w="1333" w:type="pct"/>
            <w:vAlign w:val="center"/>
          </w:tcPr>
          <w:p>
            <w:pPr>
              <w:autoSpaceDE w:val="0"/>
              <w:autoSpaceDN w:val="0"/>
              <w:spacing w:before="68"/>
              <w:ind w:left="29"/>
              <w:jc w:val="center"/>
              <w:rPr>
                <w:rFonts w:eastAsia="宋体" w:cs="Times New Roman"/>
                <w:kern w:val="0"/>
                <w:sz w:val="21"/>
              </w:rPr>
            </w:pPr>
            <w:r>
              <w:rPr>
                <w:rFonts w:eastAsia="宋体" w:cs="Times New Roman"/>
                <w:kern w:val="0"/>
                <w:sz w:val="21"/>
              </w:rPr>
              <w:t>0.007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192" w:type="pct"/>
            <w:vAlign w:val="center"/>
          </w:tcPr>
          <w:p>
            <w:pPr>
              <w:autoSpaceDE w:val="0"/>
              <w:autoSpaceDN w:val="0"/>
              <w:spacing w:before="54"/>
              <w:jc w:val="center"/>
              <w:rPr>
                <w:rFonts w:ascii="宋体" w:eastAsia="宋体" w:cs="Times New Roman"/>
                <w:kern w:val="0"/>
                <w:sz w:val="21"/>
              </w:rPr>
            </w:pPr>
            <w:r>
              <w:rPr>
                <w:rFonts w:hint="eastAsia" w:ascii="宋体" w:eastAsia="宋体" w:cs="Times New Roman"/>
                <w:kern w:val="0"/>
                <w:sz w:val="21"/>
              </w:rPr>
              <w:t>标准限值</w:t>
            </w:r>
          </w:p>
        </w:tc>
        <w:tc>
          <w:tcPr>
            <w:tcW w:w="1214" w:type="pct"/>
            <w:vAlign w:val="center"/>
          </w:tcPr>
          <w:p>
            <w:pPr>
              <w:autoSpaceDE w:val="0"/>
              <w:autoSpaceDN w:val="0"/>
              <w:spacing w:before="68"/>
              <w:ind w:left="29"/>
              <w:jc w:val="center"/>
              <w:rPr>
                <w:rFonts w:eastAsia="宋体" w:cs="Times New Roman"/>
                <w:kern w:val="0"/>
                <w:sz w:val="21"/>
              </w:rPr>
            </w:pPr>
            <w:r>
              <w:rPr>
                <w:rFonts w:eastAsia="宋体" w:cs="Times New Roman"/>
                <w:kern w:val="0"/>
                <w:sz w:val="21"/>
              </w:rPr>
              <w:t>—</w:t>
            </w:r>
          </w:p>
        </w:tc>
        <w:tc>
          <w:tcPr>
            <w:tcW w:w="1261" w:type="pct"/>
            <w:vAlign w:val="center"/>
          </w:tcPr>
          <w:p>
            <w:pPr>
              <w:autoSpaceDE w:val="0"/>
              <w:autoSpaceDN w:val="0"/>
              <w:spacing w:before="68"/>
              <w:ind w:left="29"/>
              <w:jc w:val="center"/>
              <w:rPr>
                <w:rFonts w:eastAsia="宋体" w:cs="Times New Roman"/>
                <w:kern w:val="0"/>
                <w:sz w:val="21"/>
              </w:rPr>
            </w:pPr>
            <w:r>
              <w:rPr>
                <w:rFonts w:eastAsia="宋体" w:cs="Times New Roman"/>
                <w:kern w:val="0"/>
                <w:sz w:val="21"/>
              </w:rPr>
              <w:t>0.2</w:t>
            </w:r>
          </w:p>
        </w:tc>
        <w:tc>
          <w:tcPr>
            <w:tcW w:w="1333" w:type="pct"/>
            <w:vAlign w:val="center"/>
          </w:tcPr>
          <w:p>
            <w:pPr>
              <w:autoSpaceDE w:val="0"/>
              <w:autoSpaceDN w:val="0"/>
              <w:spacing w:before="68"/>
              <w:ind w:left="29"/>
              <w:jc w:val="center"/>
              <w:rPr>
                <w:rFonts w:eastAsia="宋体" w:cs="Times New Roman"/>
                <w:kern w:val="0"/>
                <w:sz w:val="21"/>
              </w:rPr>
            </w:pPr>
            <w:r>
              <w:rPr>
                <w:rFonts w:eastAsia="宋体" w:cs="Times New Roman"/>
                <w:kern w:val="0"/>
                <w:sz w:val="21"/>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192" w:type="pct"/>
            <w:vAlign w:val="center"/>
          </w:tcPr>
          <w:p>
            <w:pPr>
              <w:autoSpaceDE w:val="0"/>
              <w:autoSpaceDN w:val="0"/>
              <w:spacing w:before="54"/>
              <w:jc w:val="center"/>
              <w:rPr>
                <w:rFonts w:ascii="宋体" w:eastAsia="宋体" w:cs="Times New Roman"/>
                <w:kern w:val="0"/>
                <w:sz w:val="21"/>
              </w:rPr>
            </w:pPr>
            <w:r>
              <w:rPr>
                <w:rFonts w:hint="eastAsia" w:ascii="宋体" w:eastAsia="宋体" w:cs="Times New Roman"/>
                <w:kern w:val="0"/>
                <w:sz w:val="21"/>
              </w:rPr>
              <w:t>单因子指数范围</w:t>
            </w:r>
          </w:p>
        </w:tc>
        <w:tc>
          <w:tcPr>
            <w:tcW w:w="1214" w:type="pct"/>
            <w:vAlign w:val="center"/>
          </w:tcPr>
          <w:p>
            <w:pPr>
              <w:autoSpaceDE w:val="0"/>
              <w:autoSpaceDN w:val="0"/>
              <w:spacing w:before="68"/>
              <w:ind w:left="29"/>
              <w:jc w:val="center"/>
              <w:rPr>
                <w:rFonts w:eastAsia="宋体" w:cs="Times New Roman"/>
                <w:kern w:val="0"/>
                <w:sz w:val="21"/>
              </w:rPr>
            </w:pPr>
            <w:r>
              <w:rPr>
                <w:rFonts w:eastAsia="宋体" w:cs="Times New Roman"/>
                <w:kern w:val="0"/>
                <w:sz w:val="21"/>
              </w:rPr>
              <w:t>—</w:t>
            </w:r>
          </w:p>
        </w:tc>
        <w:tc>
          <w:tcPr>
            <w:tcW w:w="1261" w:type="pct"/>
            <w:vAlign w:val="center"/>
          </w:tcPr>
          <w:p>
            <w:pPr>
              <w:autoSpaceDE w:val="0"/>
              <w:autoSpaceDN w:val="0"/>
              <w:spacing w:before="68"/>
              <w:ind w:left="29"/>
              <w:jc w:val="center"/>
              <w:rPr>
                <w:rFonts w:eastAsia="宋体" w:cs="Times New Roman"/>
                <w:kern w:val="0"/>
                <w:sz w:val="21"/>
              </w:rPr>
            </w:pPr>
            <w:r>
              <w:rPr>
                <w:rFonts w:hint="eastAsia" w:eastAsia="宋体" w:cs="Times New Roman"/>
                <w:kern w:val="0"/>
                <w:sz w:val="21"/>
              </w:rPr>
              <w:t>0.6~0.95</w:t>
            </w:r>
          </w:p>
        </w:tc>
        <w:tc>
          <w:tcPr>
            <w:tcW w:w="1333" w:type="pct"/>
            <w:vAlign w:val="center"/>
          </w:tcPr>
          <w:p>
            <w:pPr>
              <w:autoSpaceDE w:val="0"/>
              <w:autoSpaceDN w:val="0"/>
              <w:spacing w:before="68"/>
              <w:ind w:left="29"/>
              <w:jc w:val="center"/>
              <w:rPr>
                <w:rFonts w:eastAsia="宋体" w:cs="Times New Roman"/>
                <w:kern w:val="0"/>
                <w:sz w:val="21"/>
              </w:rPr>
            </w:pPr>
            <w:r>
              <w:rPr>
                <w:rFonts w:hint="eastAsia" w:eastAsia="宋体" w:cs="Times New Roman"/>
                <w:kern w:val="0"/>
                <w:sz w:val="21"/>
              </w:rPr>
              <w:t>0.2~0.9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192" w:type="pct"/>
            <w:vAlign w:val="center"/>
          </w:tcPr>
          <w:p>
            <w:pPr>
              <w:autoSpaceDE w:val="0"/>
              <w:autoSpaceDN w:val="0"/>
              <w:spacing w:before="54"/>
              <w:jc w:val="center"/>
              <w:rPr>
                <w:rFonts w:ascii="宋体" w:eastAsia="宋体" w:cs="Times New Roman"/>
                <w:kern w:val="0"/>
                <w:sz w:val="21"/>
              </w:rPr>
            </w:pPr>
            <w:r>
              <w:rPr>
                <w:rFonts w:hint="eastAsia" w:ascii="宋体" w:eastAsia="宋体" w:cs="Times New Roman"/>
                <w:kern w:val="0"/>
                <w:sz w:val="21"/>
              </w:rPr>
              <w:t>是否达标</w:t>
            </w:r>
          </w:p>
        </w:tc>
        <w:tc>
          <w:tcPr>
            <w:tcW w:w="1214" w:type="pct"/>
            <w:vAlign w:val="center"/>
          </w:tcPr>
          <w:p>
            <w:pPr>
              <w:autoSpaceDE w:val="0"/>
              <w:autoSpaceDN w:val="0"/>
              <w:spacing w:before="68"/>
              <w:ind w:left="29"/>
              <w:jc w:val="center"/>
              <w:rPr>
                <w:rFonts w:eastAsia="宋体" w:cs="Times New Roman"/>
                <w:kern w:val="0"/>
                <w:sz w:val="21"/>
              </w:rPr>
            </w:pPr>
            <w:r>
              <w:rPr>
                <w:rFonts w:eastAsia="宋体" w:cs="Times New Roman"/>
                <w:kern w:val="0"/>
                <w:sz w:val="21"/>
              </w:rPr>
              <w:t>—</w:t>
            </w:r>
          </w:p>
        </w:tc>
        <w:tc>
          <w:tcPr>
            <w:tcW w:w="1261" w:type="pct"/>
            <w:vAlign w:val="center"/>
          </w:tcPr>
          <w:p>
            <w:pPr>
              <w:autoSpaceDE w:val="0"/>
              <w:autoSpaceDN w:val="0"/>
              <w:spacing w:before="68"/>
              <w:ind w:left="29"/>
              <w:jc w:val="center"/>
              <w:rPr>
                <w:rFonts w:eastAsia="宋体" w:cs="Times New Roman"/>
                <w:kern w:val="0"/>
                <w:sz w:val="21"/>
              </w:rPr>
            </w:pPr>
            <w:r>
              <w:rPr>
                <w:rFonts w:eastAsia="宋体" w:cs="Times New Roman"/>
                <w:kern w:val="0"/>
                <w:sz w:val="21"/>
              </w:rPr>
              <w:t>达标</w:t>
            </w:r>
          </w:p>
        </w:tc>
        <w:tc>
          <w:tcPr>
            <w:tcW w:w="1333" w:type="pct"/>
            <w:vAlign w:val="center"/>
          </w:tcPr>
          <w:p>
            <w:pPr>
              <w:autoSpaceDE w:val="0"/>
              <w:autoSpaceDN w:val="0"/>
              <w:spacing w:before="68"/>
              <w:ind w:left="29"/>
              <w:jc w:val="center"/>
              <w:rPr>
                <w:rFonts w:eastAsia="宋体" w:cs="Times New Roman"/>
                <w:kern w:val="0"/>
                <w:sz w:val="21"/>
              </w:rPr>
            </w:pPr>
            <w:r>
              <w:rPr>
                <w:rFonts w:eastAsia="宋体" w:cs="Times New Roman"/>
                <w:kern w:val="0"/>
                <w:sz w:val="21"/>
              </w:rPr>
              <w:t>达标</w:t>
            </w:r>
          </w:p>
        </w:tc>
      </w:tr>
    </w:tbl>
    <w:p>
      <w:pPr>
        <w:adjustRightInd w:val="0"/>
        <w:snapToGrid w:val="0"/>
        <w:spacing w:line="360" w:lineRule="auto"/>
        <w:ind w:firstLine="480" w:firstLineChars="200"/>
        <w:rPr>
          <w:color w:val="000000" w:themeColor="text1"/>
        </w:rPr>
      </w:pPr>
      <w:bookmarkStart w:id="165" w:name="_Toc532497651"/>
      <w:r>
        <w:rPr>
          <w:rFonts w:hint="eastAsia"/>
          <w:color w:val="000000" w:themeColor="text1"/>
        </w:rPr>
        <w:t>由上表可知，本项目</w:t>
      </w:r>
      <w:r>
        <w:rPr>
          <w:color w:val="000000" w:themeColor="text1"/>
        </w:rPr>
        <w:t>特征因子H</w:t>
      </w:r>
      <w:r>
        <w:rPr>
          <w:color w:val="000000" w:themeColor="text1"/>
          <w:vertAlign w:val="subscript"/>
        </w:rPr>
        <w:t>2</w:t>
      </w:r>
      <w:r>
        <w:rPr>
          <w:color w:val="000000" w:themeColor="text1"/>
        </w:rPr>
        <w:t>S、NH</w:t>
      </w:r>
      <w:r>
        <w:rPr>
          <w:color w:val="000000" w:themeColor="text1"/>
          <w:vertAlign w:val="subscript"/>
        </w:rPr>
        <w:t>3</w:t>
      </w:r>
      <w:r>
        <w:rPr>
          <w:color w:val="000000" w:themeColor="text1"/>
        </w:rPr>
        <w:t>的监测数据可满足《环境影响评价技术导则大气环境》（HJ2.2-2018）中附录 D.1“其他污染物空气质量浓度参考限值”</w:t>
      </w:r>
      <w:r>
        <w:rPr>
          <w:rFonts w:hint="eastAsia"/>
          <w:color w:val="000000" w:themeColor="text1"/>
        </w:rPr>
        <w:t>的标准要求。</w:t>
      </w:r>
    </w:p>
    <w:p>
      <w:pPr>
        <w:pStyle w:val="5"/>
        <w:rPr>
          <w:color w:val="000000" w:themeColor="text1"/>
        </w:rPr>
      </w:pPr>
      <w:r>
        <w:rPr>
          <w:rFonts w:hint="eastAsia"/>
          <w:color w:val="000000" w:themeColor="text1"/>
        </w:rPr>
        <w:t>声环境现状调查及评价</w:t>
      </w:r>
      <w:bookmarkEnd w:id="165"/>
    </w:p>
    <w:p>
      <w:pPr>
        <w:adjustRightInd w:val="0"/>
        <w:snapToGrid w:val="0"/>
        <w:spacing w:line="360" w:lineRule="auto"/>
        <w:ind w:firstLine="480" w:firstLineChars="200"/>
        <w:rPr>
          <w:color w:val="000000" w:themeColor="text1"/>
        </w:rPr>
      </w:pPr>
      <w:r>
        <w:rPr>
          <w:rFonts w:hint="eastAsia"/>
          <w:color w:val="000000" w:themeColor="text1"/>
        </w:rPr>
        <w:t>（1）监测因子、布点及监测时间</w:t>
      </w:r>
    </w:p>
    <w:p>
      <w:pPr>
        <w:adjustRightInd w:val="0"/>
        <w:snapToGrid w:val="0"/>
        <w:spacing w:line="360" w:lineRule="auto"/>
        <w:ind w:firstLine="480" w:firstLineChars="200"/>
        <w:rPr>
          <w:color w:val="000000" w:themeColor="text1"/>
        </w:rPr>
      </w:pPr>
      <w:r>
        <w:rPr>
          <w:rFonts w:hint="eastAsia"/>
          <w:color w:val="000000" w:themeColor="text1"/>
        </w:rPr>
        <w:t>评价区域声环境</w:t>
      </w:r>
      <w:r>
        <w:rPr>
          <w:color w:val="000000" w:themeColor="text1"/>
        </w:rPr>
        <w:t>监测</w:t>
      </w:r>
      <w:r>
        <w:rPr>
          <w:color w:val="000000" w:themeColor="text1"/>
          <w:kern w:val="0"/>
        </w:rPr>
        <w:t>共布设</w:t>
      </w:r>
      <w:r>
        <w:rPr>
          <w:rFonts w:hint="eastAsia"/>
          <w:color w:val="000000" w:themeColor="text1"/>
          <w:kern w:val="0"/>
        </w:rPr>
        <w:t>4</w:t>
      </w:r>
      <w:r>
        <w:rPr>
          <w:color w:val="000000" w:themeColor="text1"/>
          <w:kern w:val="0"/>
        </w:rPr>
        <w:t>个</w:t>
      </w:r>
      <w:r>
        <w:rPr>
          <w:color w:val="000000" w:themeColor="text1"/>
        </w:rPr>
        <w:t>环境监测点，</w:t>
      </w:r>
      <w:r>
        <w:rPr>
          <w:rFonts w:hint="eastAsia"/>
          <w:color w:val="000000" w:themeColor="text1"/>
        </w:rPr>
        <w:t>声环境</w:t>
      </w:r>
      <w:r>
        <w:rPr>
          <w:color w:val="000000" w:themeColor="text1"/>
        </w:rPr>
        <w:t>监测点的具体布设位置详见</w:t>
      </w:r>
      <w:r>
        <w:rPr>
          <w:rFonts w:hint="eastAsia"/>
          <w:color w:val="000000" w:themeColor="text1"/>
        </w:rPr>
        <w:t>下表所示。</w:t>
      </w:r>
    </w:p>
    <w:p>
      <w:pPr>
        <w:pStyle w:val="14"/>
        <w:adjustRightInd w:val="0"/>
        <w:snapToGrid w:val="0"/>
        <w:spacing w:line="240" w:lineRule="auto"/>
        <w:rPr>
          <w:color w:val="000000" w:themeColor="text1"/>
        </w:rPr>
      </w:pPr>
      <w:bookmarkStart w:id="166" w:name="_Ref25071567"/>
      <w:r>
        <w:rPr>
          <w:rFonts w:hint="eastAsia"/>
          <w:color w:val="000000" w:themeColor="text1"/>
        </w:rPr>
        <w:t>表</w:t>
      </w:r>
      <w:r>
        <w:rPr>
          <w:color w:val="000000" w:themeColor="text1"/>
        </w:rPr>
        <w:fldChar w:fldCharType="begin"/>
      </w:r>
      <w:r>
        <w:rPr>
          <w:color w:val="000000" w:themeColor="text1"/>
        </w:rPr>
        <w:instrText xml:space="preserve"> </w:instrText>
      </w:r>
      <w:r>
        <w:rPr>
          <w:rFonts w:hint="eastAsia"/>
          <w:color w:val="000000" w:themeColor="text1"/>
        </w:rPr>
        <w:instrText xml:space="preserve">STYLEREF 2 \s</w:instrText>
      </w:r>
      <w:r>
        <w:rPr>
          <w:color w:val="000000" w:themeColor="text1"/>
        </w:rPr>
        <w:instrText xml:space="preserve"> </w:instrText>
      </w:r>
      <w:r>
        <w:rPr>
          <w:color w:val="000000" w:themeColor="text1"/>
        </w:rPr>
        <w:fldChar w:fldCharType="separate"/>
      </w:r>
      <w:r>
        <w:rPr>
          <w:color w:val="000000" w:themeColor="text1"/>
        </w:rPr>
        <w:t>4.2</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表 \* ARABIC \s 2</w:instrText>
      </w:r>
      <w:r>
        <w:rPr>
          <w:color w:val="000000" w:themeColor="text1"/>
        </w:rPr>
        <w:instrText xml:space="preserve"> </w:instrText>
      </w:r>
      <w:r>
        <w:rPr>
          <w:color w:val="000000" w:themeColor="text1"/>
        </w:rPr>
        <w:fldChar w:fldCharType="separate"/>
      </w:r>
      <w:r>
        <w:rPr>
          <w:color w:val="000000" w:themeColor="text1"/>
        </w:rPr>
        <w:t>5</w:t>
      </w:r>
      <w:r>
        <w:rPr>
          <w:color w:val="000000" w:themeColor="text1"/>
        </w:rPr>
        <w:fldChar w:fldCharType="end"/>
      </w:r>
      <w:bookmarkEnd w:id="166"/>
      <w:r>
        <w:rPr>
          <w:rFonts w:hint="eastAsia"/>
          <w:color w:val="000000" w:themeColor="text1"/>
        </w:rPr>
        <w:t xml:space="preserve">  </w:t>
      </w:r>
      <w:r>
        <w:rPr>
          <w:rFonts w:hint="eastAsia"/>
          <w:color w:val="000000" w:themeColor="text1"/>
          <w:szCs w:val="24"/>
        </w:rPr>
        <w:t>声环境监测因子、布点及监测时间和频率表</w:t>
      </w:r>
    </w:p>
    <w:tbl>
      <w:tblPr>
        <w:tblStyle w:val="39"/>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2184"/>
        <w:gridCol w:w="1843"/>
        <w:gridCol w:w="4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901" w:type="dxa"/>
            <w:vAlign w:val="center"/>
          </w:tcPr>
          <w:p>
            <w:pPr>
              <w:adjustRightInd w:val="0"/>
              <w:snapToGrid w:val="0"/>
              <w:jc w:val="center"/>
              <w:rPr>
                <w:rFonts w:cs="Arial"/>
                <w:color w:val="000000" w:themeColor="text1"/>
                <w:sz w:val="21"/>
              </w:rPr>
            </w:pPr>
            <w:r>
              <w:rPr>
                <w:rFonts w:hint="eastAsia" w:cs="Arial"/>
                <w:color w:val="000000" w:themeColor="text1"/>
                <w:sz w:val="21"/>
              </w:rPr>
              <w:t>序号</w:t>
            </w:r>
          </w:p>
        </w:tc>
        <w:tc>
          <w:tcPr>
            <w:tcW w:w="2184" w:type="dxa"/>
            <w:vAlign w:val="center"/>
          </w:tcPr>
          <w:p>
            <w:pPr>
              <w:adjustRightInd w:val="0"/>
              <w:snapToGrid w:val="0"/>
              <w:jc w:val="center"/>
              <w:rPr>
                <w:rFonts w:cs="Arial"/>
                <w:color w:val="000000" w:themeColor="text1"/>
                <w:sz w:val="21"/>
              </w:rPr>
            </w:pPr>
            <w:r>
              <w:rPr>
                <w:rFonts w:hint="eastAsia" w:cs="Arial"/>
                <w:color w:val="000000" w:themeColor="text1"/>
                <w:sz w:val="21"/>
              </w:rPr>
              <w:t>监测点位</w:t>
            </w:r>
          </w:p>
        </w:tc>
        <w:tc>
          <w:tcPr>
            <w:tcW w:w="1843" w:type="dxa"/>
            <w:vAlign w:val="center"/>
          </w:tcPr>
          <w:p>
            <w:pPr>
              <w:jc w:val="center"/>
              <w:rPr>
                <w:color w:val="000000" w:themeColor="text1"/>
                <w:sz w:val="21"/>
              </w:rPr>
            </w:pPr>
            <w:r>
              <w:rPr>
                <w:rFonts w:hint="eastAsia"/>
                <w:color w:val="000000" w:themeColor="text1"/>
                <w:sz w:val="21"/>
              </w:rPr>
              <w:t>监测项目</w:t>
            </w:r>
          </w:p>
        </w:tc>
        <w:tc>
          <w:tcPr>
            <w:tcW w:w="4314" w:type="dxa"/>
            <w:vAlign w:val="center"/>
          </w:tcPr>
          <w:p>
            <w:pPr>
              <w:jc w:val="center"/>
              <w:rPr>
                <w:color w:val="000000" w:themeColor="text1"/>
                <w:sz w:val="21"/>
              </w:rPr>
            </w:pPr>
            <w:r>
              <w:rPr>
                <w:rFonts w:hint="eastAsia"/>
                <w:color w:val="000000" w:themeColor="text1"/>
                <w:sz w:val="21"/>
              </w:rPr>
              <w:t>监测时间及频率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901" w:type="dxa"/>
            <w:vAlign w:val="center"/>
          </w:tcPr>
          <w:p>
            <w:pPr>
              <w:jc w:val="center"/>
              <w:rPr>
                <w:color w:val="000000" w:themeColor="text1"/>
                <w:sz w:val="21"/>
              </w:rPr>
            </w:pPr>
            <w:r>
              <w:rPr>
                <w:rFonts w:hint="eastAsia"/>
                <w:bCs/>
                <w:color w:val="000000" w:themeColor="text1"/>
                <w:sz w:val="21"/>
              </w:rPr>
              <w:t>N1</w:t>
            </w:r>
          </w:p>
        </w:tc>
        <w:tc>
          <w:tcPr>
            <w:tcW w:w="2184" w:type="dxa"/>
            <w:vAlign w:val="center"/>
          </w:tcPr>
          <w:p>
            <w:pPr>
              <w:jc w:val="center"/>
              <w:rPr>
                <w:color w:val="000000" w:themeColor="text1"/>
                <w:sz w:val="21"/>
              </w:rPr>
            </w:pPr>
            <w:r>
              <w:rPr>
                <w:rFonts w:hint="eastAsia"/>
                <w:color w:val="000000" w:themeColor="text1"/>
                <w:sz w:val="21"/>
              </w:rPr>
              <w:t>北面厂界外1m</w:t>
            </w:r>
          </w:p>
        </w:tc>
        <w:tc>
          <w:tcPr>
            <w:tcW w:w="1843" w:type="dxa"/>
            <w:vMerge w:val="restart"/>
            <w:vAlign w:val="center"/>
          </w:tcPr>
          <w:p>
            <w:pPr>
              <w:adjustRightInd w:val="0"/>
              <w:snapToGrid w:val="0"/>
              <w:jc w:val="center"/>
              <w:rPr>
                <w:rFonts w:cs="Arial"/>
                <w:color w:val="000000" w:themeColor="text1"/>
                <w:sz w:val="21"/>
              </w:rPr>
            </w:pPr>
            <w:r>
              <w:rPr>
                <w:rFonts w:hint="eastAsia"/>
                <w:color w:val="000000" w:themeColor="text1"/>
                <w:sz w:val="21"/>
              </w:rPr>
              <w:t>等效连续A声级</w:t>
            </w:r>
          </w:p>
        </w:tc>
        <w:tc>
          <w:tcPr>
            <w:tcW w:w="4314" w:type="dxa"/>
            <w:vMerge w:val="restart"/>
            <w:vAlign w:val="center"/>
          </w:tcPr>
          <w:p>
            <w:pPr>
              <w:adjustRightInd w:val="0"/>
              <w:snapToGrid w:val="0"/>
              <w:jc w:val="center"/>
              <w:rPr>
                <w:rFonts w:cs="Arial"/>
                <w:color w:val="000000" w:themeColor="text1"/>
                <w:sz w:val="21"/>
              </w:rPr>
            </w:pPr>
            <w:r>
              <w:rPr>
                <w:rFonts w:hint="eastAsia"/>
                <w:color w:val="000000" w:themeColor="text1"/>
                <w:sz w:val="21"/>
              </w:rPr>
              <w:t>2019年8月1日~2019年8月2日连</w:t>
            </w:r>
            <w:r>
              <w:rPr>
                <w:rFonts w:cs="Times New Roman"/>
                <w:color w:val="000000" w:themeColor="text1"/>
                <w:sz w:val="21"/>
              </w:rPr>
              <w:t>续监测2天</w:t>
            </w:r>
            <w:r>
              <w:rPr>
                <w:rFonts w:hint="eastAsia"/>
                <w:color w:val="000000" w:themeColor="text1"/>
                <w:sz w:val="21"/>
              </w:rPr>
              <w:t>，每日昼、夜间各采样监测一次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901" w:type="dxa"/>
            <w:vAlign w:val="center"/>
          </w:tcPr>
          <w:p>
            <w:pPr>
              <w:jc w:val="center"/>
              <w:rPr>
                <w:color w:val="000000" w:themeColor="text1"/>
                <w:sz w:val="21"/>
              </w:rPr>
            </w:pPr>
            <w:r>
              <w:rPr>
                <w:rFonts w:hint="eastAsia"/>
                <w:bCs/>
                <w:color w:val="000000" w:themeColor="text1"/>
                <w:sz w:val="21"/>
              </w:rPr>
              <w:t>N2</w:t>
            </w:r>
          </w:p>
        </w:tc>
        <w:tc>
          <w:tcPr>
            <w:tcW w:w="2184" w:type="dxa"/>
            <w:vAlign w:val="center"/>
          </w:tcPr>
          <w:p>
            <w:pPr>
              <w:jc w:val="center"/>
              <w:rPr>
                <w:color w:val="000000" w:themeColor="text1"/>
                <w:sz w:val="21"/>
              </w:rPr>
            </w:pPr>
            <w:r>
              <w:rPr>
                <w:rFonts w:hint="eastAsia"/>
                <w:color w:val="000000" w:themeColor="text1"/>
                <w:sz w:val="21"/>
              </w:rPr>
              <w:t>东面厂界外1m</w:t>
            </w:r>
          </w:p>
        </w:tc>
        <w:tc>
          <w:tcPr>
            <w:tcW w:w="1843" w:type="dxa"/>
            <w:vMerge w:val="continue"/>
            <w:vAlign w:val="center"/>
          </w:tcPr>
          <w:p>
            <w:pPr>
              <w:adjustRightInd w:val="0"/>
              <w:snapToGrid w:val="0"/>
              <w:jc w:val="center"/>
              <w:rPr>
                <w:rFonts w:cs="Arial"/>
                <w:color w:val="000000" w:themeColor="text1"/>
                <w:spacing w:val="-4"/>
                <w:sz w:val="21"/>
              </w:rPr>
            </w:pPr>
          </w:p>
        </w:tc>
        <w:tc>
          <w:tcPr>
            <w:tcW w:w="4314" w:type="dxa"/>
            <w:vMerge w:val="continue"/>
            <w:vAlign w:val="center"/>
          </w:tcPr>
          <w:p>
            <w:pPr>
              <w:adjustRightInd w:val="0"/>
              <w:snapToGrid w:val="0"/>
              <w:jc w:val="center"/>
              <w:rPr>
                <w:rFonts w:cs="Arial"/>
                <w:color w:val="000000" w:themeColor="text1"/>
                <w:spacing w:val="-4"/>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901" w:type="dxa"/>
            <w:vAlign w:val="center"/>
          </w:tcPr>
          <w:p>
            <w:pPr>
              <w:jc w:val="center"/>
              <w:rPr>
                <w:color w:val="000000" w:themeColor="text1"/>
                <w:sz w:val="21"/>
              </w:rPr>
            </w:pPr>
            <w:r>
              <w:rPr>
                <w:rFonts w:hint="eastAsia"/>
                <w:bCs/>
                <w:color w:val="000000" w:themeColor="text1"/>
                <w:sz w:val="21"/>
              </w:rPr>
              <w:t>N3</w:t>
            </w:r>
          </w:p>
        </w:tc>
        <w:tc>
          <w:tcPr>
            <w:tcW w:w="2184" w:type="dxa"/>
            <w:vAlign w:val="center"/>
          </w:tcPr>
          <w:p>
            <w:pPr>
              <w:jc w:val="center"/>
              <w:rPr>
                <w:color w:val="000000" w:themeColor="text1"/>
                <w:sz w:val="21"/>
              </w:rPr>
            </w:pPr>
            <w:r>
              <w:rPr>
                <w:rFonts w:hint="eastAsia"/>
                <w:color w:val="000000" w:themeColor="text1"/>
                <w:sz w:val="21"/>
              </w:rPr>
              <w:t>南面厂界外1m</w:t>
            </w:r>
          </w:p>
        </w:tc>
        <w:tc>
          <w:tcPr>
            <w:tcW w:w="1843" w:type="dxa"/>
            <w:vMerge w:val="continue"/>
            <w:vAlign w:val="center"/>
          </w:tcPr>
          <w:p>
            <w:pPr>
              <w:adjustRightInd w:val="0"/>
              <w:snapToGrid w:val="0"/>
              <w:jc w:val="center"/>
              <w:rPr>
                <w:rFonts w:cs="Arial"/>
                <w:color w:val="000000" w:themeColor="text1"/>
                <w:spacing w:val="-4"/>
                <w:sz w:val="21"/>
              </w:rPr>
            </w:pPr>
          </w:p>
        </w:tc>
        <w:tc>
          <w:tcPr>
            <w:tcW w:w="4314" w:type="dxa"/>
            <w:vMerge w:val="continue"/>
            <w:vAlign w:val="center"/>
          </w:tcPr>
          <w:p>
            <w:pPr>
              <w:adjustRightInd w:val="0"/>
              <w:snapToGrid w:val="0"/>
              <w:jc w:val="center"/>
              <w:rPr>
                <w:rFonts w:cs="Arial"/>
                <w:color w:val="000000" w:themeColor="text1"/>
                <w:spacing w:val="-4"/>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901" w:type="dxa"/>
            <w:vAlign w:val="center"/>
          </w:tcPr>
          <w:p>
            <w:pPr>
              <w:jc w:val="center"/>
              <w:rPr>
                <w:color w:val="000000" w:themeColor="text1"/>
                <w:sz w:val="21"/>
              </w:rPr>
            </w:pPr>
            <w:r>
              <w:rPr>
                <w:rFonts w:hint="eastAsia"/>
                <w:bCs/>
                <w:color w:val="000000" w:themeColor="text1"/>
                <w:sz w:val="21"/>
              </w:rPr>
              <w:t>N4</w:t>
            </w:r>
          </w:p>
        </w:tc>
        <w:tc>
          <w:tcPr>
            <w:tcW w:w="2184" w:type="dxa"/>
            <w:vAlign w:val="center"/>
          </w:tcPr>
          <w:p>
            <w:pPr>
              <w:jc w:val="center"/>
              <w:rPr>
                <w:color w:val="000000" w:themeColor="text1"/>
                <w:sz w:val="21"/>
              </w:rPr>
            </w:pPr>
            <w:r>
              <w:rPr>
                <w:rFonts w:hint="eastAsia"/>
                <w:color w:val="000000" w:themeColor="text1"/>
                <w:sz w:val="21"/>
              </w:rPr>
              <w:t>西面厂界外1m</w:t>
            </w:r>
          </w:p>
        </w:tc>
        <w:tc>
          <w:tcPr>
            <w:tcW w:w="1843" w:type="dxa"/>
            <w:vMerge w:val="continue"/>
            <w:vAlign w:val="center"/>
          </w:tcPr>
          <w:p>
            <w:pPr>
              <w:adjustRightInd w:val="0"/>
              <w:snapToGrid w:val="0"/>
              <w:jc w:val="center"/>
              <w:rPr>
                <w:rFonts w:cs="Arial"/>
                <w:color w:val="000000" w:themeColor="text1"/>
                <w:spacing w:val="-4"/>
                <w:sz w:val="21"/>
              </w:rPr>
            </w:pPr>
          </w:p>
        </w:tc>
        <w:tc>
          <w:tcPr>
            <w:tcW w:w="4314" w:type="dxa"/>
            <w:vMerge w:val="continue"/>
            <w:vAlign w:val="center"/>
          </w:tcPr>
          <w:p>
            <w:pPr>
              <w:adjustRightInd w:val="0"/>
              <w:snapToGrid w:val="0"/>
              <w:jc w:val="center"/>
              <w:rPr>
                <w:rFonts w:cs="Arial"/>
                <w:color w:val="000000" w:themeColor="text1"/>
                <w:spacing w:val="-4"/>
                <w:sz w:val="21"/>
              </w:rPr>
            </w:pPr>
          </w:p>
        </w:tc>
      </w:tr>
    </w:tbl>
    <w:p>
      <w:pPr>
        <w:widowControl/>
        <w:spacing w:line="360" w:lineRule="auto"/>
        <w:ind w:firstLine="482"/>
        <w:jc w:val="left"/>
        <w:rPr>
          <w:color w:val="000000" w:themeColor="text1"/>
        </w:rPr>
      </w:pPr>
      <w:r>
        <w:rPr>
          <w:rFonts w:hint="eastAsia"/>
          <w:color w:val="000000" w:themeColor="text1"/>
        </w:rPr>
        <w:t>（2）评价标准与评价方法</w:t>
      </w:r>
    </w:p>
    <w:p>
      <w:pPr>
        <w:pStyle w:val="14"/>
        <w:ind w:firstLine="482"/>
        <w:jc w:val="both"/>
        <w:rPr>
          <w:b w:val="0"/>
          <w:color w:val="000000" w:themeColor="text1"/>
        </w:rPr>
      </w:pPr>
      <w:r>
        <w:rPr>
          <w:rFonts w:hint="eastAsia"/>
          <w:b w:val="0"/>
          <w:color w:val="000000" w:themeColor="text1"/>
        </w:rPr>
        <w:t>评价方法采用与标准限值对比法进行评价。项目区域声环境执行《声环境质量标准》（GB3096-2008）2类标准。</w:t>
      </w:r>
    </w:p>
    <w:p>
      <w:pPr>
        <w:widowControl/>
        <w:spacing w:line="360" w:lineRule="auto"/>
        <w:ind w:firstLine="482"/>
        <w:jc w:val="left"/>
        <w:rPr>
          <w:color w:val="000000" w:themeColor="text1"/>
        </w:rPr>
      </w:pPr>
      <w:r>
        <w:rPr>
          <w:rFonts w:hint="eastAsia"/>
          <w:color w:val="000000" w:themeColor="text1"/>
        </w:rPr>
        <w:t>（3）监测结果统计与评价</w:t>
      </w:r>
    </w:p>
    <w:p>
      <w:pPr>
        <w:widowControl/>
        <w:spacing w:line="360" w:lineRule="auto"/>
        <w:ind w:firstLine="482"/>
        <w:jc w:val="left"/>
        <w:rPr>
          <w:color w:val="000000" w:themeColor="text1"/>
        </w:rPr>
      </w:pPr>
      <w:r>
        <w:rPr>
          <w:rFonts w:hint="eastAsia"/>
          <w:color w:val="000000" w:themeColor="text1"/>
        </w:rPr>
        <w:t>监测结果统计详见下表所示。</w:t>
      </w:r>
    </w:p>
    <w:p>
      <w:pPr>
        <w:pStyle w:val="14"/>
        <w:spacing w:line="240" w:lineRule="auto"/>
        <w:rPr>
          <w:color w:val="000000" w:themeColor="text1"/>
        </w:rPr>
      </w:pPr>
      <w:bookmarkStart w:id="167" w:name="_Ref494379655"/>
      <w:r>
        <w:rPr>
          <w:rFonts w:hint="eastAsia"/>
          <w:color w:val="000000" w:themeColor="text1"/>
        </w:rPr>
        <w:t>表</w:t>
      </w:r>
      <w:r>
        <w:rPr>
          <w:color w:val="000000" w:themeColor="text1"/>
        </w:rPr>
        <w:fldChar w:fldCharType="begin"/>
      </w:r>
      <w:r>
        <w:rPr>
          <w:color w:val="000000" w:themeColor="text1"/>
        </w:rPr>
        <w:instrText xml:space="preserve"> </w:instrText>
      </w:r>
      <w:r>
        <w:rPr>
          <w:rFonts w:hint="eastAsia"/>
          <w:color w:val="000000" w:themeColor="text1"/>
        </w:rPr>
        <w:instrText xml:space="preserve">STYLEREF 2 \s</w:instrText>
      </w:r>
      <w:r>
        <w:rPr>
          <w:color w:val="000000" w:themeColor="text1"/>
        </w:rPr>
        <w:instrText xml:space="preserve"> </w:instrText>
      </w:r>
      <w:r>
        <w:rPr>
          <w:color w:val="000000" w:themeColor="text1"/>
        </w:rPr>
        <w:fldChar w:fldCharType="separate"/>
      </w:r>
      <w:r>
        <w:rPr>
          <w:color w:val="000000" w:themeColor="text1"/>
        </w:rPr>
        <w:t>4.2</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表 \* ARABIC \s 2</w:instrText>
      </w:r>
      <w:r>
        <w:rPr>
          <w:color w:val="000000" w:themeColor="text1"/>
        </w:rPr>
        <w:instrText xml:space="preserve"> </w:instrText>
      </w:r>
      <w:r>
        <w:rPr>
          <w:color w:val="000000" w:themeColor="text1"/>
        </w:rPr>
        <w:fldChar w:fldCharType="separate"/>
      </w:r>
      <w:r>
        <w:rPr>
          <w:color w:val="000000" w:themeColor="text1"/>
        </w:rPr>
        <w:t>6</w:t>
      </w:r>
      <w:r>
        <w:rPr>
          <w:color w:val="000000" w:themeColor="text1"/>
        </w:rPr>
        <w:fldChar w:fldCharType="end"/>
      </w:r>
      <w:bookmarkEnd w:id="167"/>
      <w:r>
        <w:rPr>
          <w:rFonts w:hint="eastAsia"/>
          <w:color w:val="000000" w:themeColor="text1"/>
        </w:rPr>
        <w:t xml:space="preserve">  声环境质量现状监测及评价表</w:t>
      </w:r>
    </w:p>
    <w:tbl>
      <w:tblPr>
        <w:tblStyle w:val="40"/>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9"/>
        <w:gridCol w:w="1345"/>
        <w:gridCol w:w="1076"/>
        <w:gridCol w:w="2200"/>
        <w:gridCol w:w="1542"/>
        <w:gridCol w:w="1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监测点</w:t>
            </w:r>
          </w:p>
        </w:tc>
        <w:tc>
          <w:tcPr>
            <w:tcW w:w="2421" w:type="dxa"/>
            <w:gridSpan w:val="2"/>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监测时间</w:t>
            </w:r>
          </w:p>
        </w:tc>
        <w:tc>
          <w:tcPr>
            <w:tcW w:w="220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监测结果Leq（A）</w:t>
            </w:r>
          </w:p>
        </w:tc>
        <w:tc>
          <w:tcPr>
            <w:tcW w:w="1542"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标准限值</w:t>
            </w:r>
          </w:p>
        </w:tc>
        <w:tc>
          <w:tcPr>
            <w:tcW w:w="154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539" w:type="dxa"/>
            <w:vMerge w:val="restart"/>
            <w:vAlign w:val="center"/>
          </w:tcPr>
          <w:p>
            <w:pPr>
              <w:jc w:val="center"/>
              <w:rPr>
                <w:rFonts w:eastAsia="宋体" w:cs="Times New Roman"/>
                <w:color w:val="000000" w:themeColor="text1"/>
                <w:kern w:val="0"/>
                <w:sz w:val="21"/>
              </w:rPr>
            </w:pPr>
            <w:r>
              <w:rPr>
                <w:rFonts w:hint="eastAsia" w:eastAsia="宋体" w:cs="Times New Roman"/>
                <w:bCs/>
                <w:color w:val="000000" w:themeColor="text1"/>
                <w:kern w:val="0"/>
                <w:sz w:val="21"/>
              </w:rPr>
              <w:t>N1</w:t>
            </w:r>
          </w:p>
        </w:tc>
        <w:tc>
          <w:tcPr>
            <w:tcW w:w="1345" w:type="dxa"/>
            <w:vMerge w:val="restart"/>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2019.8.1</w:t>
            </w:r>
          </w:p>
        </w:tc>
        <w:tc>
          <w:tcPr>
            <w:tcW w:w="1076"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昼间</w:t>
            </w:r>
          </w:p>
        </w:tc>
        <w:tc>
          <w:tcPr>
            <w:tcW w:w="2200" w:type="dxa"/>
            <w:vAlign w:val="center"/>
          </w:tcPr>
          <w:p>
            <w:pPr>
              <w:widowControl/>
              <w:snapToGrid w:val="0"/>
              <w:spacing w:beforeLines="5" w:afterLines="5"/>
              <w:jc w:val="center"/>
              <w:rPr>
                <w:rFonts w:eastAsia="宋体" w:cs="Times New Roman"/>
                <w:color w:val="000000" w:themeColor="text1"/>
                <w:kern w:val="0"/>
                <w:sz w:val="21"/>
              </w:rPr>
            </w:pPr>
            <w:r>
              <w:rPr>
                <w:rFonts w:hint="eastAsia" w:eastAsia="宋体" w:cs="Times New Roman"/>
                <w:color w:val="000000" w:themeColor="text1"/>
                <w:kern w:val="0"/>
                <w:sz w:val="21"/>
              </w:rPr>
              <w:t>53.7</w:t>
            </w:r>
          </w:p>
        </w:tc>
        <w:tc>
          <w:tcPr>
            <w:tcW w:w="1542"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60</w:t>
            </w:r>
          </w:p>
        </w:tc>
        <w:tc>
          <w:tcPr>
            <w:tcW w:w="154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539" w:type="dxa"/>
            <w:vMerge w:val="continue"/>
            <w:vAlign w:val="center"/>
          </w:tcPr>
          <w:p>
            <w:pPr>
              <w:jc w:val="center"/>
              <w:rPr>
                <w:rFonts w:eastAsia="宋体" w:cs="Times New Roman"/>
                <w:bCs/>
                <w:color w:val="000000" w:themeColor="text1"/>
                <w:kern w:val="0"/>
                <w:sz w:val="21"/>
              </w:rPr>
            </w:pPr>
          </w:p>
        </w:tc>
        <w:tc>
          <w:tcPr>
            <w:tcW w:w="1345" w:type="dxa"/>
            <w:vMerge w:val="continue"/>
            <w:vAlign w:val="center"/>
          </w:tcPr>
          <w:p>
            <w:pPr>
              <w:jc w:val="center"/>
              <w:rPr>
                <w:rFonts w:eastAsia="宋体" w:cs="Times New Roman"/>
                <w:color w:val="000000" w:themeColor="text1"/>
                <w:kern w:val="0"/>
                <w:sz w:val="21"/>
              </w:rPr>
            </w:pPr>
          </w:p>
        </w:tc>
        <w:tc>
          <w:tcPr>
            <w:tcW w:w="1076"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夜间</w:t>
            </w:r>
          </w:p>
        </w:tc>
        <w:tc>
          <w:tcPr>
            <w:tcW w:w="2200" w:type="dxa"/>
            <w:vAlign w:val="center"/>
          </w:tcPr>
          <w:p>
            <w:pPr>
              <w:widowControl/>
              <w:snapToGrid w:val="0"/>
              <w:spacing w:beforeLines="5" w:afterLines="5"/>
              <w:jc w:val="center"/>
              <w:rPr>
                <w:rFonts w:eastAsia="宋体" w:cs="Times New Roman"/>
                <w:color w:val="000000" w:themeColor="text1"/>
                <w:kern w:val="0"/>
                <w:sz w:val="21"/>
              </w:rPr>
            </w:pPr>
            <w:r>
              <w:rPr>
                <w:rFonts w:hint="eastAsia" w:eastAsia="宋体" w:cs="Times New Roman"/>
                <w:color w:val="000000" w:themeColor="text1"/>
                <w:kern w:val="0"/>
                <w:sz w:val="21"/>
              </w:rPr>
              <w:t>43.4</w:t>
            </w:r>
          </w:p>
        </w:tc>
        <w:tc>
          <w:tcPr>
            <w:tcW w:w="1542"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50</w:t>
            </w:r>
          </w:p>
        </w:tc>
        <w:tc>
          <w:tcPr>
            <w:tcW w:w="154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539" w:type="dxa"/>
            <w:vMerge w:val="continue"/>
            <w:vAlign w:val="center"/>
          </w:tcPr>
          <w:p>
            <w:pPr>
              <w:jc w:val="center"/>
              <w:rPr>
                <w:rFonts w:eastAsia="宋体" w:cs="Times New Roman"/>
                <w:color w:val="000000" w:themeColor="text1"/>
                <w:kern w:val="0"/>
                <w:sz w:val="21"/>
              </w:rPr>
            </w:pPr>
          </w:p>
        </w:tc>
        <w:tc>
          <w:tcPr>
            <w:tcW w:w="1345" w:type="dxa"/>
            <w:vMerge w:val="restart"/>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2019.8.2</w:t>
            </w:r>
          </w:p>
        </w:tc>
        <w:tc>
          <w:tcPr>
            <w:tcW w:w="1076"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昼间</w:t>
            </w:r>
          </w:p>
        </w:tc>
        <w:tc>
          <w:tcPr>
            <w:tcW w:w="220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51.8</w:t>
            </w:r>
          </w:p>
        </w:tc>
        <w:tc>
          <w:tcPr>
            <w:tcW w:w="1542"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60</w:t>
            </w:r>
          </w:p>
        </w:tc>
        <w:tc>
          <w:tcPr>
            <w:tcW w:w="154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539" w:type="dxa"/>
            <w:vMerge w:val="continue"/>
            <w:vAlign w:val="center"/>
          </w:tcPr>
          <w:p>
            <w:pPr>
              <w:jc w:val="center"/>
              <w:rPr>
                <w:rFonts w:eastAsia="宋体" w:cs="Times New Roman"/>
                <w:color w:val="000000" w:themeColor="text1"/>
                <w:kern w:val="0"/>
                <w:sz w:val="21"/>
              </w:rPr>
            </w:pPr>
          </w:p>
        </w:tc>
        <w:tc>
          <w:tcPr>
            <w:tcW w:w="1345" w:type="dxa"/>
            <w:vMerge w:val="continue"/>
            <w:vAlign w:val="center"/>
          </w:tcPr>
          <w:p>
            <w:pPr>
              <w:jc w:val="center"/>
              <w:rPr>
                <w:rFonts w:eastAsia="宋体" w:cs="Times New Roman"/>
                <w:color w:val="000000" w:themeColor="text1"/>
                <w:kern w:val="0"/>
                <w:sz w:val="21"/>
              </w:rPr>
            </w:pPr>
          </w:p>
        </w:tc>
        <w:tc>
          <w:tcPr>
            <w:tcW w:w="1076"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夜间</w:t>
            </w:r>
          </w:p>
        </w:tc>
        <w:tc>
          <w:tcPr>
            <w:tcW w:w="220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41.9</w:t>
            </w:r>
          </w:p>
        </w:tc>
        <w:tc>
          <w:tcPr>
            <w:tcW w:w="1542"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50</w:t>
            </w:r>
          </w:p>
        </w:tc>
        <w:tc>
          <w:tcPr>
            <w:tcW w:w="154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539" w:type="dxa"/>
            <w:vMerge w:val="restart"/>
            <w:vAlign w:val="center"/>
          </w:tcPr>
          <w:p>
            <w:pPr>
              <w:jc w:val="center"/>
              <w:rPr>
                <w:rFonts w:eastAsia="宋体" w:cs="Times New Roman"/>
                <w:color w:val="000000" w:themeColor="text1"/>
                <w:kern w:val="0"/>
                <w:sz w:val="21"/>
              </w:rPr>
            </w:pPr>
            <w:r>
              <w:rPr>
                <w:rFonts w:hint="eastAsia" w:eastAsia="宋体" w:cs="Times New Roman"/>
                <w:bCs/>
                <w:color w:val="000000" w:themeColor="text1"/>
                <w:kern w:val="0"/>
                <w:sz w:val="21"/>
              </w:rPr>
              <w:t>N2</w:t>
            </w:r>
          </w:p>
        </w:tc>
        <w:tc>
          <w:tcPr>
            <w:tcW w:w="1345" w:type="dxa"/>
            <w:vMerge w:val="restart"/>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2019.8.1</w:t>
            </w:r>
          </w:p>
        </w:tc>
        <w:tc>
          <w:tcPr>
            <w:tcW w:w="1076"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昼间</w:t>
            </w:r>
          </w:p>
        </w:tc>
        <w:tc>
          <w:tcPr>
            <w:tcW w:w="2200" w:type="dxa"/>
            <w:vAlign w:val="center"/>
          </w:tcPr>
          <w:p>
            <w:pPr>
              <w:widowControl/>
              <w:adjustRightInd w:val="0"/>
              <w:snapToGrid w:val="0"/>
              <w:jc w:val="center"/>
              <w:rPr>
                <w:rFonts w:eastAsia="宋体" w:cs="Times New Roman"/>
                <w:color w:val="000000" w:themeColor="text1"/>
                <w:kern w:val="0"/>
                <w:sz w:val="21"/>
              </w:rPr>
            </w:pPr>
            <w:r>
              <w:rPr>
                <w:rFonts w:hint="eastAsia" w:eastAsia="宋体" w:cs="Times New Roman"/>
                <w:color w:val="000000" w:themeColor="text1"/>
                <w:kern w:val="0"/>
                <w:sz w:val="21"/>
              </w:rPr>
              <w:t>51.6</w:t>
            </w:r>
          </w:p>
        </w:tc>
        <w:tc>
          <w:tcPr>
            <w:tcW w:w="1542"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60</w:t>
            </w:r>
          </w:p>
        </w:tc>
        <w:tc>
          <w:tcPr>
            <w:tcW w:w="154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539" w:type="dxa"/>
            <w:vMerge w:val="continue"/>
            <w:vAlign w:val="center"/>
          </w:tcPr>
          <w:p>
            <w:pPr>
              <w:jc w:val="center"/>
              <w:rPr>
                <w:rFonts w:eastAsia="宋体" w:cs="Times New Roman"/>
                <w:bCs/>
                <w:color w:val="000000" w:themeColor="text1"/>
                <w:kern w:val="0"/>
                <w:sz w:val="21"/>
              </w:rPr>
            </w:pPr>
          </w:p>
        </w:tc>
        <w:tc>
          <w:tcPr>
            <w:tcW w:w="1345" w:type="dxa"/>
            <w:vMerge w:val="continue"/>
            <w:vAlign w:val="center"/>
          </w:tcPr>
          <w:p>
            <w:pPr>
              <w:jc w:val="center"/>
              <w:rPr>
                <w:rFonts w:eastAsia="宋体" w:cs="Times New Roman"/>
                <w:color w:val="000000" w:themeColor="text1"/>
                <w:kern w:val="0"/>
                <w:sz w:val="21"/>
              </w:rPr>
            </w:pPr>
          </w:p>
        </w:tc>
        <w:tc>
          <w:tcPr>
            <w:tcW w:w="1076"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夜间</w:t>
            </w:r>
          </w:p>
        </w:tc>
        <w:tc>
          <w:tcPr>
            <w:tcW w:w="2200" w:type="dxa"/>
            <w:vAlign w:val="center"/>
          </w:tcPr>
          <w:p>
            <w:pPr>
              <w:widowControl/>
              <w:adjustRightInd w:val="0"/>
              <w:snapToGrid w:val="0"/>
              <w:jc w:val="center"/>
              <w:rPr>
                <w:rFonts w:eastAsia="宋体" w:cs="Times New Roman"/>
                <w:color w:val="000000" w:themeColor="text1"/>
                <w:kern w:val="0"/>
                <w:sz w:val="21"/>
              </w:rPr>
            </w:pPr>
            <w:r>
              <w:rPr>
                <w:rFonts w:hint="eastAsia" w:eastAsia="宋体" w:cs="Times New Roman"/>
                <w:color w:val="000000" w:themeColor="text1"/>
                <w:kern w:val="0"/>
                <w:sz w:val="21"/>
              </w:rPr>
              <w:t>41.8</w:t>
            </w:r>
          </w:p>
        </w:tc>
        <w:tc>
          <w:tcPr>
            <w:tcW w:w="1542"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50</w:t>
            </w:r>
          </w:p>
        </w:tc>
        <w:tc>
          <w:tcPr>
            <w:tcW w:w="154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539" w:type="dxa"/>
            <w:vMerge w:val="continue"/>
            <w:vAlign w:val="center"/>
          </w:tcPr>
          <w:p>
            <w:pPr>
              <w:jc w:val="center"/>
              <w:rPr>
                <w:rFonts w:eastAsia="宋体" w:cs="Times New Roman"/>
                <w:color w:val="000000" w:themeColor="text1"/>
                <w:kern w:val="0"/>
                <w:sz w:val="21"/>
              </w:rPr>
            </w:pPr>
          </w:p>
        </w:tc>
        <w:tc>
          <w:tcPr>
            <w:tcW w:w="1345" w:type="dxa"/>
            <w:vMerge w:val="restart"/>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2019.8.2</w:t>
            </w:r>
          </w:p>
        </w:tc>
        <w:tc>
          <w:tcPr>
            <w:tcW w:w="1076"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昼间</w:t>
            </w:r>
          </w:p>
        </w:tc>
        <w:tc>
          <w:tcPr>
            <w:tcW w:w="220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53.2</w:t>
            </w:r>
          </w:p>
        </w:tc>
        <w:tc>
          <w:tcPr>
            <w:tcW w:w="1542"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60</w:t>
            </w:r>
          </w:p>
        </w:tc>
        <w:tc>
          <w:tcPr>
            <w:tcW w:w="154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539" w:type="dxa"/>
            <w:vMerge w:val="continue"/>
            <w:vAlign w:val="center"/>
          </w:tcPr>
          <w:p>
            <w:pPr>
              <w:jc w:val="center"/>
              <w:rPr>
                <w:rFonts w:eastAsia="宋体" w:cs="Times New Roman"/>
                <w:color w:val="000000" w:themeColor="text1"/>
                <w:kern w:val="0"/>
                <w:sz w:val="21"/>
              </w:rPr>
            </w:pPr>
          </w:p>
        </w:tc>
        <w:tc>
          <w:tcPr>
            <w:tcW w:w="1345" w:type="dxa"/>
            <w:vMerge w:val="continue"/>
            <w:vAlign w:val="center"/>
          </w:tcPr>
          <w:p>
            <w:pPr>
              <w:jc w:val="center"/>
              <w:rPr>
                <w:rFonts w:eastAsia="宋体" w:cs="Times New Roman"/>
                <w:color w:val="000000" w:themeColor="text1"/>
                <w:kern w:val="0"/>
                <w:sz w:val="21"/>
              </w:rPr>
            </w:pPr>
          </w:p>
        </w:tc>
        <w:tc>
          <w:tcPr>
            <w:tcW w:w="1076"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夜间</w:t>
            </w:r>
          </w:p>
        </w:tc>
        <w:tc>
          <w:tcPr>
            <w:tcW w:w="220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43.6</w:t>
            </w:r>
          </w:p>
        </w:tc>
        <w:tc>
          <w:tcPr>
            <w:tcW w:w="1542"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50</w:t>
            </w:r>
          </w:p>
        </w:tc>
        <w:tc>
          <w:tcPr>
            <w:tcW w:w="154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539" w:type="dxa"/>
            <w:vMerge w:val="restart"/>
            <w:vAlign w:val="center"/>
          </w:tcPr>
          <w:p>
            <w:pPr>
              <w:jc w:val="center"/>
              <w:rPr>
                <w:rFonts w:eastAsia="宋体" w:cs="Times New Roman"/>
                <w:color w:val="000000" w:themeColor="text1"/>
                <w:kern w:val="0"/>
                <w:sz w:val="21"/>
              </w:rPr>
            </w:pPr>
            <w:r>
              <w:rPr>
                <w:rFonts w:hint="eastAsia" w:eastAsia="宋体" w:cs="Times New Roman"/>
                <w:bCs/>
                <w:color w:val="000000" w:themeColor="text1"/>
                <w:kern w:val="0"/>
                <w:sz w:val="21"/>
              </w:rPr>
              <w:t>N3</w:t>
            </w:r>
          </w:p>
        </w:tc>
        <w:tc>
          <w:tcPr>
            <w:tcW w:w="1345" w:type="dxa"/>
            <w:vMerge w:val="restart"/>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2019.8.1</w:t>
            </w:r>
          </w:p>
        </w:tc>
        <w:tc>
          <w:tcPr>
            <w:tcW w:w="1076"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昼间</w:t>
            </w:r>
          </w:p>
        </w:tc>
        <w:tc>
          <w:tcPr>
            <w:tcW w:w="2200" w:type="dxa"/>
            <w:vAlign w:val="center"/>
          </w:tcPr>
          <w:p>
            <w:pPr>
              <w:widowControl/>
              <w:adjustRightInd w:val="0"/>
              <w:snapToGrid w:val="0"/>
              <w:jc w:val="center"/>
              <w:rPr>
                <w:rFonts w:eastAsia="宋体" w:cs="Times New Roman"/>
                <w:color w:val="000000" w:themeColor="text1"/>
                <w:kern w:val="0"/>
                <w:sz w:val="21"/>
              </w:rPr>
            </w:pPr>
            <w:r>
              <w:rPr>
                <w:rFonts w:hint="eastAsia" w:eastAsia="宋体" w:cs="Times New Roman"/>
                <w:color w:val="000000" w:themeColor="text1"/>
                <w:kern w:val="0"/>
                <w:sz w:val="21"/>
              </w:rPr>
              <w:t>50.2</w:t>
            </w:r>
          </w:p>
        </w:tc>
        <w:tc>
          <w:tcPr>
            <w:tcW w:w="1542"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60</w:t>
            </w:r>
          </w:p>
        </w:tc>
        <w:tc>
          <w:tcPr>
            <w:tcW w:w="154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539" w:type="dxa"/>
            <w:vMerge w:val="continue"/>
            <w:vAlign w:val="center"/>
          </w:tcPr>
          <w:p>
            <w:pPr>
              <w:jc w:val="center"/>
              <w:rPr>
                <w:rFonts w:eastAsia="宋体" w:cs="Times New Roman"/>
                <w:bCs/>
                <w:color w:val="000000" w:themeColor="text1"/>
                <w:kern w:val="0"/>
                <w:sz w:val="21"/>
              </w:rPr>
            </w:pPr>
          </w:p>
        </w:tc>
        <w:tc>
          <w:tcPr>
            <w:tcW w:w="1345" w:type="dxa"/>
            <w:vMerge w:val="continue"/>
            <w:vAlign w:val="center"/>
          </w:tcPr>
          <w:p>
            <w:pPr>
              <w:jc w:val="center"/>
              <w:rPr>
                <w:rFonts w:eastAsia="宋体" w:cs="Times New Roman"/>
                <w:color w:val="000000" w:themeColor="text1"/>
                <w:kern w:val="0"/>
                <w:sz w:val="21"/>
              </w:rPr>
            </w:pPr>
          </w:p>
        </w:tc>
        <w:tc>
          <w:tcPr>
            <w:tcW w:w="1076"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夜间</w:t>
            </w:r>
          </w:p>
        </w:tc>
        <w:tc>
          <w:tcPr>
            <w:tcW w:w="2200" w:type="dxa"/>
            <w:vAlign w:val="center"/>
          </w:tcPr>
          <w:p>
            <w:pPr>
              <w:widowControl/>
              <w:adjustRightInd w:val="0"/>
              <w:snapToGrid w:val="0"/>
              <w:jc w:val="center"/>
              <w:rPr>
                <w:rFonts w:eastAsia="宋体" w:cs="Times New Roman"/>
                <w:color w:val="000000" w:themeColor="text1"/>
                <w:kern w:val="0"/>
                <w:sz w:val="21"/>
              </w:rPr>
            </w:pPr>
            <w:r>
              <w:rPr>
                <w:rFonts w:hint="eastAsia" w:eastAsia="宋体" w:cs="Times New Roman"/>
                <w:color w:val="000000" w:themeColor="text1"/>
                <w:kern w:val="0"/>
                <w:sz w:val="21"/>
              </w:rPr>
              <w:t>42.9</w:t>
            </w:r>
          </w:p>
        </w:tc>
        <w:tc>
          <w:tcPr>
            <w:tcW w:w="1542"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50</w:t>
            </w:r>
          </w:p>
        </w:tc>
        <w:tc>
          <w:tcPr>
            <w:tcW w:w="154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539" w:type="dxa"/>
            <w:vMerge w:val="continue"/>
            <w:vAlign w:val="center"/>
          </w:tcPr>
          <w:p>
            <w:pPr>
              <w:jc w:val="center"/>
              <w:rPr>
                <w:rFonts w:eastAsia="宋体" w:cs="Times New Roman"/>
                <w:color w:val="000000" w:themeColor="text1"/>
                <w:kern w:val="0"/>
                <w:sz w:val="21"/>
              </w:rPr>
            </w:pPr>
          </w:p>
        </w:tc>
        <w:tc>
          <w:tcPr>
            <w:tcW w:w="1345" w:type="dxa"/>
            <w:vMerge w:val="restart"/>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2019.8.2</w:t>
            </w:r>
          </w:p>
        </w:tc>
        <w:tc>
          <w:tcPr>
            <w:tcW w:w="1076"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昼间</w:t>
            </w:r>
          </w:p>
        </w:tc>
        <w:tc>
          <w:tcPr>
            <w:tcW w:w="220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52.6</w:t>
            </w:r>
          </w:p>
        </w:tc>
        <w:tc>
          <w:tcPr>
            <w:tcW w:w="1542"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60</w:t>
            </w:r>
          </w:p>
        </w:tc>
        <w:tc>
          <w:tcPr>
            <w:tcW w:w="154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539" w:type="dxa"/>
            <w:vMerge w:val="continue"/>
            <w:vAlign w:val="center"/>
          </w:tcPr>
          <w:p>
            <w:pPr>
              <w:jc w:val="center"/>
              <w:rPr>
                <w:rFonts w:eastAsia="宋体" w:cs="Times New Roman"/>
                <w:color w:val="000000" w:themeColor="text1"/>
                <w:kern w:val="0"/>
                <w:sz w:val="21"/>
              </w:rPr>
            </w:pPr>
          </w:p>
        </w:tc>
        <w:tc>
          <w:tcPr>
            <w:tcW w:w="1345" w:type="dxa"/>
            <w:vMerge w:val="continue"/>
            <w:vAlign w:val="center"/>
          </w:tcPr>
          <w:p>
            <w:pPr>
              <w:jc w:val="center"/>
              <w:rPr>
                <w:rFonts w:eastAsia="宋体" w:cs="Times New Roman"/>
                <w:color w:val="000000" w:themeColor="text1"/>
                <w:kern w:val="0"/>
                <w:sz w:val="21"/>
              </w:rPr>
            </w:pPr>
          </w:p>
        </w:tc>
        <w:tc>
          <w:tcPr>
            <w:tcW w:w="1076"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夜间</w:t>
            </w:r>
          </w:p>
        </w:tc>
        <w:tc>
          <w:tcPr>
            <w:tcW w:w="220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40.4</w:t>
            </w:r>
          </w:p>
        </w:tc>
        <w:tc>
          <w:tcPr>
            <w:tcW w:w="1542"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50</w:t>
            </w:r>
          </w:p>
        </w:tc>
        <w:tc>
          <w:tcPr>
            <w:tcW w:w="154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539" w:type="dxa"/>
            <w:vMerge w:val="restart"/>
            <w:vAlign w:val="center"/>
          </w:tcPr>
          <w:p>
            <w:pPr>
              <w:jc w:val="center"/>
              <w:rPr>
                <w:rFonts w:eastAsia="宋体" w:cs="Times New Roman"/>
                <w:color w:val="000000" w:themeColor="text1"/>
                <w:kern w:val="0"/>
                <w:sz w:val="21"/>
              </w:rPr>
            </w:pPr>
            <w:r>
              <w:rPr>
                <w:rFonts w:hint="eastAsia" w:eastAsia="宋体" w:cs="Times New Roman"/>
                <w:bCs/>
                <w:color w:val="000000" w:themeColor="text1"/>
                <w:kern w:val="0"/>
                <w:sz w:val="21"/>
              </w:rPr>
              <w:t>N4</w:t>
            </w:r>
          </w:p>
        </w:tc>
        <w:tc>
          <w:tcPr>
            <w:tcW w:w="1345" w:type="dxa"/>
            <w:vMerge w:val="restart"/>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2019.8.1</w:t>
            </w:r>
          </w:p>
        </w:tc>
        <w:tc>
          <w:tcPr>
            <w:tcW w:w="1076"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昼间</w:t>
            </w:r>
          </w:p>
        </w:tc>
        <w:tc>
          <w:tcPr>
            <w:tcW w:w="220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54.1</w:t>
            </w:r>
          </w:p>
        </w:tc>
        <w:tc>
          <w:tcPr>
            <w:tcW w:w="1542"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60</w:t>
            </w:r>
          </w:p>
        </w:tc>
        <w:tc>
          <w:tcPr>
            <w:tcW w:w="154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539" w:type="dxa"/>
            <w:vMerge w:val="continue"/>
            <w:vAlign w:val="center"/>
          </w:tcPr>
          <w:p>
            <w:pPr>
              <w:jc w:val="center"/>
              <w:rPr>
                <w:rFonts w:eastAsia="宋体" w:cs="Times New Roman"/>
                <w:bCs/>
                <w:color w:val="000000" w:themeColor="text1"/>
                <w:kern w:val="0"/>
                <w:sz w:val="21"/>
              </w:rPr>
            </w:pPr>
          </w:p>
        </w:tc>
        <w:tc>
          <w:tcPr>
            <w:tcW w:w="1345" w:type="dxa"/>
            <w:vMerge w:val="continue"/>
            <w:vAlign w:val="center"/>
          </w:tcPr>
          <w:p>
            <w:pPr>
              <w:jc w:val="center"/>
              <w:rPr>
                <w:rFonts w:eastAsia="宋体" w:cs="Times New Roman"/>
                <w:color w:val="000000" w:themeColor="text1"/>
                <w:kern w:val="0"/>
                <w:sz w:val="21"/>
              </w:rPr>
            </w:pPr>
          </w:p>
        </w:tc>
        <w:tc>
          <w:tcPr>
            <w:tcW w:w="1076"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夜间</w:t>
            </w:r>
          </w:p>
        </w:tc>
        <w:tc>
          <w:tcPr>
            <w:tcW w:w="220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39.8</w:t>
            </w:r>
          </w:p>
        </w:tc>
        <w:tc>
          <w:tcPr>
            <w:tcW w:w="1542"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50</w:t>
            </w:r>
          </w:p>
        </w:tc>
        <w:tc>
          <w:tcPr>
            <w:tcW w:w="154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539" w:type="dxa"/>
            <w:vMerge w:val="continue"/>
            <w:vAlign w:val="center"/>
          </w:tcPr>
          <w:p>
            <w:pPr>
              <w:jc w:val="center"/>
              <w:rPr>
                <w:rFonts w:eastAsia="宋体" w:cs="Times New Roman"/>
                <w:bCs/>
                <w:color w:val="000000" w:themeColor="text1"/>
                <w:kern w:val="0"/>
                <w:sz w:val="21"/>
              </w:rPr>
            </w:pPr>
          </w:p>
        </w:tc>
        <w:tc>
          <w:tcPr>
            <w:tcW w:w="1345" w:type="dxa"/>
            <w:vMerge w:val="restart"/>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2019.8.2</w:t>
            </w:r>
          </w:p>
        </w:tc>
        <w:tc>
          <w:tcPr>
            <w:tcW w:w="1076"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昼间</w:t>
            </w:r>
          </w:p>
        </w:tc>
        <w:tc>
          <w:tcPr>
            <w:tcW w:w="220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50.7</w:t>
            </w:r>
          </w:p>
        </w:tc>
        <w:tc>
          <w:tcPr>
            <w:tcW w:w="1542"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60</w:t>
            </w:r>
          </w:p>
        </w:tc>
        <w:tc>
          <w:tcPr>
            <w:tcW w:w="154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539" w:type="dxa"/>
            <w:vMerge w:val="continue"/>
            <w:vAlign w:val="center"/>
          </w:tcPr>
          <w:p>
            <w:pPr>
              <w:jc w:val="center"/>
              <w:rPr>
                <w:rFonts w:eastAsia="宋体" w:cs="Times New Roman"/>
                <w:bCs/>
                <w:color w:val="000000" w:themeColor="text1"/>
                <w:kern w:val="0"/>
                <w:sz w:val="21"/>
              </w:rPr>
            </w:pPr>
          </w:p>
        </w:tc>
        <w:tc>
          <w:tcPr>
            <w:tcW w:w="1345" w:type="dxa"/>
            <w:vMerge w:val="continue"/>
            <w:vAlign w:val="center"/>
          </w:tcPr>
          <w:p>
            <w:pPr>
              <w:jc w:val="center"/>
              <w:rPr>
                <w:rFonts w:eastAsia="宋体" w:cs="Times New Roman"/>
                <w:color w:val="000000" w:themeColor="text1"/>
                <w:kern w:val="0"/>
                <w:sz w:val="21"/>
              </w:rPr>
            </w:pPr>
          </w:p>
        </w:tc>
        <w:tc>
          <w:tcPr>
            <w:tcW w:w="1076"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夜间</w:t>
            </w:r>
          </w:p>
        </w:tc>
        <w:tc>
          <w:tcPr>
            <w:tcW w:w="220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44.3</w:t>
            </w:r>
          </w:p>
        </w:tc>
        <w:tc>
          <w:tcPr>
            <w:tcW w:w="1542"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50</w:t>
            </w:r>
          </w:p>
        </w:tc>
        <w:tc>
          <w:tcPr>
            <w:tcW w:w="1540" w:type="dxa"/>
            <w:vAlign w:val="center"/>
          </w:tcPr>
          <w:p>
            <w:pPr>
              <w:jc w:val="center"/>
              <w:rPr>
                <w:rFonts w:eastAsia="宋体" w:cs="Times New Roman"/>
                <w:color w:val="000000" w:themeColor="text1"/>
                <w:kern w:val="0"/>
                <w:sz w:val="21"/>
              </w:rPr>
            </w:pPr>
            <w:r>
              <w:rPr>
                <w:rFonts w:hint="eastAsia" w:eastAsia="宋体" w:cs="Times New Roman"/>
                <w:color w:val="000000" w:themeColor="text1"/>
                <w:kern w:val="0"/>
                <w:sz w:val="21"/>
              </w:rPr>
              <w:t>达标</w:t>
            </w:r>
          </w:p>
        </w:tc>
      </w:tr>
    </w:tbl>
    <w:p>
      <w:pPr>
        <w:pStyle w:val="14"/>
        <w:ind w:firstLine="480" w:firstLineChars="200"/>
        <w:jc w:val="both"/>
        <w:rPr>
          <w:rFonts w:cs="Times New Roman"/>
          <w:b w:val="0"/>
          <w:color w:val="000000" w:themeColor="text1"/>
        </w:rPr>
      </w:pPr>
      <w:r>
        <w:rPr>
          <w:rFonts w:cs="Times New Roman"/>
          <w:b w:val="0"/>
          <w:color w:val="000000" w:themeColor="text1"/>
        </w:rPr>
        <w:t>由</w:t>
      </w:r>
      <w:r>
        <w:fldChar w:fldCharType="begin"/>
      </w:r>
      <w:r>
        <w:instrText xml:space="preserve"> REF _Ref494379655 \h  \* MERGEFORMAT </w:instrText>
      </w:r>
      <w:r>
        <w:fldChar w:fldCharType="separate"/>
      </w:r>
      <w:r>
        <w:rPr>
          <w:rFonts w:cs="Times New Roman"/>
          <w:b w:val="0"/>
          <w:color w:val="000000" w:themeColor="text1"/>
        </w:rPr>
        <w:t>表4.2</w:t>
      </w:r>
      <w:r>
        <w:rPr>
          <w:rFonts w:cs="Times New Roman"/>
          <w:b w:val="0"/>
          <w:color w:val="000000" w:themeColor="text1"/>
        </w:rPr>
        <w:noBreakHyphen/>
      </w:r>
      <w:r>
        <w:rPr>
          <w:rFonts w:cs="Times New Roman"/>
          <w:b w:val="0"/>
          <w:color w:val="000000" w:themeColor="text1"/>
        </w:rPr>
        <w:t>6</w:t>
      </w:r>
      <w:r>
        <w:rPr>
          <w:rFonts w:cs="Times New Roman"/>
          <w:b w:val="0"/>
          <w:color w:val="000000" w:themeColor="text1"/>
        </w:rPr>
        <w:fldChar w:fldCharType="end"/>
      </w:r>
      <w:r>
        <w:rPr>
          <w:rFonts w:cs="Times New Roman"/>
          <w:b w:val="0"/>
          <w:color w:val="000000" w:themeColor="text1"/>
        </w:rPr>
        <w:t>可知，在项目所在地设置了4个声环境监测点，监测因子为等效A声级</w:t>
      </w:r>
      <w:r>
        <w:rPr>
          <w:rFonts w:hint="eastAsia" w:cs="Times New Roman"/>
          <w:b w:val="0"/>
          <w:color w:val="000000" w:themeColor="text1"/>
        </w:rPr>
        <w:t>，</w:t>
      </w:r>
      <w:r>
        <w:rPr>
          <w:rFonts w:cs="Times New Roman"/>
          <w:b w:val="0"/>
          <w:color w:val="000000" w:themeColor="text1"/>
        </w:rPr>
        <w:t>监测结果表明项目所在地声环境质量满足《声环境质量标准》GB3096-2008中的2类标准。</w:t>
      </w:r>
    </w:p>
    <w:p>
      <w:pPr>
        <w:pStyle w:val="5"/>
        <w:rPr>
          <w:color w:val="000000" w:themeColor="text1"/>
        </w:rPr>
      </w:pPr>
      <w:bookmarkStart w:id="168" w:name="_Toc532497652"/>
      <w:r>
        <w:rPr>
          <w:rFonts w:hint="eastAsia"/>
          <w:color w:val="000000" w:themeColor="text1"/>
        </w:rPr>
        <w:t>土壤环境现状评价</w:t>
      </w:r>
    </w:p>
    <w:p>
      <w:pPr>
        <w:spacing w:line="360" w:lineRule="auto"/>
        <w:ind w:firstLine="480" w:firstLineChars="200"/>
        <w:rPr>
          <w:rFonts w:cs="Times New Roman"/>
        </w:rPr>
      </w:pPr>
      <w:r>
        <w:rPr>
          <w:rFonts w:cs="Times New Roman"/>
        </w:rPr>
        <w:t>根据《环境影响评价技术导则—土壤环境（试行）》（HJ964-2018），查附录A土壤环境影响评价项目类别，本项目属于其他行业，则项目类别为Ⅳ类。根查阅《环境影响评价技术导则—土壤环境（试行）》（HJ964-2018）4.2.2中规定“根据行业特征、工艺特点或规模大小等将建设项目类别分为Ⅰ类、Ⅱ类、Ⅲ类、Ⅳ类，见附录A，其中Ⅳ类建设项目可不开展土壤环境影响评价；但导则中有提出，自身为敏感目标的建设项目，可根据需要对土壤环境现状进行调查”。因此，本医院属于自身为敏感目标的建设项目，则本次对项目地周边土壤进行现场监测。本项目特委托湖南精准通检测技术有限公司于2019年8月1日对本项目地周边的土壤现状进行监测，具体值见下表所示。</w:t>
      </w:r>
    </w:p>
    <w:p>
      <w:pPr>
        <w:pStyle w:val="14"/>
        <w:spacing w:line="240" w:lineRule="auto"/>
      </w:pPr>
      <w:r>
        <w:rPr>
          <w:rFonts w:hint="eastAsia"/>
        </w:rPr>
        <w:t>表</w:t>
      </w:r>
      <w:r>
        <w:fldChar w:fldCharType="begin"/>
      </w:r>
      <w:r>
        <w:instrText xml:space="preserve"> STYLEREF 2 \s </w:instrText>
      </w:r>
      <w:r>
        <w:fldChar w:fldCharType="separate"/>
      </w:r>
      <w:r>
        <w:t>4.2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7</w:t>
      </w:r>
      <w:r>
        <w:fldChar w:fldCharType="end"/>
      </w:r>
      <w:r>
        <w:rPr>
          <w:rFonts w:hint="eastAsia"/>
        </w:rPr>
        <w:t xml:space="preserve">  土壤质量现状及评价结果一览表</w:t>
      </w:r>
    </w:p>
    <w:tbl>
      <w:tblPr>
        <w:tblStyle w:val="39"/>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63"/>
        <w:gridCol w:w="1888"/>
        <w:gridCol w:w="1231"/>
        <w:gridCol w:w="1231"/>
        <w:gridCol w:w="1235"/>
        <w:gridCol w:w="1369"/>
        <w:gridCol w:w="12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69" w:type="pct"/>
            <w:vMerge w:val="restart"/>
            <w:vAlign w:val="center"/>
          </w:tcPr>
          <w:p>
            <w:pPr>
              <w:pStyle w:val="140"/>
              <w:ind w:firstLine="210" w:firstLineChars="100"/>
              <w:jc w:val="both"/>
              <w:rPr>
                <w:rFonts w:ascii="Times New Roman" w:hAnsi="Times New Roman" w:cs="Times New Roman"/>
                <w:bCs/>
                <w:sz w:val="21"/>
                <w:szCs w:val="21"/>
              </w:rPr>
            </w:pPr>
            <w:r>
              <w:rPr>
                <w:rFonts w:ascii="Times New Roman" w:hAnsi="Times New Roman" w:cs="Times New Roman"/>
                <w:bCs/>
                <w:sz w:val="21"/>
                <w:szCs w:val="21"/>
              </w:rPr>
              <w:t>监测时间</w:t>
            </w:r>
          </w:p>
        </w:tc>
        <w:tc>
          <w:tcPr>
            <w:tcW w:w="1000" w:type="pct"/>
            <w:vMerge w:val="restart"/>
            <w:vAlign w:val="center"/>
          </w:tcPr>
          <w:p>
            <w:pPr>
              <w:pStyle w:val="140"/>
              <w:ind w:left="658"/>
              <w:rPr>
                <w:rFonts w:ascii="Times New Roman" w:hAnsi="Times New Roman" w:cs="Times New Roman"/>
                <w:bCs/>
                <w:sz w:val="21"/>
                <w:szCs w:val="21"/>
              </w:rPr>
            </w:pPr>
            <w:r>
              <w:rPr>
                <w:rFonts w:ascii="Times New Roman" w:hAnsi="Times New Roman" w:cs="Times New Roman"/>
                <w:bCs/>
                <w:sz w:val="21"/>
                <w:szCs w:val="21"/>
              </w:rPr>
              <w:t>检测项目</w:t>
            </w:r>
          </w:p>
        </w:tc>
        <w:tc>
          <w:tcPr>
            <w:tcW w:w="1958" w:type="pct"/>
            <w:gridSpan w:val="3"/>
            <w:vAlign w:val="center"/>
          </w:tcPr>
          <w:p>
            <w:pPr>
              <w:pStyle w:val="140"/>
              <w:spacing w:before="35"/>
              <w:rPr>
                <w:rFonts w:ascii="Times New Roman" w:hAnsi="Times New Roman" w:cs="Times New Roman"/>
                <w:bCs/>
                <w:sz w:val="21"/>
                <w:szCs w:val="21"/>
              </w:rPr>
            </w:pPr>
            <w:r>
              <w:rPr>
                <w:rFonts w:ascii="Times New Roman" w:hAnsi="Times New Roman" w:cs="Times New Roman"/>
                <w:bCs/>
                <w:sz w:val="21"/>
                <w:szCs w:val="21"/>
              </w:rPr>
              <w:t>检测结果 mg/kg</w:t>
            </w:r>
          </w:p>
        </w:tc>
        <w:tc>
          <w:tcPr>
            <w:tcW w:w="725" w:type="pct"/>
            <w:vMerge w:val="restart"/>
            <w:vAlign w:val="center"/>
          </w:tcPr>
          <w:p>
            <w:pPr>
              <w:pStyle w:val="140"/>
              <w:ind w:left="289"/>
              <w:jc w:val="both"/>
              <w:rPr>
                <w:rFonts w:ascii="Times New Roman" w:hAnsi="Times New Roman" w:cs="Times New Roman"/>
                <w:bCs/>
                <w:sz w:val="21"/>
                <w:szCs w:val="21"/>
              </w:rPr>
            </w:pPr>
            <w:r>
              <w:rPr>
                <w:rFonts w:ascii="Times New Roman" w:hAnsi="Times New Roman" w:cs="Times New Roman"/>
                <w:bCs/>
                <w:sz w:val="21"/>
                <w:szCs w:val="21"/>
              </w:rPr>
              <w:t>标准限值</w:t>
            </w:r>
          </w:p>
        </w:tc>
        <w:tc>
          <w:tcPr>
            <w:tcW w:w="648" w:type="pct"/>
            <w:vMerge w:val="restart"/>
            <w:vAlign w:val="center"/>
          </w:tcPr>
          <w:p>
            <w:pPr>
              <w:pStyle w:val="140"/>
              <w:spacing w:before="8"/>
              <w:rPr>
                <w:rFonts w:ascii="Times New Roman" w:hAnsi="Times New Roman" w:eastAsia="Times New Roman" w:cs="Times New Roman"/>
                <w:bCs/>
                <w:sz w:val="21"/>
                <w:szCs w:val="21"/>
              </w:rPr>
            </w:pPr>
            <w:r>
              <w:rPr>
                <w:rFonts w:ascii="Times New Roman" w:hAnsi="Times New Roman" w:cs="Times New Roman"/>
                <w:bCs/>
                <w:sz w:val="21"/>
                <w:szCs w:val="21"/>
              </w:rPr>
              <w:t>是否达标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69" w:type="pct"/>
            <w:vMerge w:val="continue"/>
            <w:vAlign w:val="center"/>
          </w:tcPr>
          <w:p>
            <w:pPr>
              <w:widowControl/>
              <w:jc w:val="center"/>
              <w:rPr>
                <w:rFonts w:eastAsia="宋体" w:cs="Times New Roman"/>
                <w:bCs/>
                <w:sz w:val="21"/>
              </w:rPr>
            </w:pPr>
          </w:p>
        </w:tc>
        <w:tc>
          <w:tcPr>
            <w:tcW w:w="1000" w:type="pct"/>
            <w:vMerge w:val="continue"/>
            <w:vAlign w:val="center"/>
          </w:tcPr>
          <w:p>
            <w:pPr>
              <w:widowControl/>
              <w:jc w:val="center"/>
              <w:rPr>
                <w:rFonts w:eastAsia="宋体" w:cs="Times New Roman"/>
                <w:bCs/>
                <w:sz w:val="21"/>
              </w:rPr>
            </w:pPr>
          </w:p>
        </w:tc>
        <w:tc>
          <w:tcPr>
            <w:tcW w:w="652" w:type="pct"/>
            <w:vAlign w:val="center"/>
          </w:tcPr>
          <w:p>
            <w:pPr>
              <w:pStyle w:val="140"/>
              <w:spacing w:before="36"/>
              <w:ind w:left="323" w:right="294"/>
              <w:rPr>
                <w:rFonts w:ascii="Times New Roman" w:hAnsi="Times New Roman" w:cs="Times New Roman"/>
                <w:bCs/>
                <w:sz w:val="21"/>
                <w:szCs w:val="21"/>
              </w:rPr>
            </w:pPr>
            <w:r>
              <w:rPr>
                <w:rFonts w:ascii="Times New Roman" w:hAnsi="Times New Roman" w:cs="Times New Roman"/>
                <w:bCs/>
                <w:sz w:val="21"/>
                <w:szCs w:val="21"/>
              </w:rPr>
              <w:t>D1</w:t>
            </w:r>
          </w:p>
        </w:tc>
        <w:tc>
          <w:tcPr>
            <w:tcW w:w="652" w:type="pct"/>
            <w:vAlign w:val="center"/>
          </w:tcPr>
          <w:p>
            <w:pPr>
              <w:pStyle w:val="140"/>
              <w:spacing w:before="36"/>
              <w:ind w:left="322" w:right="295"/>
              <w:rPr>
                <w:rFonts w:ascii="Times New Roman" w:hAnsi="Times New Roman" w:cs="Times New Roman"/>
                <w:bCs/>
                <w:sz w:val="21"/>
                <w:szCs w:val="21"/>
              </w:rPr>
            </w:pPr>
            <w:r>
              <w:rPr>
                <w:rFonts w:ascii="Times New Roman" w:hAnsi="Times New Roman" w:cs="Times New Roman"/>
                <w:bCs/>
                <w:sz w:val="21"/>
                <w:szCs w:val="21"/>
              </w:rPr>
              <w:t>D2</w:t>
            </w:r>
          </w:p>
        </w:tc>
        <w:tc>
          <w:tcPr>
            <w:tcW w:w="654" w:type="pct"/>
            <w:vAlign w:val="center"/>
          </w:tcPr>
          <w:p>
            <w:pPr>
              <w:pStyle w:val="140"/>
              <w:spacing w:before="36"/>
              <w:ind w:left="323" w:right="295"/>
              <w:rPr>
                <w:rFonts w:ascii="Times New Roman" w:hAnsi="Times New Roman" w:cs="Times New Roman"/>
                <w:bCs/>
                <w:sz w:val="21"/>
                <w:szCs w:val="21"/>
              </w:rPr>
            </w:pPr>
            <w:r>
              <w:rPr>
                <w:rFonts w:ascii="Times New Roman" w:hAnsi="Times New Roman" w:cs="Times New Roman"/>
                <w:bCs/>
                <w:sz w:val="21"/>
                <w:szCs w:val="21"/>
              </w:rPr>
              <w:t>D3</w:t>
            </w:r>
          </w:p>
        </w:tc>
        <w:tc>
          <w:tcPr>
            <w:tcW w:w="725" w:type="pct"/>
            <w:vMerge w:val="continue"/>
            <w:vAlign w:val="center"/>
          </w:tcPr>
          <w:p>
            <w:pPr>
              <w:widowControl/>
              <w:jc w:val="center"/>
              <w:rPr>
                <w:rFonts w:eastAsia="宋体" w:cs="Times New Roman"/>
                <w:bCs/>
                <w:sz w:val="21"/>
              </w:rPr>
            </w:pPr>
          </w:p>
        </w:tc>
        <w:tc>
          <w:tcPr>
            <w:tcW w:w="648" w:type="pct"/>
            <w:vMerge w:val="continue"/>
            <w:vAlign w:val="center"/>
          </w:tcPr>
          <w:p>
            <w:pPr>
              <w:widowControl/>
              <w:jc w:val="center"/>
              <w:rPr>
                <w:rFonts w:eastAsia="宋体" w:cs="Times New Roman"/>
                <w:bCs/>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669" w:type="pct"/>
            <w:vMerge w:val="restart"/>
            <w:vAlign w:val="center"/>
          </w:tcPr>
          <w:p>
            <w:pPr>
              <w:pStyle w:val="140"/>
              <w:ind w:left="368"/>
              <w:rPr>
                <w:rFonts w:ascii="Times New Roman" w:hAnsi="Times New Roman" w:cs="Times New Roman" w:eastAsiaTheme="minorEastAsia"/>
                <w:bCs/>
                <w:sz w:val="21"/>
                <w:szCs w:val="21"/>
              </w:rPr>
            </w:pPr>
          </w:p>
          <w:p>
            <w:pPr>
              <w:pStyle w:val="140"/>
              <w:ind w:left="368"/>
              <w:rPr>
                <w:rFonts w:ascii="Times New Roman" w:hAnsi="Times New Roman" w:cs="Times New Roman" w:eastAsiaTheme="minorEastAsia"/>
                <w:bCs/>
                <w:sz w:val="21"/>
                <w:szCs w:val="21"/>
              </w:rPr>
            </w:pPr>
          </w:p>
          <w:p>
            <w:pPr>
              <w:pStyle w:val="140"/>
              <w:ind w:left="368"/>
              <w:rPr>
                <w:rFonts w:ascii="Times New Roman" w:hAnsi="Times New Roman" w:cs="Times New Roman" w:eastAsiaTheme="minorEastAsia"/>
                <w:bCs/>
                <w:sz w:val="21"/>
                <w:szCs w:val="21"/>
              </w:rPr>
            </w:pPr>
          </w:p>
          <w:p>
            <w:pPr>
              <w:pStyle w:val="140"/>
              <w:ind w:left="368"/>
              <w:rPr>
                <w:rFonts w:ascii="Times New Roman" w:hAnsi="Times New Roman" w:cs="Times New Roman" w:eastAsiaTheme="minorEastAsia"/>
                <w:bCs/>
                <w:sz w:val="21"/>
                <w:szCs w:val="21"/>
              </w:rPr>
            </w:pPr>
          </w:p>
          <w:p>
            <w:pPr>
              <w:pStyle w:val="140"/>
              <w:ind w:left="368"/>
              <w:rPr>
                <w:rFonts w:ascii="Times New Roman" w:hAnsi="Times New Roman" w:cs="Times New Roman" w:eastAsiaTheme="minorEastAsia"/>
                <w:bCs/>
                <w:sz w:val="21"/>
                <w:szCs w:val="21"/>
              </w:rPr>
            </w:pPr>
          </w:p>
          <w:p>
            <w:pPr>
              <w:pStyle w:val="140"/>
              <w:ind w:left="368"/>
              <w:rPr>
                <w:rFonts w:ascii="Times New Roman" w:hAnsi="Times New Roman" w:cs="Times New Roman" w:eastAsiaTheme="minorEastAsia"/>
                <w:bCs/>
                <w:sz w:val="21"/>
                <w:szCs w:val="21"/>
              </w:rPr>
            </w:pPr>
          </w:p>
          <w:p>
            <w:pPr>
              <w:pStyle w:val="140"/>
              <w:ind w:left="368"/>
              <w:rPr>
                <w:rFonts w:ascii="Times New Roman" w:hAnsi="Times New Roman" w:cs="Times New Roman" w:eastAsiaTheme="minorEastAsia"/>
                <w:bCs/>
                <w:sz w:val="21"/>
                <w:szCs w:val="21"/>
              </w:rPr>
            </w:pPr>
          </w:p>
          <w:p>
            <w:pPr>
              <w:pStyle w:val="140"/>
              <w:ind w:left="368"/>
              <w:rPr>
                <w:rFonts w:ascii="Times New Roman" w:hAnsi="Times New Roman" w:cs="Times New Roman" w:eastAsiaTheme="minorEastAsia"/>
                <w:bCs/>
                <w:sz w:val="21"/>
                <w:szCs w:val="21"/>
              </w:rPr>
            </w:pPr>
          </w:p>
          <w:p>
            <w:pPr>
              <w:pStyle w:val="140"/>
              <w:ind w:left="368"/>
              <w:rPr>
                <w:rFonts w:ascii="Times New Roman" w:hAnsi="Times New Roman" w:cs="Times New Roman" w:eastAsiaTheme="minorEastAsia"/>
                <w:bCs/>
                <w:sz w:val="21"/>
                <w:szCs w:val="21"/>
              </w:rPr>
            </w:pPr>
          </w:p>
          <w:p>
            <w:pPr>
              <w:pStyle w:val="140"/>
              <w:ind w:left="368"/>
              <w:rPr>
                <w:rFonts w:ascii="Times New Roman" w:hAnsi="Times New Roman" w:cs="Times New Roman" w:eastAsiaTheme="minorEastAsia"/>
                <w:bCs/>
                <w:sz w:val="21"/>
                <w:szCs w:val="21"/>
              </w:rPr>
            </w:pPr>
          </w:p>
          <w:p>
            <w:pPr>
              <w:pStyle w:val="140"/>
              <w:ind w:left="368"/>
              <w:rPr>
                <w:rFonts w:ascii="Times New Roman" w:hAnsi="Times New Roman" w:cs="Times New Roman" w:eastAsiaTheme="minorEastAsia"/>
                <w:bCs/>
                <w:sz w:val="21"/>
                <w:szCs w:val="21"/>
              </w:rPr>
            </w:pPr>
          </w:p>
          <w:p>
            <w:pPr>
              <w:pStyle w:val="140"/>
              <w:ind w:left="368"/>
              <w:rPr>
                <w:rFonts w:ascii="Times New Roman" w:hAnsi="Times New Roman" w:cs="Times New Roman" w:eastAsiaTheme="minorEastAsia"/>
                <w:bCs/>
                <w:sz w:val="21"/>
                <w:szCs w:val="21"/>
              </w:rPr>
            </w:pPr>
          </w:p>
          <w:p>
            <w:pPr>
              <w:pStyle w:val="140"/>
              <w:ind w:left="368"/>
              <w:rPr>
                <w:rFonts w:ascii="Times New Roman" w:hAnsi="Times New Roman" w:cs="Times New Roman" w:eastAsiaTheme="minorEastAsia"/>
                <w:bCs/>
                <w:sz w:val="21"/>
                <w:szCs w:val="21"/>
              </w:rPr>
            </w:pPr>
          </w:p>
          <w:p>
            <w:pPr>
              <w:pStyle w:val="140"/>
              <w:ind w:left="368"/>
              <w:rPr>
                <w:rFonts w:ascii="Times New Roman" w:hAnsi="Times New Roman" w:cs="Times New Roman" w:eastAsiaTheme="minorEastAsia"/>
                <w:bCs/>
                <w:sz w:val="21"/>
                <w:szCs w:val="21"/>
              </w:rPr>
            </w:pPr>
          </w:p>
          <w:p>
            <w:pPr>
              <w:pStyle w:val="140"/>
              <w:ind w:left="368"/>
              <w:rPr>
                <w:rFonts w:ascii="Times New Roman" w:hAnsi="Times New Roman" w:cs="Times New Roman" w:eastAsiaTheme="minorEastAsia"/>
                <w:bCs/>
                <w:sz w:val="21"/>
                <w:szCs w:val="21"/>
              </w:rPr>
            </w:pPr>
          </w:p>
          <w:p>
            <w:pPr>
              <w:pStyle w:val="140"/>
              <w:ind w:left="368"/>
              <w:rPr>
                <w:rFonts w:ascii="Times New Roman" w:hAnsi="Times New Roman" w:cs="Times New Roman" w:eastAsiaTheme="minorEastAsia"/>
                <w:bCs/>
                <w:sz w:val="21"/>
                <w:szCs w:val="21"/>
              </w:rPr>
            </w:pPr>
          </w:p>
          <w:p>
            <w:pPr>
              <w:pStyle w:val="140"/>
              <w:ind w:left="368"/>
              <w:rPr>
                <w:rFonts w:ascii="Times New Roman" w:hAnsi="Times New Roman" w:cs="Times New Roman" w:eastAsiaTheme="minorEastAsia"/>
                <w:bCs/>
                <w:sz w:val="21"/>
                <w:szCs w:val="21"/>
              </w:rPr>
            </w:pPr>
          </w:p>
          <w:p>
            <w:pPr>
              <w:pStyle w:val="140"/>
              <w:ind w:left="368"/>
              <w:rPr>
                <w:rFonts w:ascii="Times New Roman" w:hAnsi="Times New Roman" w:cs="Times New Roman" w:eastAsiaTheme="minorEastAsia"/>
                <w:bCs/>
                <w:sz w:val="21"/>
                <w:szCs w:val="21"/>
              </w:rPr>
            </w:pPr>
          </w:p>
          <w:p>
            <w:pPr>
              <w:pStyle w:val="140"/>
              <w:ind w:left="368"/>
              <w:rPr>
                <w:rFonts w:ascii="Times New Roman" w:hAnsi="Times New Roman" w:cs="Times New Roman" w:eastAsiaTheme="minorEastAsia"/>
                <w:bCs/>
                <w:sz w:val="21"/>
                <w:szCs w:val="21"/>
              </w:rPr>
            </w:pPr>
          </w:p>
          <w:p>
            <w:pPr>
              <w:pStyle w:val="140"/>
              <w:ind w:left="368"/>
              <w:rPr>
                <w:rFonts w:ascii="Times New Roman" w:hAnsi="Times New Roman" w:cs="Times New Roman" w:eastAsiaTheme="minorEastAsia"/>
                <w:bCs/>
                <w:sz w:val="21"/>
                <w:szCs w:val="21"/>
              </w:rPr>
            </w:pPr>
          </w:p>
          <w:p>
            <w:pPr>
              <w:pStyle w:val="140"/>
              <w:ind w:left="368"/>
              <w:rPr>
                <w:rFonts w:ascii="Times New Roman" w:hAnsi="Times New Roman" w:cs="Times New Roman" w:eastAsiaTheme="minorEastAsia"/>
                <w:bCs/>
                <w:sz w:val="21"/>
                <w:szCs w:val="21"/>
              </w:rPr>
            </w:pPr>
          </w:p>
          <w:p>
            <w:pPr>
              <w:pStyle w:val="140"/>
              <w:ind w:left="368"/>
              <w:rPr>
                <w:rFonts w:ascii="Times New Roman" w:hAnsi="Times New Roman" w:cs="Times New Roman" w:eastAsiaTheme="minorEastAsia"/>
                <w:bCs/>
                <w:sz w:val="21"/>
                <w:szCs w:val="21"/>
              </w:rPr>
            </w:pPr>
          </w:p>
          <w:p>
            <w:pPr>
              <w:pStyle w:val="140"/>
              <w:ind w:left="368"/>
              <w:rPr>
                <w:rFonts w:ascii="Times New Roman" w:hAnsi="Times New Roman" w:cs="Times New Roman"/>
                <w:sz w:val="21"/>
                <w:szCs w:val="21"/>
              </w:rPr>
            </w:pPr>
            <w:r>
              <w:rPr>
                <w:rFonts w:ascii="Times New Roman" w:hAnsi="Times New Roman" w:cs="Times New Roman"/>
                <w:sz w:val="21"/>
                <w:szCs w:val="21"/>
              </w:rPr>
              <w:t>2019.8.1</w:t>
            </w:r>
          </w:p>
        </w:tc>
        <w:tc>
          <w:tcPr>
            <w:tcW w:w="1000" w:type="pct"/>
            <w:vAlign w:val="center"/>
          </w:tcPr>
          <w:p>
            <w:pPr>
              <w:pStyle w:val="140"/>
              <w:spacing w:before="36"/>
              <w:ind w:left="25"/>
              <w:rPr>
                <w:rFonts w:ascii="Times New Roman" w:hAnsi="Times New Roman" w:cs="Times New Roman"/>
                <w:sz w:val="21"/>
                <w:szCs w:val="21"/>
              </w:rPr>
            </w:pPr>
            <w:r>
              <w:rPr>
                <w:rFonts w:ascii="Times New Roman" w:hAnsi="Times New Roman" w:cs="Times New Roman"/>
                <w:sz w:val="21"/>
                <w:szCs w:val="21"/>
              </w:rPr>
              <w:t>砷</w:t>
            </w:r>
          </w:p>
        </w:tc>
        <w:tc>
          <w:tcPr>
            <w:tcW w:w="652" w:type="pct"/>
            <w:vAlign w:val="center"/>
          </w:tcPr>
          <w:p>
            <w:pPr>
              <w:pStyle w:val="140"/>
              <w:spacing w:before="50"/>
              <w:ind w:left="323" w:right="295"/>
              <w:rPr>
                <w:rFonts w:ascii="Times New Roman" w:hAnsi="Times New Roman" w:cs="Times New Roman"/>
                <w:sz w:val="21"/>
                <w:szCs w:val="21"/>
              </w:rPr>
            </w:pPr>
            <w:r>
              <w:rPr>
                <w:rFonts w:ascii="Times New Roman" w:hAnsi="Times New Roman" w:cs="Times New Roman"/>
                <w:sz w:val="21"/>
                <w:szCs w:val="21"/>
              </w:rPr>
              <w:t>7.05</w:t>
            </w:r>
          </w:p>
        </w:tc>
        <w:tc>
          <w:tcPr>
            <w:tcW w:w="652" w:type="pct"/>
            <w:vAlign w:val="center"/>
          </w:tcPr>
          <w:p>
            <w:pPr>
              <w:pStyle w:val="140"/>
              <w:spacing w:before="50"/>
              <w:ind w:left="323" w:right="292"/>
              <w:rPr>
                <w:rFonts w:ascii="Times New Roman" w:hAnsi="Times New Roman" w:cs="Times New Roman"/>
                <w:sz w:val="21"/>
                <w:szCs w:val="21"/>
              </w:rPr>
            </w:pPr>
            <w:r>
              <w:rPr>
                <w:rFonts w:ascii="Times New Roman" w:hAnsi="Times New Roman" w:cs="Times New Roman"/>
                <w:sz w:val="21"/>
                <w:szCs w:val="21"/>
              </w:rPr>
              <w:t>8.57</w:t>
            </w:r>
          </w:p>
        </w:tc>
        <w:tc>
          <w:tcPr>
            <w:tcW w:w="654" w:type="pct"/>
            <w:vAlign w:val="center"/>
          </w:tcPr>
          <w:p>
            <w:pPr>
              <w:pStyle w:val="140"/>
              <w:spacing w:before="50"/>
              <w:ind w:left="323" w:right="294"/>
              <w:rPr>
                <w:rFonts w:ascii="Times New Roman" w:hAnsi="Times New Roman" w:cs="Times New Roman"/>
                <w:sz w:val="21"/>
                <w:szCs w:val="21"/>
              </w:rPr>
            </w:pPr>
            <w:r>
              <w:rPr>
                <w:rFonts w:ascii="Times New Roman" w:hAnsi="Times New Roman" w:cs="Times New Roman"/>
                <w:sz w:val="21"/>
                <w:szCs w:val="21"/>
              </w:rPr>
              <w:t>9.01</w:t>
            </w:r>
          </w:p>
        </w:tc>
        <w:tc>
          <w:tcPr>
            <w:tcW w:w="725" w:type="pct"/>
            <w:vAlign w:val="center"/>
          </w:tcPr>
          <w:p>
            <w:pPr>
              <w:pStyle w:val="140"/>
              <w:spacing w:before="50"/>
              <w:ind w:left="424" w:right="404"/>
              <w:rPr>
                <w:rFonts w:ascii="Times New Roman" w:hAnsi="Times New Roman" w:cs="Times New Roman"/>
                <w:sz w:val="21"/>
                <w:szCs w:val="21"/>
              </w:rPr>
            </w:pPr>
            <w:r>
              <w:rPr>
                <w:rFonts w:hint="eastAsia" w:ascii="Times New Roman" w:hAnsi="Times New Roman" w:cs="Times New Roman"/>
                <w:sz w:val="21"/>
                <w:szCs w:val="21"/>
              </w:rPr>
              <w:t>20</w:t>
            </w:r>
          </w:p>
        </w:tc>
        <w:tc>
          <w:tcPr>
            <w:tcW w:w="648" w:type="pct"/>
            <w:vAlign w:val="center"/>
          </w:tcPr>
          <w:p>
            <w:pPr>
              <w:jc w:val="center"/>
              <w:rPr>
                <w:rFonts w:cs="Times New Roman"/>
                <w:sz w:val="21"/>
              </w:rPr>
            </w:pPr>
            <w:r>
              <w:rPr>
                <w:rFonts w:hint="eastAsia" w:cs="Times New Roman"/>
                <w:bCs/>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69" w:type="pct"/>
            <w:vMerge w:val="continue"/>
            <w:vAlign w:val="center"/>
          </w:tcPr>
          <w:p>
            <w:pPr>
              <w:widowControl/>
              <w:jc w:val="center"/>
              <w:rPr>
                <w:rFonts w:eastAsia="宋体" w:cs="Times New Roman"/>
                <w:sz w:val="21"/>
              </w:rPr>
            </w:pPr>
          </w:p>
        </w:tc>
        <w:tc>
          <w:tcPr>
            <w:tcW w:w="1000" w:type="pct"/>
            <w:vAlign w:val="center"/>
          </w:tcPr>
          <w:p>
            <w:pPr>
              <w:pStyle w:val="140"/>
              <w:spacing w:before="30"/>
              <w:ind w:left="25"/>
              <w:rPr>
                <w:rFonts w:ascii="Times New Roman" w:hAnsi="Times New Roman" w:cs="Times New Roman"/>
                <w:sz w:val="21"/>
                <w:szCs w:val="21"/>
              </w:rPr>
            </w:pPr>
            <w:r>
              <w:rPr>
                <w:rFonts w:ascii="Times New Roman" w:hAnsi="Times New Roman" w:cs="Times New Roman"/>
                <w:sz w:val="21"/>
                <w:szCs w:val="21"/>
              </w:rPr>
              <w:t>镉</w:t>
            </w:r>
          </w:p>
        </w:tc>
        <w:tc>
          <w:tcPr>
            <w:tcW w:w="652" w:type="pct"/>
            <w:vAlign w:val="center"/>
          </w:tcPr>
          <w:p>
            <w:pPr>
              <w:pStyle w:val="140"/>
              <w:spacing w:before="43"/>
              <w:ind w:left="323" w:right="295"/>
              <w:rPr>
                <w:rFonts w:ascii="Times New Roman" w:hAnsi="Times New Roman" w:cs="Times New Roman"/>
                <w:sz w:val="21"/>
                <w:szCs w:val="21"/>
              </w:rPr>
            </w:pPr>
            <w:r>
              <w:rPr>
                <w:rFonts w:ascii="Times New Roman" w:hAnsi="Times New Roman" w:cs="Times New Roman"/>
                <w:sz w:val="21"/>
                <w:szCs w:val="21"/>
              </w:rPr>
              <w:t>0.07</w:t>
            </w:r>
          </w:p>
        </w:tc>
        <w:tc>
          <w:tcPr>
            <w:tcW w:w="652" w:type="pct"/>
            <w:vAlign w:val="center"/>
          </w:tcPr>
          <w:p>
            <w:pPr>
              <w:pStyle w:val="140"/>
              <w:spacing w:before="43"/>
              <w:ind w:left="323" w:right="292"/>
              <w:rPr>
                <w:rFonts w:ascii="Times New Roman" w:hAnsi="Times New Roman" w:cs="Times New Roman"/>
                <w:sz w:val="21"/>
                <w:szCs w:val="21"/>
              </w:rPr>
            </w:pPr>
            <w:r>
              <w:rPr>
                <w:rFonts w:ascii="Times New Roman" w:hAnsi="Times New Roman" w:cs="Times New Roman"/>
                <w:sz w:val="21"/>
                <w:szCs w:val="21"/>
              </w:rPr>
              <w:t>0.59</w:t>
            </w:r>
          </w:p>
        </w:tc>
        <w:tc>
          <w:tcPr>
            <w:tcW w:w="654" w:type="pct"/>
            <w:vAlign w:val="center"/>
          </w:tcPr>
          <w:p>
            <w:pPr>
              <w:pStyle w:val="140"/>
              <w:spacing w:before="43"/>
              <w:ind w:left="323" w:right="294"/>
              <w:rPr>
                <w:rFonts w:ascii="Times New Roman" w:hAnsi="Times New Roman" w:cs="Times New Roman"/>
                <w:sz w:val="21"/>
                <w:szCs w:val="21"/>
              </w:rPr>
            </w:pPr>
            <w:r>
              <w:rPr>
                <w:rFonts w:ascii="Times New Roman" w:hAnsi="Times New Roman" w:cs="Times New Roman"/>
                <w:sz w:val="21"/>
                <w:szCs w:val="21"/>
              </w:rPr>
              <w:t>0.55</w:t>
            </w:r>
          </w:p>
        </w:tc>
        <w:tc>
          <w:tcPr>
            <w:tcW w:w="725" w:type="pct"/>
            <w:vAlign w:val="center"/>
          </w:tcPr>
          <w:p>
            <w:pPr>
              <w:pStyle w:val="140"/>
              <w:spacing w:before="43"/>
              <w:ind w:left="424" w:right="404"/>
              <w:rPr>
                <w:rFonts w:ascii="Times New Roman" w:hAnsi="Times New Roman" w:cs="Times New Roman"/>
                <w:sz w:val="21"/>
                <w:szCs w:val="21"/>
              </w:rPr>
            </w:pPr>
            <w:r>
              <w:rPr>
                <w:rFonts w:hint="eastAsia" w:ascii="Times New Roman" w:hAnsi="Times New Roman" w:cs="Times New Roman"/>
                <w:sz w:val="21"/>
                <w:szCs w:val="21"/>
              </w:rPr>
              <w:t>20</w:t>
            </w:r>
          </w:p>
        </w:tc>
        <w:tc>
          <w:tcPr>
            <w:tcW w:w="648" w:type="pct"/>
            <w:vAlign w:val="center"/>
          </w:tcPr>
          <w:p>
            <w:pPr>
              <w:jc w:val="center"/>
            </w:pPr>
            <w:r>
              <w:rPr>
                <w:rFonts w:hint="eastAsia" w:cs="Times New Roman"/>
                <w:bCs/>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69" w:type="pct"/>
            <w:vMerge w:val="continue"/>
            <w:vAlign w:val="center"/>
          </w:tcPr>
          <w:p>
            <w:pPr>
              <w:widowControl/>
              <w:jc w:val="center"/>
              <w:rPr>
                <w:rFonts w:eastAsia="宋体" w:cs="Times New Roman"/>
                <w:sz w:val="21"/>
              </w:rPr>
            </w:pPr>
          </w:p>
        </w:tc>
        <w:tc>
          <w:tcPr>
            <w:tcW w:w="1000" w:type="pct"/>
            <w:vAlign w:val="center"/>
          </w:tcPr>
          <w:p>
            <w:pPr>
              <w:pStyle w:val="140"/>
              <w:spacing w:before="30"/>
              <w:ind w:left="236" w:right="206"/>
              <w:rPr>
                <w:rFonts w:ascii="Times New Roman" w:hAnsi="Times New Roman" w:cs="Times New Roman"/>
                <w:sz w:val="21"/>
                <w:szCs w:val="21"/>
              </w:rPr>
            </w:pPr>
            <w:r>
              <w:rPr>
                <w:rFonts w:ascii="Times New Roman" w:hAnsi="Times New Roman" w:cs="Times New Roman"/>
                <w:sz w:val="21"/>
                <w:szCs w:val="21"/>
              </w:rPr>
              <w:t>铬（六价)</w:t>
            </w:r>
          </w:p>
        </w:tc>
        <w:tc>
          <w:tcPr>
            <w:tcW w:w="652" w:type="pct"/>
            <w:vAlign w:val="center"/>
          </w:tcPr>
          <w:p>
            <w:pPr>
              <w:pStyle w:val="140"/>
              <w:spacing w:before="44"/>
              <w:ind w:left="323" w:right="294"/>
              <w:rPr>
                <w:rFonts w:ascii="Times New Roman" w:hAnsi="Times New Roman" w:cs="Times New Roman"/>
                <w:sz w:val="21"/>
                <w:szCs w:val="21"/>
              </w:rPr>
            </w:pPr>
            <w:r>
              <w:rPr>
                <w:rFonts w:ascii="Times New Roman" w:hAnsi="Times New Roman" w:cs="Times New Roman"/>
                <w:sz w:val="21"/>
                <w:szCs w:val="21"/>
              </w:rPr>
              <w:t>ND</w:t>
            </w:r>
          </w:p>
        </w:tc>
        <w:tc>
          <w:tcPr>
            <w:tcW w:w="652" w:type="pct"/>
            <w:vAlign w:val="center"/>
          </w:tcPr>
          <w:p>
            <w:pPr>
              <w:pStyle w:val="140"/>
              <w:spacing w:before="44"/>
              <w:ind w:left="322" w:right="295"/>
              <w:rPr>
                <w:rFonts w:ascii="Times New Roman" w:hAnsi="Times New Roman" w:cs="Times New Roman"/>
                <w:sz w:val="21"/>
                <w:szCs w:val="21"/>
              </w:rPr>
            </w:pPr>
            <w:r>
              <w:rPr>
                <w:rFonts w:ascii="Times New Roman" w:hAnsi="Times New Roman" w:cs="Times New Roman"/>
                <w:sz w:val="21"/>
                <w:szCs w:val="21"/>
              </w:rPr>
              <w:t>ND</w:t>
            </w:r>
          </w:p>
        </w:tc>
        <w:tc>
          <w:tcPr>
            <w:tcW w:w="654" w:type="pct"/>
            <w:vAlign w:val="center"/>
          </w:tcPr>
          <w:p>
            <w:pPr>
              <w:pStyle w:val="140"/>
              <w:spacing w:before="44"/>
              <w:ind w:left="320" w:right="295"/>
              <w:rPr>
                <w:rFonts w:ascii="Times New Roman" w:hAnsi="Times New Roman" w:cs="Times New Roman"/>
                <w:sz w:val="21"/>
                <w:szCs w:val="21"/>
              </w:rPr>
            </w:pPr>
            <w:r>
              <w:rPr>
                <w:rFonts w:ascii="Times New Roman" w:hAnsi="Times New Roman" w:cs="Times New Roman"/>
                <w:sz w:val="21"/>
                <w:szCs w:val="21"/>
              </w:rPr>
              <w:t>ND</w:t>
            </w:r>
          </w:p>
        </w:tc>
        <w:tc>
          <w:tcPr>
            <w:tcW w:w="725" w:type="pct"/>
            <w:vAlign w:val="center"/>
          </w:tcPr>
          <w:p>
            <w:pPr>
              <w:widowControl/>
              <w:adjustRightInd w:val="0"/>
              <w:snapToGrid w:val="0"/>
              <w:jc w:val="center"/>
              <w:rPr>
                <w:color w:val="000000"/>
                <w:kern w:val="0"/>
                <w:sz w:val="21"/>
              </w:rPr>
            </w:pPr>
            <w:r>
              <w:rPr>
                <w:rFonts w:hint="eastAsia"/>
                <w:color w:val="000000"/>
                <w:kern w:val="0"/>
                <w:sz w:val="21"/>
              </w:rPr>
              <w:t>3.0</w:t>
            </w:r>
          </w:p>
        </w:tc>
        <w:tc>
          <w:tcPr>
            <w:tcW w:w="648" w:type="pct"/>
            <w:vAlign w:val="center"/>
          </w:tcPr>
          <w:p>
            <w:pPr>
              <w:jc w:val="center"/>
            </w:pPr>
            <w:r>
              <w:rPr>
                <w:rFonts w:hint="eastAsia" w:cs="Times New Roman"/>
                <w:bCs/>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69" w:type="pct"/>
            <w:vMerge w:val="continue"/>
            <w:vAlign w:val="center"/>
          </w:tcPr>
          <w:p>
            <w:pPr>
              <w:widowControl/>
              <w:jc w:val="center"/>
              <w:rPr>
                <w:rFonts w:eastAsia="宋体" w:cs="Times New Roman"/>
                <w:sz w:val="21"/>
              </w:rPr>
            </w:pPr>
          </w:p>
        </w:tc>
        <w:tc>
          <w:tcPr>
            <w:tcW w:w="1000" w:type="pct"/>
            <w:vAlign w:val="center"/>
          </w:tcPr>
          <w:p>
            <w:pPr>
              <w:pStyle w:val="140"/>
              <w:spacing w:before="28"/>
              <w:ind w:left="25"/>
              <w:rPr>
                <w:rFonts w:ascii="Times New Roman" w:hAnsi="Times New Roman" w:cs="Times New Roman"/>
                <w:sz w:val="21"/>
                <w:szCs w:val="21"/>
              </w:rPr>
            </w:pPr>
            <w:r>
              <w:rPr>
                <w:rFonts w:ascii="Times New Roman" w:hAnsi="Times New Roman" w:cs="Times New Roman"/>
                <w:sz w:val="21"/>
                <w:szCs w:val="21"/>
              </w:rPr>
              <w:t>铜</w:t>
            </w:r>
          </w:p>
        </w:tc>
        <w:tc>
          <w:tcPr>
            <w:tcW w:w="652" w:type="pct"/>
            <w:vAlign w:val="center"/>
          </w:tcPr>
          <w:p>
            <w:pPr>
              <w:pStyle w:val="140"/>
              <w:spacing w:before="42"/>
              <w:ind w:left="323" w:right="295"/>
              <w:rPr>
                <w:rFonts w:ascii="Times New Roman" w:hAnsi="Times New Roman" w:cs="Times New Roman"/>
                <w:sz w:val="21"/>
                <w:szCs w:val="21"/>
              </w:rPr>
            </w:pPr>
            <w:r>
              <w:rPr>
                <w:rFonts w:ascii="Times New Roman" w:hAnsi="Times New Roman" w:cs="Times New Roman"/>
                <w:sz w:val="21"/>
                <w:szCs w:val="21"/>
              </w:rPr>
              <w:t>22</w:t>
            </w:r>
          </w:p>
        </w:tc>
        <w:tc>
          <w:tcPr>
            <w:tcW w:w="652" w:type="pct"/>
            <w:vAlign w:val="center"/>
          </w:tcPr>
          <w:p>
            <w:pPr>
              <w:pStyle w:val="140"/>
              <w:spacing w:before="42"/>
              <w:ind w:left="321" w:right="295"/>
              <w:rPr>
                <w:rFonts w:ascii="Times New Roman" w:hAnsi="Times New Roman" w:cs="Times New Roman"/>
                <w:sz w:val="21"/>
                <w:szCs w:val="21"/>
              </w:rPr>
            </w:pPr>
            <w:r>
              <w:rPr>
                <w:rFonts w:ascii="Times New Roman" w:hAnsi="Times New Roman" w:cs="Times New Roman"/>
                <w:sz w:val="21"/>
                <w:szCs w:val="21"/>
              </w:rPr>
              <w:t>11</w:t>
            </w:r>
          </w:p>
        </w:tc>
        <w:tc>
          <w:tcPr>
            <w:tcW w:w="654" w:type="pct"/>
            <w:vAlign w:val="center"/>
          </w:tcPr>
          <w:p>
            <w:pPr>
              <w:pStyle w:val="140"/>
              <w:spacing w:before="42"/>
              <w:ind w:left="323" w:right="294"/>
              <w:rPr>
                <w:rFonts w:ascii="Times New Roman" w:hAnsi="Times New Roman" w:cs="Times New Roman"/>
                <w:sz w:val="21"/>
                <w:szCs w:val="21"/>
              </w:rPr>
            </w:pPr>
            <w:r>
              <w:rPr>
                <w:rFonts w:ascii="Times New Roman" w:hAnsi="Times New Roman" w:cs="Times New Roman"/>
                <w:sz w:val="21"/>
                <w:szCs w:val="21"/>
              </w:rPr>
              <w:t>31</w:t>
            </w:r>
          </w:p>
        </w:tc>
        <w:tc>
          <w:tcPr>
            <w:tcW w:w="725" w:type="pct"/>
            <w:vAlign w:val="center"/>
          </w:tcPr>
          <w:p>
            <w:pPr>
              <w:adjustRightInd w:val="0"/>
              <w:snapToGrid w:val="0"/>
              <w:jc w:val="center"/>
              <w:rPr>
                <w:color w:val="000000"/>
                <w:sz w:val="21"/>
              </w:rPr>
            </w:pPr>
            <w:r>
              <w:rPr>
                <w:rFonts w:hint="eastAsia"/>
                <w:color w:val="000000"/>
                <w:sz w:val="21"/>
              </w:rPr>
              <w:t>2000</w:t>
            </w:r>
          </w:p>
        </w:tc>
        <w:tc>
          <w:tcPr>
            <w:tcW w:w="648" w:type="pct"/>
            <w:vAlign w:val="center"/>
          </w:tcPr>
          <w:p>
            <w:pPr>
              <w:jc w:val="center"/>
            </w:pPr>
            <w:r>
              <w:rPr>
                <w:rFonts w:hint="eastAsia" w:cs="Times New Roman"/>
                <w:bCs/>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69" w:type="pct"/>
            <w:vMerge w:val="continue"/>
            <w:vAlign w:val="center"/>
          </w:tcPr>
          <w:p>
            <w:pPr>
              <w:widowControl/>
              <w:jc w:val="center"/>
              <w:rPr>
                <w:rFonts w:eastAsia="宋体" w:cs="Times New Roman"/>
                <w:sz w:val="21"/>
              </w:rPr>
            </w:pPr>
          </w:p>
        </w:tc>
        <w:tc>
          <w:tcPr>
            <w:tcW w:w="1000" w:type="pct"/>
            <w:vAlign w:val="center"/>
          </w:tcPr>
          <w:p>
            <w:pPr>
              <w:pStyle w:val="140"/>
              <w:spacing w:before="29"/>
              <w:ind w:left="25"/>
              <w:rPr>
                <w:rFonts w:ascii="Times New Roman" w:hAnsi="Times New Roman" w:cs="Times New Roman"/>
                <w:sz w:val="21"/>
                <w:szCs w:val="21"/>
              </w:rPr>
            </w:pPr>
            <w:r>
              <w:rPr>
                <w:rFonts w:ascii="Times New Roman" w:hAnsi="Times New Roman" w:cs="Times New Roman"/>
                <w:sz w:val="21"/>
                <w:szCs w:val="21"/>
              </w:rPr>
              <w:t>铅</w:t>
            </w:r>
          </w:p>
        </w:tc>
        <w:tc>
          <w:tcPr>
            <w:tcW w:w="652" w:type="pct"/>
            <w:vAlign w:val="center"/>
          </w:tcPr>
          <w:p>
            <w:pPr>
              <w:pStyle w:val="140"/>
              <w:spacing w:before="43"/>
              <w:ind w:left="323" w:right="295"/>
              <w:rPr>
                <w:rFonts w:ascii="Times New Roman" w:hAnsi="Times New Roman" w:cs="Times New Roman"/>
                <w:sz w:val="21"/>
                <w:szCs w:val="21"/>
              </w:rPr>
            </w:pPr>
            <w:r>
              <w:rPr>
                <w:rFonts w:ascii="Times New Roman" w:hAnsi="Times New Roman" w:cs="Times New Roman"/>
                <w:sz w:val="21"/>
                <w:szCs w:val="21"/>
              </w:rPr>
              <w:t>4.9</w:t>
            </w:r>
          </w:p>
        </w:tc>
        <w:tc>
          <w:tcPr>
            <w:tcW w:w="652" w:type="pct"/>
            <w:vAlign w:val="center"/>
          </w:tcPr>
          <w:p>
            <w:pPr>
              <w:pStyle w:val="140"/>
              <w:spacing w:before="43"/>
              <w:ind w:left="321" w:right="295"/>
              <w:rPr>
                <w:rFonts w:ascii="Times New Roman" w:hAnsi="Times New Roman" w:cs="Times New Roman"/>
                <w:sz w:val="21"/>
                <w:szCs w:val="21"/>
              </w:rPr>
            </w:pPr>
            <w:r>
              <w:rPr>
                <w:rFonts w:ascii="Times New Roman" w:hAnsi="Times New Roman" w:cs="Times New Roman"/>
                <w:sz w:val="21"/>
                <w:szCs w:val="21"/>
              </w:rPr>
              <w:t>8.9</w:t>
            </w:r>
          </w:p>
        </w:tc>
        <w:tc>
          <w:tcPr>
            <w:tcW w:w="654" w:type="pct"/>
            <w:vAlign w:val="center"/>
          </w:tcPr>
          <w:p>
            <w:pPr>
              <w:pStyle w:val="140"/>
              <w:spacing w:before="43"/>
              <w:ind w:left="323" w:right="294"/>
              <w:rPr>
                <w:rFonts w:ascii="Times New Roman" w:hAnsi="Times New Roman" w:cs="Times New Roman"/>
                <w:sz w:val="21"/>
                <w:szCs w:val="21"/>
              </w:rPr>
            </w:pPr>
            <w:r>
              <w:rPr>
                <w:rFonts w:ascii="Times New Roman" w:hAnsi="Times New Roman" w:cs="Times New Roman"/>
                <w:sz w:val="21"/>
                <w:szCs w:val="21"/>
              </w:rPr>
              <w:t>10</w:t>
            </w:r>
          </w:p>
        </w:tc>
        <w:tc>
          <w:tcPr>
            <w:tcW w:w="725" w:type="pct"/>
            <w:vAlign w:val="center"/>
          </w:tcPr>
          <w:p>
            <w:pPr>
              <w:widowControl/>
              <w:adjustRightInd w:val="0"/>
              <w:snapToGrid w:val="0"/>
              <w:jc w:val="center"/>
              <w:rPr>
                <w:color w:val="000000"/>
                <w:kern w:val="0"/>
                <w:sz w:val="21"/>
              </w:rPr>
            </w:pPr>
            <w:r>
              <w:rPr>
                <w:rFonts w:hint="eastAsia"/>
                <w:color w:val="000000"/>
                <w:kern w:val="0"/>
                <w:sz w:val="21"/>
              </w:rPr>
              <w:t>400</w:t>
            </w:r>
          </w:p>
        </w:tc>
        <w:tc>
          <w:tcPr>
            <w:tcW w:w="648" w:type="pct"/>
            <w:vAlign w:val="center"/>
          </w:tcPr>
          <w:p>
            <w:pPr>
              <w:jc w:val="center"/>
            </w:pPr>
            <w:r>
              <w:rPr>
                <w:rFonts w:hint="eastAsia" w:cs="Times New Roman"/>
                <w:bCs/>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69" w:type="pct"/>
            <w:vMerge w:val="continue"/>
            <w:vAlign w:val="center"/>
          </w:tcPr>
          <w:p>
            <w:pPr>
              <w:widowControl/>
              <w:jc w:val="center"/>
              <w:rPr>
                <w:rFonts w:eastAsia="宋体" w:cs="Times New Roman"/>
                <w:sz w:val="21"/>
              </w:rPr>
            </w:pPr>
          </w:p>
        </w:tc>
        <w:tc>
          <w:tcPr>
            <w:tcW w:w="1000" w:type="pct"/>
            <w:vAlign w:val="center"/>
          </w:tcPr>
          <w:p>
            <w:pPr>
              <w:pStyle w:val="140"/>
              <w:spacing w:before="29"/>
              <w:ind w:left="25"/>
              <w:rPr>
                <w:rFonts w:ascii="Times New Roman" w:hAnsi="Times New Roman" w:cs="Times New Roman"/>
                <w:sz w:val="21"/>
                <w:szCs w:val="21"/>
              </w:rPr>
            </w:pPr>
            <w:r>
              <w:rPr>
                <w:rFonts w:ascii="Times New Roman" w:hAnsi="Times New Roman" w:cs="Times New Roman"/>
                <w:sz w:val="21"/>
                <w:szCs w:val="21"/>
              </w:rPr>
              <w:t>汞</w:t>
            </w:r>
          </w:p>
        </w:tc>
        <w:tc>
          <w:tcPr>
            <w:tcW w:w="652" w:type="pct"/>
            <w:vAlign w:val="center"/>
          </w:tcPr>
          <w:p>
            <w:pPr>
              <w:pStyle w:val="140"/>
              <w:spacing w:before="43"/>
              <w:ind w:left="323" w:right="295"/>
              <w:rPr>
                <w:rFonts w:ascii="Times New Roman" w:hAnsi="Times New Roman" w:cs="Times New Roman"/>
                <w:sz w:val="21"/>
                <w:szCs w:val="21"/>
              </w:rPr>
            </w:pPr>
            <w:r>
              <w:rPr>
                <w:rFonts w:ascii="Times New Roman" w:hAnsi="Times New Roman" w:cs="Times New Roman"/>
                <w:sz w:val="21"/>
                <w:szCs w:val="21"/>
              </w:rPr>
              <w:t>0.125</w:t>
            </w:r>
          </w:p>
        </w:tc>
        <w:tc>
          <w:tcPr>
            <w:tcW w:w="652" w:type="pct"/>
            <w:vAlign w:val="center"/>
          </w:tcPr>
          <w:p>
            <w:pPr>
              <w:pStyle w:val="140"/>
              <w:spacing w:before="43"/>
              <w:ind w:left="323" w:right="294"/>
              <w:rPr>
                <w:rFonts w:ascii="Times New Roman" w:hAnsi="Times New Roman" w:cs="Times New Roman"/>
                <w:sz w:val="21"/>
                <w:szCs w:val="21"/>
              </w:rPr>
            </w:pPr>
            <w:r>
              <w:rPr>
                <w:rFonts w:ascii="Times New Roman" w:hAnsi="Times New Roman" w:cs="Times New Roman"/>
                <w:sz w:val="21"/>
                <w:szCs w:val="21"/>
              </w:rPr>
              <w:t>0.131</w:t>
            </w:r>
          </w:p>
        </w:tc>
        <w:tc>
          <w:tcPr>
            <w:tcW w:w="654" w:type="pct"/>
            <w:vAlign w:val="center"/>
          </w:tcPr>
          <w:p>
            <w:pPr>
              <w:pStyle w:val="140"/>
              <w:spacing w:before="43"/>
              <w:ind w:left="323" w:right="294"/>
              <w:rPr>
                <w:rFonts w:ascii="Times New Roman" w:hAnsi="Times New Roman" w:cs="Times New Roman"/>
                <w:sz w:val="21"/>
                <w:szCs w:val="21"/>
              </w:rPr>
            </w:pPr>
            <w:r>
              <w:rPr>
                <w:rFonts w:ascii="Times New Roman" w:hAnsi="Times New Roman" w:cs="Times New Roman"/>
                <w:sz w:val="21"/>
                <w:szCs w:val="21"/>
              </w:rPr>
              <w:t>0.609</w:t>
            </w:r>
          </w:p>
        </w:tc>
        <w:tc>
          <w:tcPr>
            <w:tcW w:w="725" w:type="pct"/>
            <w:vAlign w:val="center"/>
          </w:tcPr>
          <w:p>
            <w:pPr>
              <w:widowControl/>
              <w:adjustRightInd w:val="0"/>
              <w:snapToGrid w:val="0"/>
              <w:jc w:val="center"/>
              <w:rPr>
                <w:color w:val="000000"/>
                <w:kern w:val="0"/>
                <w:sz w:val="21"/>
              </w:rPr>
            </w:pPr>
            <w:r>
              <w:rPr>
                <w:rFonts w:hint="eastAsia"/>
                <w:color w:val="000000"/>
                <w:kern w:val="0"/>
                <w:sz w:val="21"/>
              </w:rPr>
              <w:t>8</w:t>
            </w:r>
          </w:p>
        </w:tc>
        <w:tc>
          <w:tcPr>
            <w:tcW w:w="648" w:type="pct"/>
            <w:vAlign w:val="center"/>
          </w:tcPr>
          <w:p>
            <w:pPr>
              <w:jc w:val="center"/>
            </w:pPr>
            <w:r>
              <w:rPr>
                <w:rFonts w:hint="eastAsia" w:cs="Times New Roman"/>
                <w:bCs/>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69" w:type="pct"/>
            <w:vMerge w:val="continue"/>
            <w:vAlign w:val="center"/>
          </w:tcPr>
          <w:p>
            <w:pPr>
              <w:widowControl/>
              <w:jc w:val="center"/>
              <w:rPr>
                <w:rFonts w:eastAsia="宋体" w:cs="Times New Roman"/>
                <w:sz w:val="21"/>
              </w:rPr>
            </w:pPr>
          </w:p>
        </w:tc>
        <w:tc>
          <w:tcPr>
            <w:tcW w:w="1000" w:type="pct"/>
            <w:vAlign w:val="center"/>
          </w:tcPr>
          <w:p>
            <w:pPr>
              <w:pStyle w:val="140"/>
              <w:spacing w:before="28"/>
              <w:ind w:left="25"/>
              <w:rPr>
                <w:rFonts w:ascii="Times New Roman" w:hAnsi="Times New Roman" w:cs="Times New Roman"/>
                <w:sz w:val="21"/>
                <w:szCs w:val="21"/>
              </w:rPr>
            </w:pPr>
            <w:r>
              <w:rPr>
                <w:rFonts w:ascii="Times New Roman" w:hAnsi="Times New Roman" w:cs="Times New Roman"/>
                <w:sz w:val="21"/>
                <w:szCs w:val="21"/>
              </w:rPr>
              <w:t>镍</w:t>
            </w:r>
          </w:p>
        </w:tc>
        <w:tc>
          <w:tcPr>
            <w:tcW w:w="652" w:type="pct"/>
            <w:vAlign w:val="center"/>
          </w:tcPr>
          <w:p>
            <w:pPr>
              <w:pStyle w:val="140"/>
              <w:spacing w:before="44"/>
              <w:ind w:left="323" w:right="295"/>
              <w:rPr>
                <w:rFonts w:ascii="Times New Roman" w:hAnsi="Times New Roman" w:cs="Times New Roman"/>
                <w:sz w:val="21"/>
                <w:szCs w:val="21"/>
              </w:rPr>
            </w:pPr>
            <w:r>
              <w:rPr>
                <w:rFonts w:ascii="Times New Roman" w:hAnsi="Times New Roman" w:cs="Times New Roman"/>
                <w:sz w:val="21"/>
                <w:szCs w:val="21"/>
              </w:rPr>
              <w:t>14</w:t>
            </w:r>
          </w:p>
        </w:tc>
        <w:tc>
          <w:tcPr>
            <w:tcW w:w="652" w:type="pct"/>
            <w:vAlign w:val="center"/>
          </w:tcPr>
          <w:p>
            <w:pPr>
              <w:pStyle w:val="140"/>
              <w:spacing w:before="44"/>
              <w:ind w:left="321" w:right="295"/>
              <w:rPr>
                <w:rFonts w:ascii="Times New Roman" w:hAnsi="Times New Roman" w:cs="Times New Roman"/>
                <w:sz w:val="21"/>
                <w:szCs w:val="21"/>
              </w:rPr>
            </w:pPr>
            <w:r>
              <w:rPr>
                <w:rFonts w:ascii="Times New Roman" w:hAnsi="Times New Roman" w:cs="Times New Roman"/>
                <w:sz w:val="21"/>
                <w:szCs w:val="21"/>
              </w:rPr>
              <w:t>48</w:t>
            </w:r>
          </w:p>
        </w:tc>
        <w:tc>
          <w:tcPr>
            <w:tcW w:w="654" w:type="pct"/>
            <w:vAlign w:val="center"/>
          </w:tcPr>
          <w:p>
            <w:pPr>
              <w:pStyle w:val="140"/>
              <w:spacing w:before="44"/>
              <w:ind w:left="323" w:right="294"/>
              <w:rPr>
                <w:rFonts w:ascii="Times New Roman" w:hAnsi="Times New Roman" w:cs="Times New Roman"/>
                <w:sz w:val="21"/>
                <w:szCs w:val="21"/>
              </w:rPr>
            </w:pPr>
            <w:r>
              <w:rPr>
                <w:rFonts w:ascii="Times New Roman" w:hAnsi="Times New Roman" w:cs="Times New Roman"/>
                <w:sz w:val="21"/>
                <w:szCs w:val="21"/>
              </w:rPr>
              <w:t>43</w:t>
            </w:r>
          </w:p>
        </w:tc>
        <w:tc>
          <w:tcPr>
            <w:tcW w:w="725" w:type="pct"/>
            <w:vAlign w:val="center"/>
          </w:tcPr>
          <w:p>
            <w:pPr>
              <w:widowControl/>
              <w:adjustRightInd w:val="0"/>
              <w:snapToGrid w:val="0"/>
              <w:jc w:val="center"/>
              <w:rPr>
                <w:color w:val="000000"/>
                <w:kern w:val="0"/>
                <w:sz w:val="21"/>
              </w:rPr>
            </w:pPr>
            <w:r>
              <w:rPr>
                <w:rFonts w:hint="eastAsia"/>
                <w:color w:val="000000"/>
                <w:kern w:val="0"/>
                <w:sz w:val="21"/>
              </w:rPr>
              <w:t>150</w:t>
            </w:r>
          </w:p>
        </w:tc>
        <w:tc>
          <w:tcPr>
            <w:tcW w:w="648" w:type="pct"/>
            <w:vAlign w:val="center"/>
          </w:tcPr>
          <w:p>
            <w:pPr>
              <w:jc w:val="center"/>
            </w:pPr>
            <w:r>
              <w:rPr>
                <w:rFonts w:hint="eastAsia" w:cs="Times New Roman"/>
                <w:bCs/>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69" w:type="pct"/>
            <w:vMerge w:val="continue"/>
            <w:vAlign w:val="center"/>
          </w:tcPr>
          <w:p>
            <w:pPr>
              <w:widowControl/>
              <w:jc w:val="center"/>
              <w:rPr>
                <w:rFonts w:eastAsia="宋体" w:cs="Times New Roman"/>
                <w:sz w:val="21"/>
              </w:rPr>
            </w:pPr>
          </w:p>
        </w:tc>
        <w:tc>
          <w:tcPr>
            <w:tcW w:w="1000" w:type="pct"/>
            <w:vAlign w:val="center"/>
          </w:tcPr>
          <w:p>
            <w:pPr>
              <w:pStyle w:val="140"/>
              <w:spacing w:before="28"/>
              <w:ind w:left="234" w:right="209"/>
              <w:rPr>
                <w:rFonts w:ascii="Times New Roman" w:hAnsi="Times New Roman" w:cs="Times New Roman"/>
                <w:sz w:val="21"/>
                <w:szCs w:val="21"/>
              </w:rPr>
            </w:pPr>
            <w:r>
              <w:rPr>
                <w:rFonts w:ascii="Times New Roman" w:hAnsi="Times New Roman" w:cs="Times New Roman"/>
                <w:sz w:val="21"/>
                <w:szCs w:val="21"/>
              </w:rPr>
              <w:t>四氯化碳</w:t>
            </w:r>
          </w:p>
        </w:tc>
        <w:tc>
          <w:tcPr>
            <w:tcW w:w="652" w:type="pct"/>
            <w:vAlign w:val="center"/>
          </w:tcPr>
          <w:p>
            <w:pPr>
              <w:pStyle w:val="140"/>
              <w:spacing w:before="42"/>
              <w:ind w:left="323" w:right="294"/>
              <w:rPr>
                <w:rFonts w:ascii="Times New Roman" w:hAnsi="Times New Roman" w:cs="Times New Roman"/>
                <w:sz w:val="21"/>
                <w:szCs w:val="21"/>
              </w:rPr>
            </w:pPr>
            <w:r>
              <w:rPr>
                <w:rFonts w:ascii="Times New Roman" w:hAnsi="Times New Roman" w:cs="Times New Roman"/>
                <w:sz w:val="21"/>
                <w:szCs w:val="21"/>
              </w:rPr>
              <w:t>ND</w:t>
            </w:r>
          </w:p>
        </w:tc>
        <w:tc>
          <w:tcPr>
            <w:tcW w:w="652" w:type="pct"/>
            <w:vAlign w:val="center"/>
          </w:tcPr>
          <w:p>
            <w:pPr>
              <w:pStyle w:val="140"/>
              <w:spacing w:before="42"/>
              <w:ind w:left="322" w:right="295"/>
              <w:rPr>
                <w:rFonts w:ascii="Times New Roman" w:hAnsi="Times New Roman" w:cs="Times New Roman"/>
                <w:sz w:val="21"/>
                <w:szCs w:val="21"/>
              </w:rPr>
            </w:pPr>
            <w:r>
              <w:rPr>
                <w:rFonts w:ascii="Times New Roman" w:hAnsi="Times New Roman" w:cs="Times New Roman"/>
                <w:sz w:val="21"/>
                <w:szCs w:val="21"/>
              </w:rPr>
              <w:t>ND</w:t>
            </w:r>
          </w:p>
        </w:tc>
        <w:tc>
          <w:tcPr>
            <w:tcW w:w="654" w:type="pct"/>
            <w:vAlign w:val="center"/>
          </w:tcPr>
          <w:p>
            <w:pPr>
              <w:pStyle w:val="140"/>
              <w:spacing w:before="42"/>
              <w:ind w:left="320" w:right="295"/>
              <w:rPr>
                <w:rFonts w:ascii="Times New Roman" w:hAnsi="Times New Roman" w:cs="Times New Roman"/>
                <w:sz w:val="21"/>
                <w:szCs w:val="21"/>
              </w:rPr>
            </w:pPr>
            <w:r>
              <w:rPr>
                <w:rFonts w:ascii="Times New Roman" w:hAnsi="Times New Roman" w:cs="Times New Roman"/>
                <w:sz w:val="21"/>
                <w:szCs w:val="21"/>
              </w:rPr>
              <w:t>ND</w:t>
            </w:r>
          </w:p>
        </w:tc>
        <w:tc>
          <w:tcPr>
            <w:tcW w:w="725" w:type="pct"/>
            <w:vAlign w:val="center"/>
          </w:tcPr>
          <w:p>
            <w:pPr>
              <w:widowControl/>
              <w:adjustRightInd w:val="0"/>
              <w:snapToGrid w:val="0"/>
              <w:jc w:val="center"/>
              <w:rPr>
                <w:color w:val="000000"/>
                <w:kern w:val="0"/>
                <w:sz w:val="21"/>
              </w:rPr>
            </w:pPr>
            <w:r>
              <w:rPr>
                <w:rFonts w:hint="eastAsia"/>
                <w:color w:val="000000"/>
                <w:kern w:val="0"/>
                <w:sz w:val="21"/>
              </w:rPr>
              <w:t>0.9</w:t>
            </w:r>
          </w:p>
        </w:tc>
        <w:tc>
          <w:tcPr>
            <w:tcW w:w="648" w:type="pct"/>
            <w:vAlign w:val="center"/>
          </w:tcPr>
          <w:p>
            <w:pPr>
              <w:jc w:val="center"/>
            </w:pPr>
            <w:r>
              <w:rPr>
                <w:rFonts w:hint="eastAsia" w:cs="Times New Roman"/>
                <w:bCs/>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69" w:type="pct"/>
            <w:vMerge w:val="continue"/>
            <w:vAlign w:val="center"/>
          </w:tcPr>
          <w:p>
            <w:pPr>
              <w:widowControl/>
              <w:jc w:val="center"/>
              <w:rPr>
                <w:rFonts w:eastAsia="宋体" w:cs="Times New Roman"/>
                <w:sz w:val="21"/>
              </w:rPr>
            </w:pPr>
          </w:p>
        </w:tc>
        <w:tc>
          <w:tcPr>
            <w:tcW w:w="1000" w:type="pct"/>
            <w:vAlign w:val="center"/>
          </w:tcPr>
          <w:p>
            <w:pPr>
              <w:pStyle w:val="140"/>
              <w:spacing w:before="29"/>
              <w:ind w:left="232" w:right="209"/>
              <w:rPr>
                <w:rFonts w:ascii="Times New Roman" w:hAnsi="Times New Roman" w:cs="Times New Roman"/>
                <w:sz w:val="21"/>
                <w:szCs w:val="21"/>
              </w:rPr>
            </w:pPr>
            <w:r>
              <w:rPr>
                <w:rFonts w:ascii="Times New Roman" w:hAnsi="Times New Roman" w:cs="Times New Roman"/>
                <w:sz w:val="21"/>
                <w:szCs w:val="21"/>
              </w:rPr>
              <w:t>氯仿</w:t>
            </w:r>
          </w:p>
        </w:tc>
        <w:tc>
          <w:tcPr>
            <w:tcW w:w="652" w:type="pct"/>
            <w:vAlign w:val="center"/>
          </w:tcPr>
          <w:p>
            <w:pPr>
              <w:pStyle w:val="140"/>
              <w:spacing w:before="43"/>
              <w:ind w:left="323" w:right="294"/>
              <w:rPr>
                <w:rFonts w:ascii="Times New Roman" w:hAnsi="Times New Roman" w:cs="Times New Roman"/>
                <w:sz w:val="21"/>
                <w:szCs w:val="21"/>
              </w:rPr>
            </w:pPr>
            <w:r>
              <w:rPr>
                <w:rFonts w:ascii="Times New Roman" w:hAnsi="Times New Roman" w:cs="Times New Roman"/>
                <w:sz w:val="21"/>
                <w:szCs w:val="21"/>
              </w:rPr>
              <w:t>ND</w:t>
            </w:r>
          </w:p>
        </w:tc>
        <w:tc>
          <w:tcPr>
            <w:tcW w:w="652" w:type="pct"/>
            <w:vAlign w:val="center"/>
          </w:tcPr>
          <w:p>
            <w:pPr>
              <w:pStyle w:val="140"/>
              <w:spacing w:before="43"/>
              <w:ind w:left="322" w:right="295"/>
              <w:rPr>
                <w:rFonts w:ascii="Times New Roman" w:hAnsi="Times New Roman" w:cs="Times New Roman"/>
                <w:sz w:val="21"/>
                <w:szCs w:val="21"/>
              </w:rPr>
            </w:pPr>
            <w:r>
              <w:rPr>
                <w:rFonts w:ascii="Times New Roman" w:hAnsi="Times New Roman" w:cs="Times New Roman"/>
                <w:sz w:val="21"/>
                <w:szCs w:val="21"/>
              </w:rPr>
              <w:t>ND</w:t>
            </w:r>
          </w:p>
        </w:tc>
        <w:tc>
          <w:tcPr>
            <w:tcW w:w="654" w:type="pct"/>
            <w:vAlign w:val="center"/>
          </w:tcPr>
          <w:p>
            <w:pPr>
              <w:pStyle w:val="140"/>
              <w:spacing w:before="43"/>
              <w:ind w:left="320" w:right="295"/>
              <w:rPr>
                <w:rFonts w:ascii="Times New Roman" w:hAnsi="Times New Roman" w:cs="Times New Roman"/>
                <w:sz w:val="21"/>
                <w:szCs w:val="21"/>
              </w:rPr>
            </w:pPr>
            <w:r>
              <w:rPr>
                <w:rFonts w:ascii="Times New Roman" w:hAnsi="Times New Roman" w:cs="Times New Roman"/>
                <w:sz w:val="21"/>
                <w:szCs w:val="21"/>
              </w:rPr>
              <w:t>ND</w:t>
            </w:r>
          </w:p>
        </w:tc>
        <w:tc>
          <w:tcPr>
            <w:tcW w:w="725" w:type="pct"/>
            <w:vAlign w:val="center"/>
          </w:tcPr>
          <w:p>
            <w:pPr>
              <w:widowControl/>
              <w:adjustRightInd w:val="0"/>
              <w:snapToGrid w:val="0"/>
              <w:jc w:val="center"/>
              <w:rPr>
                <w:color w:val="000000"/>
                <w:kern w:val="0"/>
                <w:sz w:val="21"/>
              </w:rPr>
            </w:pPr>
            <w:r>
              <w:rPr>
                <w:rFonts w:hint="eastAsia"/>
                <w:color w:val="000000"/>
                <w:kern w:val="0"/>
                <w:sz w:val="21"/>
              </w:rPr>
              <w:t>0.3</w:t>
            </w:r>
          </w:p>
        </w:tc>
        <w:tc>
          <w:tcPr>
            <w:tcW w:w="648" w:type="pct"/>
            <w:vAlign w:val="center"/>
          </w:tcPr>
          <w:p>
            <w:pPr>
              <w:jc w:val="center"/>
            </w:pPr>
            <w:r>
              <w:rPr>
                <w:rFonts w:hint="eastAsia" w:cs="Times New Roman"/>
                <w:bCs/>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69" w:type="pct"/>
            <w:vMerge w:val="continue"/>
            <w:vAlign w:val="center"/>
          </w:tcPr>
          <w:p>
            <w:pPr>
              <w:widowControl/>
              <w:jc w:val="center"/>
              <w:rPr>
                <w:rFonts w:eastAsia="宋体" w:cs="Times New Roman"/>
                <w:sz w:val="21"/>
              </w:rPr>
            </w:pPr>
          </w:p>
        </w:tc>
        <w:tc>
          <w:tcPr>
            <w:tcW w:w="1000" w:type="pct"/>
            <w:vAlign w:val="center"/>
          </w:tcPr>
          <w:p>
            <w:pPr>
              <w:pStyle w:val="140"/>
              <w:spacing w:before="30"/>
              <w:ind w:left="236" w:right="207"/>
              <w:rPr>
                <w:rFonts w:ascii="Times New Roman" w:hAnsi="Times New Roman" w:cs="Times New Roman"/>
                <w:sz w:val="21"/>
                <w:szCs w:val="21"/>
              </w:rPr>
            </w:pPr>
            <w:r>
              <w:rPr>
                <w:rFonts w:ascii="Times New Roman" w:hAnsi="Times New Roman" w:cs="Times New Roman"/>
                <w:sz w:val="21"/>
                <w:szCs w:val="21"/>
              </w:rPr>
              <w:t>氯甲烷*</w:t>
            </w:r>
          </w:p>
        </w:tc>
        <w:tc>
          <w:tcPr>
            <w:tcW w:w="652" w:type="pct"/>
            <w:vAlign w:val="center"/>
          </w:tcPr>
          <w:p>
            <w:pPr>
              <w:pStyle w:val="140"/>
              <w:spacing w:before="43"/>
              <w:ind w:left="323" w:right="294"/>
              <w:rPr>
                <w:rFonts w:ascii="Times New Roman" w:hAnsi="Times New Roman" w:cs="Times New Roman"/>
                <w:sz w:val="21"/>
                <w:szCs w:val="21"/>
              </w:rPr>
            </w:pPr>
            <w:r>
              <w:rPr>
                <w:rFonts w:ascii="Times New Roman" w:hAnsi="Times New Roman" w:cs="Times New Roman"/>
                <w:sz w:val="21"/>
                <w:szCs w:val="21"/>
              </w:rPr>
              <w:t>ND</w:t>
            </w:r>
          </w:p>
        </w:tc>
        <w:tc>
          <w:tcPr>
            <w:tcW w:w="652" w:type="pct"/>
            <w:vAlign w:val="center"/>
          </w:tcPr>
          <w:p>
            <w:pPr>
              <w:pStyle w:val="140"/>
              <w:spacing w:before="43"/>
              <w:ind w:left="322" w:right="295"/>
              <w:rPr>
                <w:rFonts w:ascii="Times New Roman" w:hAnsi="Times New Roman" w:cs="Times New Roman"/>
                <w:sz w:val="21"/>
                <w:szCs w:val="21"/>
              </w:rPr>
            </w:pPr>
            <w:r>
              <w:rPr>
                <w:rFonts w:ascii="Times New Roman" w:hAnsi="Times New Roman" w:cs="Times New Roman"/>
                <w:sz w:val="21"/>
                <w:szCs w:val="21"/>
              </w:rPr>
              <w:t>ND</w:t>
            </w:r>
          </w:p>
        </w:tc>
        <w:tc>
          <w:tcPr>
            <w:tcW w:w="654" w:type="pct"/>
            <w:vAlign w:val="center"/>
          </w:tcPr>
          <w:p>
            <w:pPr>
              <w:pStyle w:val="140"/>
              <w:spacing w:before="43"/>
              <w:ind w:left="320" w:right="295"/>
              <w:rPr>
                <w:rFonts w:ascii="Times New Roman" w:hAnsi="Times New Roman" w:cs="Times New Roman"/>
                <w:sz w:val="21"/>
                <w:szCs w:val="21"/>
              </w:rPr>
            </w:pPr>
            <w:r>
              <w:rPr>
                <w:rFonts w:ascii="Times New Roman" w:hAnsi="Times New Roman" w:cs="Times New Roman"/>
                <w:sz w:val="21"/>
                <w:szCs w:val="21"/>
              </w:rPr>
              <w:t>ND</w:t>
            </w:r>
          </w:p>
        </w:tc>
        <w:tc>
          <w:tcPr>
            <w:tcW w:w="725" w:type="pct"/>
            <w:vAlign w:val="center"/>
          </w:tcPr>
          <w:p>
            <w:pPr>
              <w:widowControl/>
              <w:adjustRightInd w:val="0"/>
              <w:snapToGrid w:val="0"/>
              <w:jc w:val="center"/>
              <w:rPr>
                <w:color w:val="000000"/>
                <w:kern w:val="0"/>
                <w:sz w:val="21"/>
              </w:rPr>
            </w:pPr>
            <w:r>
              <w:rPr>
                <w:rFonts w:hint="eastAsia"/>
                <w:color w:val="000000"/>
                <w:kern w:val="0"/>
                <w:sz w:val="21"/>
              </w:rPr>
              <w:t>12</w:t>
            </w:r>
          </w:p>
        </w:tc>
        <w:tc>
          <w:tcPr>
            <w:tcW w:w="648" w:type="pct"/>
            <w:vAlign w:val="center"/>
          </w:tcPr>
          <w:p>
            <w:pPr>
              <w:jc w:val="center"/>
            </w:pPr>
            <w:r>
              <w:rPr>
                <w:rFonts w:hint="eastAsia" w:cs="Times New Roman"/>
                <w:bCs/>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69" w:type="pct"/>
            <w:vMerge w:val="continue"/>
            <w:vAlign w:val="center"/>
          </w:tcPr>
          <w:p>
            <w:pPr>
              <w:widowControl/>
              <w:jc w:val="center"/>
              <w:rPr>
                <w:rFonts w:eastAsia="宋体" w:cs="Times New Roman"/>
                <w:sz w:val="21"/>
              </w:rPr>
            </w:pPr>
          </w:p>
        </w:tc>
        <w:tc>
          <w:tcPr>
            <w:tcW w:w="1000" w:type="pct"/>
            <w:vAlign w:val="center"/>
          </w:tcPr>
          <w:p>
            <w:pPr>
              <w:pStyle w:val="140"/>
              <w:spacing w:before="30"/>
              <w:ind w:left="236" w:right="209"/>
              <w:rPr>
                <w:rFonts w:ascii="Times New Roman" w:hAnsi="Times New Roman" w:cs="Times New Roman"/>
                <w:sz w:val="21"/>
                <w:szCs w:val="21"/>
              </w:rPr>
            </w:pPr>
            <w:r>
              <w:rPr>
                <w:rFonts w:ascii="Times New Roman" w:hAnsi="Times New Roman" w:cs="Times New Roman"/>
                <w:sz w:val="21"/>
                <w:szCs w:val="21"/>
              </w:rPr>
              <w:t>1,1-二氯乙烷</w:t>
            </w:r>
          </w:p>
        </w:tc>
        <w:tc>
          <w:tcPr>
            <w:tcW w:w="652" w:type="pct"/>
            <w:vAlign w:val="center"/>
          </w:tcPr>
          <w:p>
            <w:pPr>
              <w:pStyle w:val="140"/>
              <w:spacing w:before="42"/>
              <w:ind w:left="323" w:right="294"/>
              <w:rPr>
                <w:rFonts w:ascii="Times New Roman" w:hAnsi="Times New Roman" w:cs="Times New Roman"/>
                <w:sz w:val="21"/>
                <w:szCs w:val="21"/>
              </w:rPr>
            </w:pPr>
            <w:r>
              <w:rPr>
                <w:rFonts w:ascii="Times New Roman" w:hAnsi="Times New Roman" w:cs="Times New Roman"/>
                <w:sz w:val="21"/>
                <w:szCs w:val="21"/>
              </w:rPr>
              <w:t>ND</w:t>
            </w:r>
          </w:p>
        </w:tc>
        <w:tc>
          <w:tcPr>
            <w:tcW w:w="652" w:type="pct"/>
            <w:vAlign w:val="center"/>
          </w:tcPr>
          <w:p>
            <w:pPr>
              <w:pStyle w:val="140"/>
              <w:spacing w:before="42"/>
              <w:ind w:left="322" w:right="295"/>
              <w:rPr>
                <w:rFonts w:ascii="Times New Roman" w:hAnsi="Times New Roman" w:cs="Times New Roman"/>
                <w:sz w:val="21"/>
                <w:szCs w:val="21"/>
              </w:rPr>
            </w:pPr>
            <w:r>
              <w:rPr>
                <w:rFonts w:ascii="Times New Roman" w:hAnsi="Times New Roman" w:cs="Times New Roman"/>
                <w:sz w:val="21"/>
                <w:szCs w:val="21"/>
              </w:rPr>
              <w:t>ND</w:t>
            </w:r>
          </w:p>
        </w:tc>
        <w:tc>
          <w:tcPr>
            <w:tcW w:w="654" w:type="pct"/>
            <w:vAlign w:val="center"/>
          </w:tcPr>
          <w:p>
            <w:pPr>
              <w:pStyle w:val="140"/>
              <w:spacing w:before="42"/>
              <w:ind w:left="320" w:right="295"/>
              <w:rPr>
                <w:rFonts w:ascii="Times New Roman" w:hAnsi="Times New Roman" w:cs="Times New Roman"/>
                <w:sz w:val="21"/>
                <w:szCs w:val="21"/>
              </w:rPr>
            </w:pPr>
            <w:r>
              <w:rPr>
                <w:rFonts w:ascii="Times New Roman" w:hAnsi="Times New Roman" w:cs="Times New Roman"/>
                <w:sz w:val="21"/>
                <w:szCs w:val="21"/>
              </w:rPr>
              <w:t>ND</w:t>
            </w:r>
          </w:p>
        </w:tc>
        <w:tc>
          <w:tcPr>
            <w:tcW w:w="725" w:type="pct"/>
            <w:vAlign w:val="center"/>
          </w:tcPr>
          <w:p>
            <w:pPr>
              <w:widowControl/>
              <w:adjustRightInd w:val="0"/>
              <w:snapToGrid w:val="0"/>
              <w:jc w:val="center"/>
              <w:rPr>
                <w:color w:val="000000"/>
                <w:kern w:val="0"/>
                <w:sz w:val="21"/>
              </w:rPr>
            </w:pPr>
            <w:r>
              <w:rPr>
                <w:rFonts w:hint="eastAsia"/>
                <w:color w:val="000000"/>
                <w:kern w:val="0"/>
                <w:sz w:val="21"/>
              </w:rPr>
              <w:t>3</w:t>
            </w:r>
          </w:p>
        </w:tc>
        <w:tc>
          <w:tcPr>
            <w:tcW w:w="648" w:type="pct"/>
            <w:vAlign w:val="center"/>
          </w:tcPr>
          <w:p>
            <w:pPr>
              <w:jc w:val="center"/>
            </w:pPr>
            <w:r>
              <w:rPr>
                <w:rFonts w:hint="eastAsia" w:cs="Times New Roman"/>
                <w:bCs/>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69" w:type="pct"/>
            <w:vMerge w:val="continue"/>
            <w:vAlign w:val="center"/>
          </w:tcPr>
          <w:p>
            <w:pPr>
              <w:widowControl/>
              <w:jc w:val="center"/>
              <w:rPr>
                <w:rFonts w:eastAsia="宋体" w:cs="Times New Roman"/>
                <w:sz w:val="21"/>
              </w:rPr>
            </w:pPr>
          </w:p>
        </w:tc>
        <w:tc>
          <w:tcPr>
            <w:tcW w:w="1000" w:type="pct"/>
            <w:vAlign w:val="center"/>
          </w:tcPr>
          <w:p>
            <w:pPr>
              <w:pStyle w:val="140"/>
              <w:spacing w:before="28"/>
              <w:ind w:left="236" w:right="209"/>
              <w:rPr>
                <w:rFonts w:ascii="Times New Roman" w:hAnsi="Times New Roman" w:cs="Times New Roman"/>
                <w:sz w:val="21"/>
                <w:szCs w:val="21"/>
              </w:rPr>
            </w:pPr>
            <w:r>
              <w:rPr>
                <w:rFonts w:ascii="Times New Roman" w:hAnsi="Times New Roman" w:cs="Times New Roman"/>
                <w:sz w:val="21"/>
                <w:szCs w:val="21"/>
              </w:rPr>
              <w:t>1,2-二氯乙烷</w:t>
            </w:r>
          </w:p>
        </w:tc>
        <w:tc>
          <w:tcPr>
            <w:tcW w:w="652" w:type="pct"/>
            <w:vAlign w:val="center"/>
          </w:tcPr>
          <w:p>
            <w:pPr>
              <w:pStyle w:val="140"/>
              <w:spacing w:before="42"/>
              <w:ind w:left="323" w:right="294"/>
              <w:rPr>
                <w:rFonts w:ascii="Times New Roman" w:hAnsi="Times New Roman" w:cs="Times New Roman"/>
                <w:sz w:val="21"/>
                <w:szCs w:val="21"/>
              </w:rPr>
            </w:pPr>
            <w:r>
              <w:rPr>
                <w:rFonts w:ascii="Times New Roman" w:hAnsi="Times New Roman" w:cs="Times New Roman"/>
                <w:sz w:val="21"/>
                <w:szCs w:val="21"/>
              </w:rPr>
              <w:t>ND</w:t>
            </w:r>
          </w:p>
        </w:tc>
        <w:tc>
          <w:tcPr>
            <w:tcW w:w="652" w:type="pct"/>
            <w:vAlign w:val="center"/>
          </w:tcPr>
          <w:p>
            <w:pPr>
              <w:pStyle w:val="140"/>
              <w:spacing w:before="42"/>
              <w:ind w:left="322" w:right="295"/>
              <w:rPr>
                <w:rFonts w:ascii="Times New Roman" w:hAnsi="Times New Roman" w:cs="Times New Roman"/>
                <w:sz w:val="21"/>
                <w:szCs w:val="21"/>
              </w:rPr>
            </w:pPr>
            <w:r>
              <w:rPr>
                <w:rFonts w:ascii="Times New Roman" w:hAnsi="Times New Roman" w:cs="Times New Roman"/>
                <w:sz w:val="21"/>
                <w:szCs w:val="21"/>
              </w:rPr>
              <w:t>ND</w:t>
            </w:r>
          </w:p>
        </w:tc>
        <w:tc>
          <w:tcPr>
            <w:tcW w:w="654" w:type="pct"/>
            <w:vAlign w:val="center"/>
          </w:tcPr>
          <w:p>
            <w:pPr>
              <w:pStyle w:val="140"/>
              <w:spacing w:before="42"/>
              <w:ind w:left="320" w:right="295"/>
              <w:rPr>
                <w:rFonts w:ascii="Times New Roman" w:hAnsi="Times New Roman" w:cs="Times New Roman"/>
                <w:sz w:val="21"/>
                <w:szCs w:val="21"/>
              </w:rPr>
            </w:pPr>
            <w:r>
              <w:rPr>
                <w:rFonts w:ascii="Times New Roman" w:hAnsi="Times New Roman" w:cs="Times New Roman"/>
                <w:sz w:val="21"/>
                <w:szCs w:val="21"/>
              </w:rPr>
              <w:t>ND</w:t>
            </w:r>
          </w:p>
        </w:tc>
        <w:tc>
          <w:tcPr>
            <w:tcW w:w="725" w:type="pct"/>
            <w:vAlign w:val="center"/>
          </w:tcPr>
          <w:p>
            <w:pPr>
              <w:widowControl/>
              <w:adjustRightInd w:val="0"/>
              <w:snapToGrid w:val="0"/>
              <w:jc w:val="center"/>
              <w:rPr>
                <w:color w:val="000000"/>
                <w:kern w:val="0"/>
                <w:sz w:val="21"/>
              </w:rPr>
            </w:pPr>
            <w:r>
              <w:rPr>
                <w:rFonts w:hint="eastAsia"/>
                <w:color w:val="000000"/>
                <w:kern w:val="0"/>
                <w:sz w:val="21"/>
              </w:rPr>
              <w:t>0.52</w:t>
            </w:r>
          </w:p>
        </w:tc>
        <w:tc>
          <w:tcPr>
            <w:tcW w:w="648" w:type="pct"/>
            <w:vAlign w:val="center"/>
          </w:tcPr>
          <w:p>
            <w:pPr>
              <w:jc w:val="center"/>
            </w:pPr>
            <w:r>
              <w:rPr>
                <w:rFonts w:hint="eastAsia" w:cs="Times New Roman"/>
                <w:bCs/>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69" w:type="pct"/>
            <w:vMerge w:val="continue"/>
            <w:vAlign w:val="center"/>
          </w:tcPr>
          <w:p>
            <w:pPr>
              <w:widowControl/>
              <w:jc w:val="center"/>
              <w:rPr>
                <w:rFonts w:eastAsia="宋体" w:cs="Times New Roman"/>
                <w:sz w:val="21"/>
              </w:rPr>
            </w:pPr>
          </w:p>
        </w:tc>
        <w:tc>
          <w:tcPr>
            <w:tcW w:w="1000" w:type="pct"/>
            <w:vAlign w:val="center"/>
          </w:tcPr>
          <w:p>
            <w:pPr>
              <w:pStyle w:val="140"/>
              <w:spacing w:before="29"/>
              <w:ind w:left="236" w:right="209"/>
              <w:rPr>
                <w:rFonts w:ascii="Times New Roman" w:hAnsi="Times New Roman" w:cs="Times New Roman"/>
                <w:sz w:val="21"/>
                <w:szCs w:val="21"/>
              </w:rPr>
            </w:pPr>
            <w:r>
              <w:rPr>
                <w:rFonts w:ascii="Times New Roman" w:hAnsi="Times New Roman" w:cs="Times New Roman"/>
                <w:sz w:val="21"/>
                <w:szCs w:val="21"/>
              </w:rPr>
              <w:t>1,1-二氯乙烯</w:t>
            </w:r>
          </w:p>
        </w:tc>
        <w:tc>
          <w:tcPr>
            <w:tcW w:w="652" w:type="pct"/>
            <w:vAlign w:val="center"/>
          </w:tcPr>
          <w:p>
            <w:pPr>
              <w:pStyle w:val="140"/>
              <w:spacing w:before="43"/>
              <w:ind w:left="323" w:right="294"/>
              <w:rPr>
                <w:rFonts w:ascii="Times New Roman" w:hAnsi="Times New Roman" w:cs="Times New Roman"/>
                <w:sz w:val="21"/>
                <w:szCs w:val="21"/>
              </w:rPr>
            </w:pPr>
            <w:r>
              <w:rPr>
                <w:rFonts w:ascii="Times New Roman" w:hAnsi="Times New Roman" w:cs="Times New Roman"/>
                <w:sz w:val="21"/>
                <w:szCs w:val="21"/>
              </w:rPr>
              <w:t>ND</w:t>
            </w:r>
          </w:p>
        </w:tc>
        <w:tc>
          <w:tcPr>
            <w:tcW w:w="652" w:type="pct"/>
            <w:vAlign w:val="center"/>
          </w:tcPr>
          <w:p>
            <w:pPr>
              <w:pStyle w:val="140"/>
              <w:spacing w:before="43"/>
              <w:ind w:left="322" w:right="295"/>
              <w:rPr>
                <w:rFonts w:ascii="Times New Roman" w:hAnsi="Times New Roman" w:cs="Times New Roman"/>
                <w:sz w:val="21"/>
                <w:szCs w:val="21"/>
              </w:rPr>
            </w:pPr>
            <w:r>
              <w:rPr>
                <w:rFonts w:ascii="Times New Roman" w:hAnsi="Times New Roman" w:cs="Times New Roman"/>
                <w:sz w:val="21"/>
                <w:szCs w:val="21"/>
              </w:rPr>
              <w:t>ND</w:t>
            </w:r>
          </w:p>
        </w:tc>
        <w:tc>
          <w:tcPr>
            <w:tcW w:w="654" w:type="pct"/>
            <w:vAlign w:val="center"/>
          </w:tcPr>
          <w:p>
            <w:pPr>
              <w:pStyle w:val="140"/>
              <w:spacing w:before="43"/>
              <w:ind w:left="320" w:right="295"/>
              <w:rPr>
                <w:rFonts w:ascii="Times New Roman" w:hAnsi="Times New Roman" w:cs="Times New Roman"/>
                <w:sz w:val="21"/>
                <w:szCs w:val="21"/>
              </w:rPr>
            </w:pPr>
            <w:r>
              <w:rPr>
                <w:rFonts w:ascii="Times New Roman" w:hAnsi="Times New Roman" w:cs="Times New Roman"/>
                <w:sz w:val="21"/>
                <w:szCs w:val="21"/>
              </w:rPr>
              <w:t>ND</w:t>
            </w:r>
          </w:p>
        </w:tc>
        <w:tc>
          <w:tcPr>
            <w:tcW w:w="725" w:type="pct"/>
            <w:vAlign w:val="center"/>
          </w:tcPr>
          <w:p>
            <w:pPr>
              <w:widowControl/>
              <w:adjustRightInd w:val="0"/>
              <w:snapToGrid w:val="0"/>
              <w:jc w:val="center"/>
              <w:rPr>
                <w:color w:val="000000"/>
                <w:kern w:val="0"/>
                <w:sz w:val="21"/>
              </w:rPr>
            </w:pPr>
            <w:r>
              <w:rPr>
                <w:rFonts w:hint="eastAsia"/>
                <w:color w:val="000000"/>
                <w:kern w:val="0"/>
                <w:sz w:val="21"/>
              </w:rPr>
              <w:t>12</w:t>
            </w:r>
          </w:p>
        </w:tc>
        <w:tc>
          <w:tcPr>
            <w:tcW w:w="648" w:type="pct"/>
            <w:vAlign w:val="center"/>
          </w:tcPr>
          <w:p>
            <w:pPr>
              <w:jc w:val="center"/>
            </w:pPr>
            <w:r>
              <w:rPr>
                <w:rFonts w:hint="eastAsia" w:cs="Times New Roman"/>
                <w:bCs/>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69" w:type="pct"/>
            <w:vMerge w:val="continue"/>
            <w:vAlign w:val="center"/>
          </w:tcPr>
          <w:p>
            <w:pPr>
              <w:widowControl/>
              <w:jc w:val="center"/>
              <w:rPr>
                <w:rFonts w:eastAsia="宋体" w:cs="Times New Roman"/>
                <w:sz w:val="21"/>
              </w:rPr>
            </w:pPr>
          </w:p>
        </w:tc>
        <w:tc>
          <w:tcPr>
            <w:tcW w:w="1000" w:type="pct"/>
            <w:vAlign w:val="center"/>
          </w:tcPr>
          <w:p>
            <w:pPr>
              <w:pStyle w:val="140"/>
              <w:spacing w:before="30"/>
              <w:ind w:left="236" w:right="209"/>
              <w:rPr>
                <w:rFonts w:ascii="Times New Roman" w:hAnsi="Times New Roman" w:cs="Times New Roman"/>
                <w:sz w:val="21"/>
                <w:szCs w:val="21"/>
              </w:rPr>
            </w:pPr>
            <w:r>
              <w:rPr>
                <w:rFonts w:ascii="Times New Roman" w:hAnsi="Times New Roman" w:cs="Times New Roman"/>
                <w:sz w:val="21"/>
                <w:szCs w:val="21"/>
              </w:rPr>
              <w:t>顺-1,2-二氯乙烯</w:t>
            </w:r>
          </w:p>
        </w:tc>
        <w:tc>
          <w:tcPr>
            <w:tcW w:w="652" w:type="pct"/>
            <w:vAlign w:val="center"/>
          </w:tcPr>
          <w:p>
            <w:pPr>
              <w:pStyle w:val="140"/>
              <w:spacing w:before="43"/>
              <w:ind w:left="323" w:right="294"/>
              <w:rPr>
                <w:rFonts w:ascii="Times New Roman" w:hAnsi="Times New Roman" w:cs="Times New Roman"/>
                <w:sz w:val="21"/>
                <w:szCs w:val="21"/>
              </w:rPr>
            </w:pPr>
            <w:r>
              <w:rPr>
                <w:rFonts w:ascii="Times New Roman" w:hAnsi="Times New Roman" w:cs="Times New Roman"/>
                <w:sz w:val="21"/>
                <w:szCs w:val="21"/>
              </w:rPr>
              <w:t>ND</w:t>
            </w:r>
          </w:p>
        </w:tc>
        <w:tc>
          <w:tcPr>
            <w:tcW w:w="652" w:type="pct"/>
            <w:vAlign w:val="center"/>
          </w:tcPr>
          <w:p>
            <w:pPr>
              <w:pStyle w:val="140"/>
              <w:spacing w:before="43"/>
              <w:ind w:left="322" w:right="295"/>
              <w:rPr>
                <w:rFonts w:ascii="Times New Roman" w:hAnsi="Times New Roman" w:cs="Times New Roman"/>
                <w:sz w:val="21"/>
                <w:szCs w:val="21"/>
              </w:rPr>
            </w:pPr>
            <w:r>
              <w:rPr>
                <w:rFonts w:ascii="Times New Roman" w:hAnsi="Times New Roman" w:cs="Times New Roman"/>
                <w:sz w:val="21"/>
                <w:szCs w:val="21"/>
              </w:rPr>
              <w:t>ND</w:t>
            </w:r>
          </w:p>
        </w:tc>
        <w:tc>
          <w:tcPr>
            <w:tcW w:w="654" w:type="pct"/>
            <w:vAlign w:val="center"/>
          </w:tcPr>
          <w:p>
            <w:pPr>
              <w:pStyle w:val="140"/>
              <w:spacing w:before="43"/>
              <w:ind w:left="320" w:right="295"/>
              <w:rPr>
                <w:rFonts w:ascii="Times New Roman" w:hAnsi="Times New Roman" w:cs="Times New Roman"/>
                <w:sz w:val="21"/>
                <w:szCs w:val="21"/>
              </w:rPr>
            </w:pPr>
            <w:r>
              <w:rPr>
                <w:rFonts w:ascii="Times New Roman" w:hAnsi="Times New Roman" w:cs="Times New Roman"/>
                <w:sz w:val="21"/>
                <w:szCs w:val="21"/>
              </w:rPr>
              <w:t>ND</w:t>
            </w:r>
          </w:p>
        </w:tc>
        <w:tc>
          <w:tcPr>
            <w:tcW w:w="725" w:type="pct"/>
            <w:vAlign w:val="center"/>
          </w:tcPr>
          <w:p>
            <w:pPr>
              <w:widowControl/>
              <w:adjustRightInd w:val="0"/>
              <w:snapToGrid w:val="0"/>
              <w:jc w:val="center"/>
              <w:rPr>
                <w:color w:val="000000"/>
                <w:kern w:val="0"/>
                <w:sz w:val="21"/>
              </w:rPr>
            </w:pPr>
            <w:r>
              <w:rPr>
                <w:rFonts w:hint="eastAsia"/>
                <w:color w:val="000000"/>
                <w:kern w:val="0"/>
                <w:sz w:val="21"/>
              </w:rPr>
              <w:t>66</w:t>
            </w:r>
          </w:p>
        </w:tc>
        <w:tc>
          <w:tcPr>
            <w:tcW w:w="648" w:type="pct"/>
            <w:vAlign w:val="center"/>
          </w:tcPr>
          <w:p>
            <w:pPr>
              <w:jc w:val="center"/>
            </w:pPr>
            <w:r>
              <w:rPr>
                <w:rFonts w:hint="eastAsia" w:cs="Times New Roman"/>
                <w:bCs/>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69" w:type="pct"/>
            <w:vMerge w:val="continue"/>
            <w:vAlign w:val="center"/>
          </w:tcPr>
          <w:p>
            <w:pPr>
              <w:widowControl/>
              <w:jc w:val="center"/>
              <w:rPr>
                <w:rFonts w:eastAsia="宋体" w:cs="Times New Roman"/>
                <w:sz w:val="21"/>
              </w:rPr>
            </w:pPr>
          </w:p>
        </w:tc>
        <w:tc>
          <w:tcPr>
            <w:tcW w:w="1000" w:type="pct"/>
            <w:vAlign w:val="center"/>
          </w:tcPr>
          <w:p>
            <w:pPr>
              <w:pStyle w:val="140"/>
              <w:spacing w:before="30"/>
              <w:ind w:left="236" w:right="209"/>
              <w:rPr>
                <w:rFonts w:ascii="Times New Roman" w:hAnsi="Times New Roman" w:cs="Times New Roman"/>
                <w:sz w:val="21"/>
                <w:szCs w:val="21"/>
              </w:rPr>
            </w:pPr>
            <w:r>
              <w:rPr>
                <w:rFonts w:ascii="Times New Roman" w:hAnsi="Times New Roman" w:cs="Times New Roman"/>
                <w:sz w:val="21"/>
                <w:szCs w:val="21"/>
              </w:rPr>
              <w:t>反-1,2-二氯乙烯</w:t>
            </w:r>
          </w:p>
        </w:tc>
        <w:tc>
          <w:tcPr>
            <w:tcW w:w="652" w:type="pct"/>
            <w:vAlign w:val="center"/>
          </w:tcPr>
          <w:p>
            <w:pPr>
              <w:pStyle w:val="140"/>
              <w:spacing w:before="42"/>
              <w:ind w:left="323" w:right="294"/>
              <w:rPr>
                <w:rFonts w:ascii="Times New Roman" w:hAnsi="Times New Roman" w:cs="Times New Roman"/>
                <w:sz w:val="21"/>
                <w:szCs w:val="21"/>
              </w:rPr>
            </w:pPr>
            <w:r>
              <w:rPr>
                <w:rFonts w:ascii="Times New Roman" w:hAnsi="Times New Roman" w:cs="Times New Roman"/>
                <w:sz w:val="21"/>
                <w:szCs w:val="21"/>
              </w:rPr>
              <w:t>ND</w:t>
            </w:r>
          </w:p>
        </w:tc>
        <w:tc>
          <w:tcPr>
            <w:tcW w:w="652" w:type="pct"/>
            <w:vAlign w:val="center"/>
          </w:tcPr>
          <w:p>
            <w:pPr>
              <w:pStyle w:val="140"/>
              <w:spacing w:before="42"/>
              <w:ind w:left="322" w:right="295"/>
              <w:rPr>
                <w:rFonts w:ascii="Times New Roman" w:hAnsi="Times New Roman" w:cs="Times New Roman"/>
                <w:sz w:val="21"/>
                <w:szCs w:val="21"/>
              </w:rPr>
            </w:pPr>
            <w:r>
              <w:rPr>
                <w:rFonts w:ascii="Times New Roman" w:hAnsi="Times New Roman" w:cs="Times New Roman"/>
                <w:sz w:val="21"/>
                <w:szCs w:val="21"/>
              </w:rPr>
              <w:t>ND</w:t>
            </w:r>
          </w:p>
        </w:tc>
        <w:tc>
          <w:tcPr>
            <w:tcW w:w="654" w:type="pct"/>
            <w:vAlign w:val="center"/>
          </w:tcPr>
          <w:p>
            <w:pPr>
              <w:pStyle w:val="140"/>
              <w:spacing w:before="42"/>
              <w:ind w:left="320" w:right="295"/>
              <w:rPr>
                <w:rFonts w:ascii="Times New Roman" w:hAnsi="Times New Roman" w:cs="Times New Roman"/>
                <w:sz w:val="21"/>
                <w:szCs w:val="21"/>
              </w:rPr>
            </w:pPr>
            <w:r>
              <w:rPr>
                <w:rFonts w:ascii="Times New Roman" w:hAnsi="Times New Roman" w:cs="Times New Roman"/>
                <w:sz w:val="21"/>
                <w:szCs w:val="21"/>
              </w:rPr>
              <w:t>ND</w:t>
            </w:r>
          </w:p>
        </w:tc>
        <w:tc>
          <w:tcPr>
            <w:tcW w:w="725" w:type="pct"/>
            <w:vAlign w:val="center"/>
          </w:tcPr>
          <w:p>
            <w:pPr>
              <w:widowControl/>
              <w:adjustRightInd w:val="0"/>
              <w:snapToGrid w:val="0"/>
              <w:jc w:val="center"/>
              <w:rPr>
                <w:color w:val="000000"/>
                <w:kern w:val="0"/>
                <w:sz w:val="21"/>
              </w:rPr>
            </w:pPr>
            <w:r>
              <w:rPr>
                <w:rFonts w:hint="eastAsia"/>
                <w:color w:val="000000"/>
                <w:kern w:val="0"/>
                <w:sz w:val="21"/>
              </w:rPr>
              <w:t>10</w:t>
            </w:r>
          </w:p>
        </w:tc>
        <w:tc>
          <w:tcPr>
            <w:tcW w:w="648" w:type="pct"/>
            <w:vAlign w:val="center"/>
          </w:tcPr>
          <w:p>
            <w:pPr>
              <w:jc w:val="center"/>
            </w:pPr>
            <w:r>
              <w:rPr>
                <w:rFonts w:hint="eastAsia" w:cs="Times New Roman"/>
                <w:bCs/>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69" w:type="pct"/>
            <w:vMerge w:val="continue"/>
            <w:vAlign w:val="center"/>
          </w:tcPr>
          <w:p>
            <w:pPr>
              <w:widowControl/>
              <w:jc w:val="center"/>
              <w:rPr>
                <w:rFonts w:eastAsia="宋体" w:cs="Times New Roman"/>
                <w:sz w:val="21"/>
              </w:rPr>
            </w:pPr>
          </w:p>
        </w:tc>
        <w:tc>
          <w:tcPr>
            <w:tcW w:w="1000" w:type="pct"/>
            <w:vAlign w:val="center"/>
          </w:tcPr>
          <w:p>
            <w:pPr>
              <w:pStyle w:val="140"/>
              <w:spacing w:before="28"/>
              <w:ind w:left="234" w:right="209"/>
              <w:rPr>
                <w:rFonts w:ascii="Times New Roman" w:hAnsi="Times New Roman" w:cs="Times New Roman"/>
                <w:sz w:val="21"/>
                <w:szCs w:val="21"/>
              </w:rPr>
            </w:pPr>
            <w:r>
              <w:rPr>
                <w:rFonts w:ascii="Times New Roman" w:hAnsi="Times New Roman" w:cs="Times New Roman"/>
                <w:sz w:val="21"/>
                <w:szCs w:val="21"/>
              </w:rPr>
              <w:t>二氯甲烷</w:t>
            </w:r>
          </w:p>
        </w:tc>
        <w:tc>
          <w:tcPr>
            <w:tcW w:w="652" w:type="pct"/>
            <w:vAlign w:val="center"/>
          </w:tcPr>
          <w:p>
            <w:pPr>
              <w:pStyle w:val="140"/>
              <w:spacing w:before="42"/>
              <w:ind w:left="323" w:right="294"/>
              <w:rPr>
                <w:rFonts w:ascii="Times New Roman" w:hAnsi="Times New Roman" w:cs="Times New Roman"/>
                <w:sz w:val="21"/>
                <w:szCs w:val="21"/>
              </w:rPr>
            </w:pPr>
            <w:r>
              <w:rPr>
                <w:rFonts w:ascii="Times New Roman" w:hAnsi="Times New Roman" w:cs="Times New Roman"/>
                <w:sz w:val="21"/>
                <w:szCs w:val="21"/>
              </w:rPr>
              <w:t>ND</w:t>
            </w:r>
          </w:p>
        </w:tc>
        <w:tc>
          <w:tcPr>
            <w:tcW w:w="652" w:type="pct"/>
            <w:vAlign w:val="center"/>
          </w:tcPr>
          <w:p>
            <w:pPr>
              <w:pStyle w:val="140"/>
              <w:spacing w:before="42"/>
              <w:ind w:left="322" w:right="295"/>
              <w:rPr>
                <w:rFonts w:ascii="Times New Roman" w:hAnsi="Times New Roman" w:cs="Times New Roman"/>
                <w:sz w:val="21"/>
                <w:szCs w:val="21"/>
              </w:rPr>
            </w:pPr>
            <w:r>
              <w:rPr>
                <w:rFonts w:ascii="Times New Roman" w:hAnsi="Times New Roman" w:cs="Times New Roman"/>
                <w:sz w:val="21"/>
                <w:szCs w:val="21"/>
              </w:rPr>
              <w:t>ND</w:t>
            </w:r>
          </w:p>
        </w:tc>
        <w:tc>
          <w:tcPr>
            <w:tcW w:w="654" w:type="pct"/>
            <w:vAlign w:val="center"/>
          </w:tcPr>
          <w:p>
            <w:pPr>
              <w:pStyle w:val="140"/>
              <w:spacing w:before="42"/>
              <w:ind w:left="320" w:right="295"/>
              <w:rPr>
                <w:rFonts w:ascii="Times New Roman" w:hAnsi="Times New Roman" w:cs="Times New Roman"/>
                <w:sz w:val="21"/>
                <w:szCs w:val="21"/>
              </w:rPr>
            </w:pPr>
            <w:r>
              <w:rPr>
                <w:rFonts w:ascii="Times New Roman" w:hAnsi="Times New Roman" w:cs="Times New Roman"/>
                <w:sz w:val="21"/>
                <w:szCs w:val="21"/>
              </w:rPr>
              <w:t>ND</w:t>
            </w:r>
          </w:p>
        </w:tc>
        <w:tc>
          <w:tcPr>
            <w:tcW w:w="725" w:type="pct"/>
            <w:vAlign w:val="center"/>
          </w:tcPr>
          <w:p>
            <w:pPr>
              <w:widowControl/>
              <w:adjustRightInd w:val="0"/>
              <w:snapToGrid w:val="0"/>
              <w:jc w:val="center"/>
              <w:rPr>
                <w:color w:val="000000"/>
                <w:kern w:val="0"/>
                <w:sz w:val="21"/>
              </w:rPr>
            </w:pPr>
            <w:r>
              <w:rPr>
                <w:rFonts w:hint="eastAsia"/>
                <w:color w:val="000000"/>
                <w:kern w:val="0"/>
                <w:sz w:val="21"/>
              </w:rPr>
              <w:t>94</w:t>
            </w:r>
          </w:p>
        </w:tc>
        <w:tc>
          <w:tcPr>
            <w:tcW w:w="648" w:type="pct"/>
            <w:vAlign w:val="center"/>
          </w:tcPr>
          <w:p>
            <w:pPr>
              <w:jc w:val="center"/>
            </w:pPr>
            <w:r>
              <w:rPr>
                <w:rFonts w:hint="eastAsia" w:cs="Times New Roman"/>
                <w:bCs/>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69" w:type="pct"/>
            <w:vMerge w:val="continue"/>
            <w:vAlign w:val="center"/>
          </w:tcPr>
          <w:p>
            <w:pPr>
              <w:widowControl/>
              <w:jc w:val="center"/>
              <w:rPr>
                <w:rFonts w:eastAsia="宋体" w:cs="Times New Roman"/>
                <w:sz w:val="21"/>
              </w:rPr>
            </w:pPr>
          </w:p>
        </w:tc>
        <w:tc>
          <w:tcPr>
            <w:tcW w:w="1000" w:type="pct"/>
            <w:vAlign w:val="center"/>
          </w:tcPr>
          <w:p>
            <w:pPr>
              <w:pStyle w:val="140"/>
              <w:spacing w:before="29"/>
              <w:ind w:left="236" w:right="209"/>
              <w:rPr>
                <w:rFonts w:ascii="Times New Roman" w:hAnsi="Times New Roman" w:cs="Times New Roman"/>
                <w:sz w:val="21"/>
                <w:szCs w:val="21"/>
              </w:rPr>
            </w:pPr>
            <w:r>
              <w:rPr>
                <w:rFonts w:ascii="Times New Roman" w:hAnsi="Times New Roman" w:cs="Times New Roman"/>
                <w:sz w:val="21"/>
                <w:szCs w:val="21"/>
              </w:rPr>
              <w:t>1,2-二氯丙烷</w:t>
            </w:r>
          </w:p>
        </w:tc>
        <w:tc>
          <w:tcPr>
            <w:tcW w:w="652" w:type="pct"/>
            <w:vAlign w:val="center"/>
          </w:tcPr>
          <w:p>
            <w:pPr>
              <w:pStyle w:val="140"/>
              <w:spacing w:before="43"/>
              <w:ind w:left="323" w:right="294"/>
              <w:rPr>
                <w:rFonts w:ascii="Times New Roman" w:hAnsi="Times New Roman" w:cs="Times New Roman"/>
                <w:sz w:val="21"/>
                <w:szCs w:val="21"/>
              </w:rPr>
            </w:pPr>
            <w:r>
              <w:rPr>
                <w:rFonts w:ascii="Times New Roman" w:hAnsi="Times New Roman" w:cs="Times New Roman"/>
                <w:sz w:val="21"/>
                <w:szCs w:val="21"/>
              </w:rPr>
              <w:t>ND</w:t>
            </w:r>
          </w:p>
        </w:tc>
        <w:tc>
          <w:tcPr>
            <w:tcW w:w="652" w:type="pct"/>
            <w:vAlign w:val="center"/>
          </w:tcPr>
          <w:p>
            <w:pPr>
              <w:pStyle w:val="140"/>
              <w:spacing w:before="43"/>
              <w:ind w:left="322" w:right="295"/>
              <w:rPr>
                <w:rFonts w:ascii="Times New Roman" w:hAnsi="Times New Roman" w:cs="Times New Roman"/>
                <w:sz w:val="21"/>
                <w:szCs w:val="21"/>
              </w:rPr>
            </w:pPr>
            <w:r>
              <w:rPr>
                <w:rFonts w:ascii="Times New Roman" w:hAnsi="Times New Roman" w:cs="Times New Roman"/>
                <w:sz w:val="21"/>
                <w:szCs w:val="21"/>
              </w:rPr>
              <w:t>ND</w:t>
            </w:r>
          </w:p>
        </w:tc>
        <w:tc>
          <w:tcPr>
            <w:tcW w:w="654" w:type="pct"/>
            <w:vAlign w:val="center"/>
          </w:tcPr>
          <w:p>
            <w:pPr>
              <w:pStyle w:val="140"/>
              <w:spacing w:before="43"/>
              <w:ind w:left="320" w:right="295"/>
              <w:rPr>
                <w:rFonts w:ascii="Times New Roman" w:hAnsi="Times New Roman" w:cs="Times New Roman"/>
                <w:sz w:val="21"/>
                <w:szCs w:val="21"/>
              </w:rPr>
            </w:pPr>
            <w:r>
              <w:rPr>
                <w:rFonts w:ascii="Times New Roman" w:hAnsi="Times New Roman" w:cs="Times New Roman"/>
                <w:sz w:val="21"/>
                <w:szCs w:val="21"/>
              </w:rPr>
              <w:t>ND</w:t>
            </w:r>
          </w:p>
        </w:tc>
        <w:tc>
          <w:tcPr>
            <w:tcW w:w="725" w:type="pct"/>
            <w:vAlign w:val="center"/>
          </w:tcPr>
          <w:p>
            <w:pPr>
              <w:widowControl/>
              <w:adjustRightInd w:val="0"/>
              <w:snapToGrid w:val="0"/>
              <w:jc w:val="center"/>
              <w:rPr>
                <w:color w:val="000000"/>
                <w:kern w:val="0"/>
                <w:sz w:val="21"/>
              </w:rPr>
            </w:pPr>
            <w:r>
              <w:rPr>
                <w:rFonts w:hint="eastAsia"/>
                <w:color w:val="000000"/>
                <w:kern w:val="0"/>
                <w:sz w:val="21"/>
              </w:rPr>
              <w:t>1</w:t>
            </w:r>
          </w:p>
        </w:tc>
        <w:tc>
          <w:tcPr>
            <w:tcW w:w="648" w:type="pct"/>
            <w:vAlign w:val="center"/>
          </w:tcPr>
          <w:p>
            <w:pPr>
              <w:jc w:val="center"/>
            </w:pPr>
            <w:r>
              <w:rPr>
                <w:rFonts w:hint="eastAsia" w:cs="Times New Roman"/>
                <w:bCs/>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69" w:type="pct"/>
            <w:vMerge w:val="continue"/>
            <w:vAlign w:val="center"/>
          </w:tcPr>
          <w:p>
            <w:pPr>
              <w:widowControl/>
              <w:jc w:val="center"/>
              <w:rPr>
                <w:rFonts w:eastAsia="宋体" w:cs="Times New Roman"/>
                <w:sz w:val="21"/>
              </w:rPr>
            </w:pPr>
          </w:p>
        </w:tc>
        <w:tc>
          <w:tcPr>
            <w:tcW w:w="1000" w:type="pct"/>
            <w:vAlign w:val="center"/>
          </w:tcPr>
          <w:p>
            <w:pPr>
              <w:pStyle w:val="140"/>
              <w:spacing w:before="29"/>
              <w:ind w:left="236" w:right="209"/>
              <w:rPr>
                <w:rFonts w:ascii="Times New Roman" w:hAnsi="Times New Roman" w:cs="Times New Roman"/>
                <w:sz w:val="21"/>
                <w:szCs w:val="21"/>
              </w:rPr>
            </w:pPr>
            <w:r>
              <w:rPr>
                <w:rFonts w:ascii="Times New Roman" w:hAnsi="Times New Roman" w:cs="Times New Roman"/>
                <w:sz w:val="21"/>
                <w:szCs w:val="21"/>
              </w:rPr>
              <w:t>1,1,1，2-四氯乙烷</w:t>
            </w:r>
          </w:p>
        </w:tc>
        <w:tc>
          <w:tcPr>
            <w:tcW w:w="652" w:type="pct"/>
            <w:vAlign w:val="center"/>
          </w:tcPr>
          <w:p>
            <w:pPr>
              <w:pStyle w:val="140"/>
              <w:spacing w:before="43"/>
              <w:ind w:left="323" w:right="294"/>
              <w:rPr>
                <w:rFonts w:ascii="Times New Roman" w:hAnsi="Times New Roman" w:cs="Times New Roman"/>
                <w:sz w:val="21"/>
                <w:szCs w:val="21"/>
              </w:rPr>
            </w:pPr>
            <w:r>
              <w:rPr>
                <w:rFonts w:ascii="Times New Roman" w:hAnsi="Times New Roman" w:cs="Times New Roman"/>
                <w:sz w:val="21"/>
                <w:szCs w:val="21"/>
              </w:rPr>
              <w:t>ND</w:t>
            </w:r>
          </w:p>
        </w:tc>
        <w:tc>
          <w:tcPr>
            <w:tcW w:w="652" w:type="pct"/>
            <w:vAlign w:val="center"/>
          </w:tcPr>
          <w:p>
            <w:pPr>
              <w:pStyle w:val="140"/>
              <w:spacing w:before="43"/>
              <w:ind w:left="322" w:right="295"/>
              <w:rPr>
                <w:rFonts w:ascii="Times New Roman" w:hAnsi="Times New Roman" w:cs="Times New Roman"/>
                <w:sz w:val="21"/>
                <w:szCs w:val="21"/>
              </w:rPr>
            </w:pPr>
            <w:r>
              <w:rPr>
                <w:rFonts w:ascii="Times New Roman" w:hAnsi="Times New Roman" w:cs="Times New Roman"/>
                <w:sz w:val="21"/>
                <w:szCs w:val="21"/>
              </w:rPr>
              <w:t>ND</w:t>
            </w:r>
          </w:p>
        </w:tc>
        <w:tc>
          <w:tcPr>
            <w:tcW w:w="654" w:type="pct"/>
            <w:vAlign w:val="center"/>
          </w:tcPr>
          <w:p>
            <w:pPr>
              <w:pStyle w:val="140"/>
              <w:spacing w:before="43"/>
              <w:ind w:left="320" w:right="295"/>
              <w:rPr>
                <w:rFonts w:ascii="Times New Roman" w:hAnsi="Times New Roman" w:cs="Times New Roman"/>
                <w:sz w:val="21"/>
                <w:szCs w:val="21"/>
              </w:rPr>
            </w:pPr>
            <w:r>
              <w:rPr>
                <w:rFonts w:ascii="Times New Roman" w:hAnsi="Times New Roman" w:cs="Times New Roman"/>
                <w:sz w:val="21"/>
                <w:szCs w:val="21"/>
              </w:rPr>
              <w:t>ND</w:t>
            </w:r>
          </w:p>
        </w:tc>
        <w:tc>
          <w:tcPr>
            <w:tcW w:w="725" w:type="pct"/>
            <w:vAlign w:val="center"/>
          </w:tcPr>
          <w:p>
            <w:pPr>
              <w:widowControl/>
              <w:adjustRightInd w:val="0"/>
              <w:snapToGrid w:val="0"/>
              <w:jc w:val="center"/>
              <w:rPr>
                <w:color w:val="000000"/>
                <w:kern w:val="0"/>
                <w:sz w:val="21"/>
              </w:rPr>
            </w:pPr>
            <w:r>
              <w:rPr>
                <w:rFonts w:hint="eastAsia"/>
                <w:color w:val="000000"/>
                <w:kern w:val="0"/>
                <w:sz w:val="21"/>
              </w:rPr>
              <w:t>2.6</w:t>
            </w:r>
          </w:p>
        </w:tc>
        <w:tc>
          <w:tcPr>
            <w:tcW w:w="648" w:type="pct"/>
            <w:vAlign w:val="center"/>
          </w:tcPr>
          <w:p>
            <w:pPr>
              <w:jc w:val="center"/>
            </w:pPr>
            <w:r>
              <w:rPr>
                <w:rFonts w:hint="eastAsia" w:cs="Times New Roman"/>
                <w:bCs/>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69" w:type="pct"/>
            <w:vMerge w:val="continue"/>
            <w:vAlign w:val="center"/>
          </w:tcPr>
          <w:p>
            <w:pPr>
              <w:widowControl/>
              <w:jc w:val="center"/>
              <w:rPr>
                <w:rFonts w:eastAsia="宋体" w:cs="Times New Roman"/>
                <w:sz w:val="21"/>
              </w:rPr>
            </w:pPr>
          </w:p>
        </w:tc>
        <w:tc>
          <w:tcPr>
            <w:tcW w:w="1000" w:type="pct"/>
            <w:vAlign w:val="center"/>
          </w:tcPr>
          <w:p>
            <w:pPr>
              <w:pStyle w:val="140"/>
              <w:spacing w:before="30"/>
              <w:ind w:left="236" w:right="209"/>
              <w:rPr>
                <w:rFonts w:ascii="Times New Roman" w:hAnsi="Times New Roman" w:cs="Times New Roman"/>
                <w:sz w:val="21"/>
                <w:szCs w:val="21"/>
              </w:rPr>
            </w:pPr>
            <w:r>
              <w:rPr>
                <w:rFonts w:ascii="Times New Roman" w:hAnsi="Times New Roman" w:cs="Times New Roman"/>
                <w:sz w:val="21"/>
                <w:szCs w:val="21"/>
              </w:rPr>
              <w:t>1,1,2，2-四氯乙烷</w:t>
            </w:r>
          </w:p>
        </w:tc>
        <w:tc>
          <w:tcPr>
            <w:tcW w:w="652" w:type="pct"/>
            <w:vAlign w:val="center"/>
          </w:tcPr>
          <w:p>
            <w:pPr>
              <w:pStyle w:val="140"/>
              <w:spacing w:before="42"/>
              <w:ind w:left="323" w:right="294"/>
              <w:rPr>
                <w:rFonts w:ascii="Times New Roman" w:hAnsi="Times New Roman" w:cs="Times New Roman"/>
                <w:sz w:val="21"/>
                <w:szCs w:val="21"/>
              </w:rPr>
            </w:pPr>
            <w:r>
              <w:rPr>
                <w:rFonts w:ascii="Times New Roman" w:hAnsi="Times New Roman" w:cs="Times New Roman"/>
                <w:sz w:val="21"/>
                <w:szCs w:val="21"/>
              </w:rPr>
              <w:t>ND</w:t>
            </w:r>
          </w:p>
        </w:tc>
        <w:tc>
          <w:tcPr>
            <w:tcW w:w="652" w:type="pct"/>
            <w:vAlign w:val="center"/>
          </w:tcPr>
          <w:p>
            <w:pPr>
              <w:pStyle w:val="140"/>
              <w:spacing w:before="42"/>
              <w:ind w:left="322" w:right="295"/>
              <w:rPr>
                <w:rFonts w:ascii="Times New Roman" w:hAnsi="Times New Roman" w:cs="Times New Roman"/>
                <w:sz w:val="21"/>
                <w:szCs w:val="21"/>
              </w:rPr>
            </w:pPr>
            <w:r>
              <w:rPr>
                <w:rFonts w:ascii="Times New Roman" w:hAnsi="Times New Roman" w:cs="Times New Roman"/>
                <w:sz w:val="21"/>
                <w:szCs w:val="21"/>
              </w:rPr>
              <w:t>ND</w:t>
            </w:r>
          </w:p>
        </w:tc>
        <w:tc>
          <w:tcPr>
            <w:tcW w:w="654" w:type="pct"/>
            <w:vAlign w:val="center"/>
          </w:tcPr>
          <w:p>
            <w:pPr>
              <w:pStyle w:val="140"/>
              <w:spacing w:before="42"/>
              <w:ind w:left="320" w:right="295"/>
              <w:rPr>
                <w:rFonts w:ascii="Times New Roman" w:hAnsi="Times New Roman" w:cs="Times New Roman"/>
                <w:sz w:val="21"/>
                <w:szCs w:val="21"/>
              </w:rPr>
            </w:pPr>
            <w:r>
              <w:rPr>
                <w:rFonts w:ascii="Times New Roman" w:hAnsi="Times New Roman" w:cs="Times New Roman"/>
                <w:sz w:val="21"/>
                <w:szCs w:val="21"/>
              </w:rPr>
              <w:t>ND</w:t>
            </w:r>
          </w:p>
        </w:tc>
        <w:tc>
          <w:tcPr>
            <w:tcW w:w="725" w:type="pct"/>
            <w:vAlign w:val="center"/>
          </w:tcPr>
          <w:p>
            <w:pPr>
              <w:widowControl/>
              <w:adjustRightInd w:val="0"/>
              <w:snapToGrid w:val="0"/>
              <w:jc w:val="center"/>
              <w:rPr>
                <w:color w:val="000000"/>
                <w:kern w:val="0"/>
                <w:sz w:val="21"/>
              </w:rPr>
            </w:pPr>
            <w:r>
              <w:rPr>
                <w:rFonts w:hint="eastAsia"/>
                <w:color w:val="000000"/>
                <w:kern w:val="0"/>
                <w:sz w:val="21"/>
              </w:rPr>
              <w:t>1.6</w:t>
            </w:r>
          </w:p>
        </w:tc>
        <w:tc>
          <w:tcPr>
            <w:tcW w:w="648" w:type="pct"/>
            <w:vAlign w:val="center"/>
          </w:tcPr>
          <w:p>
            <w:pPr>
              <w:jc w:val="center"/>
            </w:pPr>
            <w:r>
              <w:rPr>
                <w:rFonts w:hint="eastAsia" w:cs="Times New Roman"/>
                <w:bCs/>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69" w:type="pct"/>
            <w:vMerge w:val="continue"/>
            <w:vAlign w:val="center"/>
          </w:tcPr>
          <w:p>
            <w:pPr>
              <w:widowControl/>
              <w:jc w:val="center"/>
              <w:rPr>
                <w:rFonts w:eastAsia="宋体" w:cs="Times New Roman"/>
                <w:sz w:val="21"/>
              </w:rPr>
            </w:pPr>
          </w:p>
        </w:tc>
        <w:tc>
          <w:tcPr>
            <w:tcW w:w="1000" w:type="pct"/>
            <w:vAlign w:val="center"/>
          </w:tcPr>
          <w:p>
            <w:pPr>
              <w:pStyle w:val="140"/>
              <w:spacing w:before="28"/>
              <w:ind w:left="234" w:right="209"/>
              <w:rPr>
                <w:rFonts w:ascii="Times New Roman" w:hAnsi="Times New Roman" w:cs="Times New Roman"/>
                <w:sz w:val="21"/>
                <w:szCs w:val="21"/>
              </w:rPr>
            </w:pPr>
            <w:r>
              <w:rPr>
                <w:rFonts w:ascii="Times New Roman" w:hAnsi="Times New Roman" w:cs="Times New Roman"/>
                <w:sz w:val="21"/>
                <w:szCs w:val="21"/>
              </w:rPr>
              <w:t>四氯乙烯</w:t>
            </w:r>
          </w:p>
        </w:tc>
        <w:tc>
          <w:tcPr>
            <w:tcW w:w="652" w:type="pct"/>
            <w:vAlign w:val="center"/>
          </w:tcPr>
          <w:p>
            <w:pPr>
              <w:pStyle w:val="140"/>
              <w:spacing w:before="42"/>
              <w:ind w:left="323" w:right="294"/>
              <w:rPr>
                <w:rFonts w:ascii="Times New Roman" w:hAnsi="Times New Roman" w:cs="Times New Roman"/>
                <w:sz w:val="21"/>
                <w:szCs w:val="21"/>
              </w:rPr>
            </w:pPr>
            <w:r>
              <w:rPr>
                <w:rFonts w:ascii="Times New Roman" w:hAnsi="Times New Roman" w:cs="Times New Roman"/>
                <w:sz w:val="21"/>
                <w:szCs w:val="21"/>
              </w:rPr>
              <w:t>ND</w:t>
            </w:r>
          </w:p>
        </w:tc>
        <w:tc>
          <w:tcPr>
            <w:tcW w:w="652" w:type="pct"/>
            <w:vAlign w:val="center"/>
          </w:tcPr>
          <w:p>
            <w:pPr>
              <w:pStyle w:val="140"/>
              <w:spacing w:before="42"/>
              <w:ind w:left="322" w:right="295"/>
              <w:rPr>
                <w:rFonts w:ascii="Times New Roman" w:hAnsi="Times New Roman" w:cs="Times New Roman"/>
                <w:sz w:val="21"/>
                <w:szCs w:val="21"/>
              </w:rPr>
            </w:pPr>
            <w:r>
              <w:rPr>
                <w:rFonts w:ascii="Times New Roman" w:hAnsi="Times New Roman" w:cs="Times New Roman"/>
                <w:sz w:val="21"/>
                <w:szCs w:val="21"/>
              </w:rPr>
              <w:t>ND</w:t>
            </w:r>
          </w:p>
        </w:tc>
        <w:tc>
          <w:tcPr>
            <w:tcW w:w="654" w:type="pct"/>
            <w:vAlign w:val="center"/>
          </w:tcPr>
          <w:p>
            <w:pPr>
              <w:pStyle w:val="140"/>
              <w:spacing w:before="42"/>
              <w:ind w:left="320" w:right="295"/>
              <w:rPr>
                <w:rFonts w:ascii="Times New Roman" w:hAnsi="Times New Roman" w:cs="Times New Roman"/>
                <w:sz w:val="21"/>
                <w:szCs w:val="21"/>
              </w:rPr>
            </w:pPr>
            <w:r>
              <w:rPr>
                <w:rFonts w:ascii="Times New Roman" w:hAnsi="Times New Roman" w:cs="Times New Roman"/>
                <w:sz w:val="21"/>
                <w:szCs w:val="21"/>
              </w:rPr>
              <w:t>ND</w:t>
            </w:r>
          </w:p>
        </w:tc>
        <w:tc>
          <w:tcPr>
            <w:tcW w:w="725" w:type="pct"/>
            <w:vAlign w:val="center"/>
          </w:tcPr>
          <w:p>
            <w:pPr>
              <w:widowControl/>
              <w:adjustRightInd w:val="0"/>
              <w:snapToGrid w:val="0"/>
              <w:jc w:val="center"/>
              <w:rPr>
                <w:color w:val="000000"/>
                <w:kern w:val="0"/>
                <w:sz w:val="21"/>
              </w:rPr>
            </w:pPr>
            <w:r>
              <w:rPr>
                <w:rFonts w:hint="eastAsia"/>
                <w:color w:val="000000"/>
                <w:kern w:val="0"/>
                <w:sz w:val="21"/>
              </w:rPr>
              <w:t>11</w:t>
            </w:r>
          </w:p>
        </w:tc>
        <w:tc>
          <w:tcPr>
            <w:tcW w:w="648" w:type="pct"/>
            <w:vAlign w:val="center"/>
          </w:tcPr>
          <w:p>
            <w:pPr>
              <w:jc w:val="center"/>
            </w:pPr>
            <w:r>
              <w:rPr>
                <w:rFonts w:hint="eastAsia" w:cs="Times New Roman"/>
                <w:bCs/>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69" w:type="pct"/>
            <w:vMerge w:val="continue"/>
            <w:vAlign w:val="center"/>
          </w:tcPr>
          <w:p>
            <w:pPr>
              <w:widowControl/>
              <w:jc w:val="center"/>
              <w:rPr>
                <w:rFonts w:eastAsia="宋体" w:cs="Times New Roman"/>
                <w:sz w:val="21"/>
              </w:rPr>
            </w:pPr>
          </w:p>
        </w:tc>
        <w:tc>
          <w:tcPr>
            <w:tcW w:w="1000" w:type="pct"/>
            <w:vAlign w:val="center"/>
          </w:tcPr>
          <w:p>
            <w:pPr>
              <w:pStyle w:val="140"/>
              <w:spacing w:before="29"/>
              <w:ind w:left="234" w:right="209"/>
              <w:rPr>
                <w:rFonts w:ascii="Times New Roman" w:hAnsi="Times New Roman" w:cs="Times New Roman"/>
                <w:sz w:val="21"/>
                <w:szCs w:val="21"/>
              </w:rPr>
            </w:pPr>
            <w:r>
              <w:rPr>
                <w:rFonts w:ascii="Times New Roman" w:hAnsi="Times New Roman" w:cs="Times New Roman"/>
                <w:sz w:val="21"/>
                <w:szCs w:val="21"/>
              </w:rPr>
              <w:t>1,1,1-三氯乙烷</w:t>
            </w:r>
          </w:p>
        </w:tc>
        <w:tc>
          <w:tcPr>
            <w:tcW w:w="652" w:type="pct"/>
            <w:vAlign w:val="center"/>
          </w:tcPr>
          <w:p>
            <w:pPr>
              <w:pStyle w:val="140"/>
              <w:spacing w:before="43"/>
              <w:ind w:left="323" w:right="294"/>
              <w:rPr>
                <w:rFonts w:ascii="Times New Roman" w:hAnsi="Times New Roman" w:cs="Times New Roman"/>
                <w:sz w:val="21"/>
                <w:szCs w:val="21"/>
              </w:rPr>
            </w:pPr>
            <w:r>
              <w:rPr>
                <w:rFonts w:ascii="Times New Roman" w:hAnsi="Times New Roman" w:cs="Times New Roman"/>
                <w:sz w:val="21"/>
                <w:szCs w:val="21"/>
              </w:rPr>
              <w:t>ND</w:t>
            </w:r>
          </w:p>
        </w:tc>
        <w:tc>
          <w:tcPr>
            <w:tcW w:w="652" w:type="pct"/>
            <w:vAlign w:val="center"/>
          </w:tcPr>
          <w:p>
            <w:pPr>
              <w:pStyle w:val="140"/>
              <w:spacing w:before="43"/>
              <w:ind w:left="322" w:right="295"/>
              <w:rPr>
                <w:rFonts w:ascii="Times New Roman" w:hAnsi="Times New Roman" w:cs="Times New Roman"/>
                <w:sz w:val="21"/>
                <w:szCs w:val="21"/>
              </w:rPr>
            </w:pPr>
            <w:r>
              <w:rPr>
                <w:rFonts w:ascii="Times New Roman" w:hAnsi="Times New Roman" w:cs="Times New Roman"/>
                <w:sz w:val="21"/>
                <w:szCs w:val="21"/>
              </w:rPr>
              <w:t>ND</w:t>
            </w:r>
          </w:p>
        </w:tc>
        <w:tc>
          <w:tcPr>
            <w:tcW w:w="654" w:type="pct"/>
            <w:vAlign w:val="center"/>
          </w:tcPr>
          <w:p>
            <w:pPr>
              <w:pStyle w:val="140"/>
              <w:spacing w:before="43"/>
              <w:ind w:left="320" w:right="295"/>
              <w:rPr>
                <w:rFonts w:ascii="Times New Roman" w:hAnsi="Times New Roman" w:cs="Times New Roman"/>
                <w:sz w:val="21"/>
                <w:szCs w:val="21"/>
              </w:rPr>
            </w:pPr>
            <w:r>
              <w:rPr>
                <w:rFonts w:ascii="Times New Roman" w:hAnsi="Times New Roman" w:cs="Times New Roman"/>
                <w:sz w:val="21"/>
                <w:szCs w:val="21"/>
              </w:rPr>
              <w:t>ND</w:t>
            </w:r>
          </w:p>
        </w:tc>
        <w:tc>
          <w:tcPr>
            <w:tcW w:w="725" w:type="pct"/>
            <w:vAlign w:val="center"/>
          </w:tcPr>
          <w:p>
            <w:pPr>
              <w:widowControl/>
              <w:adjustRightInd w:val="0"/>
              <w:snapToGrid w:val="0"/>
              <w:jc w:val="center"/>
              <w:rPr>
                <w:color w:val="000000"/>
                <w:kern w:val="0"/>
                <w:sz w:val="21"/>
              </w:rPr>
            </w:pPr>
            <w:r>
              <w:rPr>
                <w:rFonts w:hint="eastAsia"/>
                <w:color w:val="000000"/>
                <w:kern w:val="0"/>
                <w:sz w:val="21"/>
              </w:rPr>
              <w:t>701</w:t>
            </w:r>
          </w:p>
        </w:tc>
        <w:tc>
          <w:tcPr>
            <w:tcW w:w="648" w:type="pct"/>
            <w:vAlign w:val="center"/>
          </w:tcPr>
          <w:p>
            <w:pPr>
              <w:jc w:val="center"/>
            </w:pPr>
            <w:r>
              <w:rPr>
                <w:rFonts w:hint="eastAsia" w:cs="Times New Roman"/>
                <w:bCs/>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69" w:type="pct"/>
            <w:vMerge w:val="continue"/>
            <w:vAlign w:val="center"/>
          </w:tcPr>
          <w:p>
            <w:pPr>
              <w:widowControl/>
              <w:jc w:val="center"/>
              <w:rPr>
                <w:rFonts w:eastAsia="宋体" w:cs="Times New Roman"/>
                <w:sz w:val="21"/>
              </w:rPr>
            </w:pPr>
          </w:p>
        </w:tc>
        <w:tc>
          <w:tcPr>
            <w:tcW w:w="1000" w:type="pct"/>
            <w:vAlign w:val="center"/>
          </w:tcPr>
          <w:p>
            <w:pPr>
              <w:pStyle w:val="140"/>
              <w:spacing w:before="29"/>
              <w:ind w:left="234" w:right="209"/>
              <w:rPr>
                <w:rFonts w:ascii="Times New Roman" w:hAnsi="Times New Roman" w:cs="Times New Roman"/>
                <w:sz w:val="21"/>
                <w:szCs w:val="21"/>
              </w:rPr>
            </w:pPr>
            <w:r>
              <w:rPr>
                <w:rFonts w:ascii="Times New Roman" w:hAnsi="Times New Roman" w:cs="Times New Roman"/>
                <w:sz w:val="21"/>
                <w:szCs w:val="21"/>
              </w:rPr>
              <w:t>1,1,2-三氯乙烷</w:t>
            </w:r>
          </w:p>
        </w:tc>
        <w:tc>
          <w:tcPr>
            <w:tcW w:w="652" w:type="pct"/>
            <w:vAlign w:val="center"/>
          </w:tcPr>
          <w:p>
            <w:pPr>
              <w:pStyle w:val="140"/>
              <w:spacing w:before="43"/>
              <w:ind w:left="323" w:right="294"/>
              <w:rPr>
                <w:rFonts w:ascii="Times New Roman" w:hAnsi="Times New Roman" w:cs="Times New Roman"/>
                <w:sz w:val="21"/>
                <w:szCs w:val="21"/>
              </w:rPr>
            </w:pPr>
            <w:r>
              <w:rPr>
                <w:rFonts w:ascii="Times New Roman" w:hAnsi="Times New Roman" w:cs="Times New Roman"/>
                <w:sz w:val="21"/>
                <w:szCs w:val="21"/>
              </w:rPr>
              <w:t>ND</w:t>
            </w:r>
          </w:p>
        </w:tc>
        <w:tc>
          <w:tcPr>
            <w:tcW w:w="652" w:type="pct"/>
            <w:vAlign w:val="center"/>
          </w:tcPr>
          <w:p>
            <w:pPr>
              <w:pStyle w:val="140"/>
              <w:spacing w:before="43"/>
              <w:ind w:left="322" w:right="295"/>
              <w:rPr>
                <w:rFonts w:ascii="Times New Roman" w:hAnsi="Times New Roman" w:cs="Times New Roman"/>
                <w:sz w:val="21"/>
                <w:szCs w:val="21"/>
              </w:rPr>
            </w:pPr>
            <w:r>
              <w:rPr>
                <w:rFonts w:ascii="Times New Roman" w:hAnsi="Times New Roman" w:cs="Times New Roman"/>
                <w:sz w:val="21"/>
                <w:szCs w:val="21"/>
              </w:rPr>
              <w:t>ND</w:t>
            </w:r>
          </w:p>
        </w:tc>
        <w:tc>
          <w:tcPr>
            <w:tcW w:w="654" w:type="pct"/>
            <w:vAlign w:val="center"/>
          </w:tcPr>
          <w:p>
            <w:pPr>
              <w:pStyle w:val="140"/>
              <w:spacing w:before="43"/>
              <w:ind w:left="320" w:right="295"/>
              <w:rPr>
                <w:rFonts w:ascii="Times New Roman" w:hAnsi="Times New Roman" w:cs="Times New Roman"/>
                <w:sz w:val="21"/>
                <w:szCs w:val="21"/>
              </w:rPr>
            </w:pPr>
            <w:r>
              <w:rPr>
                <w:rFonts w:ascii="Times New Roman" w:hAnsi="Times New Roman" w:cs="Times New Roman"/>
                <w:sz w:val="21"/>
                <w:szCs w:val="21"/>
              </w:rPr>
              <w:t>ND</w:t>
            </w:r>
          </w:p>
        </w:tc>
        <w:tc>
          <w:tcPr>
            <w:tcW w:w="725" w:type="pct"/>
            <w:vAlign w:val="center"/>
          </w:tcPr>
          <w:p>
            <w:pPr>
              <w:widowControl/>
              <w:adjustRightInd w:val="0"/>
              <w:snapToGrid w:val="0"/>
              <w:jc w:val="center"/>
              <w:rPr>
                <w:color w:val="000000"/>
                <w:kern w:val="0"/>
                <w:sz w:val="21"/>
              </w:rPr>
            </w:pPr>
            <w:r>
              <w:rPr>
                <w:rFonts w:hint="eastAsia"/>
                <w:color w:val="000000"/>
                <w:kern w:val="0"/>
                <w:sz w:val="21"/>
              </w:rPr>
              <w:t>0.6</w:t>
            </w:r>
          </w:p>
        </w:tc>
        <w:tc>
          <w:tcPr>
            <w:tcW w:w="648" w:type="pct"/>
            <w:vAlign w:val="center"/>
          </w:tcPr>
          <w:p>
            <w:pPr>
              <w:jc w:val="center"/>
            </w:pPr>
            <w:r>
              <w:rPr>
                <w:rFonts w:hint="eastAsia" w:cs="Times New Roman"/>
                <w:bCs/>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69" w:type="pct"/>
            <w:vMerge w:val="continue"/>
            <w:vAlign w:val="center"/>
          </w:tcPr>
          <w:p>
            <w:pPr>
              <w:widowControl/>
              <w:jc w:val="center"/>
              <w:rPr>
                <w:rFonts w:eastAsia="宋体" w:cs="Times New Roman"/>
                <w:sz w:val="21"/>
              </w:rPr>
            </w:pPr>
          </w:p>
        </w:tc>
        <w:tc>
          <w:tcPr>
            <w:tcW w:w="1000" w:type="pct"/>
            <w:vAlign w:val="center"/>
          </w:tcPr>
          <w:p>
            <w:pPr>
              <w:pStyle w:val="140"/>
              <w:spacing w:before="28"/>
              <w:ind w:left="234" w:right="209"/>
              <w:rPr>
                <w:rFonts w:ascii="Times New Roman" w:hAnsi="Times New Roman" w:cs="Times New Roman"/>
                <w:sz w:val="21"/>
                <w:szCs w:val="21"/>
              </w:rPr>
            </w:pPr>
            <w:r>
              <w:rPr>
                <w:rFonts w:ascii="Times New Roman" w:hAnsi="Times New Roman" w:cs="Times New Roman"/>
                <w:sz w:val="21"/>
                <w:szCs w:val="21"/>
              </w:rPr>
              <w:t>三氯乙烯</w:t>
            </w:r>
          </w:p>
        </w:tc>
        <w:tc>
          <w:tcPr>
            <w:tcW w:w="652" w:type="pct"/>
            <w:vAlign w:val="center"/>
          </w:tcPr>
          <w:p>
            <w:pPr>
              <w:pStyle w:val="140"/>
              <w:spacing w:before="42"/>
              <w:ind w:left="323" w:right="294"/>
              <w:rPr>
                <w:rFonts w:ascii="Times New Roman" w:hAnsi="Times New Roman" w:cs="Times New Roman"/>
                <w:sz w:val="21"/>
                <w:szCs w:val="21"/>
              </w:rPr>
            </w:pPr>
            <w:r>
              <w:rPr>
                <w:rFonts w:ascii="Times New Roman" w:hAnsi="Times New Roman" w:cs="Times New Roman"/>
                <w:sz w:val="21"/>
                <w:szCs w:val="21"/>
              </w:rPr>
              <w:t>ND</w:t>
            </w:r>
          </w:p>
        </w:tc>
        <w:tc>
          <w:tcPr>
            <w:tcW w:w="652" w:type="pct"/>
            <w:vAlign w:val="center"/>
          </w:tcPr>
          <w:p>
            <w:pPr>
              <w:pStyle w:val="140"/>
              <w:spacing w:before="42"/>
              <w:ind w:left="322" w:right="295"/>
              <w:rPr>
                <w:rFonts w:ascii="Times New Roman" w:hAnsi="Times New Roman" w:cs="Times New Roman"/>
                <w:sz w:val="21"/>
                <w:szCs w:val="21"/>
              </w:rPr>
            </w:pPr>
            <w:r>
              <w:rPr>
                <w:rFonts w:ascii="Times New Roman" w:hAnsi="Times New Roman" w:cs="Times New Roman"/>
                <w:sz w:val="21"/>
                <w:szCs w:val="21"/>
              </w:rPr>
              <w:t>ND</w:t>
            </w:r>
          </w:p>
        </w:tc>
        <w:tc>
          <w:tcPr>
            <w:tcW w:w="654" w:type="pct"/>
            <w:vAlign w:val="center"/>
          </w:tcPr>
          <w:p>
            <w:pPr>
              <w:pStyle w:val="140"/>
              <w:spacing w:before="42"/>
              <w:ind w:left="320" w:right="295"/>
              <w:rPr>
                <w:rFonts w:ascii="Times New Roman" w:hAnsi="Times New Roman" w:cs="Times New Roman"/>
                <w:sz w:val="21"/>
                <w:szCs w:val="21"/>
              </w:rPr>
            </w:pPr>
            <w:r>
              <w:rPr>
                <w:rFonts w:ascii="Times New Roman" w:hAnsi="Times New Roman" w:cs="Times New Roman"/>
                <w:sz w:val="21"/>
                <w:szCs w:val="21"/>
              </w:rPr>
              <w:t>ND</w:t>
            </w:r>
          </w:p>
        </w:tc>
        <w:tc>
          <w:tcPr>
            <w:tcW w:w="725" w:type="pct"/>
            <w:vAlign w:val="center"/>
          </w:tcPr>
          <w:p>
            <w:pPr>
              <w:widowControl/>
              <w:adjustRightInd w:val="0"/>
              <w:snapToGrid w:val="0"/>
              <w:jc w:val="center"/>
              <w:rPr>
                <w:color w:val="000000"/>
                <w:kern w:val="0"/>
                <w:sz w:val="21"/>
              </w:rPr>
            </w:pPr>
            <w:r>
              <w:rPr>
                <w:rFonts w:hint="eastAsia"/>
                <w:color w:val="000000"/>
                <w:kern w:val="0"/>
                <w:sz w:val="21"/>
              </w:rPr>
              <w:t>0.7</w:t>
            </w:r>
          </w:p>
        </w:tc>
        <w:tc>
          <w:tcPr>
            <w:tcW w:w="648" w:type="pct"/>
            <w:vAlign w:val="center"/>
          </w:tcPr>
          <w:p>
            <w:pPr>
              <w:jc w:val="center"/>
            </w:pPr>
            <w:r>
              <w:rPr>
                <w:rFonts w:hint="eastAsia" w:cs="Times New Roman"/>
                <w:bCs/>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69" w:type="pct"/>
            <w:vMerge w:val="continue"/>
            <w:vAlign w:val="center"/>
          </w:tcPr>
          <w:p>
            <w:pPr>
              <w:widowControl/>
              <w:jc w:val="center"/>
              <w:rPr>
                <w:rFonts w:eastAsia="宋体" w:cs="Times New Roman"/>
                <w:sz w:val="21"/>
              </w:rPr>
            </w:pPr>
          </w:p>
        </w:tc>
        <w:tc>
          <w:tcPr>
            <w:tcW w:w="1000" w:type="pct"/>
            <w:vAlign w:val="center"/>
          </w:tcPr>
          <w:p>
            <w:pPr>
              <w:pStyle w:val="140"/>
              <w:spacing w:before="28"/>
              <w:ind w:left="234" w:right="209"/>
              <w:rPr>
                <w:rFonts w:ascii="Times New Roman" w:hAnsi="Times New Roman" w:cs="Times New Roman"/>
                <w:sz w:val="21"/>
                <w:szCs w:val="21"/>
              </w:rPr>
            </w:pPr>
            <w:r>
              <w:rPr>
                <w:rFonts w:ascii="Times New Roman" w:hAnsi="Times New Roman" w:cs="Times New Roman"/>
                <w:sz w:val="21"/>
                <w:szCs w:val="21"/>
              </w:rPr>
              <w:t>1,2,3-三氯丙烷</w:t>
            </w:r>
          </w:p>
        </w:tc>
        <w:tc>
          <w:tcPr>
            <w:tcW w:w="652" w:type="pct"/>
            <w:vAlign w:val="center"/>
          </w:tcPr>
          <w:p>
            <w:pPr>
              <w:pStyle w:val="140"/>
              <w:spacing w:before="42"/>
              <w:ind w:left="323" w:right="294"/>
              <w:rPr>
                <w:rFonts w:ascii="Times New Roman" w:hAnsi="Times New Roman" w:cs="Times New Roman"/>
                <w:sz w:val="21"/>
                <w:szCs w:val="21"/>
              </w:rPr>
            </w:pPr>
            <w:r>
              <w:rPr>
                <w:rFonts w:ascii="Times New Roman" w:hAnsi="Times New Roman" w:cs="Times New Roman"/>
                <w:sz w:val="21"/>
                <w:szCs w:val="21"/>
              </w:rPr>
              <w:t>ND</w:t>
            </w:r>
          </w:p>
        </w:tc>
        <w:tc>
          <w:tcPr>
            <w:tcW w:w="652" w:type="pct"/>
            <w:vAlign w:val="center"/>
          </w:tcPr>
          <w:p>
            <w:pPr>
              <w:pStyle w:val="140"/>
              <w:spacing w:before="42"/>
              <w:ind w:left="322" w:right="295"/>
              <w:rPr>
                <w:rFonts w:ascii="Times New Roman" w:hAnsi="Times New Roman" w:cs="Times New Roman"/>
                <w:sz w:val="21"/>
                <w:szCs w:val="21"/>
              </w:rPr>
            </w:pPr>
            <w:r>
              <w:rPr>
                <w:rFonts w:ascii="Times New Roman" w:hAnsi="Times New Roman" w:cs="Times New Roman"/>
                <w:sz w:val="21"/>
                <w:szCs w:val="21"/>
              </w:rPr>
              <w:t>ND</w:t>
            </w:r>
          </w:p>
        </w:tc>
        <w:tc>
          <w:tcPr>
            <w:tcW w:w="654" w:type="pct"/>
            <w:vAlign w:val="center"/>
          </w:tcPr>
          <w:p>
            <w:pPr>
              <w:pStyle w:val="140"/>
              <w:spacing w:before="42"/>
              <w:ind w:left="320" w:right="295"/>
              <w:rPr>
                <w:rFonts w:ascii="Times New Roman" w:hAnsi="Times New Roman" w:cs="Times New Roman"/>
                <w:sz w:val="21"/>
                <w:szCs w:val="21"/>
              </w:rPr>
            </w:pPr>
            <w:r>
              <w:rPr>
                <w:rFonts w:ascii="Times New Roman" w:hAnsi="Times New Roman" w:cs="Times New Roman"/>
                <w:sz w:val="21"/>
                <w:szCs w:val="21"/>
              </w:rPr>
              <w:t>ND</w:t>
            </w:r>
          </w:p>
        </w:tc>
        <w:tc>
          <w:tcPr>
            <w:tcW w:w="725" w:type="pct"/>
            <w:vAlign w:val="center"/>
          </w:tcPr>
          <w:p>
            <w:pPr>
              <w:widowControl/>
              <w:adjustRightInd w:val="0"/>
              <w:snapToGrid w:val="0"/>
              <w:jc w:val="center"/>
              <w:rPr>
                <w:color w:val="000000"/>
                <w:kern w:val="0"/>
                <w:sz w:val="21"/>
              </w:rPr>
            </w:pPr>
            <w:r>
              <w:rPr>
                <w:rFonts w:hint="eastAsia"/>
                <w:color w:val="000000"/>
                <w:kern w:val="0"/>
                <w:sz w:val="21"/>
              </w:rPr>
              <w:t>0.05</w:t>
            </w:r>
          </w:p>
        </w:tc>
        <w:tc>
          <w:tcPr>
            <w:tcW w:w="648" w:type="pct"/>
            <w:vAlign w:val="center"/>
          </w:tcPr>
          <w:p>
            <w:pPr>
              <w:jc w:val="center"/>
            </w:pPr>
            <w:r>
              <w:rPr>
                <w:rFonts w:hint="eastAsia" w:cs="Times New Roman"/>
                <w:bCs/>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69" w:type="pct"/>
            <w:vMerge w:val="continue"/>
            <w:vAlign w:val="center"/>
          </w:tcPr>
          <w:p>
            <w:pPr>
              <w:widowControl/>
              <w:jc w:val="center"/>
              <w:rPr>
                <w:rFonts w:eastAsia="宋体" w:cs="Times New Roman"/>
                <w:sz w:val="21"/>
              </w:rPr>
            </w:pPr>
          </w:p>
        </w:tc>
        <w:tc>
          <w:tcPr>
            <w:tcW w:w="1000" w:type="pct"/>
            <w:vAlign w:val="center"/>
          </w:tcPr>
          <w:p>
            <w:pPr>
              <w:pStyle w:val="140"/>
              <w:spacing w:before="29"/>
              <w:ind w:left="236" w:right="209"/>
              <w:rPr>
                <w:rFonts w:ascii="Times New Roman" w:hAnsi="Times New Roman" w:cs="Times New Roman"/>
                <w:sz w:val="21"/>
                <w:szCs w:val="21"/>
              </w:rPr>
            </w:pPr>
            <w:r>
              <w:rPr>
                <w:rFonts w:ascii="Times New Roman" w:hAnsi="Times New Roman" w:cs="Times New Roman"/>
                <w:sz w:val="21"/>
                <w:szCs w:val="21"/>
              </w:rPr>
              <w:t>氯乙烯</w:t>
            </w:r>
          </w:p>
        </w:tc>
        <w:tc>
          <w:tcPr>
            <w:tcW w:w="652" w:type="pct"/>
            <w:vAlign w:val="center"/>
          </w:tcPr>
          <w:p>
            <w:pPr>
              <w:pStyle w:val="140"/>
              <w:spacing w:before="43"/>
              <w:ind w:left="323" w:right="294"/>
              <w:rPr>
                <w:rFonts w:ascii="Times New Roman" w:hAnsi="Times New Roman" w:cs="Times New Roman"/>
                <w:sz w:val="21"/>
                <w:szCs w:val="21"/>
              </w:rPr>
            </w:pPr>
            <w:r>
              <w:rPr>
                <w:rFonts w:ascii="Times New Roman" w:hAnsi="Times New Roman" w:cs="Times New Roman"/>
                <w:sz w:val="21"/>
                <w:szCs w:val="21"/>
              </w:rPr>
              <w:t>ND</w:t>
            </w:r>
          </w:p>
        </w:tc>
        <w:tc>
          <w:tcPr>
            <w:tcW w:w="652" w:type="pct"/>
            <w:vAlign w:val="center"/>
          </w:tcPr>
          <w:p>
            <w:pPr>
              <w:pStyle w:val="140"/>
              <w:spacing w:before="43"/>
              <w:ind w:left="322" w:right="295"/>
              <w:rPr>
                <w:rFonts w:ascii="Times New Roman" w:hAnsi="Times New Roman" w:cs="Times New Roman"/>
                <w:sz w:val="21"/>
                <w:szCs w:val="21"/>
              </w:rPr>
            </w:pPr>
            <w:r>
              <w:rPr>
                <w:rFonts w:ascii="Times New Roman" w:hAnsi="Times New Roman" w:cs="Times New Roman"/>
                <w:sz w:val="21"/>
                <w:szCs w:val="21"/>
              </w:rPr>
              <w:t>ND</w:t>
            </w:r>
          </w:p>
        </w:tc>
        <w:tc>
          <w:tcPr>
            <w:tcW w:w="654" w:type="pct"/>
            <w:vAlign w:val="center"/>
          </w:tcPr>
          <w:p>
            <w:pPr>
              <w:pStyle w:val="140"/>
              <w:spacing w:before="43"/>
              <w:ind w:left="320" w:right="295"/>
              <w:rPr>
                <w:rFonts w:ascii="Times New Roman" w:hAnsi="Times New Roman" w:cs="Times New Roman"/>
                <w:sz w:val="21"/>
                <w:szCs w:val="21"/>
              </w:rPr>
            </w:pPr>
            <w:r>
              <w:rPr>
                <w:rFonts w:ascii="Times New Roman" w:hAnsi="Times New Roman" w:cs="Times New Roman"/>
                <w:sz w:val="21"/>
                <w:szCs w:val="21"/>
              </w:rPr>
              <w:t>ND</w:t>
            </w:r>
          </w:p>
        </w:tc>
        <w:tc>
          <w:tcPr>
            <w:tcW w:w="725" w:type="pct"/>
            <w:vAlign w:val="center"/>
          </w:tcPr>
          <w:p>
            <w:pPr>
              <w:widowControl/>
              <w:adjustRightInd w:val="0"/>
              <w:snapToGrid w:val="0"/>
              <w:jc w:val="center"/>
              <w:rPr>
                <w:color w:val="000000"/>
                <w:kern w:val="0"/>
                <w:sz w:val="21"/>
              </w:rPr>
            </w:pPr>
            <w:r>
              <w:rPr>
                <w:rFonts w:hint="eastAsia"/>
                <w:color w:val="000000"/>
                <w:kern w:val="0"/>
                <w:sz w:val="21"/>
              </w:rPr>
              <w:t>0.12</w:t>
            </w:r>
          </w:p>
        </w:tc>
        <w:tc>
          <w:tcPr>
            <w:tcW w:w="648" w:type="pct"/>
            <w:vAlign w:val="center"/>
          </w:tcPr>
          <w:p>
            <w:pPr>
              <w:jc w:val="center"/>
            </w:pPr>
            <w:r>
              <w:rPr>
                <w:rFonts w:hint="eastAsia" w:cs="Times New Roman"/>
                <w:bCs/>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69" w:type="pct"/>
            <w:vMerge w:val="continue"/>
            <w:vAlign w:val="center"/>
          </w:tcPr>
          <w:p>
            <w:pPr>
              <w:widowControl/>
              <w:jc w:val="center"/>
              <w:rPr>
                <w:rFonts w:eastAsia="宋体" w:cs="Times New Roman"/>
                <w:sz w:val="21"/>
              </w:rPr>
            </w:pPr>
          </w:p>
        </w:tc>
        <w:tc>
          <w:tcPr>
            <w:tcW w:w="1000" w:type="pct"/>
            <w:vAlign w:val="center"/>
          </w:tcPr>
          <w:p>
            <w:pPr>
              <w:pStyle w:val="140"/>
              <w:spacing w:before="30"/>
              <w:ind w:left="25"/>
              <w:rPr>
                <w:rFonts w:ascii="Times New Roman" w:hAnsi="Times New Roman" w:cs="Times New Roman"/>
                <w:sz w:val="21"/>
                <w:szCs w:val="21"/>
              </w:rPr>
            </w:pPr>
            <w:r>
              <w:rPr>
                <w:rFonts w:ascii="Times New Roman" w:hAnsi="Times New Roman" w:cs="Times New Roman"/>
                <w:sz w:val="21"/>
                <w:szCs w:val="21"/>
              </w:rPr>
              <w:t>苯</w:t>
            </w:r>
          </w:p>
        </w:tc>
        <w:tc>
          <w:tcPr>
            <w:tcW w:w="652" w:type="pct"/>
            <w:vAlign w:val="center"/>
          </w:tcPr>
          <w:p>
            <w:pPr>
              <w:pStyle w:val="140"/>
              <w:spacing w:before="43"/>
              <w:ind w:left="323" w:right="294"/>
              <w:rPr>
                <w:rFonts w:ascii="Times New Roman" w:hAnsi="Times New Roman" w:cs="Times New Roman"/>
                <w:sz w:val="21"/>
                <w:szCs w:val="21"/>
              </w:rPr>
            </w:pPr>
            <w:r>
              <w:rPr>
                <w:rFonts w:ascii="Times New Roman" w:hAnsi="Times New Roman" w:cs="Times New Roman"/>
                <w:sz w:val="21"/>
                <w:szCs w:val="21"/>
              </w:rPr>
              <w:t>ND</w:t>
            </w:r>
          </w:p>
        </w:tc>
        <w:tc>
          <w:tcPr>
            <w:tcW w:w="652" w:type="pct"/>
            <w:vAlign w:val="center"/>
          </w:tcPr>
          <w:p>
            <w:pPr>
              <w:pStyle w:val="140"/>
              <w:spacing w:before="43"/>
              <w:ind w:left="322" w:right="295"/>
              <w:rPr>
                <w:rFonts w:ascii="Times New Roman" w:hAnsi="Times New Roman" w:cs="Times New Roman"/>
                <w:sz w:val="21"/>
                <w:szCs w:val="21"/>
              </w:rPr>
            </w:pPr>
            <w:r>
              <w:rPr>
                <w:rFonts w:ascii="Times New Roman" w:hAnsi="Times New Roman" w:cs="Times New Roman"/>
                <w:sz w:val="21"/>
                <w:szCs w:val="21"/>
              </w:rPr>
              <w:t>ND</w:t>
            </w:r>
          </w:p>
        </w:tc>
        <w:tc>
          <w:tcPr>
            <w:tcW w:w="654" w:type="pct"/>
            <w:vAlign w:val="center"/>
          </w:tcPr>
          <w:p>
            <w:pPr>
              <w:pStyle w:val="140"/>
              <w:spacing w:before="43"/>
              <w:ind w:left="320" w:right="295"/>
              <w:rPr>
                <w:rFonts w:ascii="Times New Roman" w:hAnsi="Times New Roman" w:cs="Times New Roman"/>
                <w:sz w:val="21"/>
                <w:szCs w:val="21"/>
              </w:rPr>
            </w:pPr>
            <w:r>
              <w:rPr>
                <w:rFonts w:ascii="Times New Roman" w:hAnsi="Times New Roman" w:cs="Times New Roman"/>
                <w:sz w:val="21"/>
                <w:szCs w:val="21"/>
              </w:rPr>
              <w:t>ND</w:t>
            </w:r>
          </w:p>
        </w:tc>
        <w:tc>
          <w:tcPr>
            <w:tcW w:w="725" w:type="pct"/>
            <w:vAlign w:val="center"/>
          </w:tcPr>
          <w:p>
            <w:pPr>
              <w:widowControl/>
              <w:adjustRightInd w:val="0"/>
              <w:snapToGrid w:val="0"/>
              <w:jc w:val="center"/>
              <w:rPr>
                <w:color w:val="000000"/>
                <w:kern w:val="0"/>
                <w:sz w:val="21"/>
              </w:rPr>
            </w:pPr>
            <w:r>
              <w:rPr>
                <w:rFonts w:hint="eastAsia"/>
                <w:color w:val="000000"/>
                <w:kern w:val="0"/>
                <w:sz w:val="21"/>
              </w:rPr>
              <w:t>1</w:t>
            </w:r>
          </w:p>
        </w:tc>
        <w:tc>
          <w:tcPr>
            <w:tcW w:w="648" w:type="pct"/>
            <w:vAlign w:val="center"/>
          </w:tcPr>
          <w:p>
            <w:pPr>
              <w:jc w:val="center"/>
            </w:pPr>
            <w:r>
              <w:rPr>
                <w:rFonts w:hint="eastAsia" w:cs="Times New Roman"/>
                <w:bCs/>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69" w:type="pct"/>
            <w:vMerge w:val="continue"/>
            <w:vAlign w:val="center"/>
          </w:tcPr>
          <w:p>
            <w:pPr>
              <w:widowControl/>
              <w:jc w:val="center"/>
              <w:rPr>
                <w:rFonts w:eastAsia="宋体" w:cs="Times New Roman"/>
                <w:sz w:val="21"/>
              </w:rPr>
            </w:pPr>
          </w:p>
        </w:tc>
        <w:tc>
          <w:tcPr>
            <w:tcW w:w="1000" w:type="pct"/>
            <w:vAlign w:val="center"/>
          </w:tcPr>
          <w:p>
            <w:pPr>
              <w:pStyle w:val="140"/>
              <w:spacing w:before="28"/>
              <w:ind w:left="232" w:right="209"/>
              <w:rPr>
                <w:rFonts w:ascii="Times New Roman" w:hAnsi="Times New Roman" w:cs="Times New Roman"/>
                <w:sz w:val="21"/>
                <w:szCs w:val="21"/>
              </w:rPr>
            </w:pPr>
            <w:r>
              <w:rPr>
                <w:rFonts w:ascii="Times New Roman" w:hAnsi="Times New Roman" w:cs="Times New Roman"/>
                <w:sz w:val="21"/>
                <w:szCs w:val="21"/>
              </w:rPr>
              <w:t>氯苯</w:t>
            </w:r>
          </w:p>
        </w:tc>
        <w:tc>
          <w:tcPr>
            <w:tcW w:w="652" w:type="pct"/>
            <w:vAlign w:val="center"/>
          </w:tcPr>
          <w:p>
            <w:pPr>
              <w:pStyle w:val="140"/>
              <w:spacing w:before="42"/>
              <w:ind w:left="323" w:right="294"/>
              <w:rPr>
                <w:rFonts w:ascii="Times New Roman" w:hAnsi="Times New Roman" w:cs="Times New Roman"/>
                <w:sz w:val="21"/>
                <w:szCs w:val="21"/>
              </w:rPr>
            </w:pPr>
            <w:r>
              <w:rPr>
                <w:rFonts w:ascii="Times New Roman" w:hAnsi="Times New Roman" w:cs="Times New Roman"/>
                <w:sz w:val="21"/>
                <w:szCs w:val="21"/>
              </w:rPr>
              <w:t>ND</w:t>
            </w:r>
          </w:p>
        </w:tc>
        <w:tc>
          <w:tcPr>
            <w:tcW w:w="652" w:type="pct"/>
            <w:vAlign w:val="center"/>
          </w:tcPr>
          <w:p>
            <w:pPr>
              <w:pStyle w:val="140"/>
              <w:spacing w:before="42"/>
              <w:ind w:left="322" w:right="295"/>
              <w:rPr>
                <w:rFonts w:ascii="Times New Roman" w:hAnsi="Times New Roman" w:cs="Times New Roman"/>
                <w:sz w:val="21"/>
                <w:szCs w:val="21"/>
              </w:rPr>
            </w:pPr>
            <w:r>
              <w:rPr>
                <w:rFonts w:ascii="Times New Roman" w:hAnsi="Times New Roman" w:cs="Times New Roman"/>
                <w:sz w:val="21"/>
                <w:szCs w:val="21"/>
              </w:rPr>
              <w:t>ND</w:t>
            </w:r>
          </w:p>
        </w:tc>
        <w:tc>
          <w:tcPr>
            <w:tcW w:w="654" w:type="pct"/>
            <w:vAlign w:val="center"/>
          </w:tcPr>
          <w:p>
            <w:pPr>
              <w:pStyle w:val="140"/>
              <w:spacing w:before="42"/>
              <w:ind w:left="320" w:right="295"/>
              <w:rPr>
                <w:rFonts w:ascii="Times New Roman" w:hAnsi="Times New Roman" w:cs="Times New Roman"/>
                <w:sz w:val="21"/>
                <w:szCs w:val="21"/>
              </w:rPr>
            </w:pPr>
            <w:r>
              <w:rPr>
                <w:rFonts w:ascii="Times New Roman" w:hAnsi="Times New Roman" w:cs="Times New Roman"/>
                <w:sz w:val="21"/>
                <w:szCs w:val="21"/>
              </w:rPr>
              <w:t>ND</w:t>
            </w:r>
          </w:p>
        </w:tc>
        <w:tc>
          <w:tcPr>
            <w:tcW w:w="725" w:type="pct"/>
            <w:vAlign w:val="center"/>
          </w:tcPr>
          <w:p>
            <w:pPr>
              <w:widowControl/>
              <w:adjustRightInd w:val="0"/>
              <w:snapToGrid w:val="0"/>
              <w:jc w:val="center"/>
              <w:rPr>
                <w:color w:val="000000"/>
                <w:kern w:val="0"/>
                <w:sz w:val="21"/>
              </w:rPr>
            </w:pPr>
            <w:r>
              <w:rPr>
                <w:rFonts w:hint="eastAsia"/>
                <w:color w:val="000000"/>
                <w:kern w:val="0"/>
                <w:sz w:val="21"/>
              </w:rPr>
              <w:t>68</w:t>
            </w:r>
          </w:p>
        </w:tc>
        <w:tc>
          <w:tcPr>
            <w:tcW w:w="648" w:type="pct"/>
            <w:vAlign w:val="center"/>
          </w:tcPr>
          <w:p>
            <w:pPr>
              <w:jc w:val="center"/>
            </w:pPr>
            <w:r>
              <w:rPr>
                <w:rFonts w:hint="eastAsia" w:cs="Times New Roman"/>
                <w:bCs/>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69" w:type="pct"/>
            <w:vMerge w:val="continue"/>
            <w:vAlign w:val="center"/>
          </w:tcPr>
          <w:p>
            <w:pPr>
              <w:widowControl/>
              <w:jc w:val="center"/>
              <w:rPr>
                <w:rFonts w:eastAsia="宋体" w:cs="Times New Roman"/>
                <w:sz w:val="21"/>
              </w:rPr>
            </w:pPr>
          </w:p>
        </w:tc>
        <w:tc>
          <w:tcPr>
            <w:tcW w:w="1000" w:type="pct"/>
            <w:vAlign w:val="center"/>
          </w:tcPr>
          <w:p>
            <w:pPr>
              <w:pStyle w:val="140"/>
              <w:spacing w:before="28"/>
              <w:ind w:left="236" w:right="209"/>
              <w:rPr>
                <w:rFonts w:ascii="Times New Roman" w:hAnsi="Times New Roman" w:cs="Times New Roman"/>
                <w:sz w:val="21"/>
                <w:szCs w:val="21"/>
              </w:rPr>
            </w:pPr>
            <w:r>
              <w:rPr>
                <w:rFonts w:ascii="Times New Roman" w:hAnsi="Times New Roman" w:cs="Times New Roman"/>
                <w:sz w:val="21"/>
                <w:szCs w:val="21"/>
              </w:rPr>
              <w:t>1,2-二氯苯</w:t>
            </w:r>
          </w:p>
        </w:tc>
        <w:tc>
          <w:tcPr>
            <w:tcW w:w="652" w:type="pct"/>
            <w:vAlign w:val="center"/>
          </w:tcPr>
          <w:p>
            <w:pPr>
              <w:pStyle w:val="140"/>
              <w:spacing w:before="42"/>
              <w:ind w:left="323" w:right="294"/>
              <w:rPr>
                <w:rFonts w:ascii="Times New Roman" w:hAnsi="Times New Roman" w:cs="Times New Roman"/>
                <w:sz w:val="21"/>
                <w:szCs w:val="21"/>
              </w:rPr>
            </w:pPr>
            <w:r>
              <w:rPr>
                <w:rFonts w:ascii="Times New Roman" w:hAnsi="Times New Roman" w:cs="Times New Roman"/>
                <w:sz w:val="21"/>
                <w:szCs w:val="21"/>
              </w:rPr>
              <w:t>ND</w:t>
            </w:r>
          </w:p>
        </w:tc>
        <w:tc>
          <w:tcPr>
            <w:tcW w:w="652" w:type="pct"/>
            <w:vAlign w:val="center"/>
          </w:tcPr>
          <w:p>
            <w:pPr>
              <w:pStyle w:val="140"/>
              <w:spacing w:before="42"/>
              <w:ind w:left="322" w:right="295"/>
              <w:rPr>
                <w:rFonts w:ascii="Times New Roman" w:hAnsi="Times New Roman" w:cs="Times New Roman"/>
                <w:sz w:val="21"/>
                <w:szCs w:val="21"/>
              </w:rPr>
            </w:pPr>
            <w:r>
              <w:rPr>
                <w:rFonts w:ascii="Times New Roman" w:hAnsi="Times New Roman" w:cs="Times New Roman"/>
                <w:sz w:val="21"/>
                <w:szCs w:val="21"/>
              </w:rPr>
              <w:t>ND</w:t>
            </w:r>
          </w:p>
        </w:tc>
        <w:tc>
          <w:tcPr>
            <w:tcW w:w="654" w:type="pct"/>
            <w:vAlign w:val="center"/>
          </w:tcPr>
          <w:p>
            <w:pPr>
              <w:pStyle w:val="140"/>
              <w:spacing w:before="42"/>
              <w:ind w:left="320" w:right="295"/>
              <w:rPr>
                <w:rFonts w:ascii="Times New Roman" w:hAnsi="Times New Roman" w:cs="Times New Roman"/>
                <w:sz w:val="21"/>
                <w:szCs w:val="21"/>
              </w:rPr>
            </w:pPr>
            <w:r>
              <w:rPr>
                <w:rFonts w:ascii="Times New Roman" w:hAnsi="Times New Roman" w:cs="Times New Roman"/>
                <w:sz w:val="21"/>
                <w:szCs w:val="21"/>
              </w:rPr>
              <w:t>ND</w:t>
            </w:r>
          </w:p>
        </w:tc>
        <w:tc>
          <w:tcPr>
            <w:tcW w:w="725" w:type="pct"/>
            <w:vAlign w:val="center"/>
          </w:tcPr>
          <w:p>
            <w:pPr>
              <w:widowControl/>
              <w:adjustRightInd w:val="0"/>
              <w:snapToGrid w:val="0"/>
              <w:jc w:val="center"/>
              <w:rPr>
                <w:color w:val="000000"/>
                <w:kern w:val="0"/>
                <w:sz w:val="21"/>
              </w:rPr>
            </w:pPr>
            <w:r>
              <w:rPr>
                <w:rFonts w:hint="eastAsia"/>
                <w:color w:val="000000"/>
                <w:kern w:val="0"/>
                <w:sz w:val="21"/>
              </w:rPr>
              <w:t>560</w:t>
            </w:r>
          </w:p>
        </w:tc>
        <w:tc>
          <w:tcPr>
            <w:tcW w:w="648" w:type="pct"/>
            <w:vAlign w:val="center"/>
          </w:tcPr>
          <w:p>
            <w:pPr>
              <w:jc w:val="center"/>
            </w:pPr>
            <w:r>
              <w:rPr>
                <w:rFonts w:hint="eastAsia" w:cs="Times New Roman"/>
                <w:bCs/>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69" w:type="pct"/>
            <w:vMerge w:val="continue"/>
            <w:vAlign w:val="center"/>
          </w:tcPr>
          <w:p>
            <w:pPr>
              <w:widowControl/>
              <w:jc w:val="center"/>
              <w:rPr>
                <w:rFonts w:eastAsia="宋体" w:cs="Times New Roman"/>
                <w:sz w:val="21"/>
              </w:rPr>
            </w:pPr>
          </w:p>
        </w:tc>
        <w:tc>
          <w:tcPr>
            <w:tcW w:w="1000" w:type="pct"/>
            <w:vAlign w:val="center"/>
          </w:tcPr>
          <w:p>
            <w:pPr>
              <w:pStyle w:val="140"/>
              <w:spacing w:before="29"/>
              <w:ind w:left="236" w:right="209"/>
              <w:rPr>
                <w:rFonts w:ascii="Times New Roman" w:hAnsi="Times New Roman" w:cs="Times New Roman"/>
                <w:sz w:val="21"/>
                <w:szCs w:val="21"/>
              </w:rPr>
            </w:pPr>
            <w:r>
              <w:rPr>
                <w:rFonts w:ascii="Times New Roman" w:hAnsi="Times New Roman" w:cs="Times New Roman"/>
                <w:sz w:val="21"/>
                <w:szCs w:val="21"/>
              </w:rPr>
              <w:t>1,4-二氯苯</w:t>
            </w:r>
          </w:p>
        </w:tc>
        <w:tc>
          <w:tcPr>
            <w:tcW w:w="652" w:type="pct"/>
            <w:vAlign w:val="center"/>
          </w:tcPr>
          <w:p>
            <w:pPr>
              <w:pStyle w:val="140"/>
              <w:spacing w:before="43"/>
              <w:ind w:left="323" w:right="294"/>
              <w:rPr>
                <w:rFonts w:ascii="Times New Roman" w:hAnsi="Times New Roman" w:cs="Times New Roman"/>
                <w:sz w:val="21"/>
                <w:szCs w:val="21"/>
              </w:rPr>
            </w:pPr>
            <w:r>
              <w:rPr>
                <w:rFonts w:ascii="Times New Roman" w:hAnsi="Times New Roman" w:cs="Times New Roman"/>
                <w:sz w:val="21"/>
                <w:szCs w:val="21"/>
              </w:rPr>
              <w:t>ND</w:t>
            </w:r>
          </w:p>
        </w:tc>
        <w:tc>
          <w:tcPr>
            <w:tcW w:w="652" w:type="pct"/>
            <w:vAlign w:val="center"/>
          </w:tcPr>
          <w:p>
            <w:pPr>
              <w:pStyle w:val="140"/>
              <w:spacing w:before="43"/>
              <w:ind w:left="322" w:right="295"/>
              <w:rPr>
                <w:rFonts w:ascii="Times New Roman" w:hAnsi="Times New Roman" w:cs="Times New Roman"/>
                <w:sz w:val="21"/>
                <w:szCs w:val="21"/>
              </w:rPr>
            </w:pPr>
            <w:r>
              <w:rPr>
                <w:rFonts w:ascii="Times New Roman" w:hAnsi="Times New Roman" w:cs="Times New Roman"/>
                <w:sz w:val="21"/>
                <w:szCs w:val="21"/>
              </w:rPr>
              <w:t>ND</w:t>
            </w:r>
          </w:p>
        </w:tc>
        <w:tc>
          <w:tcPr>
            <w:tcW w:w="654" w:type="pct"/>
            <w:vAlign w:val="center"/>
          </w:tcPr>
          <w:p>
            <w:pPr>
              <w:pStyle w:val="140"/>
              <w:spacing w:before="43"/>
              <w:ind w:left="320" w:right="295"/>
              <w:rPr>
                <w:rFonts w:ascii="Times New Roman" w:hAnsi="Times New Roman" w:cs="Times New Roman"/>
                <w:sz w:val="21"/>
                <w:szCs w:val="21"/>
              </w:rPr>
            </w:pPr>
            <w:r>
              <w:rPr>
                <w:rFonts w:ascii="Times New Roman" w:hAnsi="Times New Roman" w:cs="Times New Roman"/>
                <w:sz w:val="21"/>
                <w:szCs w:val="21"/>
              </w:rPr>
              <w:t>ND</w:t>
            </w:r>
          </w:p>
        </w:tc>
        <w:tc>
          <w:tcPr>
            <w:tcW w:w="725" w:type="pct"/>
            <w:vAlign w:val="center"/>
          </w:tcPr>
          <w:p>
            <w:pPr>
              <w:widowControl/>
              <w:adjustRightInd w:val="0"/>
              <w:snapToGrid w:val="0"/>
              <w:jc w:val="center"/>
              <w:rPr>
                <w:color w:val="000000"/>
                <w:kern w:val="0"/>
                <w:sz w:val="21"/>
              </w:rPr>
            </w:pPr>
            <w:r>
              <w:rPr>
                <w:rFonts w:hint="eastAsia"/>
                <w:color w:val="000000"/>
                <w:kern w:val="0"/>
                <w:sz w:val="21"/>
              </w:rPr>
              <w:t>5.6</w:t>
            </w:r>
          </w:p>
        </w:tc>
        <w:tc>
          <w:tcPr>
            <w:tcW w:w="648" w:type="pct"/>
            <w:vAlign w:val="center"/>
          </w:tcPr>
          <w:p>
            <w:pPr>
              <w:jc w:val="center"/>
            </w:pPr>
            <w:r>
              <w:rPr>
                <w:rFonts w:hint="eastAsia" w:cs="Times New Roman"/>
                <w:bCs/>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69" w:type="pct"/>
            <w:vMerge w:val="continue"/>
            <w:vAlign w:val="center"/>
          </w:tcPr>
          <w:p>
            <w:pPr>
              <w:widowControl/>
              <w:jc w:val="center"/>
              <w:rPr>
                <w:rFonts w:eastAsia="宋体" w:cs="Times New Roman"/>
                <w:sz w:val="21"/>
              </w:rPr>
            </w:pPr>
          </w:p>
        </w:tc>
        <w:tc>
          <w:tcPr>
            <w:tcW w:w="1000" w:type="pct"/>
            <w:vAlign w:val="center"/>
          </w:tcPr>
          <w:p>
            <w:pPr>
              <w:pStyle w:val="140"/>
              <w:spacing w:before="29"/>
              <w:ind w:left="232" w:right="209"/>
              <w:rPr>
                <w:rFonts w:ascii="Times New Roman" w:hAnsi="Times New Roman" w:cs="Times New Roman"/>
                <w:sz w:val="21"/>
                <w:szCs w:val="21"/>
              </w:rPr>
            </w:pPr>
            <w:r>
              <w:rPr>
                <w:rFonts w:ascii="Times New Roman" w:hAnsi="Times New Roman" w:cs="Times New Roman"/>
                <w:sz w:val="21"/>
                <w:szCs w:val="21"/>
              </w:rPr>
              <w:t>乙苯</w:t>
            </w:r>
          </w:p>
        </w:tc>
        <w:tc>
          <w:tcPr>
            <w:tcW w:w="652" w:type="pct"/>
            <w:vAlign w:val="center"/>
          </w:tcPr>
          <w:p>
            <w:pPr>
              <w:pStyle w:val="140"/>
              <w:spacing w:before="43"/>
              <w:ind w:left="323" w:right="294"/>
              <w:rPr>
                <w:rFonts w:ascii="Times New Roman" w:hAnsi="Times New Roman" w:cs="Times New Roman"/>
                <w:sz w:val="21"/>
                <w:szCs w:val="21"/>
              </w:rPr>
            </w:pPr>
            <w:r>
              <w:rPr>
                <w:rFonts w:ascii="Times New Roman" w:hAnsi="Times New Roman" w:cs="Times New Roman"/>
                <w:sz w:val="21"/>
                <w:szCs w:val="21"/>
              </w:rPr>
              <w:t>ND</w:t>
            </w:r>
          </w:p>
        </w:tc>
        <w:tc>
          <w:tcPr>
            <w:tcW w:w="652" w:type="pct"/>
            <w:vAlign w:val="center"/>
          </w:tcPr>
          <w:p>
            <w:pPr>
              <w:pStyle w:val="140"/>
              <w:spacing w:before="43"/>
              <w:ind w:left="322" w:right="295"/>
              <w:rPr>
                <w:rFonts w:ascii="Times New Roman" w:hAnsi="Times New Roman" w:cs="Times New Roman"/>
                <w:sz w:val="21"/>
                <w:szCs w:val="21"/>
              </w:rPr>
            </w:pPr>
            <w:r>
              <w:rPr>
                <w:rFonts w:ascii="Times New Roman" w:hAnsi="Times New Roman" w:cs="Times New Roman"/>
                <w:sz w:val="21"/>
                <w:szCs w:val="21"/>
              </w:rPr>
              <w:t>ND</w:t>
            </w:r>
          </w:p>
        </w:tc>
        <w:tc>
          <w:tcPr>
            <w:tcW w:w="654" w:type="pct"/>
            <w:vAlign w:val="center"/>
          </w:tcPr>
          <w:p>
            <w:pPr>
              <w:pStyle w:val="140"/>
              <w:spacing w:before="43"/>
              <w:ind w:left="320" w:right="295"/>
              <w:rPr>
                <w:rFonts w:ascii="Times New Roman" w:hAnsi="Times New Roman" w:cs="Times New Roman"/>
                <w:sz w:val="21"/>
                <w:szCs w:val="21"/>
              </w:rPr>
            </w:pPr>
            <w:r>
              <w:rPr>
                <w:rFonts w:ascii="Times New Roman" w:hAnsi="Times New Roman" w:cs="Times New Roman"/>
                <w:sz w:val="21"/>
                <w:szCs w:val="21"/>
              </w:rPr>
              <w:t>ND</w:t>
            </w:r>
          </w:p>
        </w:tc>
        <w:tc>
          <w:tcPr>
            <w:tcW w:w="725" w:type="pct"/>
            <w:vAlign w:val="center"/>
          </w:tcPr>
          <w:p>
            <w:pPr>
              <w:widowControl/>
              <w:adjustRightInd w:val="0"/>
              <w:snapToGrid w:val="0"/>
              <w:jc w:val="center"/>
              <w:rPr>
                <w:color w:val="000000"/>
                <w:kern w:val="0"/>
                <w:sz w:val="21"/>
              </w:rPr>
            </w:pPr>
            <w:r>
              <w:rPr>
                <w:rFonts w:hint="eastAsia"/>
                <w:color w:val="000000"/>
                <w:kern w:val="0"/>
                <w:sz w:val="21"/>
              </w:rPr>
              <w:t>7.2</w:t>
            </w:r>
          </w:p>
        </w:tc>
        <w:tc>
          <w:tcPr>
            <w:tcW w:w="648" w:type="pct"/>
            <w:vAlign w:val="center"/>
          </w:tcPr>
          <w:p>
            <w:pPr>
              <w:jc w:val="center"/>
            </w:pPr>
            <w:r>
              <w:rPr>
                <w:rFonts w:hint="eastAsia" w:cs="Times New Roman"/>
                <w:bCs/>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69" w:type="pct"/>
            <w:vMerge w:val="continue"/>
            <w:vAlign w:val="center"/>
          </w:tcPr>
          <w:p>
            <w:pPr>
              <w:widowControl/>
              <w:jc w:val="center"/>
              <w:rPr>
                <w:rFonts w:eastAsia="宋体" w:cs="Times New Roman"/>
                <w:sz w:val="21"/>
              </w:rPr>
            </w:pPr>
          </w:p>
        </w:tc>
        <w:tc>
          <w:tcPr>
            <w:tcW w:w="1000" w:type="pct"/>
            <w:vAlign w:val="center"/>
          </w:tcPr>
          <w:p>
            <w:pPr>
              <w:pStyle w:val="140"/>
              <w:spacing w:before="28"/>
              <w:ind w:left="236" w:right="209"/>
              <w:rPr>
                <w:rFonts w:ascii="Times New Roman" w:hAnsi="Times New Roman" w:cs="Times New Roman"/>
                <w:sz w:val="21"/>
                <w:szCs w:val="21"/>
              </w:rPr>
            </w:pPr>
            <w:r>
              <w:rPr>
                <w:rFonts w:ascii="Times New Roman" w:hAnsi="Times New Roman" w:cs="Times New Roman"/>
                <w:sz w:val="21"/>
                <w:szCs w:val="21"/>
              </w:rPr>
              <w:t>苯乙烯</w:t>
            </w:r>
          </w:p>
        </w:tc>
        <w:tc>
          <w:tcPr>
            <w:tcW w:w="652" w:type="pct"/>
            <w:vAlign w:val="center"/>
          </w:tcPr>
          <w:p>
            <w:pPr>
              <w:pStyle w:val="140"/>
              <w:spacing w:before="42"/>
              <w:ind w:left="323" w:right="294"/>
              <w:rPr>
                <w:rFonts w:ascii="Times New Roman" w:hAnsi="Times New Roman" w:cs="Times New Roman"/>
                <w:sz w:val="21"/>
                <w:szCs w:val="21"/>
              </w:rPr>
            </w:pPr>
            <w:r>
              <w:rPr>
                <w:rFonts w:ascii="Times New Roman" w:hAnsi="Times New Roman" w:cs="Times New Roman"/>
                <w:sz w:val="21"/>
                <w:szCs w:val="21"/>
              </w:rPr>
              <w:t>ND</w:t>
            </w:r>
          </w:p>
        </w:tc>
        <w:tc>
          <w:tcPr>
            <w:tcW w:w="652" w:type="pct"/>
            <w:vAlign w:val="center"/>
          </w:tcPr>
          <w:p>
            <w:pPr>
              <w:pStyle w:val="140"/>
              <w:spacing w:before="42"/>
              <w:ind w:left="322" w:right="295"/>
              <w:rPr>
                <w:rFonts w:ascii="Times New Roman" w:hAnsi="Times New Roman" w:cs="Times New Roman"/>
                <w:sz w:val="21"/>
                <w:szCs w:val="21"/>
              </w:rPr>
            </w:pPr>
            <w:r>
              <w:rPr>
                <w:rFonts w:ascii="Times New Roman" w:hAnsi="Times New Roman" w:cs="Times New Roman"/>
                <w:sz w:val="21"/>
                <w:szCs w:val="21"/>
              </w:rPr>
              <w:t>ND</w:t>
            </w:r>
          </w:p>
        </w:tc>
        <w:tc>
          <w:tcPr>
            <w:tcW w:w="654" w:type="pct"/>
            <w:vAlign w:val="center"/>
          </w:tcPr>
          <w:p>
            <w:pPr>
              <w:pStyle w:val="140"/>
              <w:spacing w:before="42"/>
              <w:ind w:left="320" w:right="295"/>
              <w:rPr>
                <w:rFonts w:ascii="Times New Roman" w:hAnsi="Times New Roman" w:cs="Times New Roman"/>
                <w:sz w:val="21"/>
                <w:szCs w:val="21"/>
              </w:rPr>
            </w:pPr>
            <w:r>
              <w:rPr>
                <w:rFonts w:ascii="Times New Roman" w:hAnsi="Times New Roman" w:cs="Times New Roman"/>
                <w:sz w:val="21"/>
                <w:szCs w:val="21"/>
              </w:rPr>
              <w:t>ND</w:t>
            </w:r>
          </w:p>
        </w:tc>
        <w:tc>
          <w:tcPr>
            <w:tcW w:w="725" w:type="pct"/>
            <w:vAlign w:val="center"/>
          </w:tcPr>
          <w:p>
            <w:pPr>
              <w:widowControl/>
              <w:adjustRightInd w:val="0"/>
              <w:snapToGrid w:val="0"/>
              <w:jc w:val="center"/>
              <w:rPr>
                <w:color w:val="000000"/>
                <w:kern w:val="0"/>
                <w:sz w:val="21"/>
              </w:rPr>
            </w:pPr>
            <w:r>
              <w:rPr>
                <w:rFonts w:hint="eastAsia"/>
                <w:color w:val="000000"/>
                <w:kern w:val="0"/>
                <w:sz w:val="21"/>
              </w:rPr>
              <w:t>1290</w:t>
            </w:r>
          </w:p>
        </w:tc>
        <w:tc>
          <w:tcPr>
            <w:tcW w:w="648" w:type="pct"/>
            <w:vAlign w:val="center"/>
          </w:tcPr>
          <w:p>
            <w:pPr>
              <w:jc w:val="center"/>
            </w:pPr>
            <w:r>
              <w:rPr>
                <w:rFonts w:hint="eastAsia" w:cs="Times New Roman"/>
                <w:bCs/>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69" w:type="pct"/>
            <w:vMerge w:val="continue"/>
            <w:vAlign w:val="center"/>
          </w:tcPr>
          <w:p>
            <w:pPr>
              <w:widowControl/>
              <w:jc w:val="center"/>
              <w:rPr>
                <w:rFonts w:eastAsia="宋体" w:cs="Times New Roman"/>
                <w:sz w:val="21"/>
              </w:rPr>
            </w:pPr>
          </w:p>
        </w:tc>
        <w:tc>
          <w:tcPr>
            <w:tcW w:w="1000" w:type="pct"/>
            <w:vAlign w:val="center"/>
          </w:tcPr>
          <w:p>
            <w:pPr>
              <w:pStyle w:val="140"/>
              <w:spacing w:before="28"/>
              <w:ind w:left="232" w:right="209"/>
              <w:rPr>
                <w:rFonts w:ascii="Times New Roman" w:hAnsi="Times New Roman" w:cs="Times New Roman"/>
                <w:sz w:val="21"/>
                <w:szCs w:val="21"/>
              </w:rPr>
            </w:pPr>
            <w:r>
              <w:rPr>
                <w:rFonts w:ascii="Times New Roman" w:hAnsi="Times New Roman" w:cs="Times New Roman"/>
                <w:sz w:val="21"/>
                <w:szCs w:val="21"/>
              </w:rPr>
              <w:t>甲苯</w:t>
            </w:r>
          </w:p>
        </w:tc>
        <w:tc>
          <w:tcPr>
            <w:tcW w:w="652" w:type="pct"/>
            <w:vAlign w:val="center"/>
          </w:tcPr>
          <w:p>
            <w:pPr>
              <w:pStyle w:val="140"/>
              <w:spacing w:before="42"/>
              <w:ind w:left="323" w:right="294"/>
              <w:rPr>
                <w:rFonts w:ascii="Times New Roman" w:hAnsi="Times New Roman" w:cs="Times New Roman"/>
                <w:sz w:val="21"/>
                <w:szCs w:val="21"/>
              </w:rPr>
            </w:pPr>
            <w:r>
              <w:rPr>
                <w:rFonts w:ascii="Times New Roman" w:hAnsi="Times New Roman" w:cs="Times New Roman"/>
                <w:sz w:val="21"/>
                <w:szCs w:val="21"/>
              </w:rPr>
              <w:t>ND</w:t>
            </w:r>
          </w:p>
        </w:tc>
        <w:tc>
          <w:tcPr>
            <w:tcW w:w="652" w:type="pct"/>
            <w:vAlign w:val="center"/>
          </w:tcPr>
          <w:p>
            <w:pPr>
              <w:pStyle w:val="140"/>
              <w:spacing w:before="42"/>
              <w:ind w:left="322" w:right="295"/>
              <w:rPr>
                <w:rFonts w:ascii="Times New Roman" w:hAnsi="Times New Roman" w:cs="Times New Roman"/>
                <w:sz w:val="21"/>
                <w:szCs w:val="21"/>
              </w:rPr>
            </w:pPr>
            <w:r>
              <w:rPr>
                <w:rFonts w:ascii="Times New Roman" w:hAnsi="Times New Roman" w:cs="Times New Roman"/>
                <w:sz w:val="21"/>
                <w:szCs w:val="21"/>
              </w:rPr>
              <w:t>ND</w:t>
            </w:r>
          </w:p>
        </w:tc>
        <w:tc>
          <w:tcPr>
            <w:tcW w:w="654" w:type="pct"/>
            <w:vAlign w:val="center"/>
          </w:tcPr>
          <w:p>
            <w:pPr>
              <w:pStyle w:val="140"/>
              <w:spacing w:before="42"/>
              <w:ind w:left="320" w:right="295"/>
              <w:rPr>
                <w:rFonts w:ascii="Times New Roman" w:hAnsi="Times New Roman" w:cs="Times New Roman"/>
                <w:sz w:val="21"/>
                <w:szCs w:val="21"/>
              </w:rPr>
            </w:pPr>
            <w:r>
              <w:rPr>
                <w:rFonts w:ascii="Times New Roman" w:hAnsi="Times New Roman" w:cs="Times New Roman"/>
                <w:sz w:val="21"/>
                <w:szCs w:val="21"/>
              </w:rPr>
              <w:t>ND</w:t>
            </w:r>
          </w:p>
        </w:tc>
        <w:tc>
          <w:tcPr>
            <w:tcW w:w="725" w:type="pct"/>
            <w:vAlign w:val="center"/>
          </w:tcPr>
          <w:p>
            <w:pPr>
              <w:widowControl/>
              <w:adjustRightInd w:val="0"/>
              <w:snapToGrid w:val="0"/>
              <w:jc w:val="center"/>
              <w:rPr>
                <w:color w:val="000000"/>
                <w:kern w:val="0"/>
                <w:sz w:val="21"/>
              </w:rPr>
            </w:pPr>
            <w:r>
              <w:rPr>
                <w:rFonts w:hint="eastAsia"/>
                <w:color w:val="000000"/>
                <w:kern w:val="0"/>
                <w:sz w:val="21"/>
              </w:rPr>
              <w:t>1200</w:t>
            </w:r>
          </w:p>
        </w:tc>
        <w:tc>
          <w:tcPr>
            <w:tcW w:w="648" w:type="pct"/>
            <w:vAlign w:val="center"/>
          </w:tcPr>
          <w:p>
            <w:pPr>
              <w:jc w:val="center"/>
            </w:pPr>
            <w:r>
              <w:rPr>
                <w:rFonts w:hint="eastAsia" w:cs="Times New Roman"/>
                <w:bCs/>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69" w:type="pct"/>
            <w:vMerge w:val="continue"/>
            <w:vAlign w:val="center"/>
          </w:tcPr>
          <w:p>
            <w:pPr>
              <w:widowControl/>
              <w:jc w:val="center"/>
              <w:rPr>
                <w:rFonts w:eastAsia="宋体" w:cs="Times New Roman"/>
                <w:sz w:val="21"/>
              </w:rPr>
            </w:pPr>
          </w:p>
        </w:tc>
        <w:tc>
          <w:tcPr>
            <w:tcW w:w="1000" w:type="pct"/>
            <w:vAlign w:val="center"/>
          </w:tcPr>
          <w:p>
            <w:pPr>
              <w:pStyle w:val="140"/>
              <w:spacing w:before="29"/>
              <w:ind w:left="236" w:right="209"/>
              <w:rPr>
                <w:rFonts w:ascii="Times New Roman" w:hAnsi="Times New Roman" w:cs="Times New Roman"/>
                <w:sz w:val="21"/>
                <w:szCs w:val="21"/>
              </w:rPr>
            </w:pPr>
            <w:r>
              <w:rPr>
                <w:color w:val="000000"/>
                <w:sz w:val="21"/>
              </w:rPr>
              <w:t>间二甲苯+对二甲苯</w:t>
            </w:r>
          </w:p>
        </w:tc>
        <w:tc>
          <w:tcPr>
            <w:tcW w:w="652" w:type="pct"/>
            <w:vAlign w:val="center"/>
          </w:tcPr>
          <w:p>
            <w:pPr>
              <w:pStyle w:val="140"/>
              <w:spacing w:before="43"/>
              <w:ind w:left="323" w:right="294"/>
              <w:rPr>
                <w:rFonts w:ascii="Times New Roman" w:hAnsi="Times New Roman" w:cs="Times New Roman"/>
                <w:sz w:val="21"/>
                <w:szCs w:val="21"/>
              </w:rPr>
            </w:pPr>
            <w:r>
              <w:rPr>
                <w:rFonts w:ascii="Times New Roman" w:hAnsi="Times New Roman" w:cs="Times New Roman"/>
                <w:sz w:val="21"/>
                <w:szCs w:val="21"/>
              </w:rPr>
              <w:t>ND</w:t>
            </w:r>
          </w:p>
        </w:tc>
        <w:tc>
          <w:tcPr>
            <w:tcW w:w="652" w:type="pct"/>
            <w:vAlign w:val="center"/>
          </w:tcPr>
          <w:p>
            <w:pPr>
              <w:pStyle w:val="140"/>
              <w:spacing w:before="43"/>
              <w:ind w:left="322" w:right="295"/>
              <w:rPr>
                <w:rFonts w:ascii="Times New Roman" w:hAnsi="Times New Roman" w:cs="Times New Roman"/>
                <w:sz w:val="21"/>
                <w:szCs w:val="21"/>
              </w:rPr>
            </w:pPr>
            <w:r>
              <w:rPr>
                <w:rFonts w:ascii="Times New Roman" w:hAnsi="Times New Roman" w:cs="Times New Roman"/>
                <w:sz w:val="21"/>
                <w:szCs w:val="21"/>
              </w:rPr>
              <w:t>ND</w:t>
            </w:r>
          </w:p>
        </w:tc>
        <w:tc>
          <w:tcPr>
            <w:tcW w:w="654" w:type="pct"/>
            <w:vAlign w:val="center"/>
          </w:tcPr>
          <w:p>
            <w:pPr>
              <w:pStyle w:val="140"/>
              <w:spacing w:before="43"/>
              <w:ind w:left="320" w:right="295"/>
              <w:rPr>
                <w:rFonts w:ascii="Times New Roman" w:hAnsi="Times New Roman" w:cs="Times New Roman"/>
                <w:sz w:val="21"/>
                <w:szCs w:val="21"/>
              </w:rPr>
            </w:pPr>
            <w:r>
              <w:rPr>
                <w:rFonts w:ascii="Times New Roman" w:hAnsi="Times New Roman" w:cs="Times New Roman"/>
                <w:sz w:val="21"/>
                <w:szCs w:val="21"/>
              </w:rPr>
              <w:t>ND</w:t>
            </w:r>
          </w:p>
        </w:tc>
        <w:tc>
          <w:tcPr>
            <w:tcW w:w="725" w:type="pct"/>
            <w:vAlign w:val="center"/>
          </w:tcPr>
          <w:p>
            <w:pPr>
              <w:widowControl/>
              <w:adjustRightInd w:val="0"/>
              <w:snapToGrid w:val="0"/>
              <w:jc w:val="center"/>
              <w:rPr>
                <w:color w:val="000000"/>
                <w:kern w:val="0"/>
                <w:sz w:val="21"/>
              </w:rPr>
            </w:pPr>
            <w:r>
              <w:rPr>
                <w:rFonts w:hint="eastAsia"/>
                <w:color w:val="000000"/>
                <w:kern w:val="0"/>
                <w:sz w:val="21"/>
              </w:rPr>
              <w:t>163</w:t>
            </w:r>
          </w:p>
        </w:tc>
        <w:tc>
          <w:tcPr>
            <w:tcW w:w="648" w:type="pct"/>
            <w:vAlign w:val="center"/>
          </w:tcPr>
          <w:p>
            <w:pPr>
              <w:jc w:val="center"/>
            </w:pPr>
            <w:r>
              <w:rPr>
                <w:rFonts w:hint="eastAsia" w:cs="Times New Roman"/>
                <w:bCs/>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69" w:type="pct"/>
            <w:vMerge w:val="continue"/>
            <w:vAlign w:val="center"/>
          </w:tcPr>
          <w:p>
            <w:pPr>
              <w:widowControl/>
              <w:jc w:val="center"/>
              <w:rPr>
                <w:rFonts w:eastAsia="宋体" w:cs="Times New Roman"/>
                <w:sz w:val="21"/>
              </w:rPr>
            </w:pPr>
          </w:p>
        </w:tc>
        <w:tc>
          <w:tcPr>
            <w:tcW w:w="1000" w:type="pct"/>
            <w:vAlign w:val="center"/>
          </w:tcPr>
          <w:p>
            <w:pPr>
              <w:pStyle w:val="140"/>
              <w:spacing w:before="29"/>
              <w:ind w:left="234" w:right="209"/>
              <w:rPr>
                <w:rFonts w:ascii="Times New Roman" w:hAnsi="Times New Roman" w:cs="Times New Roman"/>
                <w:sz w:val="21"/>
                <w:szCs w:val="21"/>
              </w:rPr>
            </w:pPr>
            <w:r>
              <w:rPr>
                <w:rFonts w:ascii="Times New Roman" w:hAnsi="Times New Roman" w:cs="Times New Roman"/>
                <w:sz w:val="21"/>
                <w:szCs w:val="21"/>
              </w:rPr>
              <w:t>邻二甲苯</w:t>
            </w:r>
          </w:p>
        </w:tc>
        <w:tc>
          <w:tcPr>
            <w:tcW w:w="652" w:type="pct"/>
            <w:vAlign w:val="center"/>
          </w:tcPr>
          <w:p>
            <w:pPr>
              <w:pStyle w:val="140"/>
              <w:spacing w:before="43"/>
              <w:ind w:left="323" w:right="294"/>
              <w:rPr>
                <w:rFonts w:ascii="Times New Roman" w:hAnsi="Times New Roman" w:cs="Times New Roman"/>
                <w:sz w:val="21"/>
                <w:szCs w:val="21"/>
              </w:rPr>
            </w:pPr>
            <w:r>
              <w:rPr>
                <w:rFonts w:ascii="Times New Roman" w:hAnsi="Times New Roman" w:cs="Times New Roman"/>
                <w:sz w:val="21"/>
                <w:szCs w:val="21"/>
              </w:rPr>
              <w:t>ND</w:t>
            </w:r>
          </w:p>
        </w:tc>
        <w:tc>
          <w:tcPr>
            <w:tcW w:w="652" w:type="pct"/>
            <w:vAlign w:val="center"/>
          </w:tcPr>
          <w:p>
            <w:pPr>
              <w:pStyle w:val="140"/>
              <w:spacing w:before="43"/>
              <w:ind w:left="322" w:right="295"/>
              <w:rPr>
                <w:rFonts w:ascii="Times New Roman" w:hAnsi="Times New Roman" w:cs="Times New Roman"/>
                <w:sz w:val="21"/>
                <w:szCs w:val="21"/>
              </w:rPr>
            </w:pPr>
            <w:r>
              <w:rPr>
                <w:rFonts w:ascii="Times New Roman" w:hAnsi="Times New Roman" w:cs="Times New Roman"/>
                <w:sz w:val="21"/>
                <w:szCs w:val="21"/>
              </w:rPr>
              <w:t>ND</w:t>
            </w:r>
          </w:p>
        </w:tc>
        <w:tc>
          <w:tcPr>
            <w:tcW w:w="654" w:type="pct"/>
            <w:vAlign w:val="center"/>
          </w:tcPr>
          <w:p>
            <w:pPr>
              <w:pStyle w:val="140"/>
              <w:spacing w:before="43"/>
              <w:ind w:left="320" w:right="295"/>
              <w:rPr>
                <w:rFonts w:ascii="Times New Roman" w:hAnsi="Times New Roman" w:cs="Times New Roman"/>
                <w:sz w:val="21"/>
                <w:szCs w:val="21"/>
              </w:rPr>
            </w:pPr>
            <w:r>
              <w:rPr>
                <w:rFonts w:ascii="Times New Roman" w:hAnsi="Times New Roman" w:cs="Times New Roman"/>
                <w:sz w:val="21"/>
                <w:szCs w:val="21"/>
              </w:rPr>
              <w:t>ND</w:t>
            </w:r>
          </w:p>
        </w:tc>
        <w:tc>
          <w:tcPr>
            <w:tcW w:w="725" w:type="pct"/>
            <w:vAlign w:val="center"/>
          </w:tcPr>
          <w:p>
            <w:pPr>
              <w:widowControl/>
              <w:adjustRightInd w:val="0"/>
              <w:snapToGrid w:val="0"/>
              <w:jc w:val="center"/>
              <w:rPr>
                <w:color w:val="000000"/>
                <w:kern w:val="0"/>
                <w:sz w:val="21"/>
              </w:rPr>
            </w:pPr>
            <w:r>
              <w:rPr>
                <w:rFonts w:hint="eastAsia"/>
                <w:color w:val="000000"/>
                <w:kern w:val="0"/>
                <w:sz w:val="21"/>
              </w:rPr>
              <w:t>222</w:t>
            </w:r>
          </w:p>
        </w:tc>
        <w:tc>
          <w:tcPr>
            <w:tcW w:w="648" w:type="pct"/>
            <w:vAlign w:val="center"/>
          </w:tcPr>
          <w:p>
            <w:pPr>
              <w:jc w:val="center"/>
            </w:pPr>
            <w:r>
              <w:rPr>
                <w:rFonts w:hint="eastAsia" w:cs="Times New Roman"/>
                <w:bCs/>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669" w:type="pct"/>
            <w:vMerge w:val="continue"/>
            <w:vAlign w:val="center"/>
          </w:tcPr>
          <w:p>
            <w:pPr>
              <w:widowControl/>
              <w:jc w:val="center"/>
              <w:rPr>
                <w:rFonts w:eastAsia="宋体" w:cs="Times New Roman"/>
                <w:sz w:val="21"/>
              </w:rPr>
            </w:pPr>
          </w:p>
        </w:tc>
        <w:tc>
          <w:tcPr>
            <w:tcW w:w="1000" w:type="pct"/>
            <w:vAlign w:val="center"/>
          </w:tcPr>
          <w:p>
            <w:pPr>
              <w:pStyle w:val="140"/>
              <w:spacing w:before="30"/>
              <w:ind w:left="236" w:right="207"/>
              <w:rPr>
                <w:rFonts w:ascii="Times New Roman" w:hAnsi="Times New Roman" w:cs="Times New Roman"/>
                <w:sz w:val="21"/>
                <w:szCs w:val="21"/>
              </w:rPr>
            </w:pPr>
            <w:r>
              <w:rPr>
                <w:rFonts w:ascii="Times New Roman" w:hAnsi="Times New Roman" w:cs="Times New Roman"/>
                <w:sz w:val="21"/>
                <w:szCs w:val="21"/>
              </w:rPr>
              <w:t>硝基苯*</w:t>
            </w:r>
          </w:p>
        </w:tc>
        <w:tc>
          <w:tcPr>
            <w:tcW w:w="652" w:type="pct"/>
            <w:vAlign w:val="center"/>
          </w:tcPr>
          <w:p>
            <w:pPr>
              <w:pStyle w:val="140"/>
              <w:spacing w:before="42"/>
              <w:ind w:left="323" w:right="294"/>
              <w:rPr>
                <w:rFonts w:ascii="Times New Roman" w:hAnsi="Times New Roman" w:cs="Times New Roman"/>
                <w:sz w:val="21"/>
                <w:szCs w:val="21"/>
              </w:rPr>
            </w:pPr>
            <w:r>
              <w:rPr>
                <w:rFonts w:ascii="Times New Roman" w:hAnsi="Times New Roman" w:cs="Times New Roman"/>
                <w:sz w:val="21"/>
                <w:szCs w:val="21"/>
              </w:rPr>
              <w:t>ND</w:t>
            </w:r>
          </w:p>
        </w:tc>
        <w:tc>
          <w:tcPr>
            <w:tcW w:w="652" w:type="pct"/>
            <w:vAlign w:val="center"/>
          </w:tcPr>
          <w:p>
            <w:pPr>
              <w:pStyle w:val="140"/>
              <w:spacing w:before="42"/>
              <w:ind w:left="322" w:right="295"/>
              <w:rPr>
                <w:rFonts w:ascii="Times New Roman" w:hAnsi="Times New Roman" w:cs="Times New Roman"/>
                <w:sz w:val="21"/>
                <w:szCs w:val="21"/>
              </w:rPr>
            </w:pPr>
            <w:r>
              <w:rPr>
                <w:rFonts w:ascii="Times New Roman" w:hAnsi="Times New Roman" w:cs="Times New Roman"/>
                <w:sz w:val="21"/>
                <w:szCs w:val="21"/>
              </w:rPr>
              <w:t>ND</w:t>
            </w:r>
          </w:p>
        </w:tc>
        <w:tc>
          <w:tcPr>
            <w:tcW w:w="654" w:type="pct"/>
            <w:vAlign w:val="center"/>
          </w:tcPr>
          <w:p>
            <w:pPr>
              <w:pStyle w:val="140"/>
              <w:spacing w:before="42"/>
              <w:ind w:left="320" w:right="295"/>
              <w:rPr>
                <w:rFonts w:ascii="Times New Roman" w:hAnsi="Times New Roman" w:cs="Times New Roman"/>
                <w:sz w:val="21"/>
                <w:szCs w:val="21"/>
              </w:rPr>
            </w:pPr>
            <w:r>
              <w:rPr>
                <w:rFonts w:ascii="Times New Roman" w:hAnsi="Times New Roman" w:cs="Times New Roman"/>
                <w:sz w:val="21"/>
                <w:szCs w:val="21"/>
              </w:rPr>
              <w:t>ND</w:t>
            </w:r>
          </w:p>
        </w:tc>
        <w:tc>
          <w:tcPr>
            <w:tcW w:w="725" w:type="pct"/>
            <w:vAlign w:val="center"/>
          </w:tcPr>
          <w:p>
            <w:pPr>
              <w:widowControl/>
              <w:adjustRightInd w:val="0"/>
              <w:snapToGrid w:val="0"/>
              <w:jc w:val="center"/>
              <w:rPr>
                <w:color w:val="000000"/>
                <w:kern w:val="0"/>
                <w:sz w:val="21"/>
              </w:rPr>
            </w:pPr>
            <w:r>
              <w:rPr>
                <w:rFonts w:hint="eastAsia"/>
                <w:color w:val="000000"/>
                <w:kern w:val="0"/>
                <w:sz w:val="21"/>
              </w:rPr>
              <w:t>34</w:t>
            </w:r>
          </w:p>
        </w:tc>
        <w:tc>
          <w:tcPr>
            <w:tcW w:w="648" w:type="pct"/>
            <w:vAlign w:val="center"/>
          </w:tcPr>
          <w:p>
            <w:pPr>
              <w:jc w:val="center"/>
            </w:pPr>
            <w:r>
              <w:rPr>
                <w:rFonts w:hint="eastAsia" w:cs="Times New Roman"/>
                <w:bCs/>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669" w:type="pct"/>
            <w:vMerge w:val="continue"/>
            <w:vAlign w:val="center"/>
          </w:tcPr>
          <w:p>
            <w:pPr>
              <w:widowControl/>
              <w:jc w:val="center"/>
              <w:rPr>
                <w:rFonts w:eastAsia="宋体" w:cs="Times New Roman"/>
                <w:sz w:val="21"/>
              </w:rPr>
            </w:pPr>
          </w:p>
        </w:tc>
        <w:tc>
          <w:tcPr>
            <w:tcW w:w="1000" w:type="pct"/>
            <w:vAlign w:val="center"/>
          </w:tcPr>
          <w:p>
            <w:pPr>
              <w:pStyle w:val="140"/>
              <w:spacing w:before="38"/>
              <w:ind w:left="223" w:right="209"/>
              <w:rPr>
                <w:rFonts w:ascii="Times New Roman" w:hAnsi="Times New Roman" w:cs="Times New Roman"/>
                <w:sz w:val="21"/>
                <w:szCs w:val="21"/>
              </w:rPr>
            </w:pPr>
            <w:r>
              <w:rPr>
                <w:rFonts w:ascii="Times New Roman" w:cs="Times New Roman"/>
                <w:sz w:val="21"/>
                <w:szCs w:val="21"/>
              </w:rPr>
              <w:t>苯胺</w:t>
            </w:r>
            <w:r>
              <w:rPr>
                <w:rFonts w:ascii="Times New Roman" w:hAnsi="Times New Roman" w:cs="Times New Roman"/>
                <w:sz w:val="21"/>
                <w:szCs w:val="21"/>
              </w:rPr>
              <w:t>*</w:t>
            </w:r>
          </w:p>
        </w:tc>
        <w:tc>
          <w:tcPr>
            <w:tcW w:w="652" w:type="pct"/>
            <w:vAlign w:val="center"/>
          </w:tcPr>
          <w:p>
            <w:pPr>
              <w:pStyle w:val="140"/>
              <w:spacing w:before="49"/>
              <w:ind w:left="310" w:right="295"/>
              <w:rPr>
                <w:rFonts w:ascii="Times New Roman" w:hAnsi="Times New Roman" w:cs="Times New Roman"/>
                <w:sz w:val="21"/>
                <w:szCs w:val="21"/>
              </w:rPr>
            </w:pPr>
            <w:r>
              <w:rPr>
                <w:rFonts w:ascii="Times New Roman" w:hAnsi="Times New Roman" w:cs="Times New Roman"/>
                <w:sz w:val="21"/>
                <w:szCs w:val="21"/>
              </w:rPr>
              <w:t>ND</w:t>
            </w:r>
          </w:p>
        </w:tc>
        <w:tc>
          <w:tcPr>
            <w:tcW w:w="652" w:type="pct"/>
            <w:vAlign w:val="center"/>
          </w:tcPr>
          <w:p>
            <w:pPr>
              <w:pStyle w:val="140"/>
              <w:spacing w:before="52"/>
              <w:ind w:left="308" w:right="295"/>
              <w:rPr>
                <w:rFonts w:ascii="Times New Roman" w:hAnsi="Times New Roman" w:cs="Times New Roman"/>
                <w:sz w:val="21"/>
                <w:szCs w:val="21"/>
              </w:rPr>
            </w:pPr>
            <w:r>
              <w:rPr>
                <w:rFonts w:ascii="Times New Roman" w:hAnsi="Times New Roman" w:cs="Times New Roman"/>
                <w:sz w:val="21"/>
                <w:szCs w:val="21"/>
              </w:rPr>
              <w:t>ND</w:t>
            </w:r>
          </w:p>
        </w:tc>
        <w:tc>
          <w:tcPr>
            <w:tcW w:w="654" w:type="pct"/>
            <w:vAlign w:val="center"/>
          </w:tcPr>
          <w:p>
            <w:pPr>
              <w:pStyle w:val="140"/>
              <w:spacing w:before="52"/>
              <w:ind w:left="306" w:right="295"/>
              <w:rPr>
                <w:rFonts w:ascii="Times New Roman" w:hAnsi="Times New Roman" w:cs="Times New Roman"/>
                <w:sz w:val="21"/>
                <w:szCs w:val="21"/>
              </w:rPr>
            </w:pPr>
            <w:r>
              <w:rPr>
                <w:rFonts w:ascii="Times New Roman" w:hAnsi="Times New Roman" w:cs="Times New Roman"/>
                <w:sz w:val="21"/>
                <w:szCs w:val="21"/>
              </w:rPr>
              <w:t>ND</w:t>
            </w:r>
          </w:p>
        </w:tc>
        <w:tc>
          <w:tcPr>
            <w:tcW w:w="725" w:type="pct"/>
            <w:vAlign w:val="center"/>
          </w:tcPr>
          <w:p>
            <w:pPr>
              <w:widowControl/>
              <w:adjustRightInd w:val="0"/>
              <w:snapToGrid w:val="0"/>
              <w:jc w:val="center"/>
              <w:rPr>
                <w:color w:val="000000"/>
                <w:kern w:val="0"/>
                <w:sz w:val="21"/>
              </w:rPr>
            </w:pPr>
            <w:r>
              <w:rPr>
                <w:rFonts w:hint="eastAsia"/>
                <w:color w:val="000000"/>
                <w:kern w:val="0"/>
                <w:sz w:val="21"/>
              </w:rPr>
              <w:t>92</w:t>
            </w:r>
          </w:p>
        </w:tc>
        <w:tc>
          <w:tcPr>
            <w:tcW w:w="648" w:type="pct"/>
            <w:vAlign w:val="center"/>
          </w:tcPr>
          <w:p>
            <w:pPr>
              <w:jc w:val="center"/>
            </w:pPr>
            <w:r>
              <w:rPr>
                <w:rFonts w:hint="eastAsia" w:cs="Times New Roman"/>
                <w:bCs/>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669" w:type="pct"/>
            <w:vMerge w:val="continue"/>
            <w:vAlign w:val="center"/>
          </w:tcPr>
          <w:p>
            <w:pPr>
              <w:widowControl/>
              <w:jc w:val="center"/>
              <w:rPr>
                <w:rFonts w:eastAsia="宋体" w:cs="Times New Roman"/>
                <w:sz w:val="21"/>
              </w:rPr>
            </w:pPr>
          </w:p>
        </w:tc>
        <w:tc>
          <w:tcPr>
            <w:tcW w:w="1000" w:type="pct"/>
            <w:vAlign w:val="center"/>
          </w:tcPr>
          <w:p>
            <w:pPr>
              <w:pStyle w:val="140"/>
              <w:spacing w:before="36"/>
              <w:ind w:left="223" w:right="209"/>
              <w:rPr>
                <w:rFonts w:ascii="Times New Roman" w:hAnsi="Times New Roman" w:cs="Times New Roman"/>
                <w:sz w:val="21"/>
                <w:szCs w:val="21"/>
              </w:rPr>
            </w:pPr>
            <w:r>
              <w:rPr>
                <w:rFonts w:ascii="Times New Roman" w:hAnsi="Times New Roman" w:cs="Times New Roman"/>
                <w:sz w:val="21"/>
                <w:szCs w:val="21"/>
              </w:rPr>
              <w:t>2-</w:t>
            </w:r>
            <w:r>
              <w:rPr>
                <w:rFonts w:ascii="Times New Roman" w:cs="Times New Roman"/>
                <w:sz w:val="21"/>
                <w:szCs w:val="21"/>
              </w:rPr>
              <w:t>氯酚</w:t>
            </w:r>
            <w:r>
              <w:rPr>
                <w:rFonts w:ascii="Times New Roman" w:hAnsi="Times New Roman" w:cs="Times New Roman"/>
                <w:sz w:val="21"/>
                <w:szCs w:val="21"/>
              </w:rPr>
              <w:t>*</w:t>
            </w:r>
          </w:p>
        </w:tc>
        <w:tc>
          <w:tcPr>
            <w:tcW w:w="652" w:type="pct"/>
            <w:vAlign w:val="center"/>
          </w:tcPr>
          <w:p>
            <w:pPr>
              <w:pStyle w:val="140"/>
              <w:spacing w:before="50"/>
              <w:ind w:left="310" w:right="295"/>
              <w:rPr>
                <w:rFonts w:ascii="Times New Roman" w:hAnsi="Times New Roman" w:cs="Times New Roman"/>
                <w:sz w:val="21"/>
                <w:szCs w:val="21"/>
              </w:rPr>
            </w:pPr>
            <w:r>
              <w:rPr>
                <w:rFonts w:ascii="Times New Roman" w:hAnsi="Times New Roman" w:cs="Times New Roman"/>
                <w:sz w:val="21"/>
                <w:szCs w:val="21"/>
              </w:rPr>
              <w:t>ND</w:t>
            </w:r>
          </w:p>
        </w:tc>
        <w:tc>
          <w:tcPr>
            <w:tcW w:w="652" w:type="pct"/>
            <w:vAlign w:val="center"/>
          </w:tcPr>
          <w:p>
            <w:pPr>
              <w:pStyle w:val="140"/>
              <w:spacing w:before="50"/>
              <w:ind w:left="308" w:right="295"/>
              <w:rPr>
                <w:rFonts w:ascii="Times New Roman" w:hAnsi="Times New Roman" w:cs="Times New Roman"/>
                <w:sz w:val="21"/>
                <w:szCs w:val="21"/>
              </w:rPr>
            </w:pPr>
            <w:r>
              <w:rPr>
                <w:rFonts w:ascii="Times New Roman" w:hAnsi="Times New Roman" w:cs="Times New Roman"/>
                <w:sz w:val="21"/>
                <w:szCs w:val="21"/>
              </w:rPr>
              <w:t>ND</w:t>
            </w:r>
          </w:p>
        </w:tc>
        <w:tc>
          <w:tcPr>
            <w:tcW w:w="654" w:type="pct"/>
            <w:vAlign w:val="center"/>
          </w:tcPr>
          <w:p>
            <w:pPr>
              <w:pStyle w:val="140"/>
              <w:spacing w:before="50"/>
              <w:ind w:left="306" w:right="295"/>
              <w:rPr>
                <w:rFonts w:ascii="Times New Roman" w:hAnsi="Times New Roman" w:cs="Times New Roman"/>
                <w:sz w:val="21"/>
                <w:szCs w:val="21"/>
              </w:rPr>
            </w:pPr>
            <w:r>
              <w:rPr>
                <w:rFonts w:ascii="Times New Roman" w:hAnsi="Times New Roman" w:cs="Times New Roman"/>
                <w:sz w:val="21"/>
                <w:szCs w:val="21"/>
              </w:rPr>
              <w:t>ND</w:t>
            </w:r>
          </w:p>
        </w:tc>
        <w:tc>
          <w:tcPr>
            <w:tcW w:w="725" w:type="pct"/>
            <w:vAlign w:val="center"/>
          </w:tcPr>
          <w:p>
            <w:pPr>
              <w:widowControl/>
              <w:adjustRightInd w:val="0"/>
              <w:snapToGrid w:val="0"/>
              <w:jc w:val="center"/>
              <w:rPr>
                <w:color w:val="000000"/>
                <w:kern w:val="0"/>
                <w:sz w:val="21"/>
              </w:rPr>
            </w:pPr>
            <w:r>
              <w:rPr>
                <w:rFonts w:hint="eastAsia"/>
                <w:color w:val="000000"/>
                <w:kern w:val="0"/>
                <w:sz w:val="21"/>
              </w:rPr>
              <w:t>250</w:t>
            </w:r>
          </w:p>
        </w:tc>
        <w:tc>
          <w:tcPr>
            <w:tcW w:w="648" w:type="pct"/>
            <w:vAlign w:val="center"/>
          </w:tcPr>
          <w:p>
            <w:pPr>
              <w:jc w:val="center"/>
            </w:pPr>
            <w:r>
              <w:rPr>
                <w:rFonts w:hint="eastAsia" w:cs="Times New Roman"/>
                <w:bCs/>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669" w:type="pct"/>
            <w:vMerge w:val="continue"/>
            <w:vAlign w:val="center"/>
          </w:tcPr>
          <w:p>
            <w:pPr>
              <w:widowControl/>
              <w:jc w:val="center"/>
              <w:rPr>
                <w:rFonts w:eastAsia="宋体" w:cs="Times New Roman"/>
                <w:sz w:val="21"/>
              </w:rPr>
            </w:pPr>
          </w:p>
        </w:tc>
        <w:tc>
          <w:tcPr>
            <w:tcW w:w="1000" w:type="pct"/>
            <w:vAlign w:val="center"/>
          </w:tcPr>
          <w:p>
            <w:pPr>
              <w:pStyle w:val="140"/>
              <w:spacing w:before="36"/>
              <w:ind w:left="224" w:right="209"/>
              <w:rPr>
                <w:rFonts w:ascii="Times New Roman" w:hAnsi="Times New Roman" w:cs="Times New Roman"/>
                <w:sz w:val="21"/>
                <w:szCs w:val="21"/>
              </w:rPr>
            </w:pPr>
            <w:r>
              <w:rPr>
                <w:rFonts w:ascii="Times New Roman" w:cs="Times New Roman"/>
                <w:sz w:val="21"/>
                <w:szCs w:val="21"/>
              </w:rPr>
              <w:t>苯并</w:t>
            </w:r>
            <w:r>
              <w:rPr>
                <w:rFonts w:ascii="Times New Roman" w:hAnsi="Times New Roman" w:cs="Times New Roman"/>
                <w:sz w:val="21"/>
                <w:szCs w:val="21"/>
              </w:rPr>
              <w:t>(a)</w:t>
            </w:r>
            <w:r>
              <w:rPr>
                <w:rFonts w:ascii="Times New Roman" w:cs="Times New Roman"/>
                <w:sz w:val="21"/>
                <w:szCs w:val="21"/>
              </w:rPr>
              <w:t>蒽</w:t>
            </w:r>
          </w:p>
        </w:tc>
        <w:tc>
          <w:tcPr>
            <w:tcW w:w="652" w:type="pct"/>
            <w:vAlign w:val="center"/>
          </w:tcPr>
          <w:p>
            <w:pPr>
              <w:pStyle w:val="140"/>
              <w:spacing w:before="50"/>
              <w:ind w:left="310" w:right="295"/>
              <w:rPr>
                <w:rFonts w:ascii="Times New Roman" w:hAnsi="Times New Roman" w:cs="Times New Roman"/>
                <w:sz w:val="21"/>
                <w:szCs w:val="21"/>
              </w:rPr>
            </w:pPr>
            <w:r>
              <w:rPr>
                <w:rFonts w:ascii="Times New Roman" w:hAnsi="Times New Roman" w:cs="Times New Roman"/>
                <w:sz w:val="21"/>
                <w:szCs w:val="21"/>
              </w:rPr>
              <w:t>ND</w:t>
            </w:r>
          </w:p>
        </w:tc>
        <w:tc>
          <w:tcPr>
            <w:tcW w:w="652" w:type="pct"/>
            <w:vAlign w:val="center"/>
          </w:tcPr>
          <w:p>
            <w:pPr>
              <w:pStyle w:val="140"/>
              <w:spacing w:before="50"/>
              <w:ind w:left="308" w:right="295"/>
              <w:rPr>
                <w:rFonts w:ascii="Times New Roman" w:hAnsi="Times New Roman" w:cs="Times New Roman"/>
                <w:sz w:val="21"/>
                <w:szCs w:val="21"/>
              </w:rPr>
            </w:pPr>
            <w:r>
              <w:rPr>
                <w:rFonts w:ascii="Times New Roman" w:hAnsi="Times New Roman" w:cs="Times New Roman"/>
                <w:sz w:val="21"/>
                <w:szCs w:val="21"/>
              </w:rPr>
              <w:t>ND</w:t>
            </w:r>
          </w:p>
        </w:tc>
        <w:tc>
          <w:tcPr>
            <w:tcW w:w="654" w:type="pct"/>
            <w:vAlign w:val="center"/>
          </w:tcPr>
          <w:p>
            <w:pPr>
              <w:pStyle w:val="140"/>
              <w:spacing w:before="50"/>
              <w:ind w:left="306" w:right="295"/>
              <w:rPr>
                <w:rFonts w:ascii="Times New Roman" w:hAnsi="Times New Roman" w:cs="Times New Roman"/>
                <w:sz w:val="21"/>
                <w:szCs w:val="21"/>
              </w:rPr>
            </w:pPr>
            <w:r>
              <w:rPr>
                <w:rFonts w:ascii="Times New Roman" w:hAnsi="Times New Roman" w:cs="Times New Roman"/>
                <w:sz w:val="21"/>
                <w:szCs w:val="21"/>
              </w:rPr>
              <w:t>ND</w:t>
            </w:r>
          </w:p>
        </w:tc>
        <w:tc>
          <w:tcPr>
            <w:tcW w:w="725" w:type="pct"/>
            <w:vAlign w:val="center"/>
          </w:tcPr>
          <w:p>
            <w:pPr>
              <w:widowControl/>
              <w:adjustRightInd w:val="0"/>
              <w:snapToGrid w:val="0"/>
              <w:jc w:val="center"/>
              <w:rPr>
                <w:color w:val="000000"/>
                <w:kern w:val="0"/>
                <w:sz w:val="21"/>
              </w:rPr>
            </w:pPr>
            <w:r>
              <w:rPr>
                <w:rFonts w:hint="eastAsia"/>
                <w:color w:val="000000"/>
                <w:kern w:val="0"/>
                <w:sz w:val="21"/>
              </w:rPr>
              <w:t>5.5</w:t>
            </w:r>
          </w:p>
        </w:tc>
        <w:tc>
          <w:tcPr>
            <w:tcW w:w="648" w:type="pct"/>
            <w:vAlign w:val="center"/>
          </w:tcPr>
          <w:p>
            <w:pPr>
              <w:jc w:val="center"/>
            </w:pPr>
            <w:r>
              <w:rPr>
                <w:rFonts w:hint="eastAsia" w:cs="Times New Roman"/>
                <w:bCs/>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669" w:type="pct"/>
            <w:vMerge w:val="continue"/>
            <w:vAlign w:val="center"/>
          </w:tcPr>
          <w:p>
            <w:pPr>
              <w:widowControl/>
              <w:jc w:val="center"/>
              <w:rPr>
                <w:rFonts w:eastAsia="宋体" w:cs="Times New Roman"/>
                <w:sz w:val="21"/>
              </w:rPr>
            </w:pPr>
          </w:p>
        </w:tc>
        <w:tc>
          <w:tcPr>
            <w:tcW w:w="1000" w:type="pct"/>
            <w:vAlign w:val="center"/>
          </w:tcPr>
          <w:p>
            <w:pPr>
              <w:pStyle w:val="140"/>
              <w:spacing w:before="37"/>
              <w:ind w:left="224" w:right="209"/>
              <w:rPr>
                <w:rFonts w:ascii="Times New Roman" w:hAnsi="Times New Roman" w:cs="Times New Roman"/>
                <w:sz w:val="21"/>
                <w:szCs w:val="21"/>
              </w:rPr>
            </w:pPr>
            <w:r>
              <w:rPr>
                <w:rFonts w:ascii="Times New Roman" w:cs="Times New Roman"/>
                <w:sz w:val="21"/>
                <w:szCs w:val="21"/>
              </w:rPr>
              <w:t>苯并</w:t>
            </w:r>
            <w:r>
              <w:rPr>
                <w:rFonts w:ascii="Times New Roman" w:hAnsi="Times New Roman" w:cs="Times New Roman"/>
                <w:sz w:val="21"/>
                <w:szCs w:val="21"/>
              </w:rPr>
              <w:t>(a)</w:t>
            </w:r>
            <w:r>
              <w:rPr>
                <w:rFonts w:ascii="Times New Roman" w:cs="Times New Roman"/>
                <w:sz w:val="21"/>
                <w:szCs w:val="21"/>
              </w:rPr>
              <w:t>芘</w:t>
            </w:r>
          </w:p>
        </w:tc>
        <w:tc>
          <w:tcPr>
            <w:tcW w:w="652" w:type="pct"/>
            <w:vAlign w:val="center"/>
          </w:tcPr>
          <w:p>
            <w:pPr>
              <w:pStyle w:val="140"/>
              <w:spacing w:before="51"/>
              <w:ind w:left="310" w:right="295"/>
              <w:rPr>
                <w:rFonts w:ascii="Times New Roman" w:hAnsi="Times New Roman" w:cs="Times New Roman"/>
                <w:sz w:val="21"/>
                <w:szCs w:val="21"/>
              </w:rPr>
            </w:pPr>
            <w:r>
              <w:rPr>
                <w:rFonts w:ascii="Times New Roman" w:hAnsi="Times New Roman" w:cs="Times New Roman"/>
                <w:sz w:val="21"/>
                <w:szCs w:val="21"/>
              </w:rPr>
              <w:t>ND</w:t>
            </w:r>
          </w:p>
        </w:tc>
        <w:tc>
          <w:tcPr>
            <w:tcW w:w="652" w:type="pct"/>
            <w:vAlign w:val="center"/>
          </w:tcPr>
          <w:p>
            <w:pPr>
              <w:pStyle w:val="140"/>
              <w:spacing w:before="51"/>
              <w:ind w:left="308" w:right="295"/>
              <w:rPr>
                <w:rFonts w:ascii="Times New Roman" w:hAnsi="Times New Roman" w:cs="Times New Roman"/>
                <w:sz w:val="21"/>
                <w:szCs w:val="21"/>
              </w:rPr>
            </w:pPr>
            <w:r>
              <w:rPr>
                <w:rFonts w:ascii="Times New Roman" w:hAnsi="Times New Roman" w:cs="Times New Roman"/>
                <w:sz w:val="21"/>
                <w:szCs w:val="21"/>
              </w:rPr>
              <w:t>ND</w:t>
            </w:r>
          </w:p>
        </w:tc>
        <w:tc>
          <w:tcPr>
            <w:tcW w:w="654" w:type="pct"/>
            <w:vAlign w:val="center"/>
          </w:tcPr>
          <w:p>
            <w:pPr>
              <w:pStyle w:val="140"/>
              <w:spacing w:before="51"/>
              <w:ind w:left="306" w:right="295"/>
              <w:rPr>
                <w:rFonts w:ascii="Times New Roman" w:hAnsi="Times New Roman" w:cs="Times New Roman"/>
                <w:sz w:val="21"/>
                <w:szCs w:val="21"/>
              </w:rPr>
            </w:pPr>
            <w:r>
              <w:rPr>
                <w:rFonts w:ascii="Times New Roman" w:hAnsi="Times New Roman" w:cs="Times New Roman"/>
                <w:sz w:val="21"/>
                <w:szCs w:val="21"/>
              </w:rPr>
              <w:t>ND</w:t>
            </w:r>
          </w:p>
        </w:tc>
        <w:tc>
          <w:tcPr>
            <w:tcW w:w="725" w:type="pct"/>
            <w:vAlign w:val="center"/>
          </w:tcPr>
          <w:p>
            <w:pPr>
              <w:widowControl/>
              <w:adjustRightInd w:val="0"/>
              <w:snapToGrid w:val="0"/>
              <w:jc w:val="center"/>
              <w:rPr>
                <w:color w:val="000000"/>
                <w:kern w:val="0"/>
                <w:sz w:val="21"/>
              </w:rPr>
            </w:pPr>
            <w:r>
              <w:rPr>
                <w:rFonts w:hint="eastAsia"/>
                <w:color w:val="000000"/>
                <w:kern w:val="0"/>
                <w:sz w:val="21"/>
              </w:rPr>
              <w:t>0.55</w:t>
            </w:r>
          </w:p>
        </w:tc>
        <w:tc>
          <w:tcPr>
            <w:tcW w:w="648" w:type="pct"/>
            <w:vAlign w:val="center"/>
          </w:tcPr>
          <w:p>
            <w:pPr>
              <w:jc w:val="center"/>
            </w:pPr>
            <w:r>
              <w:rPr>
                <w:rFonts w:hint="eastAsia" w:cs="Times New Roman"/>
                <w:bCs/>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669" w:type="pct"/>
            <w:vMerge w:val="continue"/>
            <w:vAlign w:val="center"/>
          </w:tcPr>
          <w:p>
            <w:pPr>
              <w:widowControl/>
              <w:jc w:val="center"/>
              <w:rPr>
                <w:rFonts w:eastAsia="宋体" w:cs="Times New Roman"/>
                <w:sz w:val="21"/>
              </w:rPr>
            </w:pPr>
          </w:p>
        </w:tc>
        <w:tc>
          <w:tcPr>
            <w:tcW w:w="1000" w:type="pct"/>
            <w:vAlign w:val="center"/>
          </w:tcPr>
          <w:p>
            <w:pPr>
              <w:pStyle w:val="140"/>
              <w:spacing w:before="38"/>
              <w:ind w:left="222" w:right="209"/>
              <w:rPr>
                <w:rFonts w:ascii="Times New Roman" w:hAnsi="Times New Roman" w:cs="Times New Roman"/>
                <w:sz w:val="21"/>
                <w:szCs w:val="21"/>
              </w:rPr>
            </w:pPr>
            <w:r>
              <w:rPr>
                <w:rFonts w:ascii="Times New Roman" w:cs="Times New Roman"/>
                <w:sz w:val="21"/>
                <w:szCs w:val="21"/>
              </w:rPr>
              <w:t>苯并</w:t>
            </w:r>
            <w:r>
              <w:rPr>
                <w:rFonts w:ascii="Times New Roman" w:hAnsi="Times New Roman" w:cs="Times New Roman"/>
                <w:sz w:val="21"/>
                <w:szCs w:val="21"/>
              </w:rPr>
              <w:t>(b)</w:t>
            </w:r>
            <w:r>
              <w:rPr>
                <w:rFonts w:ascii="Times New Roman" w:cs="Times New Roman"/>
                <w:sz w:val="21"/>
                <w:szCs w:val="21"/>
              </w:rPr>
              <w:t>荧蒽</w:t>
            </w:r>
          </w:p>
        </w:tc>
        <w:tc>
          <w:tcPr>
            <w:tcW w:w="652" w:type="pct"/>
            <w:vAlign w:val="center"/>
          </w:tcPr>
          <w:p>
            <w:pPr>
              <w:pStyle w:val="140"/>
              <w:spacing w:before="49"/>
              <w:ind w:left="310" w:right="295"/>
              <w:rPr>
                <w:rFonts w:ascii="Times New Roman" w:hAnsi="Times New Roman" w:cs="Times New Roman"/>
                <w:sz w:val="21"/>
                <w:szCs w:val="21"/>
              </w:rPr>
            </w:pPr>
            <w:r>
              <w:rPr>
                <w:rFonts w:ascii="Times New Roman" w:hAnsi="Times New Roman" w:cs="Times New Roman"/>
                <w:sz w:val="21"/>
                <w:szCs w:val="21"/>
              </w:rPr>
              <w:t>ND</w:t>
            </w:r>
          </w:p>
        </w:tc>
        <w:tc>
          <w:tcPr>
            <w:tcW w:w="652" w:type="pct"/>
            <w:vAlign w:val="center"/>
          </w:tcPr>
          <w:p>
            <w:pPr>
              <w:pStyle w:val="140"/>
              <w:spacing w:before="49"/>
              <w:ind w:left="308" w:right="295"/>
              <w:rPr>
                <w:rFonts w:ascii="Times New Roman" w:hAnsi="Times New Roman" w:cs="Times New Roman"/>
                <w:sz w:val="21"/>
                <w:szCs w:val="21"/>
              </w:rPr>
            </w:pPr>
            <w:r>
              <w:rPr>
                <w:rFonts w:ascii="Times New Roman" w:hAnsi="Times New Roman" w:cs="Times New Roman"/>
                <w:sz w:val="21"/>
                <w:szCs w:val="21"/>
              </w:rPr>
              <w:t>ND</w:t>
            </w:r>
          </w:p>
        </w:tc>
        <w:tc>
          <w:tcPr>
            <w:tcW w:w="654" w:type="pct"/>
            <w:vAlign w:val="center"/>
          </w:tcPr>
          <w:p>
            <w:pPr>
              <w:pStyle w:val="140"/>
              <w:spacing w:before="49"/>
              <w:ind w:left="306" w:right="295"/>
              <w:rPr>
                <w:rFonts w:ascii="Times New Roman" w:hAnsi="Times New Roman" w:cs="Times New Roman"/>
                <w:sz w:val="21"/>
                <w:szCs w:val="21"/>
              </w:rPr>
            </w:pPr>
            <w:r>
              <w:rPr>
                <w:rFonts w:ascii="Times New Roman" w:hAnsi="Times New Roman" w:cs="Times New Roman"/>
                <w:sz w:val="21"/>
                <w:szCs w:val="21"/>
              </w:rPr>
              <w:t>ND</w:t>
            </w:r>
          </w:p>
        </w:tc>
        <w:tc>
          <w:tcPr>
            <w:tcW w:w="725" w:type="pct"/>
            <w:vAlign w:val="center"/>
          </w:tcPr>
          <w:p>
            <w:pPr>
              <w:widowControl/>
              <w:adjustRightInd w:val="0"/>
              <w:snapToGrid w:val="0"/>
              <w:jc w:val="center"/>
              <w:rPr>
                <w:color w:val="000000"/>
                <w:kern w:val="0"/>
                <w:sz w:val="21"/>
              </w:rPr>
            </w:pPr>
            <w:r>
              <w:rPr>
                <w:rFonts w:hint="eastAsia"/>
                <w:color w:val="000000"/>
                <w:kern w:val="0"/>
                <w:sz w:val="21"/>
              </w:rPr>
              <w:t>5.5</w:t>
            </w:r>
          </w:p>
        </w:tc>
        <w:tc>
          <w:tcPr>
            <w:tcW w:w="648" w:type="pct"/>
            <w:vAlign w:val="center"/>
          </w:tcPr>
          <w:p>
            <w:pPr>
              <w:jc w:val="center"/>
            </w:pPr>
            <w:r>
              <w:rPr>
                <w:rFonts w:hint="eastAsia" w:cs="Times New Roman"/>
                <w:bCs/>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669" w:type="pct"/>
            <w:vMerge w:val="continue"/>
            <w:vAlign w:val="center"/>
          </w:tcPr>
          <w:p>
            <w:pPr>
              <w:widowControl/>
              <w:jc w:val="center"/>
              <w:rPr>
                <w:rFonts w:eastAsia="宋体" w:cs="Times New Roman"/>
                <w:sz w:val="21"/>
              </w:rPr>
            </w:pPr>
          </w:p>
        </w:tc>
        <w:tc>
          <w:tcPr>
            <w:tcW w:w="1000" w:type="pct"/>
            <w:vAlign w:val="center"/>
          </w:tcPr>
          <w:p>
            <w:pPr>
              <w:pStyle w:val="140"/>
              <w:spacing w:before="36"/>
              <w:ind w:left="222" w:right="209"/>
              <w:rPr>
                <w:rFonts w:ascii="Times New Roman" w:hAnsi="Times New Roman" w:cs="Times New Roman"/>
                <w:sz w:val="21"/>
                <w:szCs w:val="21"/>
              </w:rPr>
            </w:pPr>
            <w:r>
              <w:rPr>
                <w:rFonts w:ascii="Times New Roman" w:cs="Times New Roman"/>
                <w:sz w:val="21"/>
                <w:szCs w:val="21"/>
              </w:rPr>
              <w:t>苯并</w:t>
            </w:r>
            <w:r>
              <w:rPr>
                <w:rFonts w:ascii="Times New Roman" w:hAnsi="Times New Roman" w:cs="Times New Roman"/>
                <w:sz w:val="21"/>
                <w:szCs w:val="21"/>
              </w:rPr>
              <w:t>(k)</w:t>
            </w:r>
            <w:r>
              <w:rPr>
                <w:rFonts w:ascii="Times New Roman" w:cs="Times New Roman"/>
                <w:sz w:val="21"/>
                <w:szCs w:val="21"/>
              </w:rPr>
              <w:t>荧蒽</w:t>
            </w:r>
          </w:p>
        </w:tc>
        <w:tc>
          <w:tcPr>
            <w:tcW w:w="652" w:type="pct"/>
            <w:vAlign w:val="center"/>
          </w:tcPr>
          <w:p>
            <w:pPr>
              <w:pStyle w:val="140"/>
              <w:spacing w:before="50"/>
              <w:ind w:left="310" w:right="295"/>
              <w:rPr>
                <w:rFonts w:ascii="Times New Roman" w:hAnsi="Times New Roman" w:cs="Times New Roman"/>
                <w:sz w:val="21"/>
                <w:szCs w:val="21"/>
              </w:rPr>
            </w:pPr>
            <w:r>
              <w:rPr>
                <w:rFonts w:ascii="Times New Roman" w:hAnsi="Times New Roman" w:cs="Times New Roman"/>
                <w:sz w:val="21"/>
                <w:szCs w:val="21"/>
              </w:rPr>
              <w:t>ND</w:t>
            </w:r>
          </w:p>
        </w:tc>
        <w:tc>
          <w:tcPr>
            <w:tcW w:w="652" w:type="pct"/>
            <w:vAlign w:val="center"/>
          </w:tcPr>
          <w:p>
            <w:pPr>
              <w:pStyle w:val="140"/>
              <w:spacing w:before="50"/>
              <w:ind w:left="308" w:right="295"/>
              <w:rPr>
                <w:rFonts w:ascii="Times New Roman" w:hAnsi="Times New Roman" w:cs="Times New Roman"/>
                <w:sz w:val="21"/>
                <w:szCs w:val="21"/>
              </w:rPr>
            </w:pPr>
            <w:r>
              <w:rPr>
                <w:rFonts w:ascii="Times New Roman" w:hAnsi="Times New Roman" w:cs="Times New Roman"/>
                <w:sz w:val="21"/>
                <w:szCs w:val="21"/>
              </w:rPr>
              <w:t>ND</w:t>
            </w:r>
          </w:p>
        </w:tc>
        <w:tc>
          <w:tcPr>
            <w:tcW w:w="654" w:type="pct"/>
            <w:vAlign w:val="center"/>
          </w:tcPr>
          <w:p>
            <w:pPr>
              <w:pStyle w:val="140"/>
              <w:spacing w:before="50"/>
              <w:ind w:left="306" w:right="295"/>
              <w:rPr>
                <w:rFonts w:ascii="Times New Roman" w:hAnsi="Times New Roman" w:cs="Times New Roman"/>
                <w:sz w:val="21"/>
                <w:szCs w:val="21"/>
              </w:rPr>
            </w:pPr>
            <w:r>
              <w:rPr>
                <w:rFonts w:ascii="Times New Roman" w:hAnsi="Times New Roman" w:cs="Times New Roman"/>
                <w:sz w:val="21"/>
                <w:szCs w:val="21"/>
              </w:rPr>
              <w:t>ND</w:t>
            </w:r>
          </w:p>
        </w:tc>
        <w:tc>
          <w:tcPr>
            <w:tcW w:w="725" w:type="pct"/>
            <w:vAlign w:val="center"/>
          </w:tcPr>
          <w:p>
            <w:pPr>
              <w:widowControl/>
              <w:adjustRightInd w:val="0"/>
              <w:snapToGrid w:val="0"/>
              <w:jc w:val="center"/>
              <w:rPr>
                <w:color w:val="000000"/>
                <w:kern w:val="0"/>
                <w:sz w:val="21"/>
              </w:rPr>
            </w:pPr>
            <w:r>
              <w:rPr>
                <w:rFonts w:hint="eastAsia"/>
                <w:color w:val="000000"/>
                <w:kern w:val="0"/>
                <w:sz w:val="21"/>
              </w:rPr>
              <w:t>55</w:t>
            </w:r>
          </w:p>
        </w:tc>
        <w:tc>
          <w:tcPr>
            <w:tcW w:w="648" w:type="pct"/>
            <w:vAlign w:val="center"/>
          </w:tcPr>
          <w:p>
            <w:pPr>
              <w:jc w:val="center"/>
            </w:pPr>
            <w:r>
              <w:rPr>
                <w:rFonts w:hint="eastAsia" w:cs="Times New Roman"/>
                <w:bCs/>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669" w:type="pct"/>
            <w:vMerge w:val="continue"/>
            <w:vAlign w:val="center"/>
          </w:tcPr>
          <w:p>
            <w:pPr>
              <w:widowControl/>
              <w:jc w:val="center"/>
              <w:rPr>
                <w:rFonts w:eastAsia="宋体" w:cs="Times New Roman"/>
                <w:sz w:val="21"/>
              </w:rPr>
            </w:pPr>
          </w:p>
        </w:tc>
        <w:tc>
          <w:tcPr>
            <w:tcW w:w="1000" w:type="pct"/>
            <w:vAlign w:val="center"/>
          </w:tcPr>
          <w:p>
            <w:pPr>
              <w:pStyle w:val="140"/>
              <w:spacing w:before="36"/>
              <w:ind w:left="11"/>
              <w:rPr>
                <w:rFonts w:ascii="Times New Roman" w:hAnsi="Times New Roman" w:cs="Times New Roman"/>
                <w:sz w:val="21"/>
                <w:szCs w:val="21"/>
              </w:rPr>
            </w:pPr>
            <w:r>
              <w:rPr>
                <w:rFonts w:ascii="Times New Roman" w:cs="Times New Roman"/>
                <w:sz w:val="21"/>
                <w:szCs w:val="21"/>
              </w:rPr>
              <w:t>䓛</w:t>
            </w:r>
          </w:p>
        </w:tc>
        <w:tc>
          <w:tcPr>
            <w:tcW w:w="652" w:type="pct"/>
            <w:vAlign w:val="center"/>
          </w:tcPr>
          <w:p>
            <w:pPr>
              <w:pStyle w:val="140"/>
              <w:spacing w:before="50"/>
              <w:ind w:left="310" w:right="295"/>
              <w:rPr>
                <w:rFonts w:ascii="Times New Roman" w:hAnsi="Times New Roman" w:cs="Times New Roman"/>
                <w:sz w:val="21"/>
                <w:szCs w:val="21"/>
              </w:rPr>
            </w:pPr>
            <w:r>
              <w:rPr>
                <w:rFonts w:ascii="Times New Roman" w:hAnsi="Times New Roman" w:cs="Times New Roman"/>
                <w:sz w:val="21"/>
                <w:szCs w:val="21"/>
              </w:rPr>
              <w:t>ND</w:t>
            </w:r>
          </w:p>
        </w:tc>
        <w:tc>
          <w:tcPr>
            <w:tcW w:w="652" w:type="pct"/>
            <w:vAlign w:val="center"/>
          </w:tcPr>
          <w:p>
            <w:pPr>
              <w:pStyle w:val="140"/>
              <w:spacing w:before="50"/>
              <w:ind w:left="308" w:right="295"/>
              <w:rPr>
                <w:rFonts w:ascii="Times New Roman" w:hAnsi="Times New Roman" w:cs="Times New Roman"/>
                <w:sz w:val="21"/>
                <w:szCs w:val="21"/>
              </w:rPr>
            </w:pPr>
            <w:r>
              <w:rPr>
                <w:rFonts w:ascii="Times New Roman" w:hAnsi="Times New Roman" w:cs="Times New Roman"/>
                <w:sz w:val="21"/>
                <w:szCs w:val="21"/>
              </w:rPr>
              <w:t>ND</w:t>
            </w:r>
          </w:p>
        </w:tc>
        <w:tc>
          <w:tcPr>
            <w:tcW w:w="654" w:type="pct"/>
            <w:vAlign w:val="center"/>
          </w:tcPr>
          <w:p>
            <w:pPr>
              <w:pStyle w:val="140"/>
              <w:spacing w:before="50"/>
              <w:ind w:left="306" w:right="295"/>
              <w:rPr>
                <w:rFonts w:ascii="Times New Roman" w:hAnsi="Times New Roman" w:cs="Times New Roman"/>
                <w:sz w:val="21"/>
                <w:szCs w:val="21"/>
              </w:rPr>
            </w:pPr>
            <w:r>
              <w:rPr>
                <w:rFonts w:ascii="Times New Roman" w:hAnsi="Times New Roman" w:cs="Times New Roman"/>
                <w:sz w:val="21"/>
                <w:szCs w:val="21"/>
              </w:rPr>
              <w:t>ND</w:t>
            </w:r>
          </w:p>
        </w:tc>
        <w:tc>
          <w:tcPr>
            <w:tcW w:w="725" w:type="pct"/>
            <w:vAlign w:val="center"/>
          </w:tcPr>
          <w:p>
            <w:pPr>
              <w:widowControl/>
              <w:adjustRightInd w:val="0"/>
              <w:snapToGrid w:val="0"/>
              <w:jc w:val="center"/>
              <w:rPr>
                <w:color w:val="000000"/>
                <w:kern w:val="0"/>
                <w:sz w:val="21"/>
              </w:rPr>
            </w:pPr>
            <w:r>
              <w:rPr>
                <w:rFonts w:hint="eastAsia"/>
                <w:color w:val="000000"/>
                <w:kern w:val="0"/>
                <w:sz w:val="21"/>
              </w:rPr>
              <w:t>490</w:t>
            </w:r>
          </w:p>
        </w:tc>
        <w:tc>
          <w:tcPr>
            <w:tcW w:w="648" w:type="pct"/>
            <w:vAlign w:val="center"/>
          </w:tcPr>
          <w:p>
            <w:pPr>
              <w:jc w:val="center"/>
            </w:pPr>
            <w:r>
              <w:rPr>
                <w:rFonts w:hint="eastAsia" w:cs="Times New Roman"/>
                <w:bCs/>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669" w:type="pct"/>
            <w:vMerge w:val="continue"/>
            <w:vAlign w:val="center"/>
          </w:tcPr>
          <w:p>
            <w:pPr>
              <w:widowControl/>
              <w:jc w:val="center"/>
              <w:rPr>
                <w:rFonts w:eastAsia="宋体" w:cs="Times New Roman"/>
                <w:sz w:val="21"/>
              </w:rPr>
            </w:pPr>
          </w:p>
        </w:tc>
        <w:tc>
          <w:tcPr>
            <w:tcW w:w="1000" w:type="pct"/>
            <w:vAlign w:val="center"/>
          </w:tcPr>
          <w:p>
            <w:pPr>
              <w:pStyle w:val="140"/>
              <w:spacing w:before="37"/>
              <w:ind w:left="222" w:right="209"/>
              <w:rPr>
                <w:rFonts w:ascii="Times New Roman" w:hAnsi="Times New Roman" w:cs="Times New Roman"/>
                <w:sz w:val="21"/>
                <w:szCs w:val="21"/>
              </w:rPr>
            </w:pPr>
            <w:r>
              <w:rPr>
                <w:rFonts w:ascii="Times New Roman" w:cs="Times New Roman"/>
                <w:sz w:val="21"/>
                <w:szCs w:val="21"/>
              </w:rPr>
              <w:t>二苯并</w:t>
            </w:r>
            <w:r>
              <w:rPr>
                <w:rFonts w:ascii="Times New Roman" w:hAnsi="Times New Roman" w:cs="Times New Roman"/>
                <w:sz w:val="21"/>
                <w:szCs w:val="21"/>
              </w:rPr>
              <w:t>(a, h)</w:t>
            </w:r>
            <w:r>
              <w:rPr>
                <w:rFonts w:ascii="Times New Roman" w:cs="Times New Roman"/>
                <w:sz w:val="21"/>
                <w:szCs w:val="21"/>
              </w:rPr>
              <w:t>蒽</w:t>
            </w:r>
          </w:p>
        </w:tc>
        <w:tc>
          <w:tcPr>
            <w:tcW w:w="652" w:type="pct"/>
            <w:vAlign w:val="center"/>
          </w:tcPr>
          <w:p>
            <w:pPr>
              <w:pStyle w:val="140"/>
              <w:spacing w:before="51"/>
              <w:ind w:left="310" w:right="295"/>
              <w:rPr>
                <w:rFonts w:ascii="Times New Roman" w:hAnsi="Times New Roman" w:cs="Times New Roman"/>
                <w:sz w:val="21"/>
                <w:szCs w:val="21"/>
              </w:rPr>
            </w:pPr>
            <w:r>
              <w:rPr>
                <w:rFonts w:ascii="Times New Roman" w:hAnsi="Times New Roman" w:cs="Times New Roman"/>
                <w:sz w:val="21"/>
                <w:szCs w:val="21"/>
              </w:rPr>
              <w:t>ND</w:t>
            </w:r>
          </w:p>
        </w:tc>
        <w:tc>
          <w:tcPr>
            <w:tcW w:w="652" w:type="pct"/>
            <w:vAlign w:val="center"/>
          </w:tcPr>
          <w:p>
            <w:pPr>
              <w:pStyle w:val="140"/>
              <w:spacing w:before="51"/>
              <w:ind w:left="308" w:right="295"/>
              <w:rPr>
                <w:rFonts w:ascii="Times New Roman" w:hAnsi="Times New Roman" w:cs="Times New Roman"/>
                <w:sz w:val="21"/>
                <w:szCs w:val="21"/>
              </w:rPr>
            </w:pPr>
            <w:r>
              <w:rPr>
                <w:rFonts w:ascii="Times New Roman" w:hAnsi="Times New Roman" w:cs="Times New Roman"/>
                <w:sz w:val="21"/>
                <w:szCs w:val="21"/>
              </w:rPr>
              <w:t>ND</w:t>
            </w:r>
          </w:p>
        </w:tc>
        <w:tc>
          <w:tcPr>
            <w:tcW w:w="654" w:type="pct"/>
            <w:vAlign w:val="center"/>
          </w:tcPr>
          <w:p>
            <w:pPr>
              <w:pStyle w:val="140"/>
              <w:spacing w:before="51"/>
              <w:ind w:left="306" w:right="295"/>
              <w:rPr>
                <w:rFonts w:ascii="Times New Roman" w:hAnsi="Times New Roman" w:cs="Times New Roman"/>
                <w:sz w:val="21"/>
                <w:szCs w:val="21"/>
              </w:rPr>
            </w:pPr>
            <w:r>
              <w:rPr>
                <w:rFonts w:ascii="Times New Roman" w:hAnsi="Times New Roman" w:cs="Times New Roman"/>
                <w:sz w:val="21"/>
                <w:szCs w:val="21"/>
              </w:rPr>
              <w:t>ND</w:t>
            </w:r>
          </w:p>
        </w:tc>
        <w:tc>
          <w:tcPr>
            <w:tcW w:w="725" w:type="pct"/>
            <w:vAlign w:val="center"/>
          </w:tcPr>
          <w:p>
            <w:pPr>
              <w:widowControl/>
              <w:adjustRightInd w:val="0"/>
              <w:snapToGrid w:val="0"/>
              <w:jc w:val="center"/>
              <w:rPr>
                <w:color w:val="000000"/>
                <w:kern w:val="0"/>
                <w:sz w:val="21"/>
              </w:rPr>
            </w:pPr>
            <w:r>
              <w:rPr>
                <w:rFonts w:hint="eastAsia"/>
                <w:color w:val="000000"/>
                <w:kern w:val="0"/>
                <w:sz w:val="21"/>
              </w:rPr>
              <w:t>0.55</w:t>
            </w:r>
          </w:p>
        </w:tc>
        <w:tc>
          <w:tcPr>
            <w:tcW w:w="648" w:type="pct"/>
            <w:vAlign w:val="center"/>
          </w:tcPr>
          <w:p>
            <w:pPr>
              <w:jc w:val="center"/>
            </w:pPr>
            <w:r>
              <w:rPr>
                <w:rFonts w:hint="eastAsia" w:cs="Times New Roman"/>
                <w:bCs/>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669" w:type="pct"/>
            <w:vMerge w:val="continue"/>
            <w:vAlign w:val="center"/>
          </w:tcPr>
          <w:p>
            <w:pPr>
              <w:widowControl/>
              <w:jc w:val="center"/>
              <w:rPr>
                <w:rFonts w:eastAsia="宋体" w:cs="Times New Roman"/>
                <w:sz w:val="21"/>
              </w:rPr>
            </w:pPr>
          </w:p>
        </w:tc>
        <w:tc>
          <w:tcPr>
            <w:tcW w:w="1000" w:type="pct"/>
            <w:vAlign w:val="center"/>
          </w:tcPr>
          <w:p>
            <w:pPr>
              <w:pStyle w:val="140"/>
              <w:spacing w:before="38"/>
              <w:ind w:left="224" w:right="209"/>
              <w:rPr>
                <w:rFonts w:ascii="Times New Roman" w:hAnsi="Times New Roman" w:cs="Times New Roman"/>
                <w:sz w:val="21"/>
                <w:szCs w:val="21"/>
              </w:rPr>
            </w:pPr>
            <w:r>
              <w:rPr>
                <w:rFonts w:ascii="Times New Roman" w:cs="Times New Roman"/>
                <w:sz w:val="21"/>
                <w:szCs w:val="21"/>
              </w:rPr>
              <w:t>茚并</w:t>
            </w:r>
            <w:r>
              <w:rPr>
                <w:rFonts w:ascii="Times New Roman" w:hAnsi="Times New Roman" w:cs="Times New Roman"/>
                <w:sz w:val="21"/>
                <w:szCs w:val="21"/>
              </w:rPr>
              <w:t>(1,2,3-c,d)</w:t>
            </w:r>
            <w:r>
              <w:rPr>
                <w:rFonts w:ascii="Times New Roman" w:cs="Times New Roman"/>
                <w:sz w:val="21"/>
                <w:szCs w:val="21"/>
              </w:rPr>
              <w:t>芘</w:t>
            </w:r>
          </w:p>
        </w:tc>
        <w:tc>
          <w:tcPr>
            <w:tcW w:w="652" w:type="pct"/>
            <w:vAlign w:val="center"/>
          </w:tcPr>
          <w:p>
            <w:pPr>
              <w:pStyle w:val="140"/>
              <w:spacing w:before="49"/>
              <w:ind w:left="310" w:right="295"/>
              <w:rPr>
                <w:rFonts w:ascii="Times New Roman" w:hAnsi="Times New Roman" w:cs="Times New Roman"/>
                <w:sz w:val="21"/>
                <w:szCs w:val="21"/>
              </w:rPr>
            </w:pPr>
            <w:r>
              <w:rPr>
                <w:rFonts w:ascii="Times New Roman" w:hAnsi="Times New Roman" w:cs="Times New Roman"/>
                <w:sz w:val="21"/>
                <w:szCs w:val="21"/>
              </w:rPr>
              <w:t>ND</w:t>
            </w:r>
          </w:p>
        </w:tc>
        <w:tc>
          <w:tcPr>
            <w:tcW w:w="652" w:type="pct"/>
            <w:vAlign w:val="center"/>
          </w:tcPr>
          <w:p>
            <w:pPr>
              <w:pStyle w:val="140"/>
              <w:spacing w:before="49"/>
              <w:ind w:left="308" w:right="295"/>
              <w:rPr>
                <w:rFonts w:ascii="Times New Roman" w:hAnsi="Times New Roman" w:cs="Times New Roman"/>
                <w:sz w:val="21"/>
                <w:szCs w:val="21"/>
              </w:rPr>
            </w:pPr>
            <w:r>
              <w:rPr>
                <w:rFonts w:ascii="Times New Roman" w:hAnsi="Times New Roman" w:cs="Times New Roman"/>
                <w:sz w:val="21"/>
                <w:szCs w:val="21"/>
              </w:rPr>
              <w:t>ND</w:t>
            </w:r>
          </w:p>
        </w:tc>
        <w:tc>
          <w:tcPr>
            <w:tcW w:w="654" w:type="pct"/>
            <w:vAlign w:val="center"/>
          </w:tcPr>
          <w:p>
            <w:pPr>
              <w:pStyle w:val="140"/>
              <w:spacing w:before="49"/>
              <w:ind w:left="306" w:right="295"/>
              <w:rPr>
                <w:rFonts w:ascii="Times New Roman" w:hAnsi="Times New Roman" w:cs="Times New Roman"/>
                <w:sz w:val="21"/>
                <w:szCs w:val="21"/>
              </w:rPr>
            </w:pPr>
            <w:r>
              <w:rPr>
                <w:rFonts w:ascii="Times New Roman" w:hAnsi="Times New Roman" w:cs="Times New Roman"/>
                <w:sz w:val="21"/>
                <w:szCs w:val="21"/>
              </w:rPr>
              <w:t>ND</w:t>
            </w:r>
          </w:p>
        </w:tc>
        <w:tc>
          <w:tcPr>
            <w:tcW w:w="725" w:type="pct"/>
            <w:vAlign w:val="center"/>
          </w:tcPr>
          <w:p>
            <w:pPr>
              <w:widowControl/>
              <w:adjustRightInd w:val="0"/>
              <w:snapToGrid w:val="0"/>
              <w:jc w:val="center"/>
              <w:rPr>
                <w:color w:val="000000"/>
                <w:kern w:val="0"/>
                <w:sz w:val="21"/>
              </w:rPr>
            </w:pPr>
            <w:r>
              <w:rPr>
                <w:rFonts w:hint="eastAsia"/>
                <w:color w:val="000000"/>
                <w:kern w:val="0"/>
                <w:sz w:val="21"/>
              </w:rPr>
              <w:t>5.5</w:t>
            </w:r>
          </w:p>
        </w:tc>
        <w:tc>
          <w:tcPr>
            <w:tcW w:w="648" w:type="pct"/>
            <w:vAlign w:val="center"/>
          </w:tcPr>
          <w:p>
            <w:pPr>
              <w:jc w:val="center"/>
            </w:pPr>
            <w:r>
              <w:rPr>
                <w:rFonts w:hint="eastAsia" w:cs="Times New Roman"/>
                <w:bCs/>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669" w:type="pct"/>
            <w:vMerge w:val="continue"/>
            <w:vAlign w:val="center"/>
          </w:tcPr>
          <w:p>
            <w:pPr>
              <w:widowControl/>
              <w:jc w:val="center"/>
              <w:rPr>
                <w:rFonts w:eastAsia="宋体" w:cs="Times New Roman"/>
                <w:sz w:val="21"/>
              </w:rPr>
            </w:pPr>
          </w:p>
        </w:tc>
        <w:tc>
          <w:tcPr>
            <w:tcW w:w="1000" w:type="pct"/>
            <w:vAlign w:val="center"/>
          </w:tcPr>
          <w:p>
            <w:pPr>
              <w:pStyle w:val="140"/>
              <w:spacing w:before="36"/>
              <w:ind w:left="11"/>
              <w:rPr>
                <w:rFonts w:ascii="Times New Roman" w:hAnsi="Times New Roman" w:cs="Times New Roman"/>
                <w:sz w:val="21"/>
                <w:szCs w:val="21"/>
              </w:rPr>
            </w:pPr>
            <w:r>
              <w:rPr>
                <w:rFonts w:ascii="Times New Roman" w:cs="Times New Roman"/>
                <w:sz w:val="21"/>
                <w:szCs w:val="21"/>
              </w:rPr>
              <w:t>萘</w:t>
            </w:r>
          </w:p>
        </w:tc>
        <w:tc>
          <w:tcPr>
            <w:tcW w:w="652" w:type="pct"/>
            <w:vAlign w:val="center"/>
          </w:tcPr>
          <w:p>
            <w:pPr>
              <w:pStyle w:val="140"/>
              <w:spacing w:before="50"/>
              <w:ind w:left="310" w:right="295"/>
              <w:rPr>
                <w:rFonts w:ascii="Times New Roman" w:hAnsi="Times New Roman" w:cs="Times New Roman"/>
                <w:sz w:val="21"/>
                <w:szCs w:val="21"/>
              </w:rPr>
            </w:pPr>
            <w:r>
              <w:rPr>
                <w:rFonts w:ascii="Times New Roman" w:hAnsi="Times New Roman" w:cs="Times New Roman"/>
                <w:sz w:val="21"/>
                <w:szCs w:val="21"/>
              </w:rPr>
              <w:t>ND</w:t>
            </w:r>
          </w:p>
        </w:tc>
        <w:tc>
          <w:tcPr>
            <w:tcW w:w="652" w:type="pct"/>
            <w:vAlign w:val="center"/>
          </w:tcPr>
          <w:p>
            <w:pPr>
              <w:pStyle w:val="140"/>
              <w:spacing w:before="50"/>
              <w:ind w:left="308" w:right="295"/>
              <w:rPr>
                <w:rFonts w:ascii="Times New Roman" w:hAnsi="Times New Roman" w:cs="Times New Roman"/>
                <w:sz w:val="21"/>
                <w:szCs w:val="21"/>
              </w:rPr>
            </w:pPr>
            <w:r>
              <w:rPr>
                <w:rFonts w:ascii="Times New Roman" w:hAnsi="Times New Roman" w:cs="Times New Roman"/>
                <w:sz w:val="21"/>
                <w:szCs w:val="21"/>
              </w:rPr>
              <w:t>ND</w:t>
            </w:r>
          </w:p>
        </w:tc>
        <w:tc>
          <w:tcPr>
            <w:tcW w:w="654" w:type="pct"/>
            <w:vAlign w:val="center"/>
          </w:tcPr>
          <w:p>
            <w:pPr>
              <w:pStyle w:val="140"/>
              <w:spacing w:before="50"/>
              <w:ind w:left="306" w:right="295"/>
              <w:rPr>
                <w:rFonts w:ascii="Times New Roman" w:hAnsi="Times New Roman" w:cs="Times New Roman"/>
                <w:sz w:val="21"/>
                <w:szCs w:val="21"/>
              </w:rPr>
            </w:pPr>
            <w:r>
              <w:rPr>
                <w:rFonts w:ascii="Times New Roman" w:hAnsi="Times New Roman" w:cs="Times New Roman"/>
                <w:sz w:val="21"/>
                <w:szCs w:val="21"/>
              </w:rPr>
              <w:t>ND</w:t>
            </w:r>
          </w:p>
        </w:tc>
        <w:tc>
          <w:tcPr>
            <w:tcW w:w="725" w:type="pct"/>
            <w:vAlign w:val="center"/>
          </w:tcPr>
          <w:p>
            <w:pPr>
              <w:widowControl/>
              <w:adjustRightInd w:val="0"/>
              <w:snapToGrid w:val="0"/>
              <w:jc w:val="center"/>
              <w:rPr>
                <w:color w:val="000000"/>
                <w:kern w:val="0"/>
                <w:sz w:val="21"/>
              </w:rPr>
            </w:pPr>
            <w:r>
              <w:rPr>
                <w:rFonts w:hint="eastAsia"/>
                <w:color w:val="000000"/>
                <w:kern w:val="0"/>
                <w:sz w:val="21"/>
              </w:rPr>
              <w:t>25</w:t>
            </w:r>
          </w:p>
        </w:tc>
        <w:tc>
          <w:tcPr>
            <w:tcW w:w="648" w:type="pct"/>
            <w:vAlign w:val="center"/>
          </w:tcPr>
          <w:p>
            <w:pPr>
              <w:jc w:val="center"/>
            </w:pPr>
            <w:r>
              <w:rPr>
                <w:rFonts w:hint="eastAsia" w:cs="Times New Roman"/>
                <w:bCs/>
                <w:sz w:val="21"/>
              </w:rPr>
              <w:t>达标</w:t>
            </w:r>
          </w:p>
        </w:tc>
      </w:tr>
    </w:tbl>
    <w:p>
      <w:pPr>
        <w:pStyle w:val="14"/>
        <w:ind w:firstLine="480" w:firstLineChars="200"/>
        <w:jc w:val="both"/>
        <w:rPr>
          <w:rFonts w:cs="Times New Roman"/>
          <w:b w:val="0"/>
        </w:rPr>
      </w:pPr>
      <w:r>
        <w:rPr>
          <w:rFonts w:cs="Times New Roman"/>
          <w:b w:val="0"/>
        </w:rPr>
        <w:t>由上表可知，本项目土壤监测数据可满足《土壤环境质量建设用地土壤污染风险管控标准（试行）》（GB36600-2018）中第一类用地筛选值标准要求。</w:t>
      </w:r>
    </w:p>
    <w:bookmarkEnd w:id="168"/>
    <w:p>
      <w:pPr>
        <w:pStyle w:val="4"/>
        <w:rPr>
          <w:color w:val="000000" w:themeColor="text1"/>
        </w:rPr>
      </w:pPr>
      <w:bookmarkStart w:id="169" w:name="_Toc532376156"/>
      <w:bookmarkStart w:id="170" w:name="_Toc532498749"/>
      <w:bookmarkStart w:id="171" w:name="_Toc532497653"/>
      <w:bookmarkStart w:id="172" w:name="_Toc532763213"/>
      <w:bookmarkStart w:id="173" w:name="_Toc25826494"/>
      <w:r>
        <w:rPr>
          <w:rFonts w:hint="eastAsia"/>
          <w:color w:val="000000" w:themeColor="text1"/>
        </w:rPr>
        <w:t>小结</w:t>
      </w:r>
      <w:bookmarkEnd w:id="169"/>
      <w:bookmarkEnd w:id="170"/>
      <w:bookmarkEnd w:id="171"/>
      <w:bookmarkEnd w:id="172"/>
      <w:bookmarkEnd w:id="173"/>
    </w:p>
    <w:p>
      <w:pPr>
        <w:spacing w:line="360" w:lineRule="auto"/>
        <w:ind w:firstLine="480" w:firstLineChars="200"/>
        <w:rPr>
          <w:color w:val="000000" w:themeColor="text1"/>
        </w:rPr>
      </w:pPr>
      <w:r>
        <w:rPr>
          <w:rFonts w:hint="eastAsia"/>
          <w:color w:val="000000" w:themeColor="text1"/>
        </w:rPr>
        <w:t>根据现状监测结果可知：区域空气环境、地表水、土壤、声环境均达到了相关标准值，环境质量良好。</w:t>
      </w:r>
    </w:p>
    <w:p>
      <w:pPr>
        <w:widowControl/>
        <w:jc w:val="left"/>
        <w:rPr>
          <w:color w:val="000000" w:themeColor="text1"/>
        </w:rPr>
      </w:pPr>
      <w:r>
        <w:rPr>
          <w:color w:val="000000" w:themeColor="text1"/>
        </w:rPr>
        <w:br w:type="page"/>
      </w:r>
    </w:p>
    <w:p>
      <w:pPr>
        <w:pStyle w:val="2"/>
        <w:adjustRightInd w:val="0"/>
        <w:snapToGrid w:val="0"/>
        <w:spacing w:line="360" w:lineRule="auto"/>
        <w:rPr>
          <w:color w:val="000000" w:themeColor="text1"/>
        </w:rPr>
      </w:pPr>
      <w:bookmarkStart w:id="174" w:name="_Toc532376157"/>
      <w:bookmarkStart w:id="175" w:name="_Toc25826495"/>
      <w:bookmarkStart w:id="176" w:name="_Toc532763214"/>
      <w:bookmarkStart w:id="177" w:name="_Toc532498750"/>
      <w:bookmarkStart w:id="178" w:name="_Toc532497654"/>
      <w:r>
        <w:rPr>
          <w:rFonts w:hint="eastAsia"/>
          <w:color w:val="000000" w:themeColor="text1"/>
        </w:rPr>
        <w:t>环境影响预测与评价</w:t>
      </w:r>
      <w:bookmarkEnd w:id="174"/>
      <w:bookmarkEnd w:id="175"/>
      <w:bookmarkEnd w:id="176"/>
      <w:bookmarkEnd w:id="177"/>
      <w:bookmarkEnd w:id="178"/>
    </w:p>
    <w:p>
      <w:pPr>
        <w:pStyle w:val="4"/>
        <w:adjustRightInd w:val="0"/>
        <w:snapToGrid w:val="0"/>
        <w:rPr>
          <w:color w:val="000000" w:themeColor="text1"/>
        </w:rPr>
      </w:pPr>
      <w:bookmarkStart w:id="179" w:name="_Toc532376158"/>
      <w:bookmarkStart w:id="180" w:name="_Toc532763215"/>
      <w:bookmarkStart w:id="181" w:name="_Toc532497655"/>
      <w:bookmarkStart w:id="182" w:name="_Toc532498751"/>
      <w:bookmarkStart w:id="183" w:name="_Toc25826496"/>
      <w:r>
        <w:rPr>
          <w:rFonts w:hint="eastAsia"/>
          <w:color w:val="000000" w:themeColor="text1"/>
        </w:rPr>
        <w:t>施工期环境影响分析</w:t>
      </w:r>
      <w:bookmarkEnd w:id="179"/>
      <w:bookmarkEnd w:id="180"/>
      <w:bookmarkEnd w:id="181"/>
      <w:bookmarkEnd w:id="182"/>
      <w:bookmarkEnd w:id="183"/>
    </w:p>
    <w:p>
      <w:pPr>
        <w:spacing w:line="360" w:lineRule="auto"/>
        <w:ind w:firstLine="480" w:firstLineChars="200"/>
      </w:pPr>
      <w:r>
        <w:rPr>
          <w:rFonts w:hint="eastAsia"/>
        </w:rPr>
        <w:t>本项目施工期已结束，不对施工期进行评价。</w:t>
      </w:r>
    </w:p>
    <w:p>
      <w:pPr>
        <w:pStyle w:val="4"/>
      </w:pPr>
      <w:bookmarkStart w:id="184" w:name="_Toc25826497"/>
      <w:r>
        <w:t>营运期环境影响分析</w:t>
      </w:r>
      <w:bookmarkEnd w:id="184"/>
    </w:p>
    <w:p>
      <w:pPr>
        <w:pStyle w:val="5"/>
      </w:pPr>
      <w:r>
        <w:rPr>
          <w:rFonts w:hint="eastAsia"/>
        </w:rPr>
        <w:t>营运期水环境影响分析</w:t>
      </w:r>
    </w:p>
    <w:p>
      <w:pPr>
        <w:spacing w:line="360" w:lineRule="auto"/>
        <w:ind w:firstLine="480" w:firstLineChars="200"/>
        <w:rPr>
          <w:rFonts w:cs="Times New Roman"/>
          <w:color w:val="000000" w:themeColor="text1"/>
          <w:u w:val="single"/>
        </w:rPr>
      </w:pPr>
      <w:r>
        <w:rPr>
          <w:rFonts w:cs="Times New Roman"/>
          <w:color w:val="000000" w:themeColor="text1"/>
          <w:u w:val="single"/>
        </w:rPr>
        <w:t>（1）营运期水环境影响评价等级</w:t>
      </w:r>
    </w:p>
    <w:p>
      <w:pPr>
        <w:spacing w:line="360" w:lineRule="auto"/>
        <w:ind w:firstLine="480" w:firstLineChars="200"/>
        <w:rPr>
          <w:rFonts w:cs="Times New Roman"/>
          <w:color w:val="000000" w:themeColor="text1"/>
          <w:u w:val="single"/>
        </w:rPr>
      </w:pPr>
      <w:r>
        <w:rPr>
          <w:rFonts w:cs="Times New Roman"/>
          <w:color w:val="000000" w:themeColor="text1"/>
          <w:u w:val="single"/>
        </w:rPr>
        <w:t>本项目地表水环境影响评价等级为水污染影响型三级B评价，主要评价内容包括：</w:t>
      </w:r>
      <w:r>
        <w:rPr>
          <w:rFonts w:hint="eastAsia" w:cs="Times New Roman" w:asciiTheme="minorEastAsia" w:hAnsiTheme="minorEastAsia"/>
          <w:color w:val="000000" w:themeColor="text1"/>
          <w:u w:val="single"/>
        </w:rPr>
        <w:t>①</w:t>
      </w:r>
      <w:r>
        <w:rPr>
          <w:rFonts w:cs="Times New Roman"/>
          <w:color w:val="000000" w:themeColor="text1"/>
          <w:u w:val="single"/>
        </w:rPr>
        <w:t>水污染物控制和水环境影响减缓措施有效性评价；</w:t>
      </w:r>
      <w:r>
        <w:rPr>
          <w:rFonts w:hint="eastAsia" w:cs="Times New Roman" w:asciiTheme="minorEastAsia" w:hAnsiTheme="minorEastAsia"/>
          <w:color w:val="000000" w:themeColor="text1"/>
          <w:u w:val="single"/>
        </w:rPr>
        <w:t>②</w:t>
      </w:r>
      <w:r>
        <w:rPr>
          <w:rFonts w:cs="Times New Roman"/>
          <w:color w:val="000000" w:themeColor="text1"/>
          <w:u w:val="single"/>
        </w:rPr>
        <w:t>依托污水设施的环境可行性评价。</w:t>
      </w:r>
    </w:p>
    <w:p>
      <w:pPr>
        <w:spacing w:line="360" w:lineRule="auto"/>
        <w:ind w:firstLine="480" w:firstLineChars="200"/>
        <w:rPr>
          <w:rFonts w:cs="Times New Roman"/>
          <w:color w:val="000000" w:themeColor="text1"/>
          <w:u w:val="single"/>
        </w:rPr>
      </w:pPr>
      <w:r>
        <w:rPr>
          <w:rFonts w:cs="Times New Roman"/>
          <w:color w:val="000000" w:themeColor="text1"/>
          <w:u w:val="single"/>
        </w:rPr>
        <w:t>（</w:t>
      </w:r>
      <w:r>
        <w:rPr>
          <w:rFonts w:hint="eastAsia" w:cs="Times New Roman"/>
          <w:color w:val="000000" w:themeColor="text1"/>
          <w:u w:val="single"/>
        </w:rPr>
        <w:t>2</w:t>
      </w:r>
      <w:r>
        <w:rPr>
          <w:rFonts w:cs="Times New Roman"/>
          <w:color w:val="000000" w:themeColor="text1"/>
          <w:u w:val="single"/>
        </w:rPr>
        <w:t>）</w:t>
      </w:r>
      <w:r>
        <w:rPr>
          <w:rFonts w:hint="eastAsia" w:cs="Times New Roman"/>
          <w:color w:val="000000" w:themeColor="text1"/>
          <w:u w:val="single"/>
        </w:rPr>
        <w:t>水污染物控制和水环境影响减缓措施有效性评价</w:t>
      </w:r>
    </w:p>
    <w:p>
      <w:pPr>
        <w:spacing w:line="360" w:lineRule="auto"/>
        <w:ind w:firstLine="480" w:firstLineChars="200"/>
        <w:rPr>
          <w:u w:val="single"/>
        </w:rPr>
      </w:pPr>
      <w:r>
        <w:rPr>
          <w:rFonts w:hint="eastAsia" w:cs="Times New Roman"/>
          <w:color w:val="000000" w:themeColor="text1"/>
          <w:u w:val="single"/>
        </w:rPr>
        <w:t>医院排放的生活污水</w:t>
      </w:r>
      <w:r>
        <w:rPr>
          <w:rFonts w:hint="eastAsia"/>
          <w:u w:val="single"/>
        </w:rPr>
        <w:t>中污染因子与常见生活污水一致。医院排放的医疗废水中，门诊和病房排水因沾染病人的血、尿、便等，有些污水还含有多种致病菌、病毒和寄生虫卵，这些致病菌、病毒和寄生虫卵在环境中具有一定的适应力，有的甚至在污水中具有较长的存活期，因此必须经消毒灭菌后方可排放。医院污水的排放特点是水质的复杂性和水质、水量的不均衡性。</w:t>
      </w:r>
    </w:p>
    <w:p>
      <w:pPr>
        <w:spacing w:line="360" w:lineRule="auto"/>
        <w:ind w:firstLine="480" w:firstLineChars="200"/>
        <w:rPr>
          <w:color w:val="000000" w:themeColor="text1"/>
          <w:u w:val="single"/>
        </w:rPr>
      </w:pPr>
      <w:r>
        <w:rPr>
          <w:rFonts w:hint="eastAsia"/>
          <w:color w:val="000000" w:themeColor="text1"/>
          <w:u w:val="single"/>
        </w:rPr>
        <w:t>（3）医院自建污水处理情况</w:t>
      </w:r>
    </w:p>
    <w:p>
      <w:pPr>
        <w:spacing w:line="360" w:lineRule="auto"/>
        <w:ind w:firstLine="480" w:firstLineChars="200"/>
        <w:rPr>
          <w:color w:val="000000" w:themeColor="text1"/>
          <w:u w:val="single"/>
        </w:rPr>
      </w:pPr>
      <w:r>
        <w:rPr>
          <w:rFonts w:hint="eastAsia"/>
          <w:color w:val="000000" w:themeColor="text1"/>
          <w:u w:val="single"/>
        </w:rPr>
        <w:t>污水处理站设计能力为600m</w:t>
      </w:r>
      <w:r>
        <w:rPr>
          <w:rFonts w:hint="eastAsia"/>
          <w:color w:val="000000" w:themeColor="text1"/>
          <w:u w:val="single"/>
          <w:vertAlign w:val="superscript"/>
        </w:rPr>
        <w:t>3</w:t>
      </w:r>
      <w:r>
        <w:rPr>
          <w:rFonts w:hint="eastAsia"/>
          <w:color w:val="000000" w:themeColor="text1"/>
          <w:u w:val="single"/>
        </w:rPr>
        <w:t>/d，根据工程分析可知，项目现有营运过程中的废水最大排放量为</w:t>
      </w:r>
      <w:r>
        <w:rPr>
          <w:rFonts w:hint="eastAsia" w:cs="Times New Roman"/>
          <w:color w:val="000000" w:themeColor="text1"/>
          <w:szCs w:val="24"/>
          <w:u w:val="single"/>
        </w:rPr>
        <w:t>328.097</w:t>
      </w:r>
      <w:r>
        <w:rPr>
          <w:rFonts w:cs="Times New Roman"/>
          <w:color w:val="000000" w:themeColor="text1"/>
          <w:szCs w:val="24"/>
          <w:u w:val="single"/>
        </w:rPr>
        <w:t>m</w:t>
      </w:r>
      <w:r>
        <w:rPr>
          <w:rFonts w:cs="Times New Roman"/>
          <w:color w:val="000000" w:themeColor="text1"/>
          <w:szCs w:val="24"/>
          <w:u w:val="single"/>
          <w:vertAlign w:val="superscript"/>
        </w:rPr>
        <w:t>3</w:t>
      </w:r>
      <w:r>
        <w:rPr>
          <w:rFonts w:cs="Times New Roman"/>
          <w:color w:val="000000" w:themeColor="text1"/>
          <w:szCs w:val="24"/>
          <w:u w:val="single"/>
        </w:rPr>
        <w:t>/d</w:t>
      </w:r>
      <w:r>
        <w:rPr>
          <w:rFonts w:hint="eastAsia"/>
          <w:color w:val="000000" w:themeColor="text1"/>
          <w:u w:val="single"/>
        </w:rPr>
        <w:t>，废水处理设施处理能力合理，可以满足项目运营过程中的废水排放需求，医院每月都会对项目废水的粪大肠菌群、沙门氏菌、志贺氏菌及菌群总数进行监测，并建立了台账记录，保证能够及时监控污水处理设备的正常运行。（监测报告具体见附件）</w:t>
      </w:r>
    </w:p>
    <w:p>
      <w:pPr>
        <w:spacing w:line="360" w:lineRule="auto"/>
        <w:ind w:firstLine="480" w:firstLineChars="200"/>
        <w:rPr>
          <w:rFonts w:cs="Times New Roman"/>
          <w:color w:val="000000" w:themeColor="text1"/>
          <w:u w:val="single"/>
        </w:rPr>
      </w:pPr>
      <w:r>
        <w:rPr>
          <w:rFonts w:hint="eastAsia"/>
          <w:color w:val="000000" w:themeColor="text1"/>
          <w:u w:val="single"/>
        </w:rPr>
        <w:t>本院污水处理站目前采用二氧化氯进行消毒，二氧化氯（ClO</w:t>
      </w:r>
      <w:r>
        <w:rPr>
          <w:rFonts w:hint="eastAsia"/>
          <w:color w:val="000000" w:themeColor="text1"/>
          <w:u w:val="single"/>
          <w:vertAlign w:val="subscript"/>
        </w:rPr>
        <w:t>2</w:t>
      </w:r>
      <w:r>
        <w:rPr>
          <w:rFonts w:hint="eastAsia"/>
          <w:color w:val="000000" w:themeColor="text1"/>
          <w:u w:val="single"/>
        </w:rPr>
        <w:t>）是一种强氧化剂和广谱杀菌剂，能有效杀死污水中的细菌和病毒，并且具有持续消毒作用。二氧化氯消毒具有药剂易得，成本较低：工艺简单、技术成熟、操作简单，投量准确，不需要庞大</w:t>
      </w:r>
      <w:r>
        <w:rPr>
          <w:rFonts w:cs="Times New Roman"/>
          <w:color w:val="000000" w:themeColor="text1"/>
          <w:u w:val="single"/>
        </w:rPr>
        <w:t>的设备等优点。</w:t>
      </w:r>
    </w:p>
    <w:p>
      <w:pPr>
        <w:spacing w:line="360" w:lineRule="auto"/>
        <w:ind w:firstLine="480" w:firstLineChars="200"/>
        <w:rPr>
          <w:rFonts w:eastAsia="宋体" w:cs="Times New Roman"/>
          <w:color w:val="000000"/>
          <w:kern w:val="0"/>
          <w:szCs w:val="24"/>
          <w:u w:val="single"/>
        </w:rPr>
      </w:pPr>
      <w:r>
        <w:rPr>
          <w:rFonts w:cs="Times New Roman"/>
          <w:color w:val="000000" w:themeColor="text1"/>
          <w:u w:val="single"/>
        </w:rPr>
        <w:t>目前普遍使用的污水消毒剂有：</w:t>
      </w:r>
      <w:r>
        <w:rPr>
          <w:rFonts w:cs="Times New Roman"/>
          <w:color w:val="000000"/>
          <w:u w:val="single"/>
        </w:rPr>
        <w:t>Cl</w:t>
      </w:r>
      <w:r>
        <w:rPr>
          <w:rFonts w:cs="Times New Roman"/>
          <w:color w:val="000000"/>
          <w:sz w:val="16"/>
          <w:szCs w:val="16"/>
          <w:u w:val="single"/>
        </w:rPr>
        <w:t>2</w:t>
      </w:r>
      <w:r>
        <w:rPr>
          <w:rFonts w:cs="Times New Roman"/>
          <w:color w:val="000000"/>
          <w:u w:val="single"/>
        </w:rPr>
        <w:t>、漂白粉、次氯酸钠、ClO</w:t>
      </w:r>
      <w:r>
        <w:rPr>
          <w:rFonts w:cs="Times New Roman"/>
          <w:color w:val="000000"/>
          <w:sz w:val="16"/>
          <w:szCs w:val="16"/>
          <w:u w:val="single"/>
        </w:rPr>
        <w:t>2</w:t>
      </w:r>
      <w:r>
        <w:rPr>
          <w:rFonts w:cs="Times New Roman"/>
          <w:color w:val="000000"/>
          <w:u w:val="single"/>
        </w:rPr>
        <w:t>、臭氧等。采</w:t>
      </w:r>
      <w:r>
        <w:rPr>
          <w:rFonts w:eastAsia="宋体" w:cs="Times New Roman"/>
          <w:color w:val="000000"/>
          <w:kern w:val="0"/>
          <w:szCs w:val="24"/>
          <w:u w:val="single"/>
        </w:rPr>
        <w:t>用Cl</w:t>
      </w:r>
      <w:r>
        <w:rPr>
          <w:rFonts w:eastAsia="宋体" w:cs="Times New Roman"/>
          <w:color w:val="000000"/>
          <w:kern w:val="0"/>
          <w:sz w:val="16"/>
          <w:szCs w:val="16"/>
          <w:u w:val="single"/>
        </w:rPr>
        <w:t>2</w:t>
      </w:r>
      <w:r>
        <w:rPr>
          <w:rFonts w:eastAsia="宋体" w:cs="Times New Roman"/>
          <w:color w:val="000000"/>
          <w:kern w:val="0"/>
          <w:szCs w:val="24"/>
          <w:u w:val="single"/>
        </w:rPr>
        <w:t>消毒一次性投入和运行成本均较低，但液氯使用时具有潜在事故风险等缺点。ClO</w:t>
      </w:r>
      <w:r>
        <w:rPr>
          <w:rFonts w:eastAsia="宋体" w:cs="Times New Roman"/>
          <w:color w:val="000000"/>
          <w:kern w:val="0"/>
          <w:sz w:val="16"/>
          <w:szCs w:val="16"/>
          <w:u w:val="single"/>
        </w:rPr>
        <w:t>2</w:t>
      </w:r>
      <w:r>
        <w:rPr>
          <w:rFonts w:eastAsia="宋体" w:cs="Times New Roman"/>
          <w:color w:val="000000"/>
          <w:kern w:val="0"/>
          <w:szCs w:val="24"/>
          <w:u w:val="single"/>
        </w:rPr>
        <w:t>对粪大肠菌群、细菌、芽孢、病毒及藻类均有很好的杀灭作用。此外，由于</w:t>
      </w:r>
      <w:r>
        <w:rPr>
          <w:rFonts w:cs="Times New Roman"/>
          <w:color w:val="000000"/>
          <w:u w:val="single"/>
        </w:rPr>
        <w:t>由于ClO</w:t>
      </w:r>
      <w:r>
        <w:rPr>
          <w:rFonts w:cs="Times New Roman"/>
          <w:color w:val="000000"/>
          <w:sz w:val="16"/>
          <w:szCs w:val="16"/>
          <w:u w:val="single"/>
        </w:rPr>
        <w:t>2</w:t>
      </w:r>
      <w:r>
        <w:rPr>
          <w:rFonts w:cs="Times New Roman"/>
          <w:color w:val="000000"/>
          <w:u w:val="single"/>
        </w:rPr>
        <w:t>具有强氧化性，对废水中某些化学物质可以有效地氧化，如酚、氰、硫</w:t>
      </w:r>
      <w:r>
        <w:rPr>
          <w:rFonts w:eastAsia="宋体" w:cs="Times New Roman"/>
          <w:color w:val="000000"/>
          <w:kern w:val="0"/>
          <w:szCs w:val="24"/>
          <w:u w:val="single"/>
        </w:rPr>
        <w:t>及产生臭味的物质硫醇、仲胺、叔胺等，可进一步改善水质和除臭除味。氰化物可被ClO</w:t>
      </w:r>
      <w:r>
        <w:rPr>
          <w:rFonts w:eastAsia="宋体" w:cs="Times New Roman"/>
          <w:color w:val="000000"/>
          <w:kern w:val="0"/>
          <w:sz w:val="16"/>
          <w:szCs w:val="16"/>
          <w:u w:val="single"/>
        </w:rPr>
        <w:t>2</w:t>
      </w:r>
      <w:r>
        <w:rPr>
          <w:rFonts w:eastAsia="宋体" w:cs="Times New Roman"/>
          <w:color w:val="000000"/>
          <w:kern w:val="0"/>
          <w:szCs w:val="24"/>
          <w:u w:val="single"/>
        </w:rPr>
        <w:t>氧化成氰酸盐或 CO</w:t>
      </w:r>
      <w:r>
        <w:rPr>
          <w:rFonts w:eastAsia="宋体" w:cs="Times New Roman"/>
          <w:color w:val="000000"/>
          <w:kern w:val="0"/>
          <w:sz w:val="16"/>
          <w:szCs w:val="16"/>
          <w:u w:val="single"/>
        </w:rPr>
        <w:t>2</w:t>
      </w:r>
      <w:r>
        <w:rPr>
          <w:rFonts w:eastAsia="宋体" w:cs="Times New Roman"/>
          <w:color w:val="000000"/>
          <w:kern w:val="0"/>
          <w:szCs w:val="24"/>
          <w:u w:val="single"/>
        </w:rPr>
        <w:t>及氮气。</w:t>
      </w:r>
    </w:p>
    <w:p>
      <w:pPr>
        <w:adjustRightInd w:val="0"/>
        <w:snapToGrid w:val="0"/>
        <w:spacing w:line="360" w:lineRule="auto"/>
        <w:ind w:firstLine="480" w:firstLineChars="200"/>
        <w:rPr>
          <w:rFonts w:eastAsia="宋体" w:cs="Times New Roman"/>
          <w:kern w:val="0"/>
          <w:szCs w:val="24"/>
          <w:u w:val="single"/>
        </w:rPr>
      </w:pPr>
      <w:r>
        <w:rPr>
          <w:rFonts w:eastAsia="宋体" w:cs="Times New Roman"/>
          <w:color w:val="000000"/>
          <w:kern w:val="0"/>
          <w:szCs w:val="24"/>
          <w:u w:val="single"/>
        </w:rPr>
        <w:t>根据同类工程处理效率，</w:t>
      </w:r>
      <w:r>
        <w:rPr>
          <w:rFonts w:cs="Times New Roman"/>
          <w:color w:val="000000"/>
          <w:u w:val="single"/>
        </w:rPr>
        <w:t>ClO</w:t>
      </w:r>
      <w:r>
        <w:rPr>
          <w:rFonts w:cs="Times New Roman"/>
          <w:color w:val="000000"/>
          <w:sz w:val="16"/>
          <w:szCs w:val="16"/>
          <w:u w:val="single"/>
        </w:rPr>
        <w:t>2</w:t>
      </w:r>
      <w:r>
        <w:rPr>
          <w:rFonts w:cs="Times New Roman"/>
          <w:color w:val="000000"/>
          <w:u w:val="single"/>
        </w:rPr>
        <w:t>不仅具有很强的杀菌能力，而且对降解污水中的有机物(COD</w:t>
      </w:r>
      <w:r>
        <w:rPr>
          <w:rFonts w:cs="Times New Roman"/>
          <w:color w:val="000000"/>
          <w:sz w:val="16"/>
          <w:szCs w:val="16"/>
          <w:u w:val="single"/>
        </w:rPr>
        <w:t>Cr</w:t>
      </w:r>
      <w:r>
        <w:rPr>
          <w:rFonts w:cs="Times New Roman"/>
          <w:color w:val="000000"/>
          <w:u w:val="single"/>
        </w:rPr>
        <w:t>和BOD</w:t>
      </w:r>
      <w:r>
        <w:rPr>
          <w:rFonts w:cs="Times New Roman"/>
          <w:color w:val="000000"/>
          <w:sz w:val="16"/>
          <w:szCs w:val="16"/>
          <w:u w:val="single"/>
        </w:rPr>
        <w:t>5</w:t>
      </w:r>
      <w:r>
        <w:rPr>
          <w:rFonts w:cs="Times New Roman"/>
          <w:color w:val="000000"/>
          <w:u w:val="single"/>
        </w:rPr>
        <w:t>)也有一定作用。但ClO</w:t>
      </w:r>
      <w:r>
        <w:rPr>
          <w:rFonts w:cs="Times New Roman"/>
          <w:color w:val="000000"/>
          <w:sz w:val="16"/>
          <w:szCs w:val="16"/>
          <w:u w:val="single"/>
        </w:rPr>
        <w:t>2</w:t>
      </w:r>
      <w:r>
        <w:rPr>
          <w:rFonts w:cs="Times New Roman"/>
          <w:color w:val="000000"/>
          <w:u w:val="single"/>
        </w:rPr>
        <w:t>是带有浅绿色的黄色有毒气体，</w:t>
      </w:r>
      <w:r>
        <w:rPr>
          <w:rFonts w:eastAsia="宋体" w:cs="Times New Roman"/>
          <w:color w:val="000000"/>
          <w:kern w:val="0"/>
          <w:szCs w:val="24"/>
          <w:u w:val="single"/>
        </w:rPr>
        <w:t>有刺激性，对呼吸道有刺激作用。ClO</w:t>
      </w:r>
      <w:r>
        <w:rPr>
          <w:rFonts w:eastAsia="宋体" w:cs="Times New Roman"/>
          <w:color w:val="000000"/>
          <w:kern w:val="0"/>
          <w:sz w:val="16"/>
          <w:szCs w:val="16"/>
          <w:u w:val="single"/>
        </w:rPr>
        <w:t>2</w:t>
      </w:r>
      <w:r>
        <w:rPr>
          <w:rFonts w:eastAsia="宋体" w:cs="Times New Roman"/>
          <w:color w:val="000000"/>
          <w:kern w:val="0"/>
          <w:szCs w:val="24"/>
          <w:u w:val="single"/>
        </w:rPr>
        <w:t>在水中的副产物为亚氯酸盐(ClO</w:t>
      </w:r>
      <w:r>
        <w:rPr>
          <w:rFonts w:eastAsia="宋体" w:cs="Times New Roman"/>
          <w:color w:val="000000"/>
          <w:kern w:val="0"/>
          <w:sz w:val="16"/>
          <w:szCs w:val="16"/>
          <w:u w:val="single"/>
        </w:rPr>
        <w:t>2</w:t>
      </w:r>
      <w:r>
        <w:rPr>
          <w:rFonts w:eastAsia="宋体" w:cs="Times New Roman"/>
          <w:color w:val="000000"/>
          <w:kern w:val="0"/>
          <w:szCs w:val="24"/>
          <w:u w:val="single"/>
        </w:rPr>
        <w:t>-)和低浓度的氯酸盐(ClO</w:t>
      </w:r>
      <w:r>
        <w:rPr>
          <w:rFonts w:eastAsia="宋体" w:cs="Times New Roman"/>
          <w:color w:val="000000"/>
          <w:kern w:val="0"/>
          <w:sz w:val="16"/>
          <w:szCs w:val="16"/>
          <w:u w:val="single"/>
        </w:rPr>
        <w:t>3</w:t>
      </w:r>
      <w:r>
        <w:rPr>
          <w:rFonts w:eastAsia="宋体" w:cs="Times New Roman"/>
          <w:color w:val="000000"/>
          <w:kern w:val="0"/>
          <w:szCs w:val="24"/>
          <w:u w:val="single"/>
        </w:rPr>
        <w:t>-)，亚氯酸盐易溶于水，在水溶液中稳定，且无异臭和异味，在酸性介质中又可转为ClO</w:t>
      </w:r>
      <w:r>
        <w:rPr>
          <w:rFonts w:eastAsia="宋体" w:cs="Times New Roman"/>
          <w:color w:val="000000"/>
          <w:kern w:val="0"/>
          <w:sz w:val="16"/>
          <w:szCs w:val="16"/>
          <w:u w:val="single"/>
        </w:rPr>
        <w:t>2</w:t>
      </w:r>
      <w:r>
        <w:rPr>
          <w:rFonts w:eastAsia="宋体" w:cs="Times New Roman"/>
          <w:color w:val="000000"/>
          <w:kern w:val="0"/>
          <w:szCs w:val="24"/>
          <w:u w:val="single"/>
        </w:rPr>
        <w:t>。ClO</w:t>
      </w:r>
      <w:r>
        <w:rPr>
          <w:rFonts w:eastAsia="宋体" w:cs="Times New Roman"/>
          <w:color w:val="000000"/>
          <w:kern w:val="0"/>
          <w:sz w:val="16"/>
          <w:szCs w:val="16"/>
          <w:u w:val="single"/>
        </w:rPr>
        <w:t>2</w:t>
      </w:r>
      <w:r>
        <w:rPr>
          <w:rFonts w:eastAsia="宋体" w:cs="Times New Roman"/>
          <w:color w:val="000000"/>
          <w:kern w:val="0"/>
          <w:szCs w:val="24"/>
          <w:u w:val="single"/>
        </w:rPr>
        <w:t>-具有一定的致癌作用。氯酸盐在水溶液中稳定， 并使水略带咸味，氯酸盐对人体有一定的伤害作用。因此要求在实际医院废水处理过程中，对 ClO</w:t>
      </w:r>
      <w:r>
        <w:rPr>
          <w:rFonts w:eastAsia="宋体" w:cs="Times New Roman"/>
          <w:color w:val="000000"/>
          <w:kern w:val="0"/>
          <w:sz w:val="16"/>
          <w:szCs w:val="16"/>
          <w:u w:val="single"/>
        </w:rPr>
        <w:t xml:space="preserve">2 </w:t>
      </w:r>
      <w:r>
        <w:rPr>
          <w:rFonts w:eastAsia="宋体" w:cs="Times New Roman"/>
          <w:color w:val="000000"/>
          <w:kern w:val="0"/>
          <w:szCs w:val="24"/>
          <w:u w:val="single"/>
        </w:rPr>
        <w:t>投加剂量和条件进行控制，影响 ClO</w:t>
      </w:r>
      <w:r>
        <w:rPr>
          <w:rFonts w:eastAsia="宋体" w:cs="Times New Roman"/>
          <w:color w:val="000000"/>
          <w:kern w:val="0"/>
          <w:sz w:val="16"/>
          <w:szCs w:val="16"/>
          <w:u w:val="single"/>
        </w:rPr>
        <w:t xml:space="preserve">2 </w:t>
      </w:r>
      <w:r>
        <w:rPr>
          <w:rFonts w:eastAsia="宋体" w:cs="Times New Roman"/>
          <w:color w:val="000000"/>
          <w:kern w:val="0"/>
          <w:szCs w:val="24"/>
          <w:u w:val="single"/>
        </w:rPr>
        <w:t>消毒效果的外界条件主要有有机碳量、水温、pH、接触时间等。一般要求 ClO</w:t>
      </w:r>
      <w:r>
        <w:rPr>
          <w:rFonts w:eastAsia="宋体" w:cs="Times New Roman"/>
          <w:color w:val="000000"/>
          <w:kern w:val="0"/>
          <w:sz w:val="16"/>
          <w:szCs w:val="16"/>
          <w:u w:val="single"/>
        </w:rPr>
        <w:t xml:space="preserve">2 </w:t>
      </w:r>
      <w:r>
        <w:rPr>
          <w:rFonts w:eastAsia="宋体" w:cs="Times New Roman"/>
          <w:color w:val="000000"/>
          <w:kern w:val="0"/>
          <w:szCs w:val="24"/>
          <w:u w:val="single"/>
        </w:rPr>
        <w:t>投加量为每吨污水 5～10g间，接触时间半小时以上。实际操作中医院应根据实际处理效果和污水性质进行适当调整。</w:t>
      </w:r>
    </w:p>
    <w:p>
      <w:pPr>
        <w:autoSpaceDE w:val="0"/>
        <w:autoSpaceDN w:val="0"/>
        <w:adjustRightInd w:val="0"/>
        <w:snapToGrid w:val="0"/>
        <w:spacing w:line="360" w:lineRule="auto"/>
        <w:ind w:firstLine="480" w:firstLineChars="200"/>
        <w:rPr>
          <w:rFonts w:eastAsia="宋体" w:cs="Times New Roman"/>
          <w:color w:val="000000"/>
          <w:kern w:val="0"/>
          <w:szCs w:val="24"/>
          <w:u w:val="single"/>
        </w:rPr>
      </w:pPr>
      <w:r>
        <w:rPr>
          <w:rFonts w:eastAsia="宋体" w:cs="Times New Roman"/>
          <w:color w:val="000000"/>
          <w:kern w:val="0"/>
          <w:szCs w:val="24"/>
          <w:u w:val="single"/>
        </w:rPr>
        <w:t xml:space="preserve">二氧化氯必须现场制备。现场制备二氧化氯的方法主要为化学法和电解法。 </w:t>
      </w:r>
    </w:p>
    <w:p>
      <w:pPr>
        <w:adjustRightInd w:val="0"/>
        <w:snapToGrid w:val="0"/>
        <w:spacing w:line="360" w:lineRule="auto"/>
        <w:ind w:firstLine="480" w:firstLineChars="200"/>
        <w:rPr>
          <w:rFonts w:eastAsia="宋体" w:cs="Times New Roman"/>
          <w:color w:val="000000"/>
          <w:kern w:val="0"/>
          <w:szCs w:val="24"/>
          <w:u w:val="single"/>
        </w:rPr>
      </w:pPr>
      <w:r>
        <w:rPr>
          <w:rFonts w:eastAsia="宋体" w:cs="Times New Roman"/>
          <w:color w:val="000000"/>
          <w:kern w:val="0"/>
          <w:szCs w:val="24"/>
          <w:u w:val="single"/>
        </w:rPr>
        <w:t xml:space="preserve">1、化学法制备二氧化氯消毒工艺是以氯酸钠、亚氯酸钠、次氯酸钠和盐酸等为原料，经反应器发生化学反应产生二氧化氯气体，再经水射器混合形成二氧化氯水溶液，然后投加到被消毒的污水中进入消毒接触池消毒。 </w:t>
      </w:r>
    </w:p>
    <w:p>
      <w:pPr>
        <w:autoSpaceDE w:val="0"/>
        <w:autoSpaceDN w:val="0"/>
        <w:adjustRightInd w:val="0"/>
        <w:snapToGrid w:val="0"/>
        <w:spacing w:line="360" w:lineRule="auto"/>
        <w:ind w:firstLine="480" w:firstLineChars="200"/>
        <w:rPr>
          <w:rFonts w:eastAsia="宋体" w:cs="Times New Roman"/>
          <w:color w:val="000000"/>
          <w:kern w:val="0"/>
          <w:szCs w:val="24"/>
          <w:u w:val="single"/>
        </w:rPr>
      </w:pPr>
      <w:r>
        <w:rPr>
          <w:rFonts w:eastAsia="宋体" w:cs="Times New Roman"/>
          <w:color w:val="000000"/>
          <w:kern w:val="0"/>
          <w:szCs w:val="24"/>
          <w:u w:val="single"/>
        </w:rPr>
        <w:t xml:space="preserve">2、电解法制备二氧化氯消毒工艺是以饱和食盐水为原料通过电解产生二氧化氯、氯气、过氧化氢、臭氧的混合气体，用于消毒。混合气体的协同作用，具有广谱的杀菌能力，其消毒效果远强于任何单一的消毒剂。 </w:t>
      </w:r>
    </w:p>
    <w:p>
      <w:pPr>
        <w:adjustRightInd w:val="0"/>
        <w:snapToGrid w:val="0"/>
        <w:spacing w:line="360" w:lineRule="auto"/>
        <w:ind w:firstLine="480" w:firstLineChars="200"/>
        <w:rPr>
          <w:rFonts w:eastAsia="宋体" w:cs="Times New Roman"/>
          <w:color w:val="000000"/>
          <w:kern w:val="0"/>
          <w:szCs w:val="24"/>
          <w:u w:val="single"/>
        </w:rPr>
      </w:pPr>
      <w:r>
        <w:rPr>
          <w:rFonts w:eastAsia="宋体" w:cs="Times New Roman"/>
          <w:color w:val="000000"/>
          <w:kern w:val="0"/>
          <w:szCs w:val="24"/>
          <w:u w:val="single"/>
        </w:rPr>
        <w:t>因此综合本项目污水产生量及处理成本因素，本院采用化学法制备消毒剂ClO</w:t>
      </w:r>
      <w:r>
        <w:rPr>
          <w:rFonts w:eastAsia="宋体" w:cs="Times New Roman"/>
          <w:color w:val="000000"/>
          <w:kern w:val="0"/>
          <w:szCs w:val="24"/>
          <w:u w:val="single"/>
          <w:vertAlign w:val="subscript"/>
        </w:rPr>
        <w:t>2</w:t>
      </w:r>
      <w:r>
        <w:rPr>
          <w:rFonts w:eastAsia="宋体" w:cs="Times New Roman"/>
          <w:color w:val="000000"/>
          <w:kern w:val="0"/>
          <w:szCs w:val="24"/>
          <w:u w:val="single"/>
        </w:rPr>
        <w:t>。</w:t>
      </w:r>
    </w:p>
    <w:p>
      <w:pPr>
        <w:autoSpaceDE w:val="0"/>
        <w:autoSpaceDN w:val="0"/>
        <w:adjustRightInd w:val="0"/>
        <w:spacing w:line="360" w:lineRule="auto"/>
        <w:ind w:firstLine="480" w:firstLineChars="200"/>
        <w:rPr>
          <w:rFonts w:eastAsia="宋体" w:cs="Times New Roman"/>
          <w:color w:val="000000"/>
          <w:kern w:val="0"/>
          <w:szCs w:val="24"/>
          <w:u w:val="single"/>
        </w:rPr>
      </w:pPr>
      <w:r>
        <w:rPr>
          <w:rFonts w:eastAsia="宋体" w:cs="Times New Roman"/>
          <w:color w:val="000000"/>
          <w:kern w:val="0"/>
          <w:szCs w:val="24"/>
          <w:u w:val="single"/>
        </w:rPr>
        <w:t>复合型反应原理：2NaClO</w:t>
      </w:r>
      <w:r>
        <w:rPr>
          <w:rFonts w:eastAsia="宋体" w:cs="Times New Roman"/>
          <w:color w:val="000000"/>
          <w:kern w:val="0"/>
          <w:szCs w:val="24"/>
          <w:u w:val="single"/>
          <w:vertAlign w:val="subscript"/>
        </w:rPr>
        <w:t>3</w:t>
      </w:r>
      <w:r>
        <w:rPr>
          <w:rFonts w:eastAsia="宋体" w:cs="Times New Roman"/>
          <w:color w:val="000000"/>
          <w:kern w:val="0"/>
          <w:szCs w:val="24"/>
          <w:u w:val="single"/>
        </w:rPr>
        <w:t>+4HCl=2ClO</w:t>
      </w:r>
      <w:r>
        <w:rPr>
          <w:rFonts w:eastAsia="宋体" w:cs="Times New Roman"/>
          <w:color w:val="000000"/>
          <w:kern w:val="0"/>
          <w:szCs w:val="24"/>
          <w:u w:val="single"/>
          <w:vertAlign w:val="subscript"/>
        </w:rPr>
        <w:t>2</w:t>
      </w:r>
      <w:r>
        <w:rPr>
          <w:rFonts w:eastAsia="宋体" w:cs="Times New Roman"/>
          <w:color w:val="000000"/>
          <w:kern w:val="0"/>
          <w:szCs w:val="24"/>
          <w:u w:val="single"/>
        </w:rPr>
        <w:t>↑+Cl</w:t>
      </w:r>
      <w:r>
        <w:rPr>
          <w:rFonts w:eastAsia="宋体" w:cs="Times New Roman"/>
          <w:color w:val="000000"/>
          <w:kern w:val="0"/>
          <w:szCs w:val="24"/>
          <w:u w:val="single"/>
          <w:vertAlign w:val="subscript"/>
        </w:rPr>
        <w:t>2</w:t>
      </w:r>
      <w:r>
        <w:rPr>
          <w:rFonts w:eastAsia="宋体" w:cs="Times New Roman"/>
          <w:color w:val="000000"/>
          <w:kern w:val="0"/>
          <w:szCs w:val="24"/>
          <w:u w:val="single"/>
        </w:rPr>
        <w:t>↑+2NaCl+2H</w:t>
      </w:r>
      <w:r>
        <w:rPr>
          <w:rFonts w:eastAsia="宋体" w:cs="Times New Roman"/>
          <w:color w:val="000000"/>
          <w:kern w:val="0"/>
          <w:szCs w:val="24"/>
          <w:u w:val="single"/>
          <w:vertAlign w:val="subscript"/>
        </w:rPr>
        <w:t>2</w:t>
      </w:r>
      <w:r>
        <w:rPr>
          <w:rFonts w:eastAsia="宋体" w:cs="Times New Roman"/>
          <w:color w:val="000000"/>
          <w:kern w:val="0"/>
          <w:szCs w:val="24"/>
          <w:u w:val="single"/>
        </w:rPr>
        <w:t>O</w:t>
      </w:r>
    </w:p>
    <w:p>
      <w:pPr>
        <w:autoSpaceDE w:val="0"/>
        <w:autoSpaceDN w:val="0"/>
        <w:adjustRightInd w:val="0"/>
        <w:spacing w:line="360" w:lineRule="auto"/>
        <w:ind w:firstLine="480" w:firstLineChars="200"/>
        <w:rPr>
          <w:rFonts w:cs="Times New Roman"/>
          <w:color w:val="000000" w:themeColor="text1"/>
          <w:u w:val="single"/>
        </w:rPr>
      </w:pPr>
      <w:r>
        <w:rPr>
          <w:rFonts w:eastAsia="宋体" w:cs="Times New Roman"/>
          <w:color w:val="000000"/>
          <w:kern w:val="0"/>
          <w:szCs w:val="24"/>
          <w:u w:val="single"/>
        </w:rPr>
        <w:t>本项目选用格栅+沉淀池+氯消毒的工艺对医疗废水进行处理，污水一级处理包括化粪池、调节池（沉淀池）、接触池（消毒池）。处理工艺为预处理+沉淀工艺+消毒工艺，该处理工艺技术成熟，消毒处理设备为一体式二氧化氯发生器，已被国家认可，质量可靠；根据监测结果可知，本项目废水经上述工艺后的处理效果可满足《医疗机构水污染排放标准》（18466-2005）表2中预处理标准，已达到汇入城市污水处理厂的入场标准要求，再排入马壕污水处理管网，最终进入马壕污水厂进一步处理，经污水处理厂处理达到</w:t>
      </w:r>
      <w:r>
        <w:rPr>
          <w:rFonts w:cs="Times New Roman"/>
          <w:color w:val="000000" w:themeColor="text1"/>
          <w:u w:val="single"/>
        </w:rPr>
        <w:t>《城镇污水处理厂污染物排放标准（GB18918-2002）》一级A标准要求后排入东风湖。</w:t>
      </w:r>
    </w:p>
    <w:p>
      <w:pPr>
        <w:pStyle w:val="14"/>
        <w:rPr>
          <w:rFonts w:cs="Times New Roman"/>
          <w:color w:val="000000"/>
          <w:kern w:val="0"/>
          <w:szCs w:val="24"/>
          <w:u w:val="single"/>
        </w:rPr>
      </w:pPr>
      <w:r>
        <w:rPr>
          <w:u w:val="single"/>
        </w:rPr>
        <w:object>
          <v:shape id="_x0000_i1029" o:spt="75" type="#_x0000_t75" style="height:192pt;width:459.7pt;" o:ole="t" filled="f" o:preferrelative="t" stroked="f" coordsize="21600,21600">
            <v:path/>
            <v:fill on="f" focussize="0,0"/>
            <v:stroke on="f" joinstyle="miter"/>
            <v:imagedata r:id="rId18" o:title=""/>
            <o:lock v:ext="edit" aspectratio="t"/>
            <w10:wrap type="none"/>
            <w10:anchorlock/>
          </v:shape>
          <o:OLEObject Type="Embed" ProgID="Visio.Drawing.11" ShapeID="_x0000_i1029" DrawAspect="Content" ObjectID="_1468075728" r:id="rId17">
            <o:LockedField>false</o:LockedField>
          </o:OLEObject>
        </w:object>
      </w:r>
      <w:r>
        <w:rPr>
          <w:u w:val="single"/>
        </w:rPr>
        <w:t>图</w:t>
      </w:r>
      <w:r>
        <w:rPr>
          <w:rFonts w:cs="Times New Roman"/>
          <w:color w:val="000000"/>
          <w:kern w:val="0"/>
          <w:szCs w:val="24"/>
          <w:u w:val="single"/>
        </w:rPr>
        <w:fldChar w:fldCharType="begin"/>
      </w:r>
      <w:r>
        <w:rPr>
          <w:rFonts w:cs="Times New Roman"/>
          <w:color w:val="000000"/>
          <w:kern w:val="0"/>
          <w:szCs w:val="24"/>
          <w:u w:val="single"/>
        </w:rPr>
        <w:instrText xml:space="preserve"> STYLEREF 2 \s </w:instrText>
      </w:r>
      <w:r>
        <w:rPr>
          <w:rFonts w:cs="Times New Roman"/>
          <w:color w:val="000000"/>
          <w:kern w:val="0"/>
          <w:szCs w:val="24"/>
          <w:u w:val="single"/>
        </w:rPr>
        <w:fldChar w:fldCharType="separate"/>
      </w:r>
      <w:r>
        <w:rPr>
          <w:rFonts w:cs="Times New Roman"/>
          <w:color w:val="000000"/>
          <w:kern w:val="0"/>
          <w:szCs w:val="24"/>
          <w:u w:val="single"/>
        </w:rPr>
        <w:t>5.2</w:t>
      </w:r>
      <w:r>
        <w:rPr>
          <w:rFonts w:cs="Times New Roman"/>
          <w:color w:val="000000"/>
          <w:kern w:val="0"/>
          <w:szCs w:val="24"/>
          <w:u w:val="single"/>
        </w:rPr>
        <w:fldChar w:fldCharType="end"/>
      </w:r>
      <w:r>
        <w:rPr>
          <w:rFonts w:cs="Times New Roman"/>
          <w:color w:val="000000"/>
          <w:kern w:val="0"/>
          <w:szCs w:val="24"/>
          <w:u w:val="single"/>
        </w:rPr>
        <w:noBreakHyphen/>
      </w:r>
      <w:r>
        <w:rPr>
          <w:rFonts w:cs="Times New Roman"/>
          <w:color w:val="000000"/>
          <w:kern w:val="0"/>
          <w:szCs w:val="24"/>
          <w:u w:val="single"/>
        </w:rPr>
        <w:fldChar w:fldCharType="begin"/>
      </w:r>
      <w:r>
        <w:rPr>
          <w:rFonts w:cs="Times New Roman"/>
          <w:color w:val="000000"/>
          <w:kern w:val="0"/>
          <w:szCs w:val="24"/>
          <w:u w:val="single"/>
        </w:rPr>
        <w:instrText xml:space="preserve"> SEQ 图 \* ARABIC \s 2 </w:instrText>
      </w:r>
      <w:r>
        <w:rPr>
          <w:rFonts w:cs="Times New Roman"/>
          <w:color w:val="000000"/>
          <w:kern w:val="0"/>
          <w:szCs w:val="24"/>
          <w:u w:val="single"/>
        </w:rPr>
        <w:fldChar w:fldCharType="separate"/>
      </w:r>
      <w:r>
        <w:rPr>
          <w:rFonts w:cs="Times New Roman"/>
          <w:color w:val="000000"/>
          <w:kern w:val="0"/>
          <w:szCs w:val="24"/>
          <w:u w:val="single"/>
        </w:rPr>
        <w:t>1</w:t>
      </w:r>
      <w:r>
        <w:rPr>
          <w:rFonts w:cs="Times New Roman"/>
          <w:color w:val="000000"/>
          <w:kern w:val="0"/>
          <w:szCs w:val="24"/>
          <w:u w:val="single"/>
        </w:rPr>
        <w:fldChar w:fldCharType="end"/>
      </w:r>
      <w:r>
        <w:rPr>
          <w:rFonts w:hint="eastAsia" w:cs="Times New Roman"/>
          <w:color w:val="000000"/>
          <w:kern w:val="0"/>
          <w:szCs w:val="24"/>
          <w:u w:val="single"/>
        </w:rPr>
        <w:t xml:space="preserve">  本医院医疗废水一级处理工艺流程图</w:t>
      </w:r>
    </w:p>
    <w:p>
      <w:pPr>
        <w:spacing w:line="360" w:lineRule="auto"/>
        <w:ind w:firstLine="480" w:firstLineChars="200"/>
        <w:rPr>
          <w:u w:val="single"/>
        </w:rPr>
      </w:pPr>
      <w:r>
        <w:rPr>
          <w:rFonts w:hint="eastAsia"/>
          <w:u w:val="single"/>
        </w:rPr>
        <w:t>（4）本项目废水达标排放分析</w:t>
      </w:r>
    </w:p>
    <w:p>
      <w:pPr>
        <w:spacing w:line="360" w:lineRule="auto"/>
        <w:ind w:firstLine="480" w:firstLineChars="200"/>
        <w:rPr>
          <w:u w:val="single"/>
        </w:rPr>
      </w:pPr>
      <w:r>
        <w:rPr>
          <w:rFonts w:hint="eastAsia"/>
          <w:u w:val="single"/>
        </w:rPr>
        <w:t>项目属于城市建成区，本项目所在区域的城市污水管网已建成，根据岳阳市城区污水管网规划可知，项目所在地属于马壕水处理厂的纳污范围。为了解医院污水处理站排放口水质的情况，本项目委托</w:t>
      </w:r>
      <w:r>
        <w:rPr>
          <w:u w:val="single"/>
        </w:rPr>
        <w:t>湖南精准通检测技术有限公司</w:t>
      </w:r>
      <w:r>
        <w:rPr>
          <w:rFonts w:hint="eastAsia"/>
          <w:u w:val="single"/>
        </w:rPr>
        <w:t>于2018年8月1日对本医院污水排放口水质进行监测，其监测值，具体见下表所示。</w:t>
      </w:r>
    </w:p>
    <w:p>
      <w:pPr>
        <w:pStyle w:val="14"/>
        <w:spacing w:line="240" w:lineRule="auto"/>
        <w:rPr>
          <w:u w:val="single"/>
        </w:rPr>
      </w:pPr>
      <w:r>
        <w:rPr>
          <w:rFonts w:hint="eastAsia"/>
          <w:u w:val="single"/>
        </w:rPr>
        <w:t>表</w:t>
      </w:r>
      <w:r>
        <w:rPr>
          <w:u w:val="single"/>
        </w:rPr>
        <w:fldChar w:fldCharType="begin"/>
      </w:r>
      <w:r>
        <w:rPr>
          <w:u w:val="single"/>
        </w:rPr>
        <w:instrText xml:space="preserve"> STYLEREF 2 \s </w:instrText>
      </w:r>
      <w:r>
        <w:rPr>
          <w:u w:val="single"/>
        </w:rPr>
        <w:fldChar w:fldCharType="separate"/>
      </w:r>
      <w:r>
        <w:rPr>
          <w:u w:val="single"/>
        </w:rPr>
        <w:t>5.2</w:t>
      </w:r>
      <w:r>
        <w:rPr>
          <w:u w:val="single"/>
        </w:rPr>
        <w:fldChar w:fldCharType="end"/>
      </w:r>
      <w:r>
        <w:rPr>
          <w:u w:val="single"/>
        </w:rPr>
        <w:noBreakHyphen/>
      </w:r>
      <w:r>
        <w:rPr>
          <w:u w:val="single"/>
        </w:rPr>
        <w:fldChar w:fldCharType="begin"/>
      </w:r>
      <w:r>
        <w:rPr>
          <w:u w:val="single"/>
        </w:rPr>
        <w:instrText xml:space="preserve"> </w:instrText>
      </w:r>
      <w:r>
        <w:rPr>
          <w:rFonts w:hint="eastAsia"/>
          <w:u w:val="single"/>
        </w:rPr>
        <w:instrText xml:space="preserve">SEQ 表 \* ARABIC \s 2</w:instrText>
      </w:r>
      <w:r>
        <w:rPr>
          <w:u w:val="single"/>
        </w:rPr>
        <w:instrText xml:space="preserve"> </w:instrText>
      </w:r>
      <w:r>
        <w:rPr>
          <w:u w:val="single"/>
        </w:rPr>
        <w:fldChar w:fldCharType="separate"/>
      </w:r>
      <w:r>
        <w:rPr>
          <w:u w:val="single"/>
        </w:rPr>
        <w:t>1</w:t>
      </w:r>
      <w:r>
        <w:rPr>
          <w:u w:val="single"/>
        </w:rPr>
        <w:fldChar w:fldCharType="end"/>
      </w:r>
      <w:r>
        <w:rPr>
          <w:rFonts w:cs="Times New Roman" w:hAnsiTheme="minorEastAsia"/>
          <w:u w:val="single"/>
        </w:rPr>
        <w:t>废水监测结果一览表</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951"/>
        <w:gridCol w:w="484"/>
        <w:gridCol w:w="606"/>
        <w:gridCol w:w="632"/>
        <w:gridCol w:w="736"/>
        <w:gridCol w:w="591"/>
        <w:gridCol w:w="484"/>
        <w:gridCol w:w="591"/>
        <w:gridCol w:w="591"/>
        <w:gridCol w:w="1008"/>
        <w:gridCol w:w="765"/>
        <w:gridCol w:w="621"/>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pStyle w:val="14"/>
              <w:adjustRightInd w:val="0"/>
              <w:snapToGrid w:val="0"/>
              <w:spacing w:line="240" w:lineRule="auto"/>
              <w:rPr>
                <w:rFonts w:cs="Times New Roman"/>
                <w:b w:val="0"/>
                <w:sz w:val="21"/>
                <w:szCs w:val="21"/>
                <w:u w:val="single"/>
              </w:rPr>
            </w:pPr>
            <w:r>
              <w:rPr>
                <w:rFonts w:cs="Times New Roman"/>
                <w:b w:val="0"/>
                <w:sz w:val="21"/>
                <w:szCs w:val="21"/>
                <w:u w:val="single"/>
              </w:rPr>
              <w:t>氨氮采样点位</w:t>
            </w:r>
          </w:p>
        </w:tc>
        <w:tc>
          <w:tcPr>
            <w:tcW w:w="0" w:type="auto"/>
            <w:gridSpan w:val="2"/>
            <w:vMerge w:val="restart"/>
            <w:vAlign w:val="center"/>
          </w:tcPr>
          <w:p>
            <w:pPr>
              <w:pStyle w:val="14"/>
              <w:adjustRightInd w:val="0"/>
              <w:snapToGrid w:val="0"/>
              <w:spacing w:line="240" w:lineRule="auto"/>
              <w:rPr>
                <w:rFonts w:cs="Times New Roman"/>
                <w:b w:val="0"/>
                <w:sz w:val="21"/>
                <w:szCs w:val="21"/>
                <w:u w:val="single"/>
              </w:rPr>
            </w:pPr>
            <w:r>
              <w:rPr>
                <w:rFonts w:cs="Times New Roman"/>
                <w:b w:val="0"/>
                <w:sz w:val="21"/>
                <w:szCs w:val="21"/>
                <w:u w:val="single"/>
              </w:rPr>
              <w:t>采样日期</w:t>
            </w:r>
          </w:p>
        </w:tc>
        <w:tc>
          <w:tcPr>
            <w:tcW w:w="0" w:type="auto"/>
            <w:gridSpan w:val="11"/>
            <w:vAlign w:val="center"/>
          </w:tcPr>
          <w:p>
            <w:pPr>
              <w:pStyle w:val="14"/>
              <w:adjustRightInd w:val="0"/>
              <w:snapToGrid w:val="0"/>
              <w:spacing w:line="240" w:lineRule="auto"/>
              <w:rPr>
                <w:rFonts w:cs="Times New Roman"/>
                <w:b w:val="0"/>
                <w:sz w:val="21"/>
                <w:szCs w:val="21"/>
                <w:u w:val="single"/>
              </w:rPr>
            </w:pPr>
            <w:r>
              <w:rPr>
                <w:rFonts w:cs="Times New Roman"/>
                <w:b w:val="0"/>
                <w:sz w:val="21"/>
                <w:szCs w:val="21"/>
                <w:u w:val="single"/>
              </w:rPr>
              <w:t>检测结果</w:t>
            </w:r>
            <w:r>
              <w:rPr>
                <w:rFonts w:hint="eastAsia" w:cs="Times New Roman"/>
                <w:b w:val="0"/>
                <w:sz w:val="21"/>
                <w:szCs w:val="21"/>
                <w:u w:val="single"/>
              </w:rPr>
              <w:t>（mg/L，PH值，无量纲，类大肠菌群、MPN/L）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14"/>
              <w:adjustRightInd w:val="0"/>
              <w:snapToGrid w:val="0"/>
              <w:spacing w:line="240" w:lineRule="auto"/>
              <w:rPr>
                <w:rFonts w:cs="Times New Roman"/>
                <w:b w:val="0"/>
                <w:sz w:val="21"/>
                <w:szCs w:val="21"/>
                <w:u w:val="single"/>
              </w:rPr>
            </w:pPr>
          </w:p>
        </w:tc>
        <w:tc>
          <w:tcPr>
            <w:tcW w:w="0" w:type="auto"/>
            <w:gridSpan w:val="2"/>
            <w:vMerge w:val="continue"/>
            <w:vAlign w:val="center"/>
          </w:tcPr>
          <w:p>
            <w:pPr>
              <w:pStyle w:val="14"/>
              <w:adjustRightInd w:val="0"/>
              <w:snapToGrid w:val="0"/>
              <w:spacing w:line="240" w:lineRule="auto"/>
              <w:rPr>
                <w:rFonts w:cs="Times New Roman"/>
                <w:b w:val="0"/>
                <w:sz w:val="21"/>
                <w:szCs w:val="21"/>
                <w:u w:val="single"/>
              </w:rPr>
            </w:pPr>
          </w:p>
        </w:tc>
        <w:tc>
          <w:tcPr>
            <w:tcW w:w="0" w:type="auto"/>
            <w:vAlign w:val="center"/>
          </w:tcPr>
          <w:p>
            <w:pPr>
              <w:pStyle w:val="14"/>
              <w:adjustRightInd w:val="0"/>
              <w:snapToGrid w:val="0"/>
              <w:spacing w:line="240" w:lineRule="auto"/>
              <w:rPr>
                <w:rFonts w:cs="Times New Roman"/>
                <w:b w:val="0"/>
                <w:sz w:val="21"/>
                <w:szCs w:val="21"/>
                <w:u w:val="single"/>
              </w:rPr>
            </w:pPr>
            <w:r>
              <w:rPr>
                <w:rFonts w:hint="eastAsia" w:cs="Times New Roman"/>
                <w:b w:val="0"/>
                <w:sz w:val="21"/>
                <w:szCs w:val="21"/>
                <w:u w:val="single"/>
              </w:rPr>
              <w:t>PH值</w:t>
            </w:r>
          </w:p>
        </w:tc>
        <w:tc>
          <w:tcPr>
            <w:tcW w:w="0" w:type="auto"/>
            <w:vAlign w:val="center"/>
          </w:tcPr>
          <w:p>
            <w:pPr>
              <w:pStyle w:val="14"/>
              <w:adjustRightInd w:val="0"/>
              <w:snapToGrid w:val="0"/>
              <w:spacing w:line="240" w:lineRule="auto"/>
              <w:rPr>
                <w:rFonts w:cs="Times New Roman"/>
                <w:b w:val="0"/>
                <w:sz w:val="21"/>
                <w:szCs w:val="21"/>
                <w:u w:val="single"/>
              </w:rPr>
            </w:pPr>
            <w:r>
              <w:rPr>
                <w:rFonts w:cs="Times New Roman"/>
                <w:b w:val="0"/>
                <w:sz w:val="21"/>
                <w:szCs w:val="21"/>
                <w:u w:val="single"/>
              </w:rPr>
              <w:t>化学需氧量</w:t>
            </w:r>
          </w:p>
        </w:tc>
        <w:tc>
          <w:tcPr>
            <w:tcW w:w="0" w:type="auto"/>
            <w:vAlign w:val="center"/>
          </w:tcPr>
          <w:p>
            <w:pPr>
              <w:pStyle w:val="14"/>
              <w:adjustRightInd w:val="0"/>
              <w:snapToGrid w:val="0"/>
              <w:spacing w:line="240" w:lineRule="auto"/>
              <w:rPr>
                <w:rFonts w:cs="Times New Roman"/>
                <w:b w:val="0"/>
                <w:sz w:val="21"/>
                <w:szCs w:val="21"/>
                <w:u w:val="single"/>
              </w:rPr>
            </w:pPr>
            <w:r>
              <w:rPr>
                <w:rFonts w:cs="Times New Roman"/>
                <w:b w:val="0"/>
                <w:sz w:val="21"/>
                <w:szCs w:val="21"/>
                <w:u w:val="single"/>
              </w:rPr>
              <w:t>五日生化需氧量</w:t>
            </w:r>
          </w:p>
        </w:tc>
        <w:tc>
          <w:tcPr>
            <w:tcW w:w="0" w:type="auto"/>
            <w:vAlign w:val="center"/>
          </w:tcPr>
          <w:p>
            <w:pPr>
              <w:pStyle w:val="14"/>
              <w:adjustRightInd w:val="0"/>
              <w:snapToGrid w:val="0"/>
              <w:spacing w:line="240" w:lineRule="auto"/>
              <w:rPr>
                <w:rFonts w:cs="Times New Roman"/>
                <w:b w:val="0"/>
                <w:sz w:val="21"/>
                <w:szCs w:val="21"/>
                <w:u w:val="single"/>
              </w:rPr>
            </w:pPr>
            <w:r>
              <w:rPr>
                <w:rFonts w:cs="Times New Roman"/>
                <w:b w:val="0"/>
                <w:sz w:val="21"/>
                <w:szCs w:val="21"/>
                <w:u w:val="single"/>
              </w:rPr>
              <w:t>氨氮</w:t>
            </w:r>
          </w:p>
        </w:tc>
        <w:tc>
          <w:tcPr>
            <w:tcW w:w="0" w:type="auto"/>
            <w:vAlign w:val="center"/>
          </w:tcPr>
          <w:p>
            <w:pPr>
              <w:pStyle w:val="14"/>
              <w:adjustRightInd w:val="0"/>
              <w:snapToGrid w:val="0"/>
              <w:spacing w:line="240" w:lineRule="auto"/>
              <w:rPr>
                <w:rFonts w:cs="Times New Roman"/>
                <w:b w:val="0"/>
                <w:sz w:val="21"/>
                <w:szCs w:val="21"/>
                <w:u w:val="single"/>
              </w:rPr>
            </w:pPr>
            <w:r>
              <w:rPr>
                <w:rFonts w:cs="Times New Roman"/>
                <w:b w:val="0"/>
                <w:sz w:val="21"/>
                <w:szCs w:val="21"/>
                <w:u w:val="single"/>
              </w:rPr>
              <w:t>悬浮物</w:t>
            </w:r>
          </w:p>
        </w:tc>
        <w:tc>
          <w:tcPr>
            <w:tcW w:w="0" w:type="auto"/>
            <w:vAlign w:val="center"/>
          </w:tcPr>
          <w:p>
            <w:pPr>
              <w:pStyle w:val="14"/>
              <w:adjustRightInd w:val="0"/>
              <w:snapToGrid w:val="0"/>
              <w:spacing w:line="240" w:lineRule="auto"/>
              <w:rPr>
                <w:rFonts w:cs="Times New Roman"/>
                <w:b w:val="0"/>
                <w:sz w:val="21"/>
                <w:szCs w:val="21"/>
                <w:u w:val="single"/>
              </w:rPr>
            </w:pPr>
            <w:r>
              <w:rPr>
                <w:rFonts w:cs="Times New Roman"/>
                <w:b w:val="0"/>
                <w:sz w:val="21"/>
                <w:szCs w:val="21"/>
                <w:u w:val="single"/>
              </w:rPr>
              <w:t>总氮</w:t>
            </w:r>
          </w:p>
        </w:tc>
        <w:tc>
          <w:tcPr>
            <w:tcW w:w="0" w:type="auto"/>
            <w:vAlign w:val="center"/>
          </w:tcPr>
          <w:p>
            <w:pPr>
              <w:pStyle w:val="14"/>
              <w:adjustRightInd w:val="0"/>
              <w:snapToGrid w:val="0"/>
              <w:spacing w:line="240" w:lineRule="auto"/>
              <w:rPr>
                <w:rFonts w:cs="Times New Roman"/>
                <w:b w:val="0"/>
                <w:sz w:val="21"/>
                <w:szCs w:val="21"/>
                <w:u w:val="single"/>
              </w:rPr>
            </w:pPr>
            <w:r>
              <w:rPr>
                <w:rFonts w:cs="Times New Roman"/>
                <w:b w:val="0"/>
                <w:sz w:val="21"/>
                <w:szCs w:val="21"/>
                <w:u w:val="single"/>
              </w:rPr>
              <w:t>总磷</w:t>
            </w:r>
          </w:p>
        </w:tc>
        <w:tc>
          <w:tcPr>
            <w:tcW w:w="0" w:type="auto"/>
            <w:vAlign w:val="center"/>
          </w:tcPr>
          <w:p>
            <w:pPr>
              <w:pStyle w:val="14"/>
              <w:adjustRightInd w:val="0"/>
              <w:snapToGrid w:val="0"/>
              <w:spacing w:line="240" w:lineRule="auto"/>
              <w:rPr>
                <w:rFonts w:cs="Times New Roman"/>
                <w:b w:val="0"/>
                <w:sz w:val="21"/>
                <w:szCs w:val="21"/>
                <w:u w:val="single"/>
              </w:rPr>
            </w:pPr>
            <w:r>
              <w:rPr>
                <w:rFonts w:cs="Times New Roman"/>
                <w:b w:val="0"/>
                <w:sz w:val="21"/>
                <w:szCs w:val="21"/>
                <w:u w:val="single"/>
              </w:rPr>
              <w:t>类大肠菌群</w:t>
            </w:r>
          </w:p>
        </w:tc>
        <w:tc>
          <w:tcPr>
            <w:tcW w:w="0" w:type="auto"/>
            <w:vAlign w:val="center"/>
          </w:tcPr>
          <w:p>
            <w:pPr>
              <w:pStyle w:val="14"/>
              <w:adjustRightInd w:val="0"/>
              <w:snapToGrid w:val="0"/>
              <w:spacing w:line="240" w:lineRule="auto"/>
              <w:rPr>
                <w:rFonts w:cs="Times New Roman"/>
                <w:b w:val="0"/>
                <w:sz w:val="21"/>
                <w:szCs w:val="21"/>
                <w:u w:val="single"/>
              </w:rPr>
            </w:pPr>
            <w:r>
              <w:rPr>
                <w:rFonts w:cs="Times New Roman"/>
                <w:b w:val="0"/>
                <w:sz w:val="21"/>
                <w:szCs w:val="21"/>
                <w:u w:val="single"/>
              </w:rPr>
              <w:t>阴离子表面活性剂</w:t>
            </w:r>
          </w:p>
        </w:tc>
        <w:tc>
          <w:tcPr>
            <w:tcW w:w="0" w:type="auto"/>
            <w:vAlign w:val="center"/>
          </w:tcPr>
          <w:p>
            <w:pPr>
              <w:pStyle w:val="14"/>
              <w:adjustRightInd w:val="0"/>
              <w:snapToGrid w:val="0"/>
              <w:spacing w:line="240" w:lineRule="auto"/>
              <w:rPr>
                <w:rFonts w:cs="Times New Roman"/>
                <w:b w:val="0"/>
                <w:sz w:val="21"/>
                <w:szCs w:val="21"/>
                <w:u w:val="single"/>
              </w:rPr>
            </w:pPr>
            <w:r>
              <w:rPr>
                <w:rFonts w:cs="Times New Roman"/>
                <w:b w:val="0"/>
                <w:sz w:val="21"/>
                <w:szCs w:val="21"/>
                <w:u w:val="single"/>
              </w:rPr>
              <w:t>总余氯</w:t>
            </w:r>
          </w:p>
        </w:tc>
        <w:tc>
          <w:tcPr>
            <w:tcW w:w="0" w:type="auto"/>
            <w:vAlign w:val="center"/>
          </w:tcPr>
          <w:p>
            <w:pPr>
              <w:pStyle w:val="14"/>
              <w:adjustRightInd w:val="0"/>
              <w:snapToGrid w:val="0"/>
              <w:spacing w:line="240" w:lineRule="auto"/>
              <w:rPr>
                <w:rFonts w:cs="Times New Roman"/>
                <w:b w:val="0"/>
                <w:sz w:val="21"/>
                <w:szCs w:val="21"/>
                <w:u w:val="single"/>
              </w:rPr>
            </w:pPr>
            <w:r>
              <w:rPr>
                <w:rFonts w:cs="Times New Roman"/>
                <w:b w:val="0"/>
                <w:sz w:val="21"/>
                <w:szCs w:val="21"/>
                <w:u w:val="single"/>
              </w:rPr>
              <w:t>总氰化物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pStyle w:val="14"/>
              <w:adjustRightInd w:val="0"/>
              <w:snapToGrid w:val="0"/>
              <w:spacing w:line="240" w:lineRule="auto"/>
              <w:rPr>
                <w:rFonts w:cs="Times New Roman"/>
                <w:b w:val="0"/>
                <w:sz w:val="21"/>
                <w:szCs w:val="21"/>
                <w:u w:val="single"/>
              </w:rPr>
            </w:pPr>
            <w:r>
              <w:rPr>
                <w:rFonts w:hint="eastAsia" w:cs="Times New Roman"/>
                <w:b w:val="0"/>
                <w:sz w:val="21"/>
                <w:szCs w:val="21"/>
                <w:u w:val="single"/>
              </w:rPr>
              <w:t>S1医院污水处理站排放口</w:t>
            </w:r>
          </w:p>
        </w:tc>
        <w:tc>
          <w:tcPr>
            <w:tcW w:w="0" w:type="auto"/>
            <w:vMerge w:val="restart"/>
            <w:vAlign w:val="center"/>
          </w:tcPr>
          <w:p>
            <w:pPr>
              <w:pStyle w:val="14"/>
              <w:adjustRightInd w:val="0"/>
              <w:snapToGrid w:val="0"/>
              <w:spacing w:line="240" w:lineRule="auto"/>
              <w:rPr>
                <w:rFonts w:cs="Times New Roman"/>
                <w:b w:val="0"/>
                <w:sz w:val="21"/>
                <w:szCs w:val="21"/>
                <w:u w:val="single"/>
              </w:rPr>
            </w:pPr>
            <w:r>
              <w:rPr>
                <w:rFonts w:hint="eastAsia" w:cs="Times New Roman"/>
                <w:b w:val="0"/>
                <w:sz w:val="21"/>
                <w:szCs w:val="21"/>
                <w:u w:val="single"/>
              </w:rPr>
              <w:t>2019.8.1</w:t>
            </w:r>
          </w:p>
        </w:tc>
        <w:tc>
          <w:tcPr>
            <w:tcW w:w="0" w:type="auto"/>
            <w:vAlign w:val="center"/>
          </w:tcPr>
          <w:p>
            <w:pPr>
              <w:pStyle w:val="14"/>
              <w:adjustRightInd w:val="0"/>
              <w:snapToGrid w:val="0"/>
              <w:spacing w:line="240" w:lineRule="auto"/>
              <w:rPr>
                <w:rFonts w:cs="Times New Roman"/>
                <w:b w:val="0"/>
                <w:sz w:val="21"/>
                <w:szCs w:val="21"/>
                <w:u w:val="single"/>
              </w:rPr>
            </w:pPr>
            <w:r>
              <w:rPr>
                <w:rFonts w:cs="Times New Roman"/>
                <w:b w:val="0"/>
                <w:sz w:val="21"/>
                <w:szCs w:val="21"/>
                <w:u w:val="single"/>
              </w:rPr>
              <w:t>第一次</w:t>
            </w:r>
          </w:p>
        </w:tc>
        <w:tc>
          <w:tcPr>
            <w:tcW w:w="0" w:type="auto"/>
            <w:vAlign w:val="center"/>
          </w:tcPr>
          <w:p>
            <w:pPr>
              <w:pStyle w:val="14"/>
              <w:adjustRightInd w:val="0"/>
              <w:snapToGrid w:val="0"/>
              <w:spacing w:line="240" w:lineRule="auto"/>
              <w:rPr>
                <w:rFonts w:cs="Times New Roman"/>
                <w:b w:val="0"/>
                <w:sz w:val="21"/>
                <w:szCs w:val="21"/>
                <w:u w:val="single"/>
              </w:rPr>
            </w:pPr>
            <w:r>
              <w:rPr>
                <w:rFonts w:hint="eastAsia" w:cs="Times New Roman"/>
                <w:b w:val="0"/>
                <w:sz w:val="21"/>
                <w:szCs w:val="21"/>
                <w:u w:val="single"/>
              </w:rPr>
              <w:t>6.39</w:t>
            </w:r>
          </w:p>
        </w:tc>
        <w:tc>
          <w:tcPr>
            <w:tcW w:w="0" w:type="auto"/>
            <w:vAlign w:val="center"/>
          </w:tcPr>
          <w:p>
            <w:pPr>
              <w:pStyle w:val="14"/>
              <w:adjustRightInd w:val="0"/>
              <w:snapToGrid w:val="0"/>
              <w:spacing w:line="240" w:lineRule="auto"/>
              <w:rPr>
                <w:rFonts w:cs="Times New Roman"/>
                <w:b w:val="0"/>
                <w:sz w:val="21"/>
                <w:szCs w:val="21"/>
                <w:u w:val="single"/>
              </w:rPr>
            </w:pPr>
            <w:r>
              <w:rPr>
                <w:rFonts w:hint="eastAsia" w:cs="Times New Roman"/>
                <w:b w:val="0"/>
                <w:sz w:val="21"/>
                <w:szCs w:val="21"/>
                <w:u w:val="single"/>
              </w:rPr>
              <w:t>146</w:t>
            </w:r>
          </w:p>
        </w:tc>
        <w:tc>
          <w:tcPr>
            <w:tcW w:w="0" w:type="auto"/>
            <w:vAlign w:val="center"/>
          </w:tcPr>
          <w:p>
            <w:pPr>
              <w:pStyle w:val="14"/>
              <w:adjustRightInd w:val="0"/>
              <w:snapToGrid w:val="0"/>
              <w:spacing w:line="240" w:lineRule="auto"/>
              <w:rPr>
                <w:rFonts w:cs="Times New Roman"/>
                <w:b w:val="0"/>
                <w:sz w:val="21"/>
                <w:szCs w:val="21"/>
                <w:u w:val="single"/>
              </w:rPr>
            </w:pPr>
            <w:r>
              <w:rPr>
                <w:rFonts w:hint="eastAsia" w:cs="Times New Roman"/>
                <w:b w:val="0"/>
                <w:sz w:val="21"/>
                <w:szCs w:val="21"/>
                <w:u w:val="single"/>
              </w:rPr>
              <w:t>44.3</w:t>
            </w:r>
          </w:p>
        </w:tc>
        <w:tc>
          <w:tcPr>
            <w:tcW w:w="0" w:type="auto"/>
            <w:vAlign w:val="center"/>
          </w:tcPr>
          <w:p>
            <w:pPr>
              <w:pStyle w:val="14"/>
              <w:adjustRightInd w:val="0"/>
              <w:snapToGrid w:val="0"/>
              <w:spacing w:line="240" w:lineRule="auto"/>
              <w:rPr>
                <w:rFonts w:cs="Times New Roman"/>
                <w:b w:val="0"/>
                <w:sz w:val="21"/>
                <w:szCs w:val="21"/>
                <w:u w:val="single"/>
              </w:rPr>
            </w:pPr>
            <w:r>
              <w:rPr>
                <w:rFonts w:hint="eastAsia" w:cs="Times New Roman"/>
                <w:b w:val="0"/>
                <w:sz w:val="21"/>
                <w:szCs w:val="21"/>
                <w:u w:val="single"/>
              </w:rPr>
              <w:t>14.1</w:t>
            </w:r>
          </w:p>
        </w:tc>
        <w:tc>
          <w:tcPr>
            <w:tcW w:w="0" w:type="auto"/>
            <w:vAlign w:val="center"/>
          </w:tcPr>
          <w:p>
            <w:pPr>
              <w:pStyle w:val="14"/>
              <w:adjustRightInd w:val="0"/>
              <w:snapToGrid w:val="0"/>
              <w:spacing w:line="240" w:lineRule="auto"/>
              <w:rPr>
                <w:rFonts w:cs="Times New Roman"/>
                <w:b w:val="0"/>
                <w:sz w:val="21"/>
                <w:szCs w:val="21"/>
                <w:u w:val="single"/>
              </w:rPr>
            </w:pPr>
            <w:r>
              <w:rPr>
                <w:rFonts w:hint="eastAsia" w:cs="Times New Roman"/>
                <w:b w:val="0"/>
                <w:sz w:val="21"/>
                <w:szCs w:val="21"/>
                <w:u w:val="single"/>
              </w:rPr>
              <w:t>40</w:t>
            </w:r>
          </w:p>
        </w:tc>
        <w:tc>
          <w:tcPr>
            <w:tcW w:w="0" w:type="auto"/>
            <w:vAlign w:val="center"/>
          </w:tcPr>
          <w:p>
            <w:pPr>
              <w:pStyle w:val="14"/>
              <w:adjustRightInd w:val="0"/>
              <w:snapToGrid w:val="0"/>
              <w:spacing w:line="240" w:lineRule="auto"/>
              <w:rPr>
                <w:rFonts w:cs="Times New Roman"/>
                <w:b w:val="0"/>
                <w:sz w:val="21"/>
                <w:szCs w:val="21"/>
                <w:u w:val="single"/>
              </w:rPr>
            </w:pPr>
            <w:r>
              <w:rPr>
                <w:rFonts w:hint="eastAsia" w:cs="Times New Roman"/>
                <w:b w:val="0"/>
                <w:sz w:val="21"/>
                <w:szCs w:val="21"/>
                <w:u w:val="single"/>
              </w:rPr>
              <w:t>24.8</w:t>
            </w:r>
          </w:p>
        </w:tc>
        <w:tc>
          <w:tcPr>
            <w:tcW w:w="0" w:type="auto"/>
            <w:vAlign w:val="center"/>
          </w:tcPr>
          <w:p>
            <w:pPr>
              <w:pStyle w:val="14"/>
              <w:adjustRightInd w:val="0"/>
              <w:snapToGrid w:val="0"/>
              <w:spacing w:line="240" w:lineRule="auto"/>
              <w:rPr>
                <w:rFonts w:cs="Times New Roman"/>
                <w:b w:val="0"/>
                <w:sz w:val="21"/>
                <w:szCs w:val="21"/>
                <w:u w:val="single"/>
              </w:rPr>
            </w:pPr>
            <w:r>
              <w:rPr>
                <w:rFonts w:hint="eastAsia" w:cs="Times New Roman"/>
                <w:b w:val="0"/>
                <w:sz w:val="21"/>
                <w:szCs w:val="21"/>
                <w:u w:val="single"/>
              </w:rPr>
              <w:t>1.20</w:t>
            </w:r>
          </w:p>
        </w:tc>
        <w:tc>
          <w:tcPr>
            <w:tcW w:w="0" w:type="auto"/>
            <w:vAlign w:val="center"/>
          </w:tcPr>
          <w:p>
            <w:pPr>
              <w:pStyle w:val="14"/>
              <w:adjustRightInd w:val="0"/>
              <w:snapToGrid w:val="0"/>
              <w:spacing w:line="240" w:lineRule="auto"/>
              <w:rPr>
                <w:rFonts w:cs="Times New Roman"/>
                <w:b w:val="0"/>
                <w:sz w:val="21"/>
                <w:szCs w:val="21"/>
                <w:u w:val="single"/>
              </w:rPr>
            </w:pPr>
            <w:r>
              <w:rPr>
                <w:rFonts w:hint="eastAsia" w:cs="Times New Roman"/>
                <w:b w:val="0"/>
                <w:sz w:val="21"/>
                <w:szCs w:val="21"/>
                <w:u w:val="single"/>
              </w:rPr>
              <w:t>4.4×10</w:t>
            </w:r>
            <w:r>
              <w:rPr>
                <w:rFonts w:hint="eastAsia" w:cs="Times New Roman"/>
                <w:b w:val="0"/>
                <w:sz w:val="21"/>
                <w:szCs w:val="21"/>
                <w:u w:val="single"/>
                <w:vertAlign w:val="superscript"/>
              </w:rPr>
              <w:t>3</w:t>
            </w:r>
          </w:p>
        </w:tc>
        <w:tc>
          <w:tcPr>
            <w:tcW w:w="0" w:type="auto"/>
            <w:vAlign w:val="center"/>
          </w:tcPr>
          <w:p>
            <w:pPr>
              <w:pStyle w:val="14"/>
              <w:adjustRightInd w:val="0"/>
              <w:snapToGrid w:val="0"/>
              <w:spacing w:line="240" w:lineRule="auto"/>
              <w:rPr>
                <w:rFonts w:cs="Times New Roman"/>
                <w:b w:val="0"/>
                <w:sz w:val="21"/>
                <w:szCs w:val="21"/>
                <w:u w:val="single"/>
              </w:rPr>
            </w:pPr>
            <w:r>
              <w:rPr>
                <w:rFonts w:hint="eastAsia" w:cs="Times New Roman"/>
                <w:b w:val="0"/>
                <w:sz w:val="21"/>
                <w:szCs w:val="21"/>
                <w:u w:val="single"/>
              </w:rPr>
              <w:t>0.18</w:t>
            </w:r>
          </w:p>
        </w:tc>
        <w:tc>
          <w:tcPr>
            <w:tcW w:w="0" w:type="auto"/>
            <w:vAlign w:val="center"/>
          </w:tcPr>
          <w:p>
            <w:pPr>
              <w:pStyle w:val="14"/>
              <w:adjustRightInd w:val="0"/>
              <w:snapToGrid w:val="0"/>
              <w:spacing w:line="240" w:lineRule="auto"/>
              <w:rPr>
                <w:rFonts w:cs="Times New Roman"/>
                <w:b w:val="0"/>
                <w:sz w:val="21"/>
                <w:szCs w:val="21"/>
                <w:u w:val="single"/>
              </w:rPr>
            </w:pPr>
            <w:r>
              <w:rPr>
                <w:rFonts w:hint="eastAsia" w:cs="Times New Roman"/>
                <w:b w:val="0"/>
                <w:sz w:val="21"/>
                <w:szCs w:val="21"/>
                <w:u w:val="single"/>
              </w:rPr>
              <w:t>0.04</w:t>
            </w:r>
          </w:p>
        </w:tc>
        <w:tc>
          <w:tcPr>
            <w:tcW w:w="0" w:type="auto"/>
            <w:vAlign w:val="center"/>
          </w:tcPr>
          <w:p>
            <w:pPr>
              <w:pStyle w:val="14"/>
              <w:adjustRightInd w:val="0"/>
              <w:snapToGrid w:val="0"/>
              <w:spacing w:line="240" w:lineRule="auto"/>
              <w:rPr>
                <w:rFonts w:cs="Times New Roman"/>
                <w:b w:val="0"/>
                <w:sz w:val="21"/>
                <w:szCs w:val="21"/>
                <w:u w:val="single"/>
              </w:rPr>
            </w:pPr>
            <w:r>
              <w:rPr>
                <w:rFonts w:hint="eastAsia" w:cs="Times New Roman"/>
                <w:b w:val="0"/>
                <w:sz w:val="21"/>
                <w:szCs w:val="21"/>
                <w:u w:val="single"/>
              </w:rPr>
              <w:t>0.001L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14"/>
              <w:adjustRightInd w:val="0"/>
              <w:snapToGrid w:val="0"/>
              <w:spacing w:line="240" w:lineRule="auto"/>
              <w:rPr>
                <w:rFonts w:cs="Times New Roman"/>
                <w:b w:val="0"/>
                <w:sz w:val="21"/>
                <w:szCs w:val="21"/>
                <w:u w:val="single"/>
              </w:rPr>
            </w:pPr>
          </w:p>
        </w:tc>
        <w:tc>
          <w:tcPr>
            <w:tcW w:w="0" w:type="auto"/>
            <w:vMerge w:val="continue"/>
            <w:vAlign w:val="center"/>
          </w:tcPr>
          <w:p>
            <w:pPr>
              <w:pStyle w:val="14"/>
              <w:adjustRightInd w:val="0"/>
              <w:snapToGrid w:val="0"/>
              <w:spacing w:line="240" w:lineRule="auto"/>
              <w:rPr>
                <w:rFonts w:cs="Times New Roman"/>
                <w:b w:val="0"/>
                <w:sz w:val="21"/>
                <w:szCs w:val="21"/>
                <w:u w:val="single"/>
              </w:rPr>
            </w:pPr>
          </w:p>
        </w:tc>
        <w:tc>
          <w:tcPr>
            <w:tcW w:w="0" w:type="auto"/>
            <w:vAlign w:val="center"/>
          </w:tcPr>
          <w:p>
            <w:pPr>
              <w:pStyle w:val="14"/>
              <w:adjustRightInd w:val="0"/>
              <w:snapToGrid w:val="0"/>
              <w:spacing w:line="240" w:lineRule="auto"/>
              <w:rPr>
                <w:rFonts w:cs="Times New Roman"/>
                <w:b w:val="0"/>
                <w:sz w:val="21"/>
                <w:szCs w:val="21"/>
                <w:u w:val="single"/>
              </w:rPr>
            </w:pPr>
            <w:r>
              <w:rPr>
                <w:rFonts w:cs="Times New Roman"/>
                <w:b w:val="0"/>
                <w:sz w:val="21"/>
                <w:szCs w:val="21"/>
                <w:u w:val="single"/>
              </w:rPr>
              <w:t>第二次</w:t>
            </w:r>
          </w:p>
        </w:tc>
        <w:tc>
          <w:tcPr>
            <w:tcW w:w="0" w:type="auto"/>
            <w:vAlign w:val="center"/>
          </w:tcPr>
          <w:p>
            <w:pPr>
              <w:pStyle w:val="14"/>
              <w:adjustRightInd w:val="0"/>
              <w:snapToGrid w:val="0"/>
              <w:spacing w:line="240" w:lineRule="auto"/>
              <w:rPr>
                <w:rFonts w:cs="Times New Roman"/>
                <w:b w:val="0"/>
                <w:sz w:val="21"/>
                <w:szCs w:val="21"/>
                <w:u w:val="single"/>
              </w:rPr>
            </w:pPr>
            <w:r>
              <w:rPr>
                <w:rFonts w:hint="eastAsia" w:cs="Times New Roman"/>
                <w:b w:val="0"/>
                <w:sz w:val="21"/>
                <w:szCs w:val="21"/>
                <w:u w:val="single"/>
              </w:rPr>
              <w:t>6.21</w:t>
            </w:r>
          </w:p>
        </w:tc>
        <w:tc>
          <w:tcPr>
            <w:tcW w:w="0" w:type="auto"/>
            <w:vAlign w:val="center"/>
          </w:tcPr>
          <w:p>
            <w:pPr>
              <w:pStyle w:val="14"/>
              <w:adjustRightInd w:val="0"/>
              <w:snapToGrid w:val="0"/>
              <w:spacing w:line="240" w:lineRule="auto"/>
              <w:rPr>
                <w:rFonts w:cs="Times New Roman"/>
                <w:b w:val="0"/>
                <w:sz w:val="21"/>
                <w:szCs w:val="21"/>
                <w:u w:val="single"/>
              </w:rPr>
            </w:pPr>
            <w:r>
              <w:rPr>
                <w:rFonts w:hint="eastAsia" w:cs="Times New Roman"/>
                <w:b w:val="0"/>
                <w:sz w:val="21"/>
                <w:szCs w:val="21"/>
                <w:u w:val="single"/>
              </w:rPr>
              <w:t>162</w:t>
            </w:r>
          </w:p>
        </w:tc>
        <w:tc>
          <w:tcPr>
            <w:tcW w:w="0" w:type="auto"/>
            <w:vAlign w:val="center"/>
          </w:tcPr>
          <w:p>
            <w:pPr>
              <w:pStyle w:val="14"/>
              <w:adjustRightInd w:val="0"/>
              <w:snapToGrid w:val="0"/>
              <w:spacing w:line="240" w:lineRule="auto"/>
              <w:rPr>
                <w:rFonts w:cs="Times New Roman"/>
                <w:b w:val="0"/>
                <w:sz w:val="21"/>
                <w:szCs w:val="21"/>
                <w:u w:val="single"/>
              </w:rPr>
            </w:pPr>
            <w:r>
              <w:rPr>
                <w:rFonts w:hint="eastAsia" w:cs="Times New Roman"/>
                <w:b w:val="0"/>
                <w:sz w:val="21"/>
                <w:szCs w:val="21"/>
                <w:u w:val="single"/>
              </w:rPr>
              <w:t>49.5</w:t>
            </w:r>
          </w:p>
        </w:tc>
        <w:tc>
          <w:tcPr>
            <w:tcW w:w="0" w:type="auto"/>
            <w:vAlign w:val="center"/>
          </w:tcPr>
          <w:p>
            <w:pPr>
              <w:pStyle w:val="14"/>
              <w:adjustRightInd w:val="0"/>
              <w:snapToGrid w:val="0"/>
              <w:spacing w:line="240" w:lineRule="auto"/>
              <w:rPr>
                <w:rFonts w:cs="Times New Roman"/>
                <w:b w:val="0"/>
                <w:sz w:val="21"/>
                <w:szCs w:val="21"/>
                <w:u w:val="single"/>
              </w:rPr>
            </w:pPr>
            <w:r>
              <w:rPr>
                <w:rFonts w:hint="eastAsia" w:cs="Times New Roman"/>
                <w:b w:val="0"/>
                <w:sz w:val="21"/>
                <w:szCs w:val="21"/>
                <w:u w:val="single"/>
              </w:rPr>
              <w:t>14.4</w:t>
            </w:r>
          </w:p>
        </w:tc>
        <w:tc>
          <w:tcPr>
            <w:tcW w:w="0" w:type="auto"/>
            <w:vAlign w:val="center"/>
          </w:tcPr>
          <w:p>
            <w:pPr>
              <w:pStyle w:val="14"/>
              <w:adjustRightInd w:val="0"/>
              <w:snapToGrid w:val="0"/>
              <w:spacing w:line="240" w:lineRule="auto"/>
              <w:rPr>
                <w:rFonts w:cs="Times New Roman"/>
                <w:b w:val="0"/>
                <w:sz w:val="21"/>
                <w:szCs w:val="21"/>
                <w:u w:val="single"/>
              </w:rPr>
            </w:pPr>
            <w:r>
              <w:rPr>
                <w:rFonts w:hint="eastAsia" w:cs="Times New Roman"/>
                <w:b w:val="0"/>
                <w:sz w:val="21"/>
                <w:szCs w:val="21"/>
                <w:u w:val="single"/>
              </w:rPr>
              <w:t>31</w:t>
            </w:r>
          </w:p>
        </w:tc>
        <w:tc>
          <w:tcPr>
            <w:tcW w:w="0" w:type="auto"/>
            <w:vAlign w:val="center"/>
          </w:tcPr>
          <w:p>
            <w:pPr>
              <w:pStyle w:val="14"/>
              <w:adjustRightInd w:val="0"/>
              <w:snapToGrid w:val="0"/>
              <w:spacing w:line="240" w:lineRule="auto"/>
              <w:rPr>
                <w:rFonts w:cs="Times New Roman"/>
                <w:b w:val="0"/>
                <w:sz w:val="21"/>
                <w:szCs w:val="21"/>
                <w:u w:val="single"/>
              </w:rPr>
            </w:pPr>
            <w:r>
              <w:rPr>
                <w:rFonts w:hint="eastAsia" w:cs="Times New Roman"/>
                <w:b w:val="0"/>
                <w:sz w:val="21"/>
                <w:szCs w:val="21"/>
                <w:u w:val="single"/>
              </w:rPr>
              <w:t>25.3</w:t>
            </w:r>
          </w:p>
        </w:tc>
        <w:tc>
          <w:tcPr>
            <w:tcW w:w="0" w:type="auto"/>
            <w:vAlign w:val="center"/>
          </w:tcPr>
          <w:p>
            <w:pPr>
              <w:pStyle w:val="14"/>
              <w:adjustRightInd w:val="0"/>
              <w:snapToGrid w:val="0"/>
              <w:spacing w:line="240" w:lineRule="auto"/>
              <w:rPr>
                <w:rFonts w:cs="Times New Roman"/>
                <w:b w:val="0"/>
                <w:sz w:val="21"/>
                <w:szCs w:val="21"/>
                <w:u w:val="single"/>
              </w:rPr>
            </w:pPr>
            <w:r>
              <w:rPr>
                <w:rFonts w:hint="eastAsia" w:cs="Times New Roman"/>
                <w:b w:val="0"/>
                <w:sz w:val="21"/>
                <w:szCs w:val="21"/>
                <w:u w:val="single"/>
              </w:rPr>
              <w:t>1.09</w:t>
            </w:r>
          </w:p>
        </w:tc>
        <w:tc>
          <w:tcPr>
            <w:tcW w:w="0" w:type="auto"/>
            <w:vAlign w:val="center"/>
          </w:tcPr>
          <w:p>
            <w:pPr>
              <w:pStyle w:val="14"/>
              <w:adjustRightInd w:val="0"/>
              <w:snapToGrid w:val="0"/>
              <w:spacing w:line="240" w:lineRule="auto"/>
              <w:rPr>
                <w:rFonts w:cs="Times New Roman"/>
                <w:b w:val="0"/>
                <w:sz w:val="21"/>
                <w:szCs w:val="21"/>
                <w:u w:val="single"/>
              </w:rPr>
            </w:pPr>
            <w:r>
              <w:rPr>
                <w:rFonts w:hint="eastAsia" w:cs="Times New Roman"/>
                <w:b w:val="0"/>
                <w:sz w:val="21"/>
                <w:szCs w:val="21"/>
                <w:u w:val="single"/>
              </w:rPr>
              <w:t>4.7×10</w:t>
            </w:r>
            <w:r>
              <w:rPr>
                <w:rFonts w:hint="eastAsia" w:cs="Times New Roman"/>
                <w:b w:val="0"/>
                <w:sz w:val="21"/>
                <w:szCs w:val="21"/>
                <w:u w:val="single"/>
                <w:vertAlign w:val="superscript"/>
              </w:rPr>
              <w:t>3</w:t>
            </w:r>
          </w:p>
        </w:tc>
        <w:tc>
          <w:tcPr>
            <w:tcW w:w="0" w:type="auto"/>
            <w:vAlign w:val="center"/>
          </w:tcPr>
          <w:p>
            <w:pPr>
              <w:pStyle w:val="14"/>
              <w:adjustRightInd w:val="0"/>
              <w:snapToGrid w:val="0"/>
              <w:spacing w:line="240" w:lineRule="auto"/>
              <w:rPr>
                <w:rFonts w:cs="Times New Roman"/>
                <w:b w:val="0"/>
                <w:sz w:val="21"/>
                <w:szCs w:val="21"/>
                <w:u w:val="single"/>
              </w:rPr>
            </w:pPr>
            <w:r>
              <w:rPr>
                <w:rFonts w:hint="eastAsia" w:cs="Times New Roman"/>
                <w:b w:val="0"/>
                <w:sz w:val="21"/>
                <w:szCs w:val="21"/>
                <w:u w:val="single"/>
              </w:rPr>
              <w:t>0.20</w:t>
            </w:r>
          </w:p>
        </w:tc>
        <w:tc>
          <w:tcPr>
            <w:tcW w:w="0" w:type="auto"/>
            <w:vAlign w:val="center"/>
          </w:tcPr>
          <w:p>
            <w:pPr>
              <w:pStyle w:val="14"/>
              <w:adjustRightInd w:val="0"/>
              <w:snapToGrid w:val="0"/>
              <w:spacing w:line="240" w:lineRule="auto"/>
              <w:rPr>
                <w:rFonts w:cs="Times New Roman"/>
                <w:b w:val="0"/>
                <w:sz w:val="21"/>
                <w:szCs w:val="21"/>
                <w:u w:val="single"/>
              </w:rPr>
            </w:pPr>
            <w:r>
              <w:rPr>
                <w:rFonts w:hint="eastAsia" w:cs="Times New Roman"/>
                <w:b w:val="0"/>
                <w:sz w:val="21"/>
                <w:szCs w:val="21"/>
                <w:u w:val="single"/>
              </w:rPr>
              <w:t>0.04</w:t>
            </w:r>
          </w:p>
        </w:tc>
        <w:tc>
          <w:tcPr>
            <w:tcW w:w="0" w:type="auto"/>
            <w:vAlign w:val="center"/>
          </w:tcPr>
          <w:p>
            <w:pPr>
              <w:pStyle w:val="14"/>
              <w:adjustRightInd w:val="0"/>
              <w:snapToGrid w:val="0"/>
              <w:spacing w:line="240" w:lineRule="auto"/>
              <w:rPr>
                <w:rFonts w:cs="Times New Roman"/>
                <w:b w:val="0"/>
                <w:sz w:val="21"/>
                <w:szCs w:val="21"/>
                <w:u w:val="single"/>
              </w:rPr>
            </w:pPr>
            <w:r>
              <w:rPr>
                <w:rFonts w:hint="eastAsia" w:cs="Times New Roman"/>
                <w:b w:val="0"/>
                <w:sz w:val="21"/>
                <w:szCs w:val="21"/>
                <w:u w:val="single"/>
              </w:rPr>
              <w:t>0.001L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3"/>
            <w:vAlign w:val="center"/>
          </w:tcPr>
          <w:p>
            <w:pPr>
              <w:pStyle w:val="14"/>
              <w:adjustRightInd w:val="0"/>
              <w:snapToGrid w:val="0"/>
              <w:spacing w:line="240" w:lineRule="auto"/>
              <w:rPr>
                <w:rFonts w:cs="Times New Roman"/>
                <w:b w:val="0"/>
                <w:sz w:val="21"/>
                <w:szCs w:val="21"/>
                <w:u w:val="single"/>
              </w:rPr>
            </w:pPr>
            <w:r>
              <w:rPr>
                <w:rFonts w:cs="Times New Roman"/>
                <w:b w:val="0"/>
                <w:sz w:val="21"/>
                <w:szCs w:val="21"/>
                <w:u w:val="single"/>
              </w:rPr>
              <w:t>标准限值</w:t>
            </w:r>
          </w:p>
        </w:tc>
        <w:tc>
          <w:tcPr>
            <w:tcW w:w="0" w:type="auto"/>
            <w:vAlign w:val="center"/>
          </w:tcPr>
          <w:p>
            <w:pPr>
              <w:pStyle w:val="14"/>
              <w:adjustRightInd w:val="0"/>
              <w:snapToGrid w:val="0"/>
              <w:spacing w:line="240" w:lineRule="auto"/>
              <w:rPr>
                <w:rFonts w:cs="Times New Roman"/>
                <w:b w:val="0"/>
                <w:sz w:val="21"/>
                <w:szCs w:val="21"/>
                <w:u w:val="single"/>
              </w:rPr>
            </w:pPr>
            <w:r>
              <w:rPr>
                <w:rFonts w:hint="eastAsia" w:cs="Times New Roman"/>
                <w:b w:val="0"/>
                <w:sz w:val="21"/>
                <w:szCs w:val="21"/>
                <w:u w:val="single"/>
              </w:rPr>
              <w:t>6~9</w:t>
            </w:r>
          </w:p>
        </w:tc>
        <w:tc>
          <w:tcPr>
            <w:tcW w:w="0" w:type="auto"/>
            <w:vAlign w:val="center"/>
          </w:tcPr>
          <w:p>
            <w:pPr>
              <w:pStyle w:val="14"/>
              <w:adjustRightInd w:val="0"/>
              <w:snapToGrid w:val="0"/>
              <w:spacing w:line="240" w:lineRule="auto"/>
              <w:rPr>
                <w:rFonts w:cs="Times New Roman"/>
                <w:b w:val="0"/>
                <w:sz w:val="21"/>
                <w:szCs w:val="21"/>
                <w:u w:val="single"/>
              </w:rPr>
            </w:pPr>
            <w:r>
              <w:rPr>
                <w:rFonts w:hint="eastAsia" w:cs="Times New Roman"/>
                <w:b w:val="0"/>
                <w:sz w:val="21"/>
                <w:szCs w:val="21"/>
                <w:u w:val="single"/>
              </w:rPr>
              <w:t>250</w:t>
            </w:r>
          </w:p>
        </w:tc>
        <w:tc>
          <w:tcPr>
            <w:tcW w:w="0" w:type="auto"/>
            <w:vAlign w:val="center"/>
          </w:tcPr>
          <w:p>
            <w:pPr>
              <w:pStyle w:val="14"/>
              <w:adjustRightInd w:val="0"/>
              <w:snapToGrid w:val="0"/>
              <w:spacing w:line="240" w:lineRule="auto"/>
              <w:rPr>
                <w:rFonts w:cs="Times New Roman"/>
                <w:b w:val="0"/>
                <w:sz w:val="21"/>
                <w:szCs w:val="21"/>
                <w:u w:val="single"/>
              </w:rPr>
            </w:pPr>
            <w:r>
              <w:rPr>
                <w:rFonts w:hint="eastAsia" w:cs="Times New Roman"/>
                <w:b w:val="0"/>
                <w:sz w:val="21"/>
                <w:szCs w:val="21"/>
                <w:u w:val="single"/>
              </w:rPr>
              <w:t>100</w:t>
            </w:r>
          </w:p>
        </w:tc>
        <w:tc>
          <w:tcPr>
            <w:tcW w:w="0" w:type="auto"/>
            <w:vAlign w:val="center"/>
          </w:tcPr>
          <w:p>
            <w:pPr>
              <w:pStyle w:val="14"/>
              <w:adjustRightInd w:val="0"/>
              <w:snapToGrid w:val="0"/>
              <w:spacing w:line="240" w:lineRule="auto"/>
              <w:rPr>
                <w:rFonts w:cs="Times New Roman"/>
                <w:b w:val="0"/>
                <w:sz w:val="21"/>
                <w:szCs w:val="21"/>
                <w:u w:val="single"/>
              </w:rPr>
            </w:pPr>
            <w:r>
              <w:rPr>
                <w:rFonts w:hint="eastAsia" w:cs="Times New Roman"/>
                <w:b w:val="0"/>
                <w:sz w:val="21"/>
                <w:szCs w:val="21"/>
                <w:u w:val="single"/>
              </w:rPr>
              <w:t>-</w:t>
            </w:r>
          </w:p>
        </w:tc>
        <w:tc>
          <w:tcPr>
            <w:tcW w:w="0" w:type="auto"/>
            <w:vAlign w:val="center"/>
          </w:tcPr>
          <w:p>
            <w:pPr>
              <w:pStyle w:val="14"/>
              <w:adjustRightInd w:val="0"/>
              <w:snapToGrid w:val="0"/>
              <w:spacing w:line="240" w:lineRule="auto"/>
              <w:rPr>
                <w:rFonts w:cs="Times New Roman"/>
                <w:b w:val="0"/>
                <w:sz w:val="21"/>
                <w:szCs w:val="21"/>
                <w:u w:val="single"/>
              </w:rPr>
            </w:pPr>
            <w:r>
              <w:rPr>
                <w:rFonts w:hint="eastAsia" w:cs="Times New Roman"/>
                <w:b w:val="0"/>
                <w:sz w:val="21"/>
                <w:szCs w:val="21"/>
                <w:u w:val="single"/>
              </w:rPr>
              <w:t>60</w:t>
            </w:r>
          </w:p>
        </w:tc>
        <w:tc>
          <w:tcPr>
            <w:tcW w:w="0" w:type="auto"/>
            <w:vAlign w:val="center"/>
          </w:tcPr>
          <w:p>
            <w:pPr>
              <w:pStyle w:val="14"/>
              <w:adjustRightInd w:val="0"/>
              <w:snapToGrid w:val="0"/>
              <w:spacing w:line="240" w:lineRule="auto"/>
              <w:rPr>
                <w:rFonts w:cs="Times New Roman"/>
                <w:b w:val="0"/>
                <w:sz w:val="21"/>
                <w:szCs w:val="21"/>
                <w:u w:val="single"/>
              </w:rPr>
            </w:pPr>
            <w:r>
              <w:rPr>
                <w:rFonts w:hint="eastAsia" w:cs="Times New Roman"/>
                <w:b w:val="0"/>
                <w:sz w:val="21"/>
                <w:szCs w:val="21"/>
                <w:u w:val="single"/>
              </w:rPr>
              <w:t>-</w:t>
            </w:r>
          </w:p>
        </w:tc>
        <w:tc>
          <w:tcPr>
            <w:tcW w:w="0" w:type="auto"/>
            <w:vAlign w:val="center"/>
          </w:tcPr>
          <w:p>
            <w:pPr>
              <w:pStyle w:val="14"/>
              <w:adjustRightInd w:val="0"/>
              <w:snapToGrid w:val="0"/>
              <w:spacing w:line="240" w:lineRule="auto"/>
              <w:rPr>
                <w:rFonts w:cs="Times New Roman"/>
                <w:b w:val="0"/>
                <w:sz w:val="21"/>
                <w:szCs w:val="21"/>
                <w:u w:val="single"/>
              </w:rPr>
            </w:pPr>
            <w:r>
              <w:rPr>
                <w:rFonts w:hint="eastAsia" w:cs="Times New Roman"/>
                <w:b w:val="0"/>
                <w:sz w:val="21"/>
                <w:szCs w:val="21"/>
                <w:u w:val="single"/>
              </w:rPr>
              <w:t>-</w:t>
            </w:r>
          </w:p>
        </w:tc>
        <w:tc>
          <w:tcPr>
            <w:tcW w:w="0" w:type="auto"/>
            <w:vAlign w:val="center"/>
          </w:tcPr>
          <w:p>
            <w:pPr>
              <w:pStyle w:val="14"/>
              <w:adjustRightInd w:val="0"/>
              <w:snapToGrid w:val="0"/>
              <w:spacing w:line="240" w:lineRule="auto"/>
              <w:rPr>
                <w:rFonts w:cs="Times New Roman"/>
                <w:b w:val="0"/>
                <w:sz w:val="21"/>
                <w:szCs w:val="21"/>
                <w:u w:val="single"/>
              </w:rPr>
            </w:pPr>
            <w:r>
              <w:rPr>
                <w:rFonts w:hint="eastAsia" w:cs="Times New Roman"/>
                <w:b w:val="0"/>
                <w:sz w:val="21"/>
                <w:szCs w:val="21"/>
                <w:u w:val="single"/>
              </w:rPr>
              <w:t>5000</w:t>
            </w:r>
          </w:p>
        </w:tc>
        <w:tc>
          <w:tcPr>
            <w:tcW w:w="0" w:type="auto"/>
            <w:vAlign w:val="center"/>
          </w:tcPr>
          <w:p>
            <w:pPr>
              <w:pStyle w:val="14"/>
              <w:adjustRightInd w:val="0"/>
              <w:snapToGrid w:val="0"/>
              <w:spacing w:line="240" w:lineRule="auto"/>
              <w:rPr>
                <w:rFonts w:cs="Times New Roman"/>
                <w:b w:val="0"/>
                <w:sz w:val="21"/>
                <w:szCs w:val="21"/>
                <w:u w:val="single"/>
              </w:rPr>
            </w:pPr>
            <w:r>
              <w:rPr>
                <w:rFonts w:hint="eastAsia" w:cs="Times New Roman"/>
                <w:b w:val="0"/>
                <w:sz w:val="21"/>
                <w:szCs w:val="21"/>
                <w:u w:val="single"/>
              </w:rPr>
              <w:t>10</w:t>
            </w:r>
          </w:p>
        </w:tc>
        <w:tc>
          <w:tcPr>
            <w:tcW w:w="0" w:type="auto"/>
            <w:vAlign w:val="center"/>
          </w:tcPr>
          <w:p>
            <w:pPr>
              <w:pStyle w:val="14"/>
              <w:adjustRightInd w:val="0"/>
              <w:snapToGrid w:val="0"/>
              <w:spacing w:line="240" w:lineRule="auto"/>
              <w:rPr>
                <w:rFonts w:cs="Times New Roman"/>
                <w:b w:val="0"/>
                <w:sz w:val="21"/>
                <w:szCs w:val="21"/>
                <w:u w:val="single"/>
              </w:rPr>
            </w:pPr>
            <w:r>
              <w:rPr>
                <w:rFonts w:cs="Times New Roman"/>
                <w:b w:val="0"/>
                <w:bCs/>
                <w:sz w:val="21"/>
                <w:szCs w:val="21"/>
                <w:u w:val="single"/>
              </w:rPr>
              <w:t>2-8</w:t>
            </w:r>
          </w:p>
        </w:tc>
        <w:tc>
          <w:tcPr>
            <w:tcW w:w="0" w:type="auto"/>
            <w:vAlign w:val="center"/>
          </w:tcPr>
          <w:p>
            <w:pPr>
              <w:pStyle w:val="14"/>
              <w:adjustRightInd w:val="0"/>
              <w:snapToGrid w:val="0"/>
              <w:spacing w:line="240" w:lineRule="auto"/>
              <w:rPr>
                <w:rFonts w:cs="Times New Roman"/>
                <w:b w:val="0"/>
                <w:sz w:val="21"/>
                <w:szCs w:val="21"/>
                <w:u w:val="single"/>
              </w:rPr>
            </w:pPr>
            <w:r>
              <w:rPr>
                <w:rFonts w:hint="eastAsia" w:cs="Times New Roman"/>
                <w:b w:val="0"/>
                <w:sz w:val="21"/>
                <w:szCs w:val="21"/>
                <w:u w:val="single"/>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3"/>
            <w:vAlign w:val="center"/>
          </w:tcPr>
          <w:p>
            <w:pPr>
              <w:pStyle w:val="14"/>
              <w:adjustRightInd w:val="0"/>
              <w:snapToGrid w:val="0"/>
              <w:spacing w:line="240" w:lineRule="auto"/>
              <w:rPr>
                <w:rFonts w:cs="Times New Roman"/>
                <w:b w:val="0"/>
                <w:sz w:val="21"/>
                <w:szCs w:val="21"/>
                <w:u w:val="single"/>
              </w:rPr>
            </w:pPr>
            <w:r>
              <w:rPr>
                <w:rFonts w:cs="Times New Roman"/>
                <w:b w:val="0"/>
                <w:sz w:val="21"/>
                <w:szCs w:val="21"/>
                <w:u w:val="single"/>
              </w:rPr>
              <w:t>是否达标</w:t>
            </w:r>
          </w:p>
        </w:tc>
        <w:tc>
          <w:tcPr>
            <w:tcW w:w="0" w:type="auto"/>
            <w:vAlign w:val="center"/>
          </w:tcPr>
          <w:p>
            <w:pPr>
              <w:pStyle w:val="14"/>
              <w:adjustRightInd w:val="0"/>
              <w:snapToGrid w:val="0"/>
              <w:spacing w:line="240" w:lineRule="auto"/>
              <w:rPr>
                <w:rFonts w:cs="Times New Roman"/>
                <w:b w:val="0"/>
                <w:sz w:val="21"/>
                <w:szCs w:val="21"/>
                <w:u w:val="single"/>
              </w:rPr>
            </w:pPr>
            <w:r>
              <w:rPr>
                <w:rFonts w:hint="eastAsia" w:cs="Times New Roman"/>
                <w:b w:val="0"/>
                <w:sz w:val="21"/>
                <w:szCs w:val="21"/>
                <w:u w:val="single"/>
              </w:rPr>
              <w:t>是</w:t>
            </w:r>
          </w:p>
        </w:tc>
        <w:tc>
          <w:tcPr>
            <w:tcW w:w="0" w:type="auto"/>
          </w:tcPr>
          <w:p>
            <w:pPr>
              <w:jc w:val="center"/>
              <w:rPr>
                <w:sz w:val="21"/>
                <w:u w:val="single"/>
              </w:rPr>
            </w:pPr>
            <w:r>
              <w:rPr>
                <w:rFonts w:hint="eastAsia" w:cs="Times New Roman"/>
                <w:sz w:val="21"/>
                <w:u w:val="single"/>
              </w:rPr>
              <w:t>是</w:t>
            </w:r>
          </w:p>
        </w:tc>
        <w:tc>
          <w:tcPr>
            <w:tcW w:w="0" w:type="auto"/>
          </w:tcPr>
          <w:p>
            <w:pPr>
              <w:jc w:val="center"/>
              <w:rPr>
                <w:sz w:val="21"/>
                <w:u w:val="single"/>
              </w:rPr>
            </w:pPr>
            <w:r>
              <w:rPr>
                <w:rFonts w:hint="eastAsia" w:cs="Times New Roman"/>
                <w:sz w:val="21"/>
                <w:u w:val="single"/>
              </w:rPr>
              <w:t>是</w:t>
            </w:r>
          </w:p>
        </w:tc>
        <w:tc>
          <w:tcPr>
            <w:tcW w:w="0" w:type="auto"/>
          </w:tcPr>
          <w:p>
            <w:pPr>
              <w:jc w:val="center"/>
              <w:rPr>
                <w:sz w:val="21"/>
                <w:u w:val="single"/>
              </w:rPr>
            </w:pPr>
            <w:r>
              <w:rPr>
                <w:rFonts w:hint="eastAsia" w:cs="Times New Roman"/>
                <w:sz w:val="21"/>
                <w:u w:val="single"/>
              </w:rPr>
              <w:t>是</w:t>
            </w:r>
          </w:p>
        </w:tc>
        <w:tc>
          <w:tcPr>
            <w:tcW w:w="0" w:type="auto"/>
          </w:tcPr>
          <w:p>
            <w:pPr>
              <w:jc w:val="center"/>
              <w:rPr>
                <w:sz w:val="21"/>
                <w:u w:val="single"/>
              </w:rPr>
            </w:pPr>
            <w:r>
              <w:rPr>
                <w:rFonts w:hint="eastAsia" w:cs="Times New Roman"/>
                <w:sz w:val="21"/>
                <w:u w:val="single"/>
              </w:rPr>
              <w:t>是</w:t>
            </w:r>
          </w:p>
        </w:tc>
        <w:tc>
          <w:tcPr>
            <w:tcW w:w="0" w:type="auto"/>
          </w:tcPr>
          <w:p>
            <w:pPr>
              <w:jc w:val="center"/>
              <w:rPr>
                <w:sz w:val="21"/>
                <w:u w:val="single"/>
              </w:rPr>
            </w:pPr>
            <w:r>
              <w:rPr>
                <w:rFonts w:hint="eastAsia" w:cs="Times New Roman"/>
                <w:sz w:val="21"/>
                <w:u w:val="single"/>
              </w:rPr>
              <w:t>是</w:t>
            </w:r>
          </w:p>
        </w:tc>
        <w:tc>
          <w:tcPr>
            <w:tcW w:w="0" w:type="auto"/>
          </w:tcPr>
          <w:p>
            <w:pPr>
              <w:jc w:val="center"/>
              <w:rPr>
                <w:sz w:val="21"/>
                <w:u w:val="single"/>
              </w:rPr>
            </w:pPr>
            <w:r>
              <w:rPr>
                <w:rFonts w:hint="eastAsia" w:cs="Times New Roman"/>
                <w:sz w:val="21"/>
                <w:u w:val="single"/>
              </w:rPr>
              <w:t>是</w:t>
            </w:r>
          </w:p>
        </w:tc>
        <w:tc>
          <w:tcPr>
            <w:tcW w:w="0" w:type="auto"/>
          </w:tcPr>
          <w:p>
            <w:pPr>
              <w:jc w:val="center"/>
              <w:rPr>
                <w:sz w:val="21"/>
                <w:u w:val="single"/>
              </w:rPr>
            </w:pPr>
            <w:r>
              <w:rPr>
                <w:rFonts w:hint="eastAsia" w:cs="Times New Roman"/>
                <w:sz w:val="21"/>
                <w:u w:val="single"/>
              </w:rPr>
              <w:t>是</w:t>
            </w:r>
          </w:p>
        </w:tc>
        <w:tc>
          <w:tcPr>
            <w:tcW w:w="0" w:type="auto"/>
          </w:tcPr>
          <w:p>
            <w:pPr>
              <w:jc w:val="center"/>
              <w:rPr>
                <w:sz w:val="21"/>
                <w:u w:val="single"/>
              </w:rPr>
            </w:pPr>
            <w:r>
              <w:rPr>
                <w:rFonts w:hint="eastAsia" w:cs="Times New Roman"/>
                <w:sz w:val="21"/>
                <w:u w:val="single"/>
              </w:rPr>
              <w:t>是</w:t>
            </w:r>
          </w:p>
        </w:tc>
        <w:tc>
          <w:tcPr>
            <w:tcW w:w="0" w:type="auto"/>
          </w:tcPr>
          <w:p>
            <w:pPr>
              <w:jc w:val="center"/>
              <w:rPr>
                <w:sz w:val="21"/>
                <w:u w:val="single"/>
              </w:rPr>
            </w:pPr>
            <w:r>
              <w:rPr>
                <w:rFonts w:hint="eastAsia" w:cs="Times New Roman"/>
                <w:sz w:val="21"/>
                <w:u w:val="single"/>
              </w:rPr>
              <w:t>是</w:t>
            </w:r>
          </w:p>
        </w:tc>
        <w:tc>
          <w:tcPr>
            <w:tcW w:w="0" w:type="auto"/>
          </w:tcPr>
          <w:p>
            <w:pPr>
              <w:jc w:val="center"/>
              <w:rPr>
                <w:sz w:val="21"/>
                <w:u w:val="single"/>
              </w:rPr>
            </w:pPr>
            <w:r>
              <w:rPr>
                <w:rFonts w:hint="eastAsia" w:cs="Times New Roman"/>
                <w:sz w:val="21"/>
                <w:u w:val="single"/>
              </w:rPr>
              <w:t>是</w:t>
            </w:r>
          </w:p>
        </w:tc>
      </w:tr>
    </w:tbl>
    <w:p>
      <w:pPr>
        <w:pStyle w:val="14"/>
        <w:ind w:firstLine="480" w:firstLineChars="200"/>
        <w:jc w:val="both"/>
        <w:rPr>
          <w:b w:val="0"/>
          <w:szCs w:val="24"/>
          <w:u w:val="single"/>
        </w:rPr>
      </w:pPr>
      <w:r>
        <w:rPr>
          <w:rFonts w:hint="eastAsia"/>
          <w:b w:val="0"/>
          <w:u w:val="single"/>
        </w:rPr>
        <w:t>由上表可知，本项目医院废水经自建污水处理站预处理之后可满足</w:t>
      </w:r>
      <w:r>
        <w:rPr>
          <w:b w:val="0"/>
          <w:szCs w:val="24"/>
          <w:u w:val="single"/>
        </w:rPr>
        <w:t>《医疗机构水污染物排放标准》（GB18466-2005）中表2</w:t>
      </w:r>
      <w:r>
        <w:rPr>
          <w:rFonts w:hint="eastAsia"/>
          <w:b w:val="0"/>
          <w:szCs w:val="24"/>
          <w:u w:val="single"/>
        </w:rPr>
        <w:t>的标准限值要求。</w:t>
      </w:r>
    </w:p>
    <w:p>
      <w:pPr>
        <w:spacing w:line="360" w:lineRule="auto"/>
        <w:ind w:firstLine="480" w:firstLineChars="200"/>
        <w:rPr>
          <w:rFonts w:cs="Times New Roman" w:hAnsiTheme="minorEastAsia"/>
          <w:color w:val="000000" w:themeColor="text1"/>
          <w:u w:val="single"/>
        </w:rPr>
      </w:pPr>
      <w:r>
        <w:rPr>
          <w:rFonts w:hint="eastAsia" w:cs="Times New Roman" w:hAnsiTheme="minorEastAsia"/>
          <w:color w:val="000000" w:themeColor="text1"/>
          <w:u w:val="single"/>
        </w:rPr>
        <w:t>本项目医院内实行污水分流措施，本医院的住院病人产生的废水、门诊病人产生的废水、洗衣房废水和医护人员的生活废水、检验室废水经过医院自建的污水处理站预处理，</w:t>
      </w:r>
      <w:r>
        <w:rPr>
          <w:rFonts w:cs="Times New Roman" w:hAnsiTheme="minorEastAsia"/>
          <w:color w:val="000000" w:themeColor="text1"/>
          <w:u w:val="single"/>
        </w:rPr>
        <w:t>达到《医疗机构水污染排放标准》（</w:t>
      </w:r>
      <w:r>
        <w:rPr>
          <w:rFonts w:cs="Times New Roman"/>
          <w:color w:val="000000" w:themeColor="text1"/>
          <w:u w:val="single"/>
        </w:rPr>
        <w:t>GB18466-2005</w:t>
      </w:r>
      <w:r>
        <w:rPr>
          <w:rFonts w:cs="Times New Roman" w:hAnsiTheme="minorEastAsia"/>
          <w:color w:val="000000" w:themeColor="text1"/>
          <w:u w:val="single"/>
        </w:rPr>
        <w:t>）表</w:t>
      </w:r>
      <w:r>
        <w:rPr>
          <w:rFonts w:cs="Times New Roman"/>
          <w:color w:val="000000" w:themeColor="text1"/>
          <w:u w:val="single"/>
        </w:rPr>
        <w:t>2</w:t>
      </w:r>
      <w:r>
        <w:rPr>
          <w:rFonts w:cs="Times New Roman" w:hAnsiTheme="minorEastAsia"/>
          <w:color w:val="000000" w:themeColor="text1"/>
          <w:u w:val="single"/>
        </w:rPr>
        <w:t>中</w:t>
      </w:r>
      <w:r>
        <w:rPr>
          <w:rFonts w:cs="Times New Roman"/>
          <w:color w:val="000000" w:themeColor="text1"/>
          <w:u w:val="single"/>
        </w:rPr>
        <w:t>“</w:t>
      </w:r>
      <w:r>
        <w:rPr>
          <w:rFonts w:cs="Times New Roman" w:hAnsiTheme="minorEastAsia"/>
          <w:color w:val="000000" w:themeColor="text1"/>
          <w:u w:val="single"/>
        </w:rPr>
        <w:t>预处理标准</w:t>
      </w:r>
      <w:r>
        <w:rPr>
          <w:rFonts w:cs="Times New Roman"/>
          <w:color w:val="000000" w:themeColor="text1"/>
          <w:u w:val="single"/>
        </w:rPr>
        <w:t>”</w:t>
      </w:r>
      <w:r>
        <w:rPr>
          <w:rFonts w:cs="Times New Roman" w:hAnsiTheme="minorEastAsia"/>
          <w:color w:val="000000" w:themeColor="text1"/>
          <w:u w:val="single"/>
        </w:rPr>
        <w:t>后排入市政排水管网，</w:t>
      </w:r>
      <w:r>
        <w:rPr>
          <w:rFonts w:hint="eastAsia" w:cs="Times New Roman" w:hAnsiTheme="minorEastAsia"/>
          <w:color w:val="000000" w:themeColor="text1"/>
          <w:u w:val="single"/>
        </w:rPr>
        <w:t>再</w:t>
      </w:r>
      <w:r>
        <w:rPr>
          <w:rFonts w:cs="Times New Roman" w:hAnsiTheme="minorEastAsia"/>
          <w:color w:val="000000" w:themeColor="text1"/>
          <w:u w:val="single"/>
        </w:rPr>
        <w:t>排入马壕污水处理厂处理</w:t>
      </w:r>
      <w:r>
        <w:rPr>
          <w:rFonts w:hint="eastAsia" w:cs="Times New Roman" w:hAnsiTheme="minorEastAsia"/>
          <w:color w:val="000000" w:themeColor="text1"/>
          <w:u w:val="single"/>
        </w:rPr>
        <w:t>，医院职工公寓废水经化粪池处理之后排入市政管网，再进入马壕污水处理厂处理。医院食堂废水经隔油沉淀池处理之后再进化粪池处理排入市政管网，再进入马壕污水处理厂处理。</w:t>
      </w:r>
    </w:p>
    <w:p>
      <w:pPr>
        <w:spacing w:line="360" w:lineRule="auto"/>
        <w:ind w:firstLine="480" w:firstLineChars="200"/>
        <w:rPr>
          <w:u w:val="single"/>
        </w:rPr>
      </w:pPr>
      <w:r>
        <w:rPr>
          <w:rFonts w:hint="eastAsia"/>
          <w:color w:val="000000" w:themeColor="text1"/>
          <w:u w:val="single"/>
        </w:rPr>
        <w:t>根据污水综合排放中的三级标准限值、</w:t>
      </w:r>
      <w:r>
        <w:rPr>
          <w:color w:val="000000" w:themeColor="text1"/>
          <w:u w:val="single"/>
        </w:rPr>
        <w:t>医疗机构水污染物</w:t>
      </w:r>
      <w:r>
        <w:rPr>
          <w:rFonts w:hint="eastAsia"/>
          <w:color w:val="000000" w:themeColor="text1"/>
          <w:u w:val="single"/>
        </w:rPr>
        <w:t>预处理</w:t>
      </w:r>
      <w:r>
        <w:rPr>
          <w:color w:val="000000" w:themeColor="text1"/>
          <w:u w:val="single"/>
        </w:rPr>
        <w:t>标准</w:t>
      </w:r>
      <w:r>
        <w:rPr>
          <w:rFonts w:hint="eastAsia"/>
          <w:color w:val="000000" w:themeColor="text1"/>
          <w:u w:val="single"/>
        </w:rPr>
        <w:t>以及根据《岳阳市马壕污水处理厂扩容建设项目》，</w:t>
      </w:r>
      <w:r>
        <w:rPr>
          <w:rFonts w:hint="eastAsia"/>
          <w:u w:val="single"/>
        </w:rPr>
        <w:t>马壕污水处理厂设计进水水质见下表。</w:t>
      </w:r>
    </w:p>
    <w:p>
      <w:pPr>
        <w:pStyle w:val="14"/>
        <w:spacing w:line="240" w:lineRule="auto"/>
        <w:rPr>
          <w:u w:val="single"/>
        </w:rPr>
      </w:pPr>
      <w:r>
        <w:rPr>
          <w:rFonts w:hint="eastAsia"/>
          <w:u w:val="single"/>
        </w:rPr>
        <w:t>表</w:t>
      </w:r>
      <w:r>
        <w:rPr>
          <w:u w:val="single"/>
        </w:rPr>
        <w:fldChar w:fldCharType="begin"/>
      </w:r>
      <w:r>
        <w:rPr>
          <w:u w:val="single"/>
        </w:rPr>
        <w:instrText xml:space="preserve"> STYLEREF 2 \s </w:instrText>
      </w:r>
      <w:r>
        <w:rPr>
          <w:u w:val="single"/>
        </w:rPr>
        <w:fldChar w:fldCharType="separate"/>
      </w:r>
      <w:r>
        <w:rPr>
          <w:u w:val="single"/>
        </w:rPr>
        <w:t>5.2</w:t>
      </w:r>
      <w:r>
        <w:rPr>
          <w:u w:val="single"/>
        </w:rPr>
        <w:fldChar w:fldCharType="end"/>
      </w:r>
      <w:r>
        <w:rPr>
          <w:u w:val="single"/>
        </w:rPr>
        <w:noBreakHyphen/>
      </w:r>
      <w:r>
        <w:rPr>
          <w:u w:val="single"/>
        </w:rPr>
        <w:fldChar w:fldCharType="begin"/>
      </w:r>
      <w:r>
        <w:rPr>
          <w:u w:val="single"/>
        </w:rPr>
        <w:instrText xml:space="preserve"> </w:instrText>
      </w:r>
      <w:r>
        <w:rPr>
          <w:rFonts w:hint="eastAsia"/>
          <w:u w:val="single"/>
        </w:rPr>
        <w:instrText xml:space="preserve">SEQ 表 \* ARABIC \s 2</w:instrText>
      </w:r>
      <w:r>
        <w:rPr>
          <w:u w:val="single"/>
        </w:rPr>
        <w:instrText xml:space="preserve"> </w:instrText>
      </w:r>
      <w:r>
        <w:rPr>
          <w:u w:val="single"/>
        </w:rPr>
        <w:fldChar w:fldCharType="separate"/>
      </w:r>
      <w:r>
        <w:rPr>
          <w:u w:val="single"/>
        </w:rPr>
        <w:t>2</w:t>
      </w:r>
      <w:r>
        <w:rPr>
          <w:u w:val="single"/>
        </w:rPr>
        <w:fldChar w:fldCharType="end"/>
      </w:r>
      <w:r>
        <w:rPr>
          <w:rFonts w:hint="eastAsia"/>
          <w:u w:val="single"/>
        </w:rPr>
        <w:t xml:space="preserve"> </w:t>
      </w:r>
      <w:r>
        <w:rPr>
          <w:rFonts w:hint="eastAsia"/>
          <w:szCs w:val="24"/>
          <w:u w:val="single"/>
        </w:rPr>
        <w:t>相关污水标准限值情况一览表</w:t>
      </w:r>
      <w:r>
        <w:rPr>
          <w:szCs w:val="24"/>
          <w:u w:val="single"/>
        </w:rPr>
        <w:t xml:space="preserve">  （</w:t>
      </w:r>
      <w:r>
        <w:rPr>
          <w:rFonts w:hint="eastAsia"/>
          <w:szCs w:val="24"/>
          <w:u w:val="single"/>
        </w:rPr>
        <w:t>单位：</w:t>
      </w:r>
      <w:r>
        <w:rPr>
          <w:szCs w:val="24"/>
          <w:u w:val="single"/>
        </w:rPr>
        <w:t>mg/L</w:t>
      </w:r>
      <w:r>
        <w:rPr>
          <w:rFonts w:hint="eastAsia"/>
          <w:szCs w:val="24"/>
          <w:u w:val="single"/>
        </w:rPr>
        <w:t>，pH除外</w:t>
      </w:r>
      <w:r>
        <w:rPr>
          <w:szCs w:val="24"/>
          <w:u w:val="single"/>
        </w:rPr>
        <w:t>）</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6"/>
        <w:gridCol w:w="818"/>
        <w:gridCol w:w="1100"/>
        <w:gridCol w:w="1098"/>
        <w:gridCol w:w="1067"/>
        <w:gridCol w:w="1333"/>
        <w:gridCol w:w="1333"/>
        <w:gridCol w:w="1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12" w:type="pct"/>
            <w:vAlign w:val="center"/>
          </w:tcPr>
          <w:p>
            <w:pPr>
              <w:jc w:val="center"/>
              <w:rPr>
                <w:sz w:val="21"/>
                <w:u w:val="single"/>
              </w:rPr>
            </w:pPr>
            <w:r>
              <w:rPr>
                <w:sz w:val="21"/>
                <w:u w:val="single"/>
              </w:rPr>
              <w:t>污染物</w:t>
            </w:r>
          </w:p>
        </w:tc>
        <w:tc>
          <w:tcPr>
            <w:tcW w:w="424" w:type="pct"/>
            <w:vAlign w:val="center"/>
          </w:tcPr>
          <w:p>
            <w:pPr>
              <w:jc w:val="center"/>
              <w:rPr>
                <w:sz w:val="21"/>
                <w:u w:val="single"/>
              </w:rPr>
            </w:pPr>
            <w:r>
              <w:rPr>
                <w:sz w:val="21"/>
                <w:u w:val="single"/>
              </w:rPr>
              <w:t>pH</w:t>
            </w:r>
          </w:p>
        </w:tc>
        <w:tc>
          <w:tcPr>
            <w:tcW w:w="570" w:type="pct"/>
            <w:vAlign w:val="center"/>
          </w:tcPr>
          <w:p>
            <w:pPr>
              <w:jc w:val="center"/>
              <w:rPr>
                <w:sz w:val="21"/>
                <w:u w:val="single"/>
              </w:rPr>
            </w:pPr>
            <w:r>
              <w:rPr>
                <w:sz w:val="21"/>
                <w:u w:val="single"/>
              </w:rPr>
              <w:t>COD</w:t>
            </w:r>
          </w:p>
        </w:tc>
        <w:tc>
          <w:tcPr>
            <w:tcW w:w="569" w:type="pct"/>
            <w:vAlign w:val="center"/>
          </w:tcPr>
          <w:p>
            <w:pPr>
              <w:jc w:val="center"/>
              <w:rPr>
                <w:sz w:val="21"/>
                <w:u w:val="single"/>
              </w:rPr>
            </w:pPr>
            <w:r>
              <w:rPr>
                <w:sz w:val="21"/>
                <w:u w:val="single"/>
              </w:rPr>
              <w:t>BOD</w:t>
            </w:r>
            <w:r>
              <w:rPr>
                <w:sz w:val="21"/>
                <w:u w:val="single"/>
                <w:vertAlign w:val="subscript"/>
              </w:rPr>
              <w:t>5</w:t>
            </w:r>
          </w:p>
        </w:tc>
        <w:tc>
          <w:tcPr>
            <w:tcW w:w="553" w:type="pct"/>
            <w:vAlign w:val="center"/>
          </w:tcPr>
          <w:p>
            <w:pPr>
              <w:jc w:val="center"/>
              <w:rPr>
                <w:sz w:val="21"/>
                <w:u w:val="single"/>
              </w:rPr>
            </w:pPr>
            <w:r>
              <w:rPr>
                <w:sz w:val="21"/>
                <w:u w:val="single"/>
              </w:rPr>
              <w:t>SS</w:t>
            </w:r>
          </w:p>
        </w:tc>
        <w:tc>
          <w:tcPr>
            <w:tcW w:w="691" w:type="pct"/>
            <w:vAlign w:val="center"/>
          </w:tcPr>
          <w:p>
            <w:pPr>
              <w:jc w:val="center"/>
              <w:rPr>
                <w:sz w:val="21"/>
                <w:u w:val="single"/>
              </w:rPr>
            </w:pPr>
            <w:r>
              <w:rPr>
                <w:sz w:val="21"/>
                <w:u w:val="single"/>
              </w:rPr>
              <w:t>氨氮</w:t>
            </w:r>
          </w:p>
        </w:tc>
        <w:tc>
          <w:tcPr>
            <w:tcW w:w="691" w:type="pct"/>
            <w:vAlign w:val="center"/>
          </w:tcPr>
          <w:p>
            <w:pPr>
              <w:jc w:val="center"/>
              <w:rPr>
                <w:sz w:val="21"/>
                <w:u w:val="single"/>
              </w:rPr>
            </w:pPr>
            <w:r>
              <w:rPr>
                <w:rFonts w:hint="eastAsia"/>
                <w:sz w:val="21"/>
                <w:u w:val="single"/>
              </w:rPr>
              <w:t>总氮</w:t>
            </w:r>
          </w:p>
        </w:tc>
        <w:tc>
          <w:tcPr>
            <w:tcW w:w="690" w:type="pct"/>
            <w:vAlign w:val="center"/>
          </w:tcPr>
          <w:p>
            <w:pPr>
              <w:jc w:val="center"/>
              <w:rPr>
                <w:sz w:val="21"/>
                <w:u w:val="single"/>
              </w:rPr>
            </w:pPr>
            <w:r>
              <w:rPr>
                <w:rFonts w:hint="eastAsia"/>
                <w:sz w:val="21"/>
                <w:u w:val="single"/>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exact"/>
          <w:jc w:val="center"/>
        </w:trPr>
        <w:tc>
          <w:tcPr>
            <w:tcW w:w="812" w:type="pct"/>
            <w:vAlign w:val="center"/>
          </w:tcPr>
          <w:p>
            <w:pPr>
              <w:jc w:val="center"/>
              <w:rPr>
                <w:sz w:val="21"/>
                <w:u w:val="single"/>
              </w:rPr>
            </w:pPr>
            <w:r>
              <w:rPr>
                <w:rFonts w:hint="eastAsia"/>
                <w:sz w:val="21"/>
                <w:u w:val="single"/>
              </w:rPr>
              <w:t>三级标准</w:t>
            </w:r>
          </w:p>
        </w:tc>
        <w:tc>
          <w:tcPr>
            <w:tcW w:w="424" w:type="pct"/>
            <w:vAlign w:val="center"/>
          </w:tcPr>
          <w:p>
            <w:pPr>
              <w:jc w:val="center"/>
              <w:rPr>
                <w:sz w:val="21"/>
                <w:u w:val="single"/>
              </w:rPr>
            </w:pPr>
            <w:r>
              <w:rPr>
                <w:sz w:val="21"/>
                <w:u w:val="single"/>
              </w:rPr>
              <w:t>6-9</w:t>
            </w:r>
          </w:p>
        </w:tc>
        <w:tc>
          <w:tcPr>
            <w:tcW w:w="570" w:type="pct"/>
            <w:vAlign w:val="center"/>
          </w:tcPr>
          <w:p>
            <w:pPr>
              <w:jc w:val="center"/>
              <w:rPr>
                <w:sz w:val="21"/>
                <w:u w:val="single"/>
              </w:rPr>
            </w:pPr>
            <w:r>
              <w:rPr>
                <w:rFonts w:hint="eastAsia"/>
                <w:sz w:val="21"/>
                <w:u w:val="single"/>
              </w:rPr>
              <w:t>500</w:t>
            </w:r>
          </w:p>
        </w:tc>
        <w:tc>
          <w:tcPr>
            <w:tcW w:w="569" w:type="pct"/>
            <w:vAlign w:val="center"/>
          </w:tcPr>
          <w:p>
            <w:pPr>
              <w:jc w:val="center"/>
              <w:rPr>
                <w:sz w:val="21"/>
                <w:u w:val="single"/>
              </w:rPr>
            </w:pPr>
            <w:r>
              <w:rPr>
                <w:rFonts w:hint="eastAsia"/>
                <w:sz w:val="21"/>
                <w:u w:val="single"/>
              </w:rPr>
              <w:t>300</w:t>
            </w:r>
          </w:p>
        </w:tc>
        <w:tc>
          <w:tcPr>
            <w:tcW w:w="553" w:type="pct"/>
            <w:vAlign w:val="center"/>
          </w:tcPr>
          <w:p>
            <w:pPr>
              <w:jc w:val="center"/>
              <w:rPr>
                <w:sz w:val="21"/>
                <w:u w:val="single"/>
              </w:rPr>
            </w:pPr>
            <w:r>
              <w:rPr>
                <w:rFonts w:hint="eastAsia"/>
                <w:sz w:val="21"/>
                <w:u w:val="single"/>
              </w:rPr>
              <w:t>400</w:t>
            </w:r>
          </w:p>
        </w:tc>
        <w:tc>
          <w:tcPr>
            <w:tcW w:w="691" w:type="pct"/>
          </w:tcPr>
          <w:p>
            <w:pPr>
              <w:jc w:val="center"/>
              <w:rPr>
                <w:u w:val="single"/>
              </w:rPr>
            </w:pPr>
            <w:r>
              <w:rPr>
                <w:rFonts w:hint="eastAsia"/>
                <w:sz w:val="21"/>
                <w:u w:val="single"/>
              </w:rPr>
              <w:t>—</w:t>
            </w:r>
          </w:p>
        </w:tc>
        <w:tc>
          <w:tcPr>
            <w:tcW w:w="691" w:type="pct"/>
          </w:tcPr>
          <w:p>
            <w:pPr>
              <w:jc w:val="center"/>
              <w:rPr>
                <w:u w:val="single"/>
              </w:rPr>
            </w:pPr>
            <w:r>
              <w:rPr>
                <w:rFonts w:hint="eastAsia"/>
                <w:sz w:val="21"/>
                <w:u w:val="single"/>
              </w:rPr>
              <w:t>—</w:t>
            </w:r>
          </w:p>
        </w:tc>
        <w:tc>
          <w:tcPr>
            <w:tcW w:w="690" w:type="pct"/>
          </w:tcPr>
          <w:p>
            <w:pPr>
              <w:jc w:val="center"/>
              <w:rPr>
                <w:u w:val="single"/>
              </w:rPr>
            </w:pPr>
            <w:r>
              <w:rPr>
                <w:rFonts w:hint="eastAsia"/>
                <w:sz w:val="21"/>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exact"/>
          <w:jc w:val="center"/>
        </w:trPr>
        <w:tc>
          <w:tcPr>
            <w:tcW w:w="812" w:type="pct"/>
            <w:vAlign w:val="center"/>
          </w:tcPr>
          <w:p>
            <w:pPr>
              <w:jc w:val="center"/>
              <w:rPr>
                <w:sz w:val="21"/>
                <w:u w:val="single"/>
              </w:rPr>
            </w:pPr>
            <w:r>
              <w:rPr>
                <w:rFonts w:hint="eastAsia"/>
                <w:sz w:val="21"/>
                <w:u w:val="single"/>
              </w:rPr>
              <w:t>预处理标准</w:t>
            </w:r>
          </w:p>
        </w:tc>
        <w:tc>
          <w:tcPr>
            <w:tcW w:w="424" w:type="pct"/>
            <w:vAlign w:val="center"/>
          </w:tcPr>
          <w:p>
            <w:pPr>
              <w:jc w:val="center"/>
              <w:rPr>
                <w:sz w:val="21"/>
                <w:u w:val="single"/>
              </w:rPr>
            </w:pPr>
            <w:r>
              <w:rPr>
                <w:sz w:val="21"/>
                <w:u w:val="single"/>
              </w:rPr>
              <w:t>6-9</w:t>
            </w:r>
          </w:p>
        </w:tc>
        <w:tc>
          <w:tcPr>
            <w:tcW w:w="570" w:type="pct"/>
            <w:vAlign w:val="center"/>
          </w:tcPr>
          <w:p>
            <w:pPr>
              <w:jc w:val="center"/>
              <w:rPr>
                <w:sz w:val="21"/>
                <w:u w:val="single"/>
              </w:rPr>
            </w:pPr>
            <w:r>
              <w:rPr>
                <w:rFonts w:hint="eastAsia"/>
                <w:sz w:val="21"/>
                <w:u w:val="single"/>
              </w:rPr>
              <w:t>250</w:t>
            </w:r>
          </w:p>
        </w:tc>
        <w:tc>
          <w:tcPr>
            <w:tcW w:w="569" w:type="pct"/>
            <w:vAlign w:val="center"/>
          </w:tcPr>
          <w:p>
            <w:pPr>
              <w:jc w:val="center"/>
              <w:rPr>
                <w:sz w:val="21"/>
                <w:u w:val="single"/>
              </w:rPr>
            </w:pPr>
            <w:r>
              <w:rPr>
                <w:rFonts w:hint="eastAsia"/>
                <w:sz w:val="21"/>
                <w:u w:val="single"/>
              </w:rPr>
              <w:t>100</w:t>
            </w:r>
          </w:p>
        </w:tc>
        <w:tc>
          <w:tcPr>
            <w:tcW w:w="553" w:type="pct"/>
            <w:vAlign w:val="center"/>
          </w:tcPr>
          <w:p>
            <w:pPr>
              <w:jc w:val="center"/>
              <w:rPr>
                <w:sz w:val="21"/>
                <w:u w:val="single"/>
              </w:rPr>
            </w:pPr>
            <w:r>
              <w:rPr>
                <w:rFonts w:hint="eastAsia"/>
                <w:sz w:val="21"/>
                <w:u w:val="single"/>
              </w:rPr>
              <w:t>60</w:t>
            </w:r>
          </w:p>
        </w:tc>
        <w:tc>
          <w:tcPr>
            <w:tcW w:w="691" w:type="pct"/>
          </w:tcPr>
          <w:p>
            <w:pPr>
              <w:jc w:val="center"/>
              <w:rPr>
                <w:u w:val="single"/>
              </w:rPr>
            </w:pPr>
            <w:r>
              <w:rPr>
                <w:rFonts w:hint="eastAsia"/>
                <w:sz w:val="21"/>
                <w:u w:val="single"/>
              </w:rPr>
              <w:t>—</w:t>
            </w:r>
          </w:p>
        </w:tc>
        <w:tc>
          <w:tcPr>
            <w:tcW w:w="691" w:type="pct"/>
          </w:tcPr>
          <w:p>
            <w:pPr>
              <w:jc w:val="center"/>
              <w:rPr>
                <w:u w:val="single"/>
              </w:rPr>
            </w:pPr>
            <w:r>
              <w:rPr>
                <w:rFonts w:hint="eastAsia"/>
                <w:sz w:val="21"/>
                <w:u w:val="single"/>
              </w:rPr>
              <w:t>—</w:t>
            </w:r>
          </w:p>
        </w:tc>
        <w:tc>
          <w:tcPr>
            <w:tcW w:w="690" w:type="pct"/>
          </w:tcPr>
          <w:p>
            <w:pPr>
              <w:jc w:val="center"/>
              <w:rPr>
                <w:u w:val="single"/>
              </w:rPr>
            </w:pPr>
            <w:r>
              <w:rPr>
                <w:rFonts w:hint="eastAsia"/>
                <w:sz w:val="21"/>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exact"/>
          <w:jc w:val="center"/>
        </w:trPr>
        <w:tc>
          <w:tcPr>
            <w:tcW w:w="812" w:type="pct"/>
            <w:vAlign w:val="center"/>
          </w:tcPr>
          <w:p>
            <w:pPr>
              <w:jc w:val="center"/>
              <w:rPr>
                <w:sz w:val="21"/>
                <w:u w:val="single"/>
              </w:rPr>
            </w:pPr>
            <w:r>
              <w:rPr>
                <w:rFonts w:hint="eastAsia"/>
                <w:sz w:val="21"/>
                <w:u w:val="single"/>
              </w:rPr>
              <w:t>接管标准</w:t>
            </w:r>
          </w:p>
        </w:tc>
        <w:tc>
          <w:tcPr>
            <w:tcW w:w="424" w:type="pct"/>
            <w:vAlign w:val="center"/>
          </w:tcPr>
          <w:p>
            <w:pPr>
              <w:jc w:val="center"/>
              <w:rPr>
                <w:sz w:val="21"/>
                <w:u w:val="single"/>
              </w:rPr>
            </w:pPr>
            <w:r>
              <w:rPr>
                <w:sz w:val="21"/>
                <w:u w:val="single"/>
              </w:rPr>
              <w:t>6-9</w:t>
            </w:r>
          </w:p>
        </w:tc>
        <w:tc>
          <w:tcPr>
            <w:tcW w:w="570" w:type="pct"/>
            <w:vAlign w:val="center"/>
          </w:tcPr>
          <w:p>
            <w:pPr>
              <w:jc w:val="center"/>
              <w:rPr>
                <w:sz w:val="21"/>
                <w:u w:val="single"/>
              </w:rPr>
            </w:pPr>
            <w:r>
              <w:rPr>
                <w:rFonts w:hint="eastAsia"/>
                <w:sz w:val="21"/>
                <w:u w:val="single"/>
              </w:rPr>
              <w:t>500</w:t>
            </w:r>
          </w:p>
        </w:tc>
        <w:tc>
          <w:tcPr>
            <w:tcW w:w="569" w:type="pct"/>
            <w:vAlign w:val="center"/>
          </w:tcPr>
          <w:p>
            <w:pPr>
              <w:jc w:val="center"/>
              <w:rPr>
                <w:sz w:val="21"/>
                <w:u w:val="single"/>
              </w:rPr>
            </w:pPr>
            <w:r>
              <w:rPr>
                <w:rFonts w:hint="eastAsia"/>
                <w:sz w:val="21"/>
                <w:u w:val="single"/>
              </w:rPr>
              <w:t>130</w:t>
            </w:r>
          </w:p>
        </w:tc>
        <w:tc>
          <w:tcPr>
            <w:tcW w:w="553" w:type="pct"/>
            <w:vAlign w:val="center"/>
          </w:tcPr>
          <w:p>
            <w:pPr>
              <w:jc w:val="center"/>
              <w:rPr>
                <w:sz w:val="21"/>
                <w:u w:val="single"/>
              </w:rPr>
            </w:pPr>
            <w:r>
              <w:rPr>
                <w:rFonts w:hint="eastAsia"/>
                <w:sz w:val="21"/>
                <w:u w:val="single"/>
              </w:rPr>
              <w:t>200</w:t>
            </w:r>
          </w:p>
        </w:tc>
        <w:tc>
          <w:tcPr>
            <w:tcW w:w="691" w:type="pct"/>
            <w:vAlign w:val="center"/>
          </w:tcPr>
          <w:p>
            <w:pPr>
              <w:jc w:val="center"/>
              <w:rPr>
                <w:sz w:val="21"/>
                <w:u w:val="single"/>
              </w:rPr>
            </w:pPr>
            <w:r>
              <w:rPr>
                <w:rFonts w:hint="eastAsia"/>
                <w:sz w:val="21"/>
                <w:u w:val="single"/>
              </w:rPr>
              <w:t>25</w:t>
            </w:r>
          </w:p>
        </w:tc>
        <w:tc>
          <w:tcPr>
            <w:tcW w:w="691" w:type="pct"/>
            <w:vAlign w:val="center"/>
          </w:tcPr>
          <w:p>
            <w:pPr>
              <w:jc w:val="center"/>
              <w:rPr>
                <w:sz w:val="21"/>
                <w:u w:val="single"/>
              </w:rPr>
            </w:pPr>
            <w:r>
              <w:rPr>
                <w:rFonts w:hint="eastAsia"/>
                <w:sz w:val="21"/>
                <w:u w:val="single"/>
              </w:rPr>
              <w:t>35</w:t>
            </w:r>
          </w:p>
        </w:tc>
        <w:tc>
          <w:tcPr>
            <w:tcW w:w="690" w:type="pct"/>
            <w:vAlign w:val="center"/>
          </w:tcPr>
          <w:p>
            <w:pPr>
              <w:jc w:val="center"/>
              <w:rPr>
                <w:sz w:val="21"/>
                <w:u w:val="single"/>
              </w:rPr>
            </w:pPr>
            <w:r>
              <w:rPr>
                <w:rFonts w:hint="eastAsia"/>
                <w:sz w:val="21"/>
                <w:u w:val="single"/>
              </w:rPr>
              <w:t>3.0</w:t>
            </w:r>
          </w:p>
        </w:tc>
      </w:tr>
    </w:tbl>
    <w:p>
      <w:pPr>
        <w:spacing w:line="360" w:lineRule="auto"/>
        <w:ind w:firstLine="480" w:firstLineChars="200"/>
        <w:rPr>
          <w:u w:val="single"/>
        </w:rPr>
      </w:pPr>
      <w:r>
        <w:rPr>
          <w:rFonts w:hint="eastAsia"/>
          <w:u w:val="single"/>
        </w:rPr>
        <w:t>本项目职工公寓废水和医院厨房废水排放量为</w:t>
      </w:r>
      <w:r>
        <w:rPr>
          <w:rFonts w:hint="eastAsia"/>
          <w:szCs w:val="24"/>
          <w:u w:val="single"/>
        </w:rPr>
        <w:t>23.8</w:t>
      </w:r>
      <w:r>
        <w:rPr>
          <w:szCs w:val="24"/>
          <w:u w:val="single"/>
        </w:rPr>
        <w:t>m</w:t>
      </w:r>
      <w:r>
        <w:rPr>
          <w:szCs w:val="24"/>
          <w:u w:val="single"/>
          <w:vertAlign w:val="superscript"/>
        </w:rPr>
        <w:t>3</w:t>
      </w:r>
      <w:r>
        <w:rPr>
          <w:szCs w:val="24"/>
          <w:u w:val="single"/>
        </w:rPr>
        <w:t>/d</w:t>
      </w:r>
      <w:r>
        <w:rPr>
          <w:rFonts w:hint="eastAsia"/>
          <w:szCs w:val="24"/>
          <w:u w:val="single"/>
        </w:rPr>
        <w:t>（8687</w:t>
      </w:r>
      <w:r>
        <w:rPr>
          <w:szCs w:val="24"/>
          <w:u w:val="single"/>
        </w:rPr>
        <w:t>m</w:t>
      </w:r>
      <w:r>
        <w:rPr>
          <w:szCs w:val="24"/>
          <w:u w:val="single"/>
          <w:vertAlign w:val="superscript"/>
        </w:rPr>
        <w:t>3</w:t>
      </w:r>
      <w:r>
        <w:rPr>
          <w:szCs w:val="24"/>
          <w:u w:val="single"/>
        </w:rPr>
        <w:t>/</w:t>
      </w:r>
      <w:r>
        <w:rPr>
          <w:rFonts w:hint="eastAsia"/>
          <w:szCs w:val="24"/>
          <w:u w:val="single"/>
        </w:rPr>
        <w:t>a）</w:t>
      </w:r>
      <w:r>
        <w:rPr>
          <w:rFonts w:hint="eastAsia"/>
          <w:color w:val="000000" w:themeColor="text1"/>
          <w:u w:val="single"/>
        </w:rPr>
        <w:t>，</w:t>
      </w:r>
      <w:r>
        <w:rPr>
          <w:rFonts w:hint="eastAsia"/>
          <w:u w:val="single"/>
        </w:rPr>
        <w:t>餐厅废水采用隔油沉淀池处理后排入化粪池，处理后COD</w:t>
      </w:r>
      <w:r>
        <w:rPr>
          <w:rFonts w:hint="eastAsia"/>
          <w:u w:val="single"/>
          <w:vertAlign w:val="subscript"/>
        </w:rPr>
        <w:t>Cr</w:t>
      </w:r>
      <w:r>
        <w:rPr>
          <w:rFonts w:hint="eastAsia"/>
          <w:u w:val="single"/>
        </w:rPr>
        <w:t>、BOD</w:t>
      </w:r>
      <w:r>
        <w:rPr>
          <w:rFonts w:hint="eastAsia"/>
          <w:u w:val="single"/>
          <w:vertAlign w:val="subscript"/>
        </w:rPr>
        <w:t>5</w:t>
      </w:r>
      <w:r>
        <w:rPr>
          <w:rFonts w:hint="eastAsia"/>
          <w:u w:val="single"/>
        </w:rPr>
        <w:t>、SS、氨氮、动植物油排放浓度为250mg/L、120mg/L、100mg/L、20mg/L、10mg/L，对照上述表格可知生活污水预处理后能够满足</w:t>
      </w:r>
      <w:r>
        <w:rPr>
          <w:u w:val="single"/>
        </w:rPr>
        <w:t>《污水综合排放标准》（GB8978-1996）中</w:t>
      </w:r>
      <w:r>
        <w:rPr>
          <w:rFonts w:hint="eastAsia"/>
          <w:u w:val="single"/>
        </w:rPr>
        <w:t>三</w:t>
      </w:r>
      <w:r>
        <w:rPr>
          <w:u w:val="single"/>
        </w:rPr>
        <w:t>级排放标准</w:t>
      </w:r>
      <w:r>
        <w:rPr>
          <w:rFonts w:hint="eastAsia"/>
          <w:u w:val="single"/>
        </w:rPr>
        <w:t>和马壕污水处理厂接管标准要求。</w:t>
      </w:r>
    </w:p>
    <w:p>
      <w:pPr>
        <w:spacing w:line="360" w:lineRule="auto"/>
        <w:ind w:firstLine="480" w:firstLineChars="200"/>
      </w:pPr>
      <w:r>
        <w:rPr>
          <w:rFonts w:hint="eastAsia"/>
          <w:u w:val="single"/>
        </w:rPr>
        <w:t>项目医疗废水排放量为</w:t>
      </w:r>
      <w:r>
        <w:rPr>
          <w:rFonts w:hint="eastAsia" w:cs="Times New Roman"/>
          <w:szCs w:val="24"/>
          <w:u w:val="single"/>
        </w:rPr>
        <w:t>328.097</w:t>
      </w:r>
      <w:r>
        <w:rPr>
          <w:rFonts w:cs="Times New Roman"/>
          <w:szCs w:val="24"/>
          <w:u w:val="single"/>
        </w:rPr>
        <w:t>m</w:t>
      </w:r>
      <w:r>
        <w:rPr>
          <w:rFonts w:cs="Times New Roman"/>
          <w:szCs w:val="24"/>
          <w:u w:val="single"/>
          <w:vertAlign w:val="superscript"/>
        </w:rPr>
        <w:t>3</w:t>
      </w:r>
      <w:r>
        <w:rPr>
          <w:rFonts w:cs="Times New Roman"/>
          <w:szCs w:val="24"/>
          <w:u w:val="single"/>
        </w:rPr>
        <w:t>/d（</w:t>
      </w:r>
      <w:r>
        <w:rPr>
          <w:rFonts w:hint="eastAsia" w:cs="Times New Roman"/>
          <w:szCs w:val="24"/>
          <w:u w:val="single"/>
        </w:rPr>
        <w:t>119755.405</w:t>
      </w:r>
      <w:r>
        <w:rPr>
          <w:rFonts w:cs="Times New Roman"/>
          <w:szCs w:val="24"/>
          <w:u w:val="single"/>
        </w:rPr>
        <w:t>m</w:t>
      </w:r>
      <w:r>
        <w:rPr>
          <w:rFonts w:cs="Times New Roman"/>
          <w:szCs w:val="24"/>
          <w:u w:val="single"/>
          <w:vertAlign w:val="superscript"/>
        </w:rPr>
        <w:t>3</w:t>
      </w:r>
      <w:r>
        <w:rPr>
          <w:rFonts w:cs="Times New Roman"/>
          <w:szCs w:val="24"/>
          <w:u w:val="single"/>
        </w:rPr>
        <w:t>/a）</w:t>
      </w:r>
      <w:r>
        <w:rPr>
          <w:rFonts w:hint="eastAsia"/>
          <w:u w:val="single"/>
        </w:rPr>
        <w:t>，医院内已建的污水处理站一级+二氧化氯消毒工艺处理后排入市政污水管网，经</w:t>
      </w:r>
      <w:r>
        <w:rPr>
          <w:rFonts w:cs="Times New Roman"/>
          <w:szCs w:val="24"/>
          <w:u w:val="single"/>
        </w:rPr>
        <w:t>根据岳阳市康复医院废水监测数据，确定医疗废水水质如下：COD：</w:t>
      </w:r>
      <w:r>
        <w:rPr>
          <w:rFonts w:hint="eastAsia" w:cs="Times New Roman"/>
          <w:szCs w:val="24"/>
          <w:u w:val="single"/>
        </w:rPr>
        <w:t>162</w:t>
      </w:r>
      <w:r>
        <w:rPr>
          <w:rFonts w:cs="Times New Roman"/>
          <w:szCs w:val="24"/>
          <w:u w:val="single"/>
        </w:rPr>
        <w:t>mg/L、BOD</w:t>
      </w:r>
      <w:r>
        <w:rPr>
          <w:rFonts w:cs="Times New Roman"/>
          <w:szCs w:val="24"/>
          <w:u w:val="single"/>
          <w:vertAlign w:val="subscript"/>
        </w:rPr>
        <w:t>5</w:t>
      </w:r>
      <w:r>
        <w:rPr>
          <w:rFonts w:cs="Times New Roman"/>
          <w:szCs w:val="24"/>
          <w:u w:val="single"/>
        </w:rPr>
        <w:t>：</w:t>
      </w:r>
      <w:r>
        <w:rPr>
          <w:rFonts w:hint="eastAsia" w:cs="Times New Roman"/>
          <w:szCs w:val="24"/>
          <w:u w:val="single"/>
        </w:rPr>
        <w:t>49.5</w:t>
      </w:r>
      <w:r>
        <w:rPr>
          <w:rFonts w:cs="Times New Roman"/>
          <w:szCs w:val="24"/>
          <w:u w:val="single"/>
        </w:rPr>
        <w:t>mg/L、SS：</w:t>
      </w:r>
      <w:r>
        <w:rPr>
          <w:rFonts w:hint="eastAsia" w:cs="Times New Roman"/>
          <w:szCs w:val="24"/>
          <w:u w:val="single"/>
        </w:rPr>
        <w:t>40</w:t>
      </w:r>
      <w:r>
        <w:rPr>
          <w:rFonts w:cs="Times New Roman"/>
          <w:szCs w:val="24"/>
          <w:u w:val="single"/>
        </w:rPr>
        <w:t>mg/L、氨氮：</w:t>
      </w:r>
      <w:r>
        <w:rPr>
          <w:rFonts w:hint="eastAsia" w:cs="Times New Roman"/>
          <w:szCs w:val="24"/>
          <w:u w:val="single"/>
        </w:rPr>
        <w:t>14.4</w:t>
      </w:r>
      <w:r>
        <w:rPr>
          <w:rFonts w:cs="Times New Roman"/>
          <w:szCs w:val="24"/>
          <w:u w:val="single"/>
        </w:rPr>
        <w:t>mg/L、粪大肠杆菌：</w:t>
      </w:r>
      <w:r>
        <w:rPr>
          <w:rFonts w:hint="eastAsia" w:cs="Times New Roman"/>
          <w:szCs w:val="24"/>
          <w:u w:val="single"/>
        </w:rPr>
        <w:t>4700</w:t>
      </w:r>
      <w:r>
        <w:rPr>
          <w:rFonts w:cs="Times New Roman"/>
          <w:szCs w:val="24"/>
          <w:u w:val="single"/>
        </w:rPr>
        <w:t>个/L</w:t>
      </w:r>
      <w:r>
        <w:rPr>
          <w:rFonts w:hint="eastAsia" w:cs="Times New Roman"/>
          <w:szCs w:val="24"/>
          <w:u w:val="single"/>
        </w:rPr>
        <w:t>、</w:t>
      </w:r>
      <w:r>
        <w:rPr>
          <w:rFonts w:cs="Times New Roman"/>
          <w:szCs w:val="24"/>
          <w:u w:val="single"/>
        </w:rPr>
        <w:t>总氮</w:t>
      </w:r>
      <w:r>
        <w:rPr>
          <w:rFonts w:hint="eastAsia" w:cs="Times New Roman"/>
          <w:szCs w:val="24"/>
          <w:u w:val="single"/>
        </w:rPr>
        <w:t>：25.3</w:t>
      </w:r>
      <w:r>
        <w:rPr>
          <w:rFonts w:cs="Times New Roman"/>
          <w:szCs w:val="24"/>
          <w:u w:val="single"/>
        </w:rPr>
        <w:t>mg/L</w:t>
      </w:r>
      <w:r>
        <w:rPr>
          <w:rFonts w:hint="eastAsia" w:cs="Times New Roman"/>
          <w:szCs w:val="24"/>
          <w:u w:val="single"/>
        </w:rPr>
        <w:t>、总磷：1.2</w:t>
      </w:r>
      <w:r>
        <w:rPr>
          <w:rFonts w:cs="Times New Roman"/>
          <w:szCs w:val="24"/>
          <w:u w:val="single"/>
        </w:rPr>
        <w:t>mg/L</w:t>
      </w:r>
      <w:r>
        <w:rPr>
          <w:rFonts w:hint="eastAsia" w:cs="Times New Roman"/>
          <w:szCs w:val="24"/>
          <w:u w:val="single"/>
        </w:rPr>
        <w:t>、</w:t>
      </w:r>
      <w:r>
        <w:rPr>
          <w:rFonts w:cs="Times New Roman"/>
          <w:szCs w:val="24"/>
          <w:u w:val="single"/>
        </w:rPr>
        <w:t>阴离子表面活性剂</w:t>
      </w:r>
      <w:r>
        <w:rPr>
          <w:rFonts w:hint="eastAsia" w:cs="Times New Roman"/>
          <w:szCs w:val="24"/>
          <w:u w:val="single"/>
        </w:rPr>
        <w:t>：0.2</w:t>
      </w:r>
      <w:r>
        <w:rPr>
          <w:rFonts w:cs="Times New Roman"/>
          <w:szCs w:val="24"/>
          <w:u w:val="single"/>
        </w:rPr>
        <w:t>mg/L</w:t>
      </w:r>
      <w:r>
        <w:rPr>
          <w:rFonts w:hint="eastAsia" w:cs="Times New Roman"/>
          <w:szCs w:val="24"/>
          <w:u w:val="single"/>
        </w:rPr>
        <w:t>、总余氯：0.04</w:t>
      </w:r>
      <w:r>
        <w:rPr>
          <w:rFonts w:cs="Times New Roman"/>
          <w:szCs w:val="24"/>
          <w:u w:val="single"/>
        </w:rPr>
        <w:t>mg/L</w:t>
      </w:r>
      <w:r>
        <w:rPr>
          <w:rFonts w:hint="eastAsia" w:cs="Times New Roman"/>
          <w:szCs w:val="24"/>
          <w:u w:val="single"/>
        </w:rPr>
        <w:t>、</w:t>
      </w:r>
      <w:r>
        <w:rPr>
          <w:rFonts w:cs="Times New Roman"/>
          <w:szCs w:val="24"/>
          <w:u w:val="single"/>
        </w:rPr>
        <w:t>总氰化物</w:t>
      </w:r>
      <w:r>
        <w:rPr>
          <w:rFonts w:hint="eastAsia" w:cs="Times New Roman"/>
          <w:szCs w:val="24"/>
          <w:u w:val="single"/>
        </w:rPr>
        <w:t>：0.001L</w:t>
      </w:r>
      <w:r>
        <w:rPr>
          <w:rFonts w:cs="Times New Roman"/>
          <w:szCs w:val="24"/>
          <w:u w:val="single"/>
        </w:rPr>
        <w:t>。</w:t>
      </w:r>
      <w:r>
        <w:rPr>
          <w:rFonts w:hint="eastAsia"/>
          <w:u w:val="single"/>
        </w:rPr>
        <w:t>对照上述表格可知医疗废水预处理后排放浓度能够</w:t>
      </w:r>
      <w:r>
        <w:rPr>
          <w:u w:val="single"/>
        </w:rPr>
        <w:t>《医疗机构水污染物排放标准》（GB18466-2005）中</w:t>
      </w:r>
      <w:r>
        <w:rPr>
          <w:rFonts w:hint="eastAsia"/>
          <w:u w:val="single"/>
        </w:rPr>
        <w:t>表2</w:t>
      </w:r>
      <w:r>
        <w:rPr>
          <w:u w:val="single"/>
        </w:rPr>
        <w:t>的</w:t>
      </w:r>
      <w:r>
        <w:rPr>
          <w:rFonts w:hint="eastAsia"/>
          <w:u w:val="single"/>
        </w:rPr>
        <w:t>预处理</w:t>
      </w:r>
      <w:r>
        <w:rPr>
          <w:u w:val="single"/>
        </w:rPr>
        <w:t>标准</w:t>
      </w:r>
      <w:r>
        <w:rPr>
          <w:rFonts w:hint="eastAsia"/>
          <w:u w:val="single"/>
        </w:rPr>
        <w:t>和满足马壕污水处理厂接管标准要求。</w:t>
      </w:r>
    </w:p>
    <w:p>
      <w:pPr>
        <w:spacing w:line="360" w:lineRule="auto"/>
        <w:ind w:firstLine="480" w:firstLineChars="200"/>
      </w:pPr>
      <w:r>
        <w:rPr>
          <w:rFonts w:hint="eastAsia"/>
        </w:rPr>
        <w:t>综上所述，本项目废水正常排放情况下最终经马壕污水处理厂处理达</w:t>
      </w:r>
      <w:r>
        <w:t>《城镇污水处理厂污染物排放标准》(GB18918-2002)一级</w:t>
      </w:r>
      <w:r>
        <w:rPr>
          <w:rFonts w:hint="eastAsia"/>
        </w:rPr>
        <w:t>A</w:t>
      </w:r>
      <w:r>
        <w:t>标准</w:t>
      </w:r>
      <w:r>
        <w:rPr>
          <w:rFonts w:hint="eastAsia"/>
        </w:rPr>
        <w:t>后排入东风湖，项目外排废水对其水质的影响很小。</w:t>
      </w:r>
    </w:p>
    <w:p>
      <w:pPr>
        <w:adjustRightInd w:val="0"/>
        <w:snapToGrid w:val="0"/>
        <w:spacing w:line="360" w:lineRule="auto"/>
        <w:ind w:firstLine="480" w:firstLineChars="200"/>
        <w:rPr>
          <w:rFonts w:cs="Times New Roman"/>
          <w:color w:val="000000" w:themeColor="text1"/>
        </w:rPr>
      </w:pPr>
      <w:r>
        <w:rPr>
          <w:rFonts w:cs="Times New Roman"/>
          <w:color w:val="000000" w:themeColor="text1"/>
        </w:rPr>
        <w:t>（</w:t>
      </w:r>
      <w:r>
        <w:rPr>
          <w:rFonts w:hint="eastAsia" w:cs="Times New Roman"/>
          <w:color w:val="000000" w:themeColor="text1"/>
        </w:rPr>
        <w:t>5</w:t>
      </w:r>
      <w:r>
        <w:rPr>
          <w:rFonts w:cs="Times New Roman"/>
          <w:color w:val="000000" w:themeColor="text1"/>
        </w:rPr>
        <w:t>）</w:t>
      </w:r>
      <w:r>
        <w:rPr>
          <w:rFonts w:hint="eastAsia" w:cs="Times New Roman"/>
          <w:color w:val="000000" w:themeColor="text1"/>
        </w:rPr>
        <w:t>马壕污水处理厂的环境可行性分析</w:t>
      </w:r>
    </w:p>
    <w:p>
      <w:pPr>
        <w:spacing w:line="360" w:lineRule="auto"/>
        <w:ind w:firstLine="480" w:firstLineChars="200"/>
        <w:rPr>
          <w:color w:val="000000" w:themeColor="text1"/>
        </w:rPr>
      </w:pPr>
      <w:r>
        <w:rPr>
          <w:rFonts w:hint="eastAsia"/>
          <w:color w:val="000000" w:themeColor="text1"/>
        </w:rPr>
        <w:t>岳阳市马壕污水处理厂位于东风湖以南、湖东路以西，马壕污水处理厂出水水质满足《城镇污水处理厂污染物排放标准（GB18918-2002）》一级A标准要求后排入东风湖，污水处理厂处理工艺见下图所示</w:t>
      </w:r>
    </w:p>
    <w:p>
      <w:pPr>
        <w:adjustRightInd w:val="0"/>
        <w:snapToGrid w:val="0"/>
        <w:spacing w:line="360" w:lineRule="auto"/>
        <w:ind w:firstLine="480" w:firstLineChars="200"/>
        <w:rPr>
          <w:color w:val="FF0000"/>
        </w:rPr>
      </w:pPr>
      <w:r>
        <w:rPr>
          <w:color w:val="FF0000"/>
        </w:rPr>
        <w:object>
          <v:shape id="_x0000_i1030" o:spt="75" type="#_x0000_t75" style="height:149.55pt;width:440pt;" o:ole="t" filled="f" o:preferrelative="t" stroked="f" coordsize="21600,21600">
            <v:path/>
            <v:fill on="f" focussize="0,0"/>
            <v:stroke on="f" joinstyle="miter"/>
            <v:imagedata r:id="rId16" o:title=""/>
            <o:lock v:ext="edit" aspectratio="t"/>
            <w10:wrap type="none"/>
            <w10:anchorlock/>
          </v:shape>
          <o:OLEObject Type="Embed" ProgID="Visio.Drawing.11" ShapeID="_x0000_i1030" DrawAspect="Content" ObjectID="_1468075729" r:id="rId19">
            <o:LockedField>false</o:LockedField>
          </o:OLEObject>
        </w:object>
      </w:r>
    </w:p>
    <w:p>
      <w:pPr>
        <w:pStyle w:val="14"/>
        <w:rPr>
          <w:rFonts w:cs="Times New Roman"/>
          <w:color w:val="000000" w:themeColor="text1"/>
        </w:rPr>
      </w:pPr>
      <w:bookmarkStart w:id="185" w:name="_Ref25574053"/>
      <w:r>
        <w:rPr>
          <w:rFonts w:hint="eastAsia"/>
          <w:color w:val="000000" w:themeColor="text1"/>
        </w:rPr>
        <w:t>图</w:t>
      </w:r>
      <w:r>
        <w:rPr>
          <w:color w:val="000000" w:themeColor="text1"/>
        </w:rPr>
        <w:fldChar w:fldCharType="begin"/>
      </w:r>
      <w:r>
        <w:rPr>
          <w:color w:val="000000" w:themeColor="text1"/>
        </w:rPr>
        <w:instrText xml:space="preserve"> </w:instrText>
      </w:r>
      <w:r>
        <w:rPr>
          <w:rFonts w:hint="eastAsia"/>
          <w:color w:val="000000" w:themeColor="text1"/>
        </w:rPr>
        <w:instrText xml:space="preserve">STYLEREF 2 \s</w:instrText>
      </w:r>
      <w:r>
        <w:rPr>
          <w:color w:val="000000" w:themeColor="text1"/>
        </w:rPr>
        <w:instrText xml:space="preserve"> </w:instrText>
      </w:r>
      <w:r>
        <w:rPr>
          <w:color w:val="000000" w:themeColor="text1"/>
        </w:rPr>
        <w:fldChar w:fldCharType="separate"/>
      </w:r>
      <w:r>
        <w:rPr>
          <w:color w:val="000000" w:themeColor="text1"/>
        </w:rPr>
        <w:t>5.2</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图 \* ARABIC \s 2</w:instrText>
      </w:r>
      <w:r>
        <w:rPr>
          <w:color w:val="000000" w:themeColor="text1"/>
        </w:rPr>
        <w:instrText xml:space="preserve"> </w:instrText>
      </w:r>
      <w:r>
        <w:rPr>
          <w:color w:val="000000" w:themeColor="text1"/>
        </w:rPr>
        <w:fldChar w:fldCharType="separate"/>
      </w:r>
      <w:r>
        <w:rPr>
          <w:color w:val="000000" w:themeColor="text1"/>
        </w:rPr>
        <w:t>2</w:t>
      </w:r>
      <w:r>
        <w:rPr>
          <w:color w:val="000000" w:themeColor="text1"/>
        </w:rPr>
        <w:fldChar w:fldCharType="end"/>
      </w:r>
      <w:bookmarkEnd w:id="185"/>
      <w:r>
        <w:rPr>
          <w:rFonts w:hint="eastAsia"/>
          <w:color w:val="000000" w:themeColor="text1"/>
        </w:rPr>
        <w:t>污水处理厂工艺流程图</w:t>
      </w:r>
    </w:p>
    <w:p>
      <w:pPr>
        <w:spacing w:line="360" w:lineRule="auto"/>
        <w:ind w:firstLine="480" w:firstLineChars="200"/>
        <w:rPr>
          <w:rFonts w:ascii="宋体" w:hAnsi="宋体"/>
          <w:szCs w:val="24"/>
        </w:rPr>
      </w:pPr>
      <w:r>
        <w:rPr>
          <w:rFonts w:ascii="宋体" w:hAnsi="宋体"/>
          <w:szCs w:val="24"/>
        </w:rPr>
        <w:t>马壕污水处理厂是岳阳市总体规划中的</w:t>
      </w:r>
      <w:r>
        <w:rPr>
          <w:szCs w:val="24"/>
        </w:rPr>
        <w:t>34</w:t>
      </w:r>
      <w:r>
        <w:rPr>
          <w:rFonts w:ascii="宋体" w:hAnsi="宋体"/>
          <w:szCs w:val="24"/>
        </w:rPr>
        <w:t>座污水处理系统之一，该厂选址于枫桥湖片区西南侧，枫桥湖路以北东风湖的南侧，规模为</w:t>
      </w:r>
      <w:r>
        <w:rPr>
          <w:szCs w:val="24"/>
        </w:rPr>
        <w:t>5</w:t>
      </w:r>
      <w:r>
        <w:rPr>
          <w:rFonts w:ascii="宋体" w:hAnsi="宋体"/>
          <w:szCs w:val="24"/>
        </w:rPr>
        <w:t>万吨</w:t>
      </w:r>
      <w:r>
        <w:rPr>
          <w:szCs w:val="24"/>
        </w:rPr>
        <w:t>/</w:t>
      </w:r>
      <w:r>
        <w:rPr>
          <w:rFonts w:ascii="宋体" w:hAnsi="宋体"/>
          <w:szCs w:val="24"/>
        </w:rPr>
        <w:t>天，本项目所在地属于岳阳市马壕污水处理厂污水接纳范围，污水厂占地</w:t>
      </w:r>
      <w:r>
        <w:rPr>
          <w:szCs w:val="24"/>
        </w:rPr>
        <w:t>73934.25</w:t>
      </w:r>
      <w:r>
        <w:rPr>
          <w:rFonts w:ascii="宋体" w:hAnsi="宋体"/>
          <w:szCs w:val="24"/>
        </w:rPr>
        <w:t>平方米，采用二级生物处理传统推流式</w:t>
      </w:r>
      <w:r>
        <w:rPr>
          <w:szCs w:val="24"/>
        </w:rPr>
        <w:t>A</w:t>
      </w:r>
      <w:r>
        <w:rPr>
          <w:szCs w:val="24"/>
          <w:vertAlign w:val="superscript"/>
        </w:rPr>
        <w:t>2</w:t>
      </w:r>
      <w:r>
        <w:rPr>
          <w:szCs w:val="24"/>
        </w:rPr>
        <w:t>/O</w:t>
      </w:r>
      <w:r>
        <w:rPr>
          <w:rFonts w:ascii="宋体" w:hAnsi="宋体"/>
          <w:szCs w:val="24"/>
        </w:rPr>
        <w:t>工艺。根据调查目前污水厂处理的废水量占总的</w:t>
      </w:r>
      <w:r>
        <w:rPr>
          <w:szCs w:val="24"/>
        </w:rPr>
        <w:t>75%</w:t>
      </w:r>
      <w:r>
        <w:rPr>
          <w:rFonts w:ascii="宋体" w:hAnsi="宋体"/>
          <w:szCs w:val="24"/>
        </w:rPr>
        <w:t>左右，处理后的污水达到《城镇污水处理厂污染物排放标准》（</w:t>
      </w:r>
      <w:r>
        <w:rPr>
          <w:szCs w:val="24"/>
        </w:rPr>
        <w:t>GB18918-2002</w:t>
      </w:r>
      <w:r>
        <w:rPr>
          <w:rFonts w:ascii="宋体" w:hAnsi="宋体"/>
          <w:szCs w:val="24"/>
        </w:rPr>
        <w:t>）一级</w:t>
      </w:r>
      <w:r>
        <w:rPr>
          <w:szCs w:val="24"/>
        </w:rPr>
        <w:t>A</w:t>
      </w:r>
      <w:r>
        <w:rPr>
          <w:rFonts w:ascii="宋体" w:hAnsi="宋体"/>
          <w:szCs w:val="24"/>
        </w:rPr>
        <w:t>标准后排入东风湖上湖最终排至东洞庭湖内。</w:t>
      </w:r>
    </w:p>
    <w:p>
      <w:pPr>
        <w:spacing w:line="360" w:lineRule="auto"/>
        <w:ind w:firstLine="480" w:firstLineChars="200"/>
        <w:rPr>
          <w:rFonts w:ascii="宋体" w:hAnsi="宋体"/>
          <w:szCs w:val="24"/>
        </w:rPr>
      </w:pPr>
      <w:r>
        <w:rPr>
          <w:rFonts w:ascii="宋体" w:hAnsi="宋体"/>
          <w:szCs w:val="24"/>
        </w:rPr>
        <w:t>项目所处位置属于马壕污水处理厂的纳污范围；项目废水主要为</w:t>
      </w:r>
      <w:r>
        <w:rPr>
          <w:rFonts w:hint="eastAsia" w:ascii="宋体" w:hAnsi="宋体"/>
          <w:szCs w:val="24"/>
        </w:rPr>
        <w:t>预处理之后的医疗废水和</w:t>
      </w:r>
      <w:r>
        <w:rPr>
          <w:rFonts w:ascii="宋体" w:hAnsi="宋体"/>
          <w:szCs w:val="24"/>
        </w:rPr>
        <w:t>生活废水，主要污染物为</w:t>
      </w:r>
      <w:r>
        <w:rPr>
          <w:szCs w:val="24"/>
        </w:rPr>
        <w:t>COD</w:t>
      </w:r>
      <w:r>
        <w:rPr>
          <w:rFonts w:ascii="宋体" w:hAnsi="宋体"/>
          <w:szCs w:val="24"/>
        </w:rPr>
        <w:t>、</w:t>
      </w:r>
      <w:r>
        <w:rPr>
          <w:szCs w:val="24"/>
        </w:rPr>
        <w:t>NH</w:t>
      </w:r>
      <w:r>
        <w:rPr>
          <w:szCs w:val="24"/>
          <w:vertAlign w:val="subscript"/>
        </w:rPr>
        <w:t>3-</w:t>
      </w:r>
      <w:r>
        <w:rPr>
          <w:szCs w:val="24"/>
        </w:rPr>
        <w:t>N</w:t>
      </w:r>
      <w:r>
        <w:rPr>
          <w:rFonts w:ascii="宋体" w:hAnsi="宋体"/>
          <w:szCs w:val="24"/>
        </w:rPr>
        <w:t>等，为马壕污水处理厂常规处理项目；项目废水日最大排放量为</w:t>
      </w:r>
      <w:r>
        <w:rPr>
          <w:rFonts w:hint="eastAsia"/>
          <w:szCs w:val="24"/>
        </w:rPr>
        <w:t>351.257</w:t>
      </w:r>
      <w:r>
        <w:rPr>
          <w:szCs w:val="24"/>
        </w:rPr>
        <w:t>m</w:t>
      </w:r>
      <w:r>
        <w:rPr>
          <w:szCs w:val="24"/>
          <w:vertAlign w:val="superscript"/>
        </w:rPr>
        <w:t>3</w:t>
      </w:r>
      <w:r>
        <w:rPr>
          <w:szCs w:val="24"/>
        </w:rPr>
        <w:t>/d</w:t>
      </w:r>
      <w:r>
        <w:rPr>
          <w:rFonts w:ascii="宋体" w:hAnsi="宋体"/>
          <w:szCs w:val="24"/>
        </w:rPr>
        <w:t>，废水排放量仅占马壕污水处理厂实际处理规模的</w:t>
      </w:r>
      <w:r>
        <w:rPr>
          <w:rFonts w:hint="eastAsia"/>
          <w:szCs w:val="24"/>
        </w:rPr>
        <w:t>0.7</w:t>
      </w:r>
      <w:r>
        <w:rPr>
          <w:szCs w:val="24"/>
        </w:rPr>
        <w:t>%</w:t>
      </w:r>
      <w:r>
        <w:rPr>
          <w:rFonts w:ascii="宋体" w:hAnsi="宋体"/>
          <w:szCs w:val="24"/>
        </w:rPr>
        <w:t>，不会对马壕污水处理厂造成冲击。</w:t>
      </w:r>
    </w:p>
    <w:p>
      <w:pPr>
        <w:spacing w:line="360" w:lineRule="auto"/>
        <w:ind w:firstLine="480" w:firstLineChars="200"/>
        <w:rPr>
          <w:rFonts w:ascii="宋体" w:hAnsi="宋体"/>
          <w:szCs w:val="24"/>
        </w:rPr>
      </w:pPr>
      <w:r>
        <w:rPr>
          <w:rFonts w:ascii="宋体" w:hAnsi="宋体"/>
          <w:szCs w:val="24"/>
        </w:rPr>
        <w:t>根据岳阳市生态环境局公布关于</w:t>
      </w:r>
      <w:r>
        <w:rPr>
          <w:rFonts w:hint="eastAsia" w:ascii="宋体" w:hAnsi="宋体"/>
          <w:szCs w:val="24"/>
        </w:rPr>
        <w:t>《国家重点监测控企业污染源监测及信息公开办法（试行）》的相关要求的监督性监测数据公示，马壕污水处理厂总排口的监测数据统计情况见下表所示。</w:t>
      </w:r>
    </w:p>
    <w:p>
      <w:pPr>
        <w:pStyle w:val="14"/>
        <w:spacing w:line="240" w:lineRule="auto"/>
        <w:rPr>
          <w:rFonts w:cs="Times New Roman"/>
          <w:szCs w:val="24"/>
        </w:rPr>
      </w:pPr>
      <w:r>
        <w:rPr>
          <w:rFonts w:hAnsi="宋体" w:cs="Times New Roman"/>
          <w:szCs w:val="24"/>
        </w:rPr>
        <w:t>表</w:t>
      </w:r>
      <w:r>
        <w:rPr>
          <w:rFonts w:cs="Times New Roman"/>
          <w:szCs w:val="24"/>
        </w:rPr>
        <w:fldChar w:fldCharType="begin"/>
      </w:r>
      <w:r>
        <w:rPr>
          <w:rFonts w:cs="Times New Roman"/>
          <w:szCs w:val="24"/>
        </w:rPr>
        <w:instrText xml:space="preserve"> STYLEREF 2 \s </w:instrText>
      </w:r>
      <w:r>
        <w:rPr>
          <w:rFonts w:cs="Times New Roman"/>
          <w:szCs w:val="24"/>
        </w:rPr>
        <w:fldChar w:fldCharType="separate"/>
      </w:r>
      <w:r>
        <w:rPr>
          <w:rFonts w:cs="Times New Roman"/>
          <w:szCs w:val="24"/>
        </w:rPr>
        <w:t>5.2</w:t>
      </w:r>
      <w:r>
        <w:rPr>
          <w:rFonts w:cs="Times New Roman"/>
          <w:szCs w:val="24"/>
        </w:rPr>
        <w:fldChar w:fldCharType="end"/>
      </w:r>
      <w:r>
        <w:rPr>
          <w:rFonts w:cs="Times New Roman"/>
          <w:szCs w:val="24"/>
        </w:rPr>
        <w:noBreakHyphen/>
      </w:r>
      <w:r>
        <w:rPr>
          <w:rFonts w:cs="Times New Roman"/>
          <w:szCs w:val="24"/>
        </w:rPr>
        <w:fldChar w:fldCharType="begin"/>
      </w:r>
      <w:r>
        <w:rPr>
          <w:rFonts w:cs="Times New Roman"/>
          <w:szCs w:val="24"/>
        </w:rPr>
        <w:instrText xml:space="preserve"> SEQ </w:instrText>
      </w:r>
      <w:r>
        <w:rPr>
          <w:rFonts w:hAnsi="宋体" w:cs="Times New Roman"/>
          <w:szCs w:val="24"/>
        </w:rPr>
        <w:instrText xml:space="preserve">表</w:instrText>
      </w:r>
      <w:r>
        <w:rPr>
          <w:rFonts w:cs="Times New Roman"/>
          <w:szCs w:val="24"/>
        </w:rPr>
        <w:instrText xml:space="preserve"> \* ARABIC \s 2 </w:instrText>
      </w:r>
      <w:r>
        <w:rPr>
          <w:rFonts w:cs="Times New Roman"/>
          <w:szCs w:val="24"/>
        </w:rPr>
        <w:fldChar w:fldCharType="separate"/>
      </w:r>
      <w:r>
        <w:rPr>
          <w:rFonts w:cs="Times New Roman"/>
          <w:szCs w:val="24"/>
        </w:rPr>
        <w:t>3</w:t>
      </w:r>
      <w:r>
        <w:rPr>
          <w:rFonts w:cs="Times New Roman"/>
          <w:szCs w:val="24"/>
        </w:rPr>
        <w:fldChar w:fldCharType="end"/>
      </w:r>
      <w:r>
        <w:rPr>
          <w:rFonts w:cs="Times New Roman"/>
          <w:szCs w:val="24"/>
        </w:rPr>
        <w:t xml:space="preserve">  马壕污水处理厂总排口监测数据一览表</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2"/>
        <w:gridCol w:w="1374"/>
        <w:gridCol w:w="1327"/>
        <w:gridCol w:w="1547"/>
        <w:gridCol w:w="1391"/>
        <w:gridCol w:w="1385"/>
        <w:gridCol w:w="1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pct"/>
            <w:vAlign w:val="center"/>
          </w:tcPr>
          <w:p>
            <w:pPr>
              <w:pStyle w:val="14"/>
              <w:adjustRightInd w:val="0"/>
              <w:snapToGrid w:val="0"/>
              <w:spacing w:line="240" w:lineRule="auto"/>
              <w:rPr>
                <w:rFonts w:cs="Times New Roman"/>
                <w:b w:val="0"/>
                <w:sz w:val="21"/>
                <w:szCs w:val="21"/>
              </w:rPr>
            </w:pPr>
            <w:r>
              <w:rPr>
                <w:rFonts w:cs="Times New Roman"/>
                <w:b w:val="0"/>
                <w:sz w:val="21"/>
                <w:szCs w:val="21"/>
              </w:rPr>
              <w:t>监测点位名称</w:t>
            </w:r>
          </w:p>
        </w:tc>
        <w:tc>
          <w:tcPr>
            <w:tcW w:w="712" w:type="pct"/>
            <w:vAlign w:val="center"/>
          </w:tcPr>
          <w:p>
            <w:pPr>
              <w:pStyle w:val="14"/>
              <w:adjustRightInd w:val="0"/>
              <w:snapToGrid w:val="0"/>
              <w:spacing w:line="240" w:lineRule="auto"/>
              <w:rPr>
                <w:rFonts w:cs="Times New Roman"/>
                <w:b w:val="0"/>
                <w:sz w:val="21"/>
                <w:szCs w:val="21"/>
              </w:rPr>
            </w:pPr>
            <w:r>
              <w:rPr>
                <w:rFonts w:cs="Times New Roman"/>
                <w:b w:val="0"/>
                <w:sz w:val="21"/>
                <w:szCs w:val="21"/>
              </w:rPr>
              <w:t>监测日期</w:t>
            </w:r>
          </w:p>
        </w:tc>
        <w:tc>
          <w:tcPr>
            <w:tcW w:w="688"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监测项目名称</w:t>
            </w:r>
          </w:p>
        </w:tc>
        <w:tc>
          <w:tcPr>
            <w:tcW w:w="802" w:type="pct"/>
            <w:vAlign w:val="center"/>
          </w:tcPr>
          <w:p>
            <w:pPr>
              <w:pStyle w:val="14"/>
              <w:adjustRightInd w:val="0"/>
              <w:snapToGrid w:val="0"/>
              <w:spacing w:line="240" w:lineRule="auto"/>
              <w:rPr>
                <w:rFonts w:cs="Times New Roman"/>
                <w:b w:val="0"/>
                <w:sz w:val="21"/>
                <w:szCs w:val="21"/>
              </w:rPr>
            </w:pPr>
            <w:r>
              <w:rPr>
                <w:rFonts w:cs="Times New Roman"/>
                <w:b w:val="0"/>
                <w:sz w:val="21"/>
                <w:szCs w:val="21"/>
              </w:rPr>
              <w:t>污染物浓度</w:t>
            </w:r>
          </w:p>
        </w:tc>
        <w:tc>
          <w:tcPr>
            <w:tcW w:w="721" w:type="pct"/>
            <w:vAlign w:val="center"/>
          </w:tcPr>
          <w:p>
            <w:pPr>
              <w:pStyle w:val="14"/>
              <w:adjustRightInd w:val="0"/>
              <w:snapToGrid w:val="0"/>
              <w:spacing w:line="240" w:lineRule="auto"/>
              <w:rPr>
                <w:rFonts w:cs="Times New Roman"/>
                <w:b w:val="0"/>
                <w:sz w:val="21"/>
                <w:szCs w:val="21"/>
              </w:rPr>
            </w:pPr>
            <w:r>
              <w:rPr>
                <w:rFonts w:cs="Times New Roman"/>
                <w:b w:val="0"/>
                <w:sz w:val="21"/>
                <w:szCs w:val="21"/>
              </w:rPr>
              <w:t>标准限值</w:t>
            </w:r>
          </w:p>
        </w:tc>
        <w:tc>
          <w:tcPr>
            <w:tcW w:w="718" w:type="pct"/>
            <w:vAlign w:val="center"/>
          </w:tcPr>
          <w:p>
            <w:pPr>
              <w:pStyle w:val="14"/>
              <w:adjustRightInd w:val="0"/>
              <w:snapToGrid w:val="0"/>
              <w:spacing w:line="240" w:lineRule="auto"/>
              <w:rPr>
                <w:rFonts w:cs="Times New Roman"/>
                <w:b w:val="0"/>
                <w:sz w:val="21"/>
                <w:szCs w:val="21"/>
              </w:rPr>
            </w:pPr>
            <w:r>
              <w:rPr>
                <w:rFonts w:cs="Times New Roman"/>
                <w:b w:val="0"/>
                <w:sz w:val="21"/>
                <w:szCs w:val="21"/>
              </w:rPr>
              <w:t>单位</w:t>
            </w:r>
          </w:p>
        </w:tc>
        <w:tc>
          <w:tcPr>
            <w:tcW w:w="679" w:type="pct"/>
            <w:vAlign w:val="center"/>
          </w:tcPr>
          <w:p>
            <w:pPr>
              <w:pStyle w:val="14"/>
              <w:adjustRightInd w:val="0"/>
              <w:snapToGrid w:val="0"/>
              <w:spacing w:line="240" w:lineRule="auto"/>
              <w:rPr>
                <w:rFonts w:cs="Times New Roman"/>
                <w:b w:val="0"/>
                <w:sz w:val="21"/>
                <w:szCs w:val="21"/>
              </w:rPr>
            </w:pPr>
            <w:r>
              <w:rPr>
                <w:rFonts w:cs="Times New Roman"/>
                <w:b w:val="0"/>
                <w:sz w:val="21"/>
                <w:szCs w:val="21"/>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pct"/>
            <w:vMerge w:val="restart"/>
            <w:vAlign w:val="center"/>
          </w:tcPr>
          <w:p>
            <w:pPr>
              <w:pStyle w:val="14"/>
              <w:adjustRightInd w:val="0"/>
              <w:snapToGrid w:val="0"/>
              <w:spacing w:line="240" w:lineRule="auto"/>
              <w:rPr>
                <w:rFonts w:cs="Times New Roman"/>
                <w:b w:val="0"/>
                <w:sz w:val="21"/>
                <w:szCs w:val="21"/>
              </w:rPr>
            </w:pPr>
            <w:r>
              <w:rPr>
                <w:rFonts w:cs="Times New Roman"/>
                <w:b w:val="0"/>
                <w:sz w:val="21"/>
                <w:szCs w:val="21"/>
              </w:rPr>
              <w:t>马壕污水处理厂总排口</w:t>
            </w:r>
          </w:p>
        </w:tc>
        <w:tc>
          <w:tcPr>
            <w:tcW w:w="712" w:type="pct"/>
            <w:vMerge w:val="restar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2019年3月29日</w:t>
            </w:r>
          </w:p>
        </w:tc>
        <w:tc>
          <w:tcPr>
            <w:tcW w:w="688" w:type="pct"/>
            <w:vAlign w:val="center"/>
          </w:tcPr>
          <w:p>
            <w:pPr>
              <w:pStyle w:val="14"/>
              <w:adjustRightInd w:val="0"/>
              <w:snapToGrid w:val="0"/>
              <w:spacing w:line="240" w:lineRule="auto"/>
              <w:rPr>
                <w:rFonts w:cs="Times New Roman"/>
                <w:b w:val="0"/>
                <w:sz w:val="21"/>
                <w:szCs w:val="21"/>
              </w:rPr>
            </w:pPr>
            <w:r>
              <w:rPr>
                <w:rFonts w:cs="Times New Roman"/>
                <w:b w:val="0"/>
                <w:sz w:val="21"/>
                <w:szCs w:val="21"/>
              </w:rPr>
              <w:t>化学需氧量</w:t>
            </w:r>
          </w:p>
        </w:tc>
        <w:tc>
          <w:tcPr>
            <w:tcW w:w="802"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11</w:t>
            </w:r>
          </w:p>
        </w:tc>
        <w:tc>
          <w:tcPr>
            <w:tcW w:w="721"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50</w:t>
            </w:r>
          </w:p>
        </w:tc>
        <w:tc>
          <w:tcPr>
            <w:tcW w:w="718"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mg/L</w:t>
            </w:r>
          </w:p>
        </w:tc>
        <w:tc>
          <w:tcPr>
            <w:tcW w:w="679" w:type="pct"/>
            <w:vAlign w:val="center"/>
          </w:tcPr>
          <w:p>
            <w:pPr>
              <w:pStyle w:val="14"/>
              <w:adjustRightInd w:val="0"/>
              <w:snapToGrid w:val="0"/>
              <w:spacing w:line="240" w:lineRule="auto"/>
              <w:rPr>
                <w:rFonts w:cs="Times New Roman"/>
                <w:b w:val="0"/>
                <w:sz w:val="21"/>
                <w:szCs w:val="21"/>
              </w:rPr>
            </w:pPr>
            <w:r>
              <w:rPr>
                <w:rFonts w:cs="Times New Roman"/>
                <w:b w:val="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pct"/>
            <w:vMerge w:val="continue"/>
            <w:vAlign w:val="center"/>
          </w:tcPr>
          <w:p>
            <w:pPr>
              <w:pStyle w:val="14"/>
              <w:adjustRightInd w:val="0"/>
              <w:snapToGrid w:val="0"/>
              <w:spacing w:line="240" w:lineRule="auto"/>
              <w:rPr>
                <w:rFonts w:cs="Times New Roman"/>
                <w:b w:val="0"/>
                <w:sz w:val="21"/>
                <w:szCs w:val="21"/>
              </w:rPr>
            </w:pPr>
          </w:p>
        </w:tc>
        <w:tc>
          <w:tcPr>
            <w:tcW w:w="712" w:type="pct"/>
            <w:vMerge w:val="continue"/>
            <w:vAlign w:val="center"/>
          </w:tcPr>
          <w:p>
            <w:pPr>
              <w:pStyle w:val="14"/>
              <w:adjustRightInd w:val="0"/>
              <w:snapToGrid w:val="0"/>
              <w:spacing w:line="240" w:lineRule="auto"/>
              <w:rPr>
                <w:rFonts w:cs="Times New Roman"/>
                <w:b w:val="0"/>
                <w:sz w:val="21"/>
                <w:szCs w:val="21"/>
              </w:rPr>
            </w:pPr>
          </w:p>
        </w:tc>
        <w:tc>
          <w:tcPr>
            <w:tcW w:w="688" w:type="pct"/>
            <w:vAlign w:val="center"/>
          </w:tcPr>
          <w:p>
            <w:pPr>
              <w:pStyle w:val="14"/>
              <w:adjustRightInd w:val="0"/>
              <w:snapToGrid w:val="0"/>
              <w:spacing w:line="240" w:lineRule="auto"/>
              <w:rPr>
                <w:rFonts w:cs="Times New Roman"/>
                <w:b w:val="0"/>
                <w:sz w:val="21"/>
                <w:szCs w:val="21"/>
              </w:rPr>
            </w:pPr>
            <w:r>
              <w:rPr>
                <w:rFonts w:cs="Times New Roman"/>
                <w:b w:val="0"/>
                <w:sz w:val="21"/>
                <w:szCs w:val="21"/>
              </w:rPr>
              <w:t>生化需氧量</w:t>
            </w:r>
          </w:p>
        </w:tc>
        <w:tc>
          <w:tcPr>
            <w:tcW w:w="802"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2.9</w:t>
            </w:r>
          </w:p>
        </w:tc>
        <w:tc>
          <w:tcPr>
            <w:tcW w:w="721"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10</w:t>
            </w:r>
          </w:p>
        </w:tc>
        <w:tc>
          <w:tcPr>
            <w:tcW w:w="718"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mg/L</w:t>
            </w:r>
          </w:p>
        </w:tc>
        <w:tc>
          <w:tcPr>
            <w:tcW w:w="679" w:type="pct"/>
            <w:vAlign w:val="center"/>
          </w:tcPr>
          <w:p>
            <w:pPr>
              <w:jc w:val="center"/>
              <w:rPr>
                <w:sz w:val="21"/>
              </w:rPr>
            </w:pPr>
            <w:r>
              <w:rPr>
                <w:rFonts w:cs="Times New Roman"/>
                <w:sz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pct"/>
            <w:vMerge w:val="continue"/>
            <w:vAlign w:val="center"/>
          </w:tcPr>
          <w:p>
            <w:pPr>
              <w:pStyle w:val="14"/>
              <w:adjustRightInd w:val="0"/>
              <w:snapToGrid w:val="0"/>
              <w:spacing w:line="240" w:lineRule="auto"/>
              <w:rPr>
                <w:rFonts w:cs="Times New Roman"/>
                <w:b w:val="0"/>
                <w:sz w:val="21"/>
                <w:szCs w:val="21"/>
              </w:rPr>
            </w:pPr>
          </w:p>
        </w:tc>
        <w:tc>
          <w:tcPr>
            <w:tcW w:w="712" w:type="pct"/>
            <w:vMerge w:val="continue"/>
            <w:vAlign w:val="center"/>
          </w:tcPr>
          <w:p>
            <w:pPr>
              <w:pStyle w:val="14"/>
              <w:adjustRightInd w:val="0"/>
              <w:snapToGrid w:val="0"/>
              <w:spacing w:line="240" w:lineRule="auto"/>
              <w:rPr>
                <w:rFonts w:cs="Times New Roman"/>
                <w:b w:val="0"/>
                <w:sz w:val="21"/>
                <w:szCs w:val="21"/>
              </w:rPr>
            </w:pPr>
          </w:p>
        </w:tc>
        <w:tc>
          <w:tcPr>
            <w:tcW w:w="688" w:type="pct"/>
            <w:vAlign w:val="center"/>
          </w:tcPr>
          <w:p>
            <w:pPr>
              <w:pStyle w:val="14"/>
              <w:adjustRightInd w:val="0"/>
              <w:snapToGrid w:val="0"/>
              <w:spacing w:line="240" w:lineRule="auto"/>
              <w:rPr>
                <w:rFonts w:cs="Times New Roman"/>
                <w:b w:val="0"/>
                <w:sz w:val="21"/>
                <w:szCs w:val="21"/>
              </w:rPr>
            </w:pPr>
            <w:r>
              <w:rPr>
                <w:rFonts w:cs="Times New Roman"/>
                <w:b w:val="0"/>
                <w:sz w:val="21"/>
                <w:szCs w:val="21"/>
              </w:rPr>
              <w:t>悬浮物</w:t>
            </w:r>
          </w:p>
        </w:tc>
        <w:tc>
          <w:tcPr>
            <w:tcW w:w="802"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7</w:t>
            </w:r>
          </w:p>
        </w:tc>
        <w:tc>
          <w:tcPr>
            <w:tcW w:w="721"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10</w:t>
            </w:r>
          </w:p>
        </w:tc>
        <w:tc>
          <w:tcPr>
            <w:tcW w:w="718"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mg/L</w:t>
            </w:r>
          </w:p>
        </w:tc>
        <w:tc>
          <w:tcPr>
            <w:tcW w:w="679" w:type="pct"/>
            <w:vAlign w:val="center"/>
          </w:tcPr>
          <w:p>
            <w:pPr>
              <w:jc w:val="center"/>
              <w:rPr>
                <w:sz w:val="21"/>
              </w:rPr>
            </w:pPr>
            <w:r>
              <w:rPr>
                <w:rFonts w:cs="Times New Roman"/>
                <w:sz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pct"/>
            <w:vMerge w:val="continue"/>
            <w:vAlign w:val="center"/>
          </w:tcPr>
          <w:p>
            <w:pPr>
              <w:pStyle w:val="14"/>
              <w:adjustRightInd w:val="0"/>
              <w:snapToGrid w:val="0"/>
              <w:spacing w:line="240" w:lineRule="auto"/>
              <w:rPr>
                <w:rFonts w:cs="Times New Roman"/>
                <w:b w:val="0"/>
                <w:sz w:val="21"/>
                <w:szCs w:val="21"/>
              </w:rPr>
            </w:pPr>
          </w:p>
        </w:tc>
        <w:tc>
          <w:tcPr>
            <w:tcW w:w="712" w:type="pct"/>
            <w:vMerge w:val="continue"/>
            <w:vAlign w:val="center"/>
          </w:tcPr>
          <w:p>
            <w:pPr>
              <w:pStyle w:val="14"/>
              <w:adjustRightInd w:val="0"/>
              <w:snapToGrid w:val="0"/>
              <w:spacing w:line="240" w:lineRule="auto"/>
              <w:rPr>
                <w:rFonts w:cs="Times New Roman"/>
                <w:b w:val="0"/>
                <w:sz w:val="21"/>
                <w:szCs w:val="21"/>
              </w:rPr>
            </w:pPr>
          </w:p>
        </w:tc>
        <w:tc>
          <w:tcPr>
            <w:tcW w:w="688" w:type="pct"/>
            <w:vAlign w:val="center"/>
          </w:tcPr>
          <w:p>
            <w:pPr>
              <w:pStyle w:val="14"/>
              <w:adjustRightInd w:val="0"/>
              <w:snapToGrid w:val="0"/>
              <w:spacing w:line="240" w:lineRule="auto"/>
              <w:rPr>
                <w:rFonts w:cs="Times New Roman"/>
                <w:b w:val="0"/>
                <w:sz w:val="21"/>
                <w:szCs w:val="21"/>
              </w:rPr>
            </w:pPr>
            <w:r>
              <w:rPr>
                <w:rFonts w:cs="Times New Roman"/>
                <w:b w:val="0"/>
                <w:sz w:val="21"/>
                <w:szCs w:val="21"/>
              </w:rPr>
              <w:t>动植物油</w:t>
            </w:r>
          </w:p>
        </w:tc>
        <w:tc>
          <w:tcPr>
            <w:tcW w:w="802"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0.06ND</w:t>
            </w:r>
          </w:p>
        </w:tc>
        <w:tc>
          <w:tcPr>
            <w:tcW w:w="721"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1</w:t>
            </w:r>
          </w:p>
        </w:tc>
        <w:tc>
          <w:tcPr>
            <w:tcW w:w="718"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mg/L</w:t>
            </w:r>
          </w:p>
        </w:tc>
        <w:tc>
          <w:tcPr>
            <w:tcW w:w="679" w:type="pct"/>
            <w:vAlign w:val="center"/>
          </w:tcPr>
          <w:p>
            <w:pPr>
              <w:jc w:val="center"/>
              <w:rPr>
                <w:sz w:val="21"/>
              </w:rPr>
            </w:pPr>
            <w:r>
              <w:rPr>
                <w:rFonts w:cs="Times New Roman"/>
                <w:sz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pct"/>
            <w:vMerge w:val="continue"/>
            <w:vAlign w:val="center"/>
          </w:tcPr>
          <w:p>
            <w:pPr>
              <w:pStyle w:val="14"/>
              <w:adjustRightInd w:val="0"/>
              <w:snapToGrid w:val="0"/>
              <w:spacing w:line="240" w:lineRule="auto"/>
              <w:rPr>
                <w:rFonts w:cs="Times New Roman"/>
                <w:b w:val="0"/>
                <w:sz w:val="21"/>
                <w:szCs w:val="21"/>
              </w:rPr>
            </w:pPr>
          </w:p>
        </w:tc>
        <w:tc>
          <w:tcPr>
            <w:tcW w:w="712" w:type="pct"/>
            <w:vMerge w:val="continue"/>
            <w:vAlign w:val="center"/>
          </w:tcPr>
          <w:p>
            <w:pPr>
              <w:pStyle w:val="14"/>
              <w:adjustRightInd w:val="0"/>
              <w:snapToGrid w:val="0"/>
              <w:spacing w:line="240" w:lineRule="auto"/>
              <w:rPr>
                <w:rFonts w:cs="Times New Roman"/>
                <w:b w:val="0"/>
                <w:sz w:val="21"/>
                <w:szCs w:val="21"/>
              </w:rPr>
            </w:pPr>
          </w:p>
        </w:tc>
        <w:tc>
          <w:tcPr>
            <w:tcW w:w="688" w:type="pct"/>
            <w:vAlign w:val="center"/>
          </w:tcPr>
          <w:p>
            <w:pPr>
              <w:pStyle w:val="14"/>
              <w:adjustRightInd w:val="0"/>
              <w:snapToGrid w:val="0"/>
              <w:spacing w:line="240" w:lineRule="auto"/>
              <w:rPr>
                <w:rFonts w:cs="Times New Roman"/>
                <w:b w:val="0"/>
                <w:sz w:val="21"/>
                <w:szCs w:val="21"/>
              </w:rPr>
            </w:pPr>
            <w:r>
              <w:rPr>
                <w:rFonts w:cs="Times New Roman"/>
                <w:b w:val="0"/>
                <w:sz w:val="21"/>
                <w:szCs w:val="21"/>
              </w:rPr>
              <w:t>石油类</w:t>
            </w:r>
          </w:p>
        </w:tc>
        <w:tc>
          <w:tcPr>
            <w:tcW w:w="802"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0.06ND</w:t>
            </w:r>
          </w:p>
        </w:tc>
        <w:tc>
          <w:tcPr>
            <w:tcW w:w="721"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1</w:t>
            </w:r>
          </w:p>
        </w:tc>
        <w:tc>
          <w:tcPr>
            <w:tcW w:w="718"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mg/L</w:t>
            </w:r>
          </w:p>
        </w:tc>
        <w:tc>
          <w:tcPr>
            <w:tcW w:w="679" w:type="pct"/>
            <w:vAlign w:val="center"/>
          </w:tcPr>
          <w:p>
            <w:pPr>
              <w:jc w:val="center"/>
              <w:rPr>
                <w:sz w:val="21"/>
              </w:rPr>
            </w:pPr>
            <w:r>
              <w:rPr>
                <w:rFonts w:cs="Times New Roman"/>
                <w:sz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pct"/>
            <w:vMerge w:val="continue"/>
            <w:vAlign w:val="center"/>
          </w:tcPr>
          <w:p>
            <w:pPr>
              <w:pStyle w:val="14"/>
              <w:adjustRightInd w:val="0"/>
              <w:snapToGrid w:val="0"/>
              <w:spacing w:line="240" w:lineRule="auto"/>
              <w:rPr>
                <w:rFonts w:cs="Times New Roman"/>
                <w:b w:val="0"/>
                <w:sz w:val="21"/>
                <w:szCs w:val="21"/>
              </w:rPr>
            </w:pPr>
          </w:p>
        </w:tc>
        <w:tc>
          <w:tcPr>
            <w:tcW w:w="712" w:type="pct"/>
            <w:vMerge w:val="continue"/>
            <w:vAlign w:val="center"/>
          </w:tcPr>
          <w:p>
            <w:pPr>
              <w:pStyle w:val="14"/>
              <w:adjustRightInd w:val="0"/>
              <w:snapToGrid w:val="0"/>
              <w:spacing w:line="240" w:lineRule="auto"/>
              <w:rPr>
                <w:rFonts w:cs="Times New Roman"/>
                <w:b w:val="0"/>
                <w:sz w:val="21"/>
                <w:szCs w:val="21"/>
              </w:rPr>
            </w:pPr>
          </w:p>
        </w:tc>
        <w:tc>
          <w:tcPr>
            <w:tcW w:w="688" w:type="pct"/>
            <w:vAlign w:val="center"/>
          </w:tcPr>
          <w:p>
            <w:pPr>
              <w:pStyle w:val="14"/>
              <w:adjustRightInd w:val="0"/>
              <w:snapToGrid w:val="0"/>
              <w:spacing w:line="240" w:lineRule="auto"/>
              <w:rPr>
                <w:rFonts w:cs="Times New Roman"/>
                <w:b w:val="0"/>
                <w:sz w:val="21"/>
                <w:szCs w:val="21"/>
              </w:rPr>
            </w:pPr>
            <w:r>
              <w:rPr>
                <w:rFonts w:cs="Times New Roman"/>
                <w:b w:val="0"/>
                <w:sz w:val="21"/>
                <w:szCs w:val="21"/>
              </w:rPr>
              <w:t>阴离子表面活性剂</w:t>
            </w:r>
          </w:p>
        </w:tc>
        <w:tc>
          <w:tcPr>
            <w:tcW w:w="802"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0.05ND</w:t>
            </w:r>
          </w:p>
        </w:tc>
        <w:tc>
          <w:tcPr>
            <w:tcW w:w="721"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0.5</w:t>
            </w:r>
          </w:p>
        </w:tc>
        <w:tc>
          <w:tcPr>
            <w:tcW w:w="718"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mg/L</w:t>
            </w:r>
          </w:p>
        </w:tc>
        <w:tc>
          <w:tcPr>
            <w:tcW w:w="679" w:type="pct"/>
            <w:vAlign w:val="center"/>
          </w:tcPr>
          <w:p>
            <w:pPr>
              <w:jc w:val="center"/>
              <w:rPr>
                <w:sz w:val="21"/>
              </w:rPr>
            </w:pPr>
            <w:r>
              <w:rPr>
                <w:rFonts w:cs="Times New Roman"/>
                <w:sz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pct"/>
            <w:vMerge w:val="continue"/>
            <w:vAlign w:val="center"/>
          </w:tcPr>
          <w:p>
            <w:pPr>
              <w:pStyle w:val="14"/>
              <w:adjustRightInd w:val="0"/>
              <w:snapToGrid w:val="0"/>
              <w:spacing w:line="240" w:lineRule="auto"/>
              <w:rPr>
                <w:rFonts w:cs="Times New Roman"/>
                <w:b w:val="0"/>
                <w:sz w:val="21"/>
                <w:szCs w:val="21"/>
              </w:rPr>
            </w:pPr>
          </w:p>
        </w:tc>
        <w:tc>
          <w:tcPr>
            <w:tcW w:w="712" w:type="pct"/>
            <w:vMerge w:val="continue"/>
            <w:vAlign w:val="center"/>
          </w:tcPr>
          <w:p>
            <w:pPr>
              <w:pStyle w:val="14"/>
              <w:adjustRightInd w:val="0"/>
              <w:snapToGrid w:val="0"/>
              <w:spacing w:line="240" w:lineRule="auto"/>
              <w:rPr>
                <w:rFonts w:cs="Times New Roman"/>
                <w:b w:val="0"/>
                <w:sz w:val="21"/>
                <w:szCs w:val="21"/>
              </w:rPr>
            </w:pPr>
          </w:p>
        </w:tc>
        <w:tc>
          <w:tcPr>
            <w:tcW w:w="688" w:type="pct"/>
            <w:vAlign w:val="center"/>
          </w:tcPr>
          <w:p>
            <w:pPr>
              <w:pStyle w:val="14"/>
              <w:adjustRightInd w:val="0"/>
              <w:snapToGrid w:val="0"/>
              <w:spacing w:line="240" w:lineRule="auto"/>
              <w:rPr>
                <w:rFonts w:cs="Times New Roman"/>
                <w:b w:val="0"/>
                <w:sz w:val="21"/>
                <w:szCs w:val="21"/>
              </w:rPr>
            </w:pPr>
            <w:r>
              <w:rPr>
                <w:rFonts w:cs="Times New Roman"/>
                <w:b w:val="0"/>
                <w:sz w:val="21"/>
                <w:szCs w:val="21"/>
              </w:rPr>
              <w:t>总氮</w:t>
            </w:r>
          </w:p>
        </w:tc>
        <w:tc>
          <w:tcPr>
            <w:tcW w:w="802"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5.84</w:t>
            </w:r>
          </w:p>
        </w:tc>
        <w:tc>
          <w:tcPr>
            <w:tcW w:w="721"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15</w:t>
            </w:r>
          </w:p>
        </w:tc>
        <w:tc>
          <w:tcPr>
            <w:tcW w:w="718"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mg/L</w:t>
            </w:r>
          </w:p>
        </w:tc>
        <w:tc>
          <w:tcPr>
            <w:tcW w:w="679" w:type="pct"/>
            <w:vAlign w:val="center"/>
          </w:tcPr>
          <w:p>
            <w:pPr>
              <w:jc w:val="center"/>
              <w:rPr>
                <w:sz w:val="21"/>
              </w:rPr>
            </w:pPr>
            <w:r>
              <w:rPr>
                <w:rFonts w:cs="Times New Roman"/>
                <w:sz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pct"/>
            <w:vMerge w:val="continue"/>
            <w:vAlign w:val="center"/>
          </w:tcPr>
          <w:p>
            <w:pPr>
              <w:pStyle w:val="14"/>
              <w:adjustRightInd w:val="0"/>
              <w:snapToGrid w:val="0"/>
              <w:spacing w:line="240" w:lineRule="auto"/>
              <w:rPr>
                <w:rFonts w:cs="Times New Roman"/>
                <w:b w:val="0"/>
                <w:sz w:val="21"/>
                <w:szCs w:val="21"/>
              </w:rPr>
            </w:pPr>
          </w:p>
        </w:tc>
        <w:tc>
          <w:tcPr>
            <w:tcW w:w="712" w:type="pct"/>
            <w:vMerge w:val="continue"/>
            <w:vAlign w:val="center"/>
          </w:tcPr>
          <w:p>
            <w:pPr>
              <w:pStyle w:val="14"/>
              <w:adjustRightInd w:val="0"/>
              <w:snapToGrid w:val="0"/>
              <w:spacing w:line="240" w:lineRule="auto"/>
              <w:rPr>
                <w:rFonts w:cs="Times New Roman"/>
                <w:b w:val="0"/>
                <w:sz w:val="21"/>
                <w:szCs w:val="21"/>
              </w:rPr>
            </w:pPr>
          </w:p>
        </w:tc>
        <w:tc>
          <w:tcPr>
            <w:tcW w:w="688" w:type="pct"/>
            <w:vAlign w:val="center"/>
          </w:tcPr>
          <w:p>
            <w:pPr>
              <w:pStyle w:val="14"/>
              <w:adjustRightInd w:val="0"/>
              <w:snapToGrid w:val="0"/>
              <w:spacing w:line="240" w:lineRule="auto"/>
              <w:rPr>
                <w:rFonts w:cs="Times New Roman"/>
                <w:b w:val="0"/>
                <w:sz w:val="21"/>
                <w:szCs w:val="21"/>
              </w:rPr>
            </w:pPr>
            <w:r>
              <w:rPr>
                <w:rFonts w:cs="Times New Roman"/>
                <w:b w:val="0"/>
                <w:sz w:val="21"/>
                <w:szCs w:val="21"/>
              </w:rPr>
              <w:t>氨氮</w:t>
            </w:r>
          </w:p>
        </w:tc>
        <w:tc>
          <w:tcPr>
            <w:tcW w:w="802"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0.251</w:t>
            </w:r>
          </w:p>
        </w:tc>
        <w:tc>
          <w:tcPr>
            <w:tcW w:w="721"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8</w:t>
            </w:r>
          </w:p>
        </w:tc>
        <w:tc>
          <w:tcPr>
            <w:tcW w:w="718"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mg/L</w:t>
            </w:r>
          </w:p>
        </w:tc>
        <w:tc>
          <w:tcPr>
            <w:tcW w:w="679" w:type="pct"/>
            <w:vAlign w:val="center"/>
          </w:tcPr>
          <w:p>
            <w:pPr>
              <w:jc w:val="center"/>
              <w:rPr>
                <w:sz w:val="21"/>
              </w:rPr>
            </w:pPr>
            <w:r>
              <w:rPr>
                <w:rFonts w:cs="Times New Roman"/>
                <w:sz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pct"/>
            <w:vMerge w:val="continue"/>
            <w:vAlign w:val="center"/>
          </w:tcPr>
          <w:p>
            <w:pPr>
              <w:pStyle w:val="14"/>
              <w:adjustRightInd w:val="0"/>
              <w:snapToGrid w:val="0"/>
              <w:spacing w:line="240" w:lineRule="auto"/>
              <w:rPr>
                <w:rFonts w:cs="Times New Roman"/>
                <w:b w:val="0"/>
                <w:sz w:val="21"/>
                <w:szCs w:val="21"/>
              </w:rPr>
            </w:pPr>
          </w:p>
        </w:tc>
        <w:tc>
          <w:tcPr>
            <w:tcW w:w="712" w:type="pct"/>
            <w:vMerge w:val="continue"/>
            <w:vAlign w:val="center"/>
          </w:tcPr>
          <w:p>
            <w:pPr>
              <w:pStyle w:val="14"/>
              <w:adjustRightInd w:val="0"/>
              <w:snapToGrid w:val="0"/>
              <w:spacing w:line="240" w:lineRule="auto"/>
              <w:rPr>
                <w:rFonts w:cs="Times New Roman"/>
                <w:b w:val="0"/>
                <w:sz w:val="21"/>
                <w:szCs w:val="21"/>
              </w:rPr>
            </w:pPr>
          </w:p>
        </w:tc>
        <w:tc>
          <w:tcPr>
            <w:tcW w:w="688" w:type="pct"/>
            <w:vAlign w:val="center"/>
          </w:tcPr>
          <w:p>
            <w:pPr>
              <w:pStyle w:val="14"/>
              <w:adjustRightInd w:val="0"/>
              <w:snapToGrid w:val="0"/>
              <w:spacing w:line="240" w:lineRule="auto"/>
              <w:rPr>
                <w:rFonts w:cs="Times New Roman"/>
                <w:b w:val="0"/>
                <w:sz w:val="21"/>
                <w:szCs w:val="21"/>
              </w:rPr>
            </w:pPr>
            <w:r>
              <w:rPr>
                <w:rFonts w:cs="Times New Roman"/>
                <w:b w:val="0"/>
                <w:sz w:val="21"/>
                <w:szCs w:val="21"/>
              </w:rPr>
              <w:t>总磷</w:t>
            </w:r>
          </w:p>
        </w:tc>
        <w:tc>
          <w:tcPr>
            <w:tcW w:w="802"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0.03</w:t>
            </w:r>
          </w:p>
        </w:tc>
        <w:tc>
          <w:tcPr>
            <w:tcW w:w="721"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0.5</w:t>
            </w:r>
          </w:p>
        </w:tc>
        <w:tc>
          <w:tcPr>
            <w:tcW w:w="718"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mg/L</w:t>
            </w:r>
          </w:p>
        </w:tc>
        <w:tc>
          <w:tcPr>
            <w:tcW w:w="679" w:type="pct"/>
            <w:vAlign w:val="center"/>
          </w:tcPr>
          <w:p>
            <w:pPr>
              <w:jc w:val="center"/>
              <w:rPr>
                <w:sz w:val="21"/>
              </w:rPr>
            </w:pPr>
            <w:r>
              <w:rPr>
                <w:rFonts w:cs="Times New Roman"/>
                <w:sz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pct"/>
            <w:vMerge w:val="continue"/>
            <w:vAlign w:val="center"/>
          </w:tcPr>
          <w:p>
            <w:pPr>
              <w:pStyle w:val="14"/>
              <w:adjustRightInd w:val="0"/>
              <w:snapToGrid w:val="0"/>
              <w:spacing w:line="240" w:lineRule="auto"/>
              <w:rPr>
                <w:rFonts w:cs="Times New Roman"/>
                <w:b w:val="0"/>
                <w:sz w:val="21"/>
                <w:szCs w:val="21"/>
              </w:rPr>
            </w:pPr>
          </w:p>
        </w:tc>
        <w:tc>
          <w:tcPr>
            <w:tcW w:w="712" w:type="pct"/>
            <w:vMerge w:val="continue"/>
            <w:vAlign w:val="center"/>
          </w:tcPr>
          <w:p>
            <w:pPr>
              <w:pStyle w:val="14"/>
              <w:adjustRightInd w:val="0"/>
              <w:snapToGrid w:val="0"/>
              <w:spacing w:line="240" w:lineRule="auto"/>
              <w:rPr>
                <w:rFonts w:cs="Times New Roman"/>
                <w:b w:val="0"/>
                <w:sz w:val="21"/>
                <w:szCs w:val="21"/>
              </w:rPr>
            </w:pPr>
          </w:p>
        </w:tc>
        <w:tc>
          <w:tcPr>
            <w:tcW w:w="688" w:type="pct"/>
            <w:vAlign w:val="center"/>
          </w:tcPr>
          <w:p>
            <w:pPr>
              <w:pStyle w:val="14"/>
              <w:adjustRightInd w:val="0"/>
              <w:snapToGrid w:val="0"/>
              <w:spacing w:line="240" w:lineRule="auto"/>
              <w:rPr>
                <w:rFonts w:cs="Times New Roman"/>
                <w:b w:val="0"/>
                <w:sz w:val="21"/>
                <w:szCs w:val="21"/>
              </w:rPr>
            </w:pPr>
            <w:r>
              <w:rPr>
                <w:rFonts w:cs="Times New Roman"/>
                <w:b w:val="0"/>
                <w:sz w:val="21"/>
                <w:szCs w:val="21"/>
              </w:rPr>
              <w:t>色度</w:t>
            </w:r>
          </w:p>
        </w:tc>
        <w:tc>
          <w:tcPr>
            <w:tcW w:w="802"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1</w:t>
            </w:r>
          </w:p>
        </w:tc>
        <w:tc>
          <w:tcPr>
            <w:tcW w:w="721"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30</w:t>
            </w:r>
          </w:p>
        </w:tc>
        <w:tc>
          <w:tcPr>
            <w:tcW w:w="718"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稀释倍数</w:t>
            </w:r>
          </w:p>
        </w:tc>
        <w:tc>
          <w:tcPr>
            <w:tcW w:w="679" w:type="pct"/>
            <w:vAlign w:val="center"/>
          </w:tcPr>
          <w:p>
            <w:pPr>
              <w:jc w:val="center"/>
              <w:rPr>
                <w:sz w:val="21"/>
              </w:rPr>
            </w:pPr>
            <w:r>
              <w:rPr>
                <w:rFonts w:cs="Times New Roman"/>
                <w:sz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pct"/>
            <w:vMerge w:val="continue"/>
            <w:vAlign w:val="center"/>
          </w:tcPr>
          <w:p>
            <w:pPr>
              <w:pStyle w:val="14"/>
              <w:adjustRightInd w:val="0"/>
              <w:snapToGrid w:val="0"/>
              <w:spacing w:line="240" w:lineRule="auto"/>
              <w:rPr>
                <w:rFonts w:cs="Times New Roman"/>
                <w:b w:val="0"/>
                <w:sz w:val="21"/>
                <w:szCs w:val="21"/>
              </w:rPr>
            </w:pPr>
          </w:p>
        </w:tc>
        <w:tc>
          <w:tcPr>
            <w:tcW w:w="712" w:type="pct"/>
            <w:vMerge w:val="continue"/>
            <w:vAlign w:val="center"/>
          </w:tcPr>
          <w:p>
            <w:pPr>
              <w:pStyle w:val="14"/>
              <w:adjustRightInd w:val="0"/>
              <w:snapToGrid w:val="0"/>
              <w:spacing w:line="240" w:lineRule="auto"/>
              <w:rPr>
                <w:rFonts w:cs="Times New Roman"/>
                <w:b w:val="0"/>
                <w:sz w:val="21"/>
                <w:szCs w:val="21"/>
              </w:rPr>
            </w:pPr>
          </w:p>
        </w:tc>
        <w:tc>
          <w:tcPr>
            <w:tcW w:w="688"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PH</w:t>
            </w:r>
          </w:p>
        </w:tc>
        <w:tc>
          <w:tcPr>
            <w:tcW w:w="802"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7.52~7.55</w:t>
            </w:r>
          </w:p>
        </w:tc>
        <w:tc>
          <w:tcPr>
            <w:tcW w:w="721"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6~9</w:t>
            </w:r>
          </w:p>
        </w:tc>
        <w:tc>
          <w:tcPr>
            <w:tcW w:w="718" w:type="pct"/>
            <w:vAlign w:val="center"/>
          </w:tcPr>
          <w:p>
            <w:pPr>
              <w:pStyle w:val="14"/>
              <w:adjustRightInd w:val="0"/>
              <w:snapToGrid w:val="0"/>
              <w:spacing w:line="240" w:lineRule="auto"/>
              <w:rPr>
                <w:rFonts w:cs="Times New Roman"/>
                <w:b w:val="0"/>
                <w:sz w:val="21"/>
                <w:szCs w:val="21"/>
              </w:rPr>
            </w:pPr>
            <w:r>
              <w:rPr>
                <w:rFonts w:cs="Times New Roman"/>
                <w:b w:val="0"/>
                <w:sz w:val="21"/>
                <w:szCs w:val="21"/>
              </w:rPr>
              <w:t>无量纲</w:t>
            </w:r>
          </w:p>
        </w:tc>
        <w:tc>
          <w:tcPr>
            <w:tcW w:w="679" w:type="pct"/>
            <w:vAlign w:val="center"/>
          </w:tcPr>
          <w:p>
            <w:pPr>
              <w:jc w:val="center"/>
              <w:rPr>
                <w:sz w:val="21"/>
              </w:rPr>
            </w:pPr>
            <w:r>
              <w:rPr>
                <w:rFonts w:cs="Times New Roman"/>
                <w:sz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pct"/>
            <w:vMerge w:val="continue"/>
            <w:vAlign w:val="center"/>
          </w:tcPr>
          <w:p>
            <w:pPr>
              <w:pStyle w:val="14"/>
              <w:adjustRightInd w:val="0"/>
              <w:snapToGrid w:val="0"/>
              <w:spacing w:line="240" w:lineRule="auto"/>
              <w:rPr>
                <w:rFonts w:cs="Times New Roman"/>
                <w:b w:val="0"/>
                <w:sz w:val="21"/>
                <w:szCs w:val="21"/>
              </w:rPr>
            </w:pPr>
          </w:p>
        </w:tc>
        <w:tc>
          <w:tcPr>
            <w:tcW w:w="712" w:type="pct"/>
            <w:vMerge w:val="continue"/>
            <w:vAlign w:val="center"/>
          </w:tcPr>
          <w:p>
            <w:pPr>
              <w:pStyle w:val="14"/>
              <w:adjustRightInd w:val="0"/>
              <w:snapToGrid w:val="0"/>
              <w:spacing w:line="240" w:lineRule="auto"/>
              <w:rPr>
                <w:rFonts w:cs="Times New Roman"/>
                <w:b w:val="0"/>
                <w:sz w:val="21"/>
                <w:szCs w:val="21"/>
              </w:rPr>
            </w:pPr>
          </w:p>
        </w:tc>
        <w:tc>
          <w:tcPr>
            <w:tcW w:w="688" w:type="pct"/>
            <w:vAlign w:val="center"/>
          </w:tcPr>
          <w:p>
            <w:pPr>
              <w:pStyle w:val="14"/>
              <w:adjustRightInd w:val="0"/>
              <w:snapToGrid w:val="0"/>
              <w:spacing w:line="240" w:lineRule="auto"/>
              <w:rPr>
                <w:rFonts w:cs="Times New Roman"/>
                <w:b w:val="0"/>
                <w:sz w:val="21"/>
                <w:szCs w:val="21"/>
              </w:rPr>
            </w:pPr>
            <w:r>
              <w:rPr>
                <w:rFonts w:cs="Times New Roman"/>
                <w:b w:val="0"/>
                <w:sz w:val="21"/>
                <w:szCs w:val="21"/>
              </w:rPr>
              <w:t>总汞</w:t>
            </w:r>
          </w:p>
        </w:tc>
        <w:tc>
          <w:tcPr>
            <w:tcW w:w="802"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0.00004ND</w:t>
            </w:r>
          </w:p>
        </w:tc>
        <w:tc>
          <w:tcPr>
            <w:tcW w:w="721"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0.001</w:t>
            </w:r>
          </w:p>
        </w:tc>
        <w:tc>
          <w:tcPr>
            <w:tcW w:w="718"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mg/L</w:t>
            </w:r>
          </w:p>
        </w:tc>
        <w:tc>
          <w:tcPr>
            <w:tcW w:w="679" w:type="pct"/>
            <w:vAlign w:val="center"/>
          </w:tcPr>
          <w:p>
            <w:pPr>
              <w:jc w:val="center"/>
              <w:rPr>
                <w:sz w:val="21"/>
              </w:rPr>
            </w:pPr>
            <w:r>
              <w:rPr>
                <w:rFonts w:cs="Times New Roman"/>
                <w:sz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pct"/>
            <w:vMerge w:val="continue"/>
            <w:vAlign w:val="center"/>
          </w:tcPr>
          <w:p>
            <w:pPr>
              <w:pStyle w:val="14"/>
              <w:adjustRightInd w:val="0"/>
              <w:snapToGrid w:val="0"/>
              <w:spacing w:line="240" w:lineRule="auto"/>
              <w:rPr>
                <w:rFonts w:cs="Times New Roman"/>
                <w:b w:val="0"/>
                <w:sz w:val="21"/>
                <w:szCs w:val="21"/>
              </w:rPr>
            </w:pPr>
          </w:p>
        </w:tc>
        <w:tc>
          <w:tcPr>
            <w:tcW w:w="712" w:type="pct"/>
            <w:vMerge w:val="continue"/>
            <w:vAlign w:val="center"/>
          </w:tcPr>
          <w:p>
            <w:pPr>
              <w:pStyle w:val="14"/>
              <w:adjustRightInd w:val="0"/>
              <w:snapToGrid w:val="0"/>
              <w:spacing w:line="240" w:lineRule="auto"/>
              <w:rPr>
                <w:rFonts w:cs="Times New Roman"/>
                <w:b w:val="0"/>
                <w:sz w:val="21"/>
                <w:szCs w:val="21"/>
              </w:rPr>
            </w:pPr>
          </w:p>
        </w:tc>
        <w:tc>
          <w:tcPr>
            <w:tcW w:w="688" w:type="pct"/>
            <w:vAlign w:val="center"/>
          </w:tcPr>
          <w:p>
            <w:pPr>
              <w:pStyle w:val="14"/>
              <w:adjustRightInd w:val="0"/>
              <w:snapToGrid w:val="0"/>
              <w:spacing w:line="240" w:lineRule="auto"/>
              <w:rPr>
                <w:rFonts w:cs="Times New Roman"/>
                <w:b w:val="0"/>
                <w:sz w:val="21"/>
                <w:szCs w:val="21"/>
              </w:rPr>
            </w:pPr>
            <w:r>
              <w:rPr>
                <w:rFonts w:cs="Times New Roman"/>
                <w:b w:val="0"/>
                <w:sz w:val="21"/>
                <w:szCs w:val="21"/>
              </w:rPr>
              <w:t>总镉</w:t>
            </w:r>
          </w:p>
        </w:tc>
        <w:tc>
          <w:tcPr>
            <w:tcW w:w="802"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0.001ND</w:t>
            </w:r>
          </w:p>
        </w:tc>
        <w:tc>
          <w:tcPr>
            <w:tcW w:w="721"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0.01</w:t>
            </w:r>
          </w:p>
        </w:tc>
        <w:tc>
          <w:tcPr>
            <w:tcW w:w="718"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mg/L</w:t>
            </w:r>
          </w:p>
        </w:tc>
        <w:tc>
          <w:tcPr>
            <w:tcW w:w="679" w:type="pct"/>
            <w:vAlign w:val="center"/>
          </w:tcPr>
          <w:p>
            <w:pPr>
              <w:jc w:val="center"/>
              <w:rPr>
                <w:sz w:val="21"/>
              </w:rPr>
            </w:pPr>
            <w:r>
              <w:rPr>
                <w:rFonts w:cs="Times New Roman"/>
                <w:sz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pct"/>
            <w:vMerge w:val="continue"/>
            <w:vAlign w:val="center"/>
          </w:tcPr>
          <w:p>
            <w:pPr>
              <w:pStyle w:val="14"/>
              <w:adjustRightInd w:val="0"/>
              <w:snapToGrid w:val="0"/>
              <w:spacing w:line="240" w:lineRule="auto"/>
              <w:rPr>
                <w:rFonts w:cs="Times New Roman"/>
                <w:b w:val="0"/>
                <w:sz w:val="21"/>
                <w:szCs w:val="21"/>
              </w:rPr>
            </w:pPr>
          </w:p>
        </w:tc>
        <w:tc>
          <w:tcPr>
            <w:tcW w:w="712" w:type="pct"/>
            <w:vMerge w:val="continue"/>
            <w:vAlign w:val="center"/>
          </w:tcPr>
          <w:p>
            <w:pPr>
              <w:pStyle w:val="14"/>
              <w:adjustRightInd w:val="0"/>
              <w:snapToGrid w:val="0"/>
              <w:spacing w:line="240" w:lineRule="auto"/>
              <w:rPr>
                <w:rFonts w:cs="Times New Roman"/>
                <w:b w:val="0"/>
                <w:sz w:val="21"/>
                <w:szCs w:val="21"/>
              </w:rPr>
            </w:pPr>
          </w:p>
        </w:tc>
        <w:tc>
          <w:tcPr>
            <w:tcW w:w="688" w:type="pct"/>
            <w:vAlign w:val="center"/>
          </w:tcPr>
          <w:p>
            <w:pPr>
              <w:pStyle w:val="14"/>
              <w:adjustRightInd w:val="0"/>
              <w:snapToGrid w:val="0"/>
              <w:spacing w:line="240" w:lineRule="auto"/>
              <w:rPr>
                <w:rFonts w:cs="Times New Roman"/>
                <w:b w:val="0"/>
                <w:sz w:val="21"/>
                <w:szCs w:val="21"/>
              </w:rPr>
            </w:pPr>
            <w:r>
              <w:rPr>
                <w:rFonts w:cs="Times New Roman"/>
                <w:b w:val="0"/>
                <w:sz w:val="21"/>
                <w:szCs w:val="21"/>
              </w:rPr>
              <w:t>总铬</w:t>
            </w:r>
          </w:p>
        </w:tc>
        <w:tc>
          <w:tcPr>
            <w:tcW w:w="802"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0.03ND</w:t>
            </w:r>
          </w:p>
        </w:tc>
        <w:tc>
          <w:tcPr>
            <w:tcW w:w="721"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0.1</w:t>
            </w:r>
          </w:p>
        </w:tc>
        <w:tc>
          <w:tcPr>
            <w:tcW w:w="718"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mg/L</w:t>
            </w:r>
          </w:p>
        </w:tc>
        <w:tc>
          <w:tcPr>
            <w:tcW w:w="679" w:type="pct"/>
            <w:vAlign w:val="center"/>
          </w:tcPr>
          <w:p>
            <w:pPr>
              <w:jc w:val="center"/>
              <w:rPr>
                <w:sz w:val="21"/>
              </w:rPr>
            </w:pPr>
            <w:r>
              <w:rPr>
                <w:rFonts w:cs="Times New Roman"/>
                <w:sz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pct"/>
            <w:vMerge w:val="continue"/>
            <w:vAlign w:val="center"/>
          </w:tcPr>
          <w:p>
            <w:pPr>
              <w:pStyle w:val="14"/>
              <w:adjustRightInd w:val="0"/>
              <w:snapToGrid w:val="0"/>
              <w:spacing w:line="240" w:lineRule="auto"/>
              <w:rPr>
                <w:rFonts w:cs="Times New Roman"/>
                <w:b w:val="0"/>
                <w:sz w:val="21"/>
                <w:szCs w:val="21"/>
              </w:rPr>
            </w:pPr>
          </w:p>
        </w:tc>
        <w:tc>
          <w:tcPr>
            <w:tcW w:w="712" w:type="pct"/>
            <w:vMerge w:val="continue"/>
            <w:vAlign w:val="center"/>
          </w:tcPr>
          <w:p>
            <w:pPr>
              <w:pStyle w:val="14"/>
              <w:adjustRightInd w:val="0"/>
              <w:snapToGrid w:val="0"/>
              <w:spacing w:line="240" w:lineRule="auto"/>
              <w:rPr>
                <w:rFonts w:cs="Times New Roman"/>
                <w:b w:val="0"/>
                <w:sz w:val="21"/>
                <w:szCs w:val="21"/>
              </w:rPr>
            </w:pPr>
          </w:p>
        </w:tc>
        <w:tc>
          <w:tcPr>
            <w:tcW w:w="688" w:type="pct"/>
            <w:vAlign w:val="center"/>
          </w:tcPr>
          <w:p>
            <w:pPr>
              <w:pStyle w:val="14"/>
              <w:adjustRightInd w:val="0"/>
              <w:snapToGrid w:val="0"/>
              <w:spacing w:line="240" w:lineRule="auto"/>
              <w:rPr>
                <w:rFonts w:cs="Times New Roman"/>
                <w:b w:val="0"/>
                <w:sz w:val="21"/>
                <w:szCs w:val="21"/>
              </w:rPr>
            </w:pPr>
            <w:r>
              <w:rPr>
                <w:rFonts w:cs="Times New Roman"/>
                <w:b w:val="0"/>
                <w:sz w:val="21"/>
                <w:szCs w:val="21"/>
              </w:rPr>
              <w:t>六价铬</w:t>
            </w:r>
          </w:p>
        </w:tc>
        <w:tc>
          <w:tcPr>
            <w:tcW w:w="802"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0.004ND</w:t>
            </w:r>
          </w:p>
        </w:tc>
        <w:tc>
          <w:tcPr>
            <w:tcW w:w="721"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0.05</w:t>
            </w:r>
          </w:p>
        </w:tc>
        <w:tc>
          <w:tcPr>
            <w:tcW w:w="718"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mg/L</w:t>
            </w:r>
          </w:p>
        </w:tc>
        <w:tc>
          <w:tcPr>
            <w:tcW w:w="679" w:type="pct"/>
            <w:vAlign w:val="center"/>
          </w:tcPr>
          <w:p>
            <w:pPr>
              <w:jc w:val="center"/>
              <w:rPr>
                <w:sz w:val="21"/>
              </w:rPr>
            </w:pPr>
            <w:r>
              <w:rPr>
                <w:rFonts w:cs="Times New Roman"/>
                <w:sz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pct"/>
            <w:vMerge w:val="continue"/>
            <w:vAlign w:val="center"/>
          </w:tcPr>
          <w:p>
            <w:pPr>
              <w:pStyle w:val="14"/>
              <w:adjustRightInd w:val="0"/>
              <w:snapToGrid w:val="0"/>
              <w:spacing w:line="240" w:lineRule="auto"/>
              <w:rPr>
                <w:rFonts w:cs="Times New Roman"/>
                <w:b w:val="0"/>
                <w:sz w:val="21"/>
                <w:szCs w:val="21"/>
              </w:rPr>
            </w:pPr>
          </w:p>
        </w:tc>
        <w:tc>
          <w:tcPr>
            <w:tcW w:w="712" w:type="pct"/>
            <w:vMerge w:val="continue"/>
            <w:vAlign w:val="center"/>
          </w:tcPr>
          <w:p>
            <w:pPr>
              <w:pStyle w:val="14"/>
              <w:adjustRightInd w:val="0"/>
              <w:snapToGrid w:val="0"/>
              <w:spacing w:line="240" w:lineRule="auto"/>
              <w:rPr>
                <w:rFonts w:cs="Times New Roman"/>
                <w:b w:val="0"/>
                <w:sz w:val="21"/>
                <w:szCs w:val="21"/>
              </w:rPr>
            </w:pPr>
          </w:p>
        </w:tc>
        <w:tc>
          <w:tcPr>
            <w:tcW w:w="688" w:type="pct"/>
            <w:vAlign w:val="center"/>
          </w:tcPr>
          <w:p>
            <w:pPr>
              <w:pStyle w:val="14"/>
              <w:adjustRightInd w:val="0"/>
              <w:snapToGrid w:val="0"/>
              <w:spacing w:line="240" w:lineRule="auto"/>
              <w:rPr>
                <w:rFonts w:cs="Times New Roman"/>
                <w:b w:val="0"/>
                <w:sz w:val="21"/>
                <w:szCs w:val="21"/>
              </w:rPr>
            </w:pPr>
            <w:r>
              <w:rPr>
                <w:rFonts w:cs="Times New Roman"/>
                <w:b w:val="0"/>
                <w:sz w:val="21"/>
                <w:szCs w:val="21"/>
              </w:rPr>
              <w:t>总砷</w:t>
            </w:r>
          </w:p>
        </w:tc>
        <w:tc>
          <w:tcPr>
            <w:tcW w:w="802"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0.0007ND</w:t>
            </w:r>
          </w:p>
        </w:tc>
        <w:tc>
          <w:tcPr>
            <w:tcW w:w="721"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0.1</w:t>
            </w:r>
          </w:p>
        </w:tc>
        <w:tc>
          <w:tcPr>
            <w:tcW w:w="718"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mg/L</w:t>
            </w:r>
          </w:p>
        </w:tc>
        <w:tc>
          <w:tcPr>
            <w:tcW w:w="679" w:type="pct"/>
            <w:vAlign w:val="center"/>
          </w:tcPr>
          <w:p>
            <w:pPr>
              <w:jc w:val="center"/>
              <w:rPr>
                <w:sz w:val="21"/>
              </w:rPr>
            </w:pPr>
            <w:r>
              <w:rPr>
                <w:rFonts w:cs="Times New Roman"/>
                <w:sz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pct"/>
            <w:vMerge w:val="continue"/>
            <w:vAlign w:val="center"/>
          </w:tcPr>
          <w:p>
            <w:pPr>
              <w:pStyle w:val="14"/>
              <w:adjustRightInd w:val="0"/>
              <w:snapToGrid w:val="0"/>
              <w:spacing w:line="240" w:lineRule="auto"/>
              <w:rPr>
                <w:rFonts w:cs="Times New Roman"/>
                <w:b w:val="0"/>
                <w:sz w:val="21"/>
                <w:szCs w:val="21"/>
              </w:rPr>
            </w:pPr>
          </w:p>
        </w:tc>
        <w:tc>
          <w:tcPr>
            <w:tcW w:w="712" w:type="pct"/>
            <w:vMerge w:val="continue"/>
            <w:vAlign w:val="center"/>
          </w:tcPr>
          <w:p>
            <w:pPr>
              <w:pStyle w:val="14"/>
              <w:adjustRightInd w:val="0"/>
              <w:snapToGrid w:val="0"/>
              <w:spacing w:line="240" w:lineRule="auto"/>
              <w:rPr>
                <w:rFonts w:cs="Times New Roman"/>
                <w:b w:val="0"/>
                <w:sz w:val="21"/>
                <w:szCs w:val="21"/>
              </w:rPr>
            </w:pPr>
          </w:p>
        </w:tc>
        <w:tc>
          <w:tcPr>
            <w:tcW w:w="688" w:type="pct"/>
            <w:vAlign w:val="center"/>
          </w:tcPr>
          <w:p>
            <w:pPr>
              <w:pStyle w:val="14"/>
              <w:adjustRightInd w:val="0"/>
              <w:snapToGrid w:val="0"/>
              <w:spacing w:line="240" w:lineRule="auto"/>
              <w:rPr>
                <w:rFonts w:cs="Times New Roman"/>
                <w:b w:val="0"/>
                <w:sz w:val="21"/>
                <w:szCs w:val="21"/>
              </w:rPr>
            </w:pPr>
            <w:r>
              <w:rPr>
                <w:rFonts w:cs="Times New Roman"/>
                <w:b w:val="0"/>
                <w:sz w:val="21"/>
                <w:szCs w:val="21"/>
              </w:rPr>
              <w:t>总铅</w:t>
            </w:r>
          </w:p>
        </w:tc>
        <w:tc>
          <w:tcPr>
            <w:tcW w:w="802"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0.01ND</w:t>
            </w:r>
          </w:p>
        </w:tc>
        <w:tc>
          <w:tcPr>
            <w:tcW w:w="721"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0.1</w:t>
            </w:r>
          </w:p>
        </w:tc>
        <w:tc>
          <w:tcPr>
            <w:tcW w:w="718"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mg/L</w:t>
            </w:r>
          </w:p>
        </w:tc>
        <w:tc>
          <w:tcPr>
            <w:tcW w:w="679" w:type="pct"/>
            <w:vAlign w:val="center"/>
          </w:tcPr>
          <w:p>
            <w:pPr>
              <w:jc w:val="center"/>
              <w:rPr>
                <w:sz w:val="21"/>
              </w:rPr>
            </w:pPr>
            <w:r>
              <w:rPr>
                <w:rFonts w:cs="Times New Roman"/>
                <w:sz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pct"/>
            <w:vMerge w:val="continue"/>
            <w:vAlign w:val="center"/>
          </w:tcPr>
          <w:p>
            <w:pPr>
              <w:pStyle w:val="14"/>
              <w:adjustRightInd w:val="0"/>
              <w:snapToGrid w:val="0"/>
              <w:spacing w:line="240" w:lineRule="auto"/>
              <w:rPr>
                <w:rFonts w:cs="Times New Roman"/>
                <w:b w:val="0"/>
                <w:sz w:val="21"/>
                <w:szCs w:val="21"/>
              </w:rPr>
            </w:pPr>
          </w:p>
        </w:tc>
        <w:tc>
          <w:tcPr>
            <w:tcW w:w="712" w:type="pct"/>
            <w:vMerge w:val="continue"/>
            <w:vAlign w:val="center"/>
          </w:tcPr>
          <w:p>
            <w:pPr>
              <w:pStyle w:val="14"/>
              <w:adjustRightInd w:val="0"/>
              <w:snapToGrid w:val="0"/>
              <w:spacing w:line="240" w:lineRule="auto"/>
              <w:rPr>
                <w:rFonts w:cs="Times New Roman"/>
                <w:b w:val="0"/>
                <w:sz w:val="21"/>
                <w:szCs w:val="21"/>
              </w:rPr>
            </w:pPr>
          </w:p>
        </w:tc>
        <w:tc>
          <w:tcPr>
            <w:tcW w:w="688" w:type="pct"/>
            <w:vAlign w:val="center"/>
          </w:tcPr>
          <w:p>
            <w:pPr>
              <w:pStyle w:val="14"/>
              <w:adjustRightInd w:val="0"/>
              <w:snapToGrid w:val="0"/>
              <w:spacing w:line="240" w:lineRule="auto"/>
              <w:rPr>
                <w:rFonts w:cs="Times New Roman"/>
                <w:b w:val="0"/>
                <w:sz w:val="21"/>
                <w:szCs w:val="21"/>
              </w:rPr>
            </w:pPr>
            <w:r>
              <w:rPr>
                <w:rFonts w:cs="Times New Roman"/>
                <w:b w:val="0"/>
                <w:sz w:val="21"/>
                <w:szCs w:val="21"/>
              </w:rPr>
              <w:t>挥发酚</w:t>
            </w:r>
          </w:p>
        </w:tc>
        <w:tc>
          <w:tcPr>
            <w:tcW w:w="802"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0.01ND</w:t>
            </w:r>
          </w:p>
        </w:tc>
        <w:tc>
          <w:tcPr>
            <w:tcW w:w="721"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0.5</w:t>
            </w:r>
          </w:p>
        </w:tc>
        <w:tc>
          <w:tcPr>
            <w:tcW w:w="718"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mg/L</w:t>
            </w:r>
          </w:p>
        </w:tc>
        <w:tc>
          <w:tcPr>
            <w:tcW w:w="679" w:type="pct"/>
            <w:vAlign w:val="center"/>
          </w:tcPr>
          <w:p>
            <w:pPr>
              <w:jc w:val="center"/>
              <w:rPr>
                <w:sz w:val="21"/>
              </w:rPr>
            </w:pPr>
            <w:r>
              <w:rPr>
                <w:rFonts w:cs="Times New Roman"/>
                <w:sz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pct"/>
            <w:vMerge w:val="continue"/>
            <w:vAlign w:val="center"/>
          </w:tcPr>
          <w:p>
            <w:pPr>
              <w:pStyle w:val="14"/>
              <w:adjustRightInd w:val="0"/>
              <w:snapToGrid w:val="0"/>
              <w:spacing w:line="240" w:lineRule="auto"/>
              <w:rPr>
                <w:rFonts w:cs="Times New Roman"/>
                <w:b w:val="0"/>
                <w:sz w:val="21"/>
                <w:szCs w:val="21"/>
              </w:rPr>
            </w:pPr>
          </w:p>
        </w:tc>
        <w:tc>
          <w:tcPr>
            <w:tcW w:w="712" w:type="pct"/>
            <w:vMerge w:val="continue"/>
            <w:vAlign w:val="center"/>
          </w:tcPr>
          <w:p>
            <w:pPr>
              <w:pStyle w:val="14"/>
              <w:adjustRightInd w:val="0"/>
              <w:snapToGrid w:val="0"/>
              <w:spacing w:line="240" w:lineRule="auto"/>
              <w:rPr>
                <w:rFonts w:cs="Times New Roman"/>
                <w:b w:val="0"/>
                <w:sz w:val="21"/>
                <w:szCs w:val="21"/>
              </w:rPr>
            </w:pPr>
          </w:p>
        </w:tc>
        <w:tc>
          <w:tcPr>
            <w:tcW w:w="688" w:type="pct"/>
            <w:vAlign w:val="center"/>
          </w:tcPr>
          <w:p>
            <w:pPr>
              <w:pStyle w:val="14"/>
              <w:adjustRightInd w:val="0"/>
              <w:snapToGrid w:val="0"/>
              <w:spacing w:line="240" w:lineRule="auto"/>
              <w:rPr>
                <w:rFonts w:cs="Times New Roman"/>
                <w:b w:val="0"/>
                <w:sz w:val="21"/>
                <w:szCs w:val="21"/>
              </w:rPr>
            </w:pPr>
            <w:r>
              <w:rPr>
                <w:rFonts w:cs="Times New Roman"/>
                <w:b w:val="0"/>
                <w:sz w:val="21"/>
                <w:szCs w:val="21"/>
              </w:rPr>
              <w:t>总氰化物</w:t>
            </w:r>
          </w:p>
        </w:tc>
        <w:tc>
          <w:tcPr>
            <w:tcW w:w="802"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0.001ND</w:t>
            </w:r>
          </w:p>
        </w:tc>
        <w:tc>
          <w:tcPr>
            <w:tcW w:w="721"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0.5</w:t>
            </w:r>
          </w:p>
        </w:tc>
        <w:tc>
          <w:tcPr>
            <w:tcW w:w="718"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mg/L</w:t>
            </w:r>
          </w:p>
        </w:tc>
        <w:tc>
          <w:tcPr>
            <w:tcW w:w="679" w:type="pct"/>
            <w:vAlign w:val="center"/>
          </w:tcPr>
          <w:p>
            <w:pPr>
              <w:jc w:val="center"/>
              <w:rPr>
                <w:sz w:val="21"/>
              </w:rPr>
            </w:pPr>
            <w:r>
              <w:rPr>
                <w:rFonts w:cs="Times New Roman"/>
                <w:sz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pct"/>
            <w:vMerge w:val="continue"/>
            <w:vAlign w:val="center"/>
          </w:tcPr>
          <w:p>
            <w:pPr>
              <w:pStyle w:val="14"/>
              <w:adjustRightInd w:val="0"/>
              <w:snapToGrid w:val="0"/>
              <w:spacing w:line="240" w:lineRule="auto"/>
              <w:rPr>
                <w:rFonts w:cs="Times New Roman"/>
                <w:b w:val="0"/>
                <w:sz w:val="21"/>
                <w:szCs w:val="21"/>
              </w:rPr>
            </w:pPr>
          </w:p>
        </w:tc>
        <w:tc>
          <w:tcPr>
            <w:tcW w:w="712" w:type="pct"/>
            <w:vMerge w:val="restar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2019年6月21日</w:t>
            </w:r>
          </w:p>
        </w:tc>
        <w:tc>
          <w:tcPr>
            <w:tcW w:w="688" w:type="pct"/>
            <w:vAlign w:val="center"/>
          </w:tcPr>
          <w:p>
            <w:pPr>
              <w:pStyle w:val="14"/>
              <w:adjustRightInd w:val="0"/>
              <w:snapToGrid w:val="0"/>
              <w:spacing w:line="240" w:lineRule="auto"/>
              <w:rPr>
                <w:rFonts w:cs="Times New Roman"/>
                <w:b w:val="0"/>
                <w:sz w:val="21"/>
                <w:szCs w:val="21"/>
              </w:rPr>
            </w:pPr>
            <w:r>
              <w:rPr>
                <w:rFonts w:cs="Times New Roman"/>
                <w:b w:val="0"/>
                <w:sz w:val="21"/>
                <w:szCs w:val="21"/>
              </w:rPr>
              <w:t>化学需氧量</w:t>
            </w:r>
          </w:p>
        </w:tc>
        <w:tc>
          <w:tcPr>
            <w:tcW w:w="802"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9</w:t>
            </w:r>
          </w:p>
        </w:tc>
        <w:tc>
          <w:tcPr>
            <w:tcW w:w="721"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50</w:t>
            </w:r>
          </w:p>
        </w:tc>
        <w:tc>
          <w:tcPr>
            <w:tcW w:w="718"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mg/L</w:t>
            </w:r>
          </w:p>
        </w:tc>
        <w:tc>
          <w:tcPr>
            <w:tcW w:w="679" w:type="pct"/>
            <w:vAlign w:val="center"/>
          </w:tcPr>
          <w:p>
            <w:pPr>
              <w:jc w:val="center"/>
              <w:rPr>
                <w:sz w:val="21"/>
              </w:rPr>
            </w:pPr>
            <w:r>
              <w:rPr>
                <w:rFonts w:cs="Times New Roman"/>
                <w:sz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pct"/>
            <w:vMerge w:val="continue"/>
            <w:vAlign w:val="center"/>
          </w:tcPr>
          <w:p>
            <w:pPr>
              <w:pStyle w:val="14"/>
              <w:adjustRightInd w:val="0"/>
              <w:snapToGrid w:val="0"/>
              <w:spacing w:line="240" w:lineRule="auto"/>
              <w:rPr>
                <w:rFonts w:cs="Times New Roman"/>
                <w:b w:val="0"/>
                <w:sz w:val="21"/>
                <w:szCs w:val="21"/>
              </w:rPr>
            </w:pPr>
          </w:p>
        </w:tc>
        <w:tc>
          <w:tcPr>
            <w:tcW w:w="712" w:type="pct"/>
            <w:vMerge w:val="continue"/>
            <w:vAlign w:val="center"/>
          </w:tcPr>
          <w:p>
            <w:pPr>
              <w:pStyle w:val="14"/>
              <w:adjustRightInd w:val="0"/>
              <w:snapToGrid w:val="0"/>
              <w:spacing w:line="240" w:lineRule="auto"/>
              <w:rPr>
                <w:rFonts w:cs="Times New Roman"/>
                <w:b w:val="0"/>
                <w:sz w:val="21"/>
                <w:szCs w:val="21"/>
              </w:rPr>
            </w:pPr>
          </w:p>
        </w:tc>
        <w:tc>
          <w:tcPr>
            <w:tcW w:w="688" w:type="pct"/>
            <w:vAlign w:val="center"/>
          </w:tcPr>
          <w:p>
            <w:pPr>
              <w:pStyle w:val="14"/>
              <w:adjustRightInd w:val="0"/>
              <w:snapToGrid w:val="0"/>
              <w:spacing w:line="240" w:lineRule="auto"/>
              <w:rPr>
                <w:rFonts w:cs="Times New Roman"/>
                <w:b w:val="0"/>
                <w:sz w:val="21"/>
                <w:szCs w:val="21"/>
              </w:rPr>
            </w:pPr>
            <w:r>
              <w:rPr>
                <w:rFonts w:cs="Times New Roman"/>
                <w:b w:val="0"/>
                <w:sz w:val="21"/>
                <w:szCs w:val="21"/>
              </w:rPr>
              <w:t>总氮</w:t>
            </w:r>
          </w:p>
        </w:tc>
        <w:tc>
          <w:tcPr>
            <w:tcW w:w="802"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7.84</w:t>
            </w:r>
          </w:p>
        </w:tc>
        <w:tc>
          <w:tcPr>
            <w:tcW w:w="721"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15</w:t>
            </w:r>
          </w:p>
        </w:tc>
        <w:tc>
          <w:tcPr>
            <w:tcW w:w="718"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mg/L</w:t>
            </w:r>
          </w:p>
        </w:tc>
        <w:tc>
          <w:tcPr>
            <w:tcW w:w="679" w:type="pct"/>
            <w:vAlign w:val="center"/>
          </w:tcPr>
          <w:p>
            <w:pPr>
              <w:jc w:val="center"/>
              <w:rPr>
                <w:sz w:val="21"/>
              </w:rPr>
            </w:pPr>
            <w:r>
              <w:rPr>
                <w:rFonts w:cs="Times New Roman"/>
                <w:sz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pct"/>
            <w:vMerge w:val="continue"/>
            <w:vAlign w:val="center"/>
          </w:tcPr>
          <w:p>
            <w:pPr>
              <w:pStyle w:val="14"/>
              <w:adjustRightInd w:val="0"/>
              <w:snapToGrid w:val="0"/>
              <w:spacing w:line="240" w:lineRule="auto"/>
              <w:rPr>
                <w:rFonts w:cs="Times New Roman"/>
                <w:b w:val="0"/>
                <w:sz w:val="21"/>
                <w:szCs w:val="21"/>
              </w:rPr>
            </w:pPr>
          </w:p>
        </w:tc>
        <w:tc>
          <w:tcPr>
            <w:tcW w:w="712" w:type="pct"/>
            <w:vMerge w:val="continue"/>
            <w:vAlign w:val="center"/>
          </w:tcPr>
          <w:p>
            <w:pPr>
              <w:pStyle w:val="14"/>
              <w:adjustRightInd w:val="0"/>
              <w:snapToGrid w:val="0"/>
              <w:spacing w:line="240" w:lineRule="auto"/>
              <w:rPr>
                <w:rFonts w:cs="Times New Roman"/>
                <w:b w:val="0"/>
                <w:sz w:val="21"/>
                <w:szCs w:val="21"/>
              </w:rPr>
            </w:pPr>
          </w:p>
        </w:tc>
        <w:tc>
          <w:tcPr>
            <w:tcW w:w="688" w:type="pct"/>
            <w:vAlign w:val="center"/>
          </w:tcPr>
          <w:p>
            <w:pPr>
              <w:pStyle w:val="14"/>
              <w:adjustRightInd w:val="0"/>
              <w:snapToGrid w:val="0"/>
              <w:spacing w:line="240" w:lineRule="auto"/>
              <w:rPr>
                <w:rFonts w:cs="Times New Roman"/>
                <w:b w:val="0"/>
                <w:sz w:val="21"/>
                <w:szCs w:val="21"/>
              </w:rPr>
            </w:pPr>
            <w:r>
              <w:rPr>
                <w:rFonts w:cs="Times New Roman"/>
                <w:b w:val="0"/>
                <w:sz w:val="21"/>
                <w:szCs w:val="21"/>
              </w:rPr>
              <w:t>氨氮</w:t>
            </w:r>
          </w:p>
        </w:tc>
        <w:tc>
          <w:tcPr>
            <w:tcW w:w="802"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0.118</w:t>
            </w:r>
          </w:p>
        </w:tc>
        <w:tc>
          <w:tcPr>
            <w:tcW w:w="721"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5</w:t>
            </w:r>
          </w:p>
        </w:tc>
        <w:tc>
          <w:tcPr>
            <w:tcW w:w="718"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mg/L</w:t>
            </w:r>
          </w:p>
        </w:tc>
        <w:tc>
          <w:tcPr>
            <w:tcW w:w="679" w:type="pct"/>
            <w:vAlign w:val="center"/>
          </w:tcPr>
          <w:p>
            <w:pPr>
              <w:jc w:val="center"/>
              <w:rPr>
                <w:sz w:val="21"/>
              </w:rPr>
            </w:pPr>
            <w:r>
              <w:rPr>
                <w:rFonts w:cs="Times New Roman"/>
                <w:sz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pct"/>
            <w:vMerge w:val="continue"/>
            <w:vAlign w:val="center"/>
          </w:tcPr>
          <w:p>
            <w:pPr>
              <w:pStyle w:val="14"/>
              <w:adjustRightInd w:val="0"/>
              <w:snapToGrid w:val="0"/>
              <w:spacing w:line="240" w:lineRule="auto"/>
              <w:rPr>
                <w:rFonts w:cs="Times New Roman"/>
                <w:b w:val="0"/>
                <w:sz w:val="21"/>
                <w:szCs w:val="21"/>
              </w:rPr>
            </w:pPr>
          </w:p>
        </w:tc>
        <w:tc>
          <w:tcPr>
            <w:tcW w:w="712" w:type="pct"/>
            <w:vMerge w:val="continue"/>
            <w:vAlign w:val="center"/>
          </w:tcPr>
          <w:p>
            <w:pPr>
              <w:pStyle w:val="14"/>
              <w:adjustRightInd w:val="0"/>
              <w:snapToGrid w:val="0"/>
              <w:spacing w:line="240" w:lineRule="auto"/>
              <w:rPr>
                <w:rFonts w:cs="Times New Roman"/>
                <w:b w:val="0"/>
                <w:sz w:val="21"/>
                <w:szCs w:val="21"/>
              </w:rPr>
            </w:pPr>
          </w:p>
        </w:tc>
        <w:tc>
          <w:tcPr>
            <w:tcW w:w="688" w:type="pct"/>
            <w:vAlign w:val="center"/>
          </w:tcPr>
          <w:p>
            <w:pPr>
              <w:pStyle w:val="14"/>
              <w:adjustRightInd w:val="0"/>
              <w:snapToGrid w:val="0"/>
              <w:spacing w:line="240" w:lineRule="auto"/>
              <w:rPr>
                <w:rFonts w:cs="Times New Roman"/>
                <w:b w:val="0"/>
                <w:sz w:val="21"/>
                <w:szCs w:val="21"/>
              </w:rPr>
            </w:pPr>
            <w:r>
              <w:rPr>
                <w:rFonts w:cs="Times New Roman"/>
                <w:b w:val="0"/>
                <w:sz w:val="21"/>
                <w:szCs w:val="21"/>
              </w:rPr>
              <w:t>总磷</w:t>
            </w:r>
          </w:p>
        </w:tc>
        <w:tc>
          <w:tcPr>
            <w:tcW w:w="802"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0.07</w:t>
            </w:r>
          </w:p>
        </w:tc>
        <w:tc>
          <w:tcPr>
            <w:tcW w:w="721"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0.5</w:t>
            </w:r>
          </w:p>
        </w:tc>
        <w:tc>
          <w:tcPr>
            <w:tcW w:w="718" w:type="pct"/>
            <w:vAlign w:val="center"/>
          </w:tcPr>
          <w:p>
            <w:pPr>
              <w:pStyle w:val="14"/>
              <w:adjustRightInd w:val="0"/>
              <w:snapToGrid w:val="0"/>
              <w:spacing w:line="240" w:lineRule="auto"/>
              <w:rPr>
                <w:rFonts w:cs="Times New Roman"/>
                <w:b w:val="0"/>
                <w:sz w:val="21"/>
                <w:szCs w:val="21"/>
              </w:rPr>
            </w:pPr>
            <w:r>
              <w:rPr>
                <w:rFonts w:hint="eastAsia" w:cs="Times New Roman"/>
                <w:b w:val="0"/>
                <w:sz w:val="21"/>
                <w:szCs w:val="21"/>
              </w:rPr>
              <w:t>mg/L</w:t>
            </w:r>
          </w:p>
        </w:tc>
        <w:tc>
          <w:tcPr>
            <w:tcW w:w="679" w:type="pct"/>
            <w:vAlign w:val="center"/>
          </w:tcPr>
          <w:p>
            <w:pPr>
              <w:jc w:val="center"/>
              <w:rPr>
                <w:sz w:val="21"/>
              </w:rPr>
            </w:pPr>
            <w:r>
              <w:rPr>
                <w:rFonts w:cs="Times New Roman"/>
                <w:sz w:val="21"/>
              </w:rPr>
              <w:t>是</w:t>
            </w:r>
          </w:p>
        </w:tc>
      </w:tr>
    </w:tbl>
    <w:p>
      <w:pPr>
        <w:pStyle w:val="14"/>
        <w:ind w:firstLine="480" w:firstLineChars="200"/>
        <w:jc w:val="left"/>
        <w:rPr>
          <w:rFonts w:cs="Times New Roman"/>
          <w:b w:val="0"/>
          <w:szCs w:val="24"/>
        </w:rPr>
      </w:pPr>
      <w:r>
        <w:rPr>
          <w:rFonts w:cs="Times New Roman"/>
          <w:b w:val="0"/>
          <w:szCs w:val="24"/>
        </w:rPr>
        <w:t>由上表可知，马壕污水处理厂总排口的废水监测数据满足</w:t>
      </w:r>
      <w:r>
        <w:rPr>
          <w:rFonts w:hint="eastAsia" w:cs="Times New Roman"/>
          <w:b w:val="0"/>
          <w:szCs w:val="24"/>
        </w:rPr>
        <w:t>《城镇污水处理厂污染物排放标准》（GB18918-2002）一级A标准限值要求。</w:t>
      </w:r>
    </w:p>
    <w:p>
      <w:pPr>
        <w:spacing w:line="360" w:lineRule="auto"/>
        <w:ind w:firstLine="480" w:firstLineChars="200"/>
        <w:rPr>
          <w:rFonts w:cs="Times New Roman"/>
          <w:szCs w:val="24"/>
        </w:rPr>
      </w:pPr>
      <w:r>
        <w:rPr>
          <w:rFonts w:hAnsi="宋体" w:cs="Times New Roman"/>
          <w:szCs w:val="24"/>
        </w:rPr>
        <w:t>综上可行，本项目污水采取的措施可行，对水生态环境影响很小。</w:t>
      </w:r>
    </w:p>
    <w:p>
      <w:pPr>
        <w:spacing w:line="360" w:lineRule="auto"/>
        <w:ind w:firstLine="480" w:firstLineChars="200"/>
        <w:rPr>
          <w:rFonts w:cs="Times New Roman"/>
          <w:szCs w:val="24"/>
        </w:rPr>
      </w:pPr>
      <w:r>
        <w:rPr>
          <w:rFonts w:hAnsi="宋体" w:cs="Times New Roman"/>
          <w:szCs w:val="24"/>
        </w:rPr>
        <w:t>（</w:t>
      </w:r>
      <w:r>
        <w:rPr>
          <w:rFonts w:hint="eastAsia" w:cs="Times New Roman"/>
          <w:szCs w:val="24"/>
        </w:rPr>
        <w:t>6</w:t>
      </w:r>
      <w:r>
        <w:rPr>
          <w:rFonts w:hAnsi="宋体" w:cs="Times New Roman"/>
          <w:szCs w:val="24"/>
        </w:rPr>
        <w:t>）</w:t>
      </w:r>
      <w:r>
        <w:rPr>
          <w:rFonts w:cs="Times New Roman"/>
        </w:rPr>
        <w:t>非正常排放情况下地表水环境影响分析</w:t>
      </w:r>
    </w:p>
    <w:p>
      <w:pPr>
        <w:spacing w:line="360" w:lineRule="auto"/>
        <w:ind w:firstLine="480" w:firstLineChars="200"/>
        <w:rPr>
          <w:rFonts w:cs="Times New Roman"/>
        </w:rPr>
      </w:pPr>
      <w:r>
        <w:rPr>
          <w:rFonts w:cs="Times New Roman"/>
        </w:rPr>
        <w:t>非正常排放情况下，主要是院内医疗污水处理站异常，导致医疗废水未经处理直接排放，此时排入市政污水管网医疗废水量为</w:t>
      </w:r>
      <w:r>
        <w:rPr>
          <w:rFonts w:cs="Times New Roman"/>
          <w:szCs w:val="24"/>
        </w:rPr>
        <w:t>328.097m</w:t>
      </w:r>
      <w:r>
        <w:rPr>
          <w:rFonts w:cs="Times New Roman"/>
          <w:szCs w:val="24"/>
          <w:vertAlign w:val="superscript"/>
        </w:rPr>
        <w:t>3</w:t>
      </w:r>
      <w:r>
        <w:rPr>
          <w:rFonts w:cs="Times New Roman"/>
          <w:szCs w:val="24"/>
        </w:rPr>
        <w:t>/d（119755.405m</w:t>
      </w:r>
      <w:r>
        <w:rPr>
          <w:rFonts w:cs="Times New Roman"/>
          <w:szCs w:val="24"/>
          <w:vertAlign w:val="superscript"/>
        </w:rPr>
        <w:t>3</w:t>
      </w:r>
      <w:r>
        <w:rPr>
          <w:rFonts w:cs="Times New Roman"/>
          <w:szCs w:val="24"/>
        </w:rPr>
        <w:t>/a）</w:t>
      </w:r>
      <w:r>
        <w:rPr>
          <w:rFonts w:cs="Times New Roman"/>
        </w:rPr>
        <w:t>，废水水质为：COD：280mg/L、BOD</w:t>
      </w:r>
      <w:r>
        <w:rPr>
          <w:rFonts w:cs="Times New Roman"/>
          <w:vertAlign w:val="subscript"/>
        </w:rPr>
        <w:t>5</w:t>
      </w:r>
      <w:r>
        <w:rPr>
          <w:rFonts w:cs="Times New Roman"/>
        </w:rPr>
        <w:t>：120mg/L、SS：150mg/L、氨氮：35mg/L、粪大肠杆菌：500000个/L。马壕污水处理厂位于</w:t>
      </w:r>
      <w:r>
        <w:rPr>
          <w:rFonts w:hAnsi="宋体" w:cs="Times New Roman"/>
          <w:szCs w:val="24"/>
        </w:rPr>
        <w:t>枫桥湖片区西南侧，枫桥湖路以北东风湖的南侧</w:t>
      </w:r>
      <w:r>
        <w:rPr>
          <w:rFonts w:cs="Times New Roman"/>
        </w:rPr>
        <w:t>，建设规模为5万吨/日，</w:t>
      </w:r>
      <w:r>
        <w:rPr>
          <w:rFonts w:ascii="宋体" w:hAnsi="宋体"/>
          <w:szCs w:val="24"/>
        </w:rPr>
        <w:t>污水厂占地</w:t>
      </w:r>
      <w:r>
        <w:rPr>
          <w:szCs w:val="24"/>
        </w:rPr>
        <w:t>73934.25</w:t>
      </w:r>
      <w:r>
        <w:rPr>
          <w:rFonts w:ascii="宋体" w:hAnsi="宋体"/>
          <w:szCs w:val="24"/>
        </w:rPr>
        <w:t>平方米，采用二级生物处理传统推流式</w:t>
      </w:r>
      <w:r>
        <w:rPr>
          <w:szCs w:val="24"/>
        </w:rPr>
        <w:t>A</w:t>
      </w:r>
      <w:r>
        <w:rPr>
          <w:szCs w:val="24"/>
          <w:vertAlign w:val="superscript"/>
        </w:rPr>
        <w:t>2</w:t>
      </w:r>
      <w:r>
        <w:rPr>
          <w:szCs w:val="24"/>
        </w:rPr>
        <w:t>/O</w:t>
      </w:r>
      <w:r>
        <w:rPr>
          <w:rFonts w:ascii="宋体" w:hAnsi="宋体"/>
          <w:szCs w:val="24"/>
        </w:rPr>
        <w:t>工艺。</w:t>
      </w:r>
      <w:r>
        <w:rPr>
          <w:rFonts w:hint="eastAsia" w:cs="Times New Roman"/>
        </w:rPr>
        <w:t>马壕</w:t>
      </w:r>
      <w:r>
        <w:rPr>
          <w:rFonts w:cs="Times New Roman"/>
        </w:rPr>
        <w:t>污水厂进水水质标准为：COD</w:t>
      </w:r>
      <w:r>
        <w:rPr>
          <w:rFonts w:hint="eastAsia" w:cs="Times New Roman"/>
        </w:rPr>
        <w:t>：5</w:t>
      </w:r>
      <w:r>
        <w:rPr>
          <w:rFonts w:cs="Times New Roman"/>
        </w:rPr>
        <w:t>00mg/L，BOD</w:t>
      </w:r>
      <w:r>
        <w:rPr>
          <w:rFonts w:hint="eastAsia" w:cs="Times New Roman"/>
        </w:rPr>
        <w:t>：</w:t>
      </w:r>
      <w:r>
        <w:rPr>
          <w:rFonts w:cs="Times New Roman"/>
        </w:rPr>
        <w:t>1</w:t>
      </w:r>
      <w:r>
        <w:rPr>
          <w:rFonts w:hint="eastAsia" w:cs="Times New Roman"/>
        </w:rPr>
        <w:t>3</w:t>
      </w:r>
      <w:r>
        <w:rPr>
          <w:rFonts w:cs="Times New Roman"/>
        </w:rPr>
        <w:t>0mg/L，氨氮</w:t>
      </w:r>
      <w:r>
        <w:rPr>
          <w:rFonts w:hint="eastAsia" w:cs="Times New Roman"/>
        </w:rPr>
        <w:t>：</w:t>
      </w:r>
      <w:r>
        <w:rPr>
          <w:rFonts w:cs="Times New Roman"/>
        </w:rPr>
        <w:t>25mg/L，SS</w:t>
      </w:r>
      <w:r>
        <w:rPr>
          <w:rFonts w:hint="eastAsia" w:cs="Times New Roman"/>
        </w:rPr>
        <w:t>：200</w:t>
      </w:r>
      <w:r>
        <w:rPr>
          <w:rFonts w:cs="Times New Roman"/>
        </w:rPr>
        <w:t>mg/L。异常情况下医疗废水中的COD、BOD、氨氮、SS均能满足</w:t>
      </w:r>
      <w:r>
        <w:rPr>
          <w:rFonts w:hint="eastAsia" w:cs="Times New Roman"/>
        </w:rPr>
        <w:t>马壕</w:t>
      </w:r>
      <w:r>
        <w:rPr>
          <w:rFonts w:cs="Times New Roman"/>
        </w:rPr>
        <w:t>污水处理厂进水水质标准，</w:t>
      </w:r>
      <w:r>
        <w:rPr>
          <w:rFonts w:hint="eastAsia" w:cs="Times New Roman"/>
        </w:rPr>
        <w:t>马壕</w:t>
      </w:r>
      <w:r>
        <w:rPr>
          <w:rFonts w:cs="Times New Roman"/>
        </w:rPr>
        <w:t>污水处理对放大成菌群没有控制，但是粪大肠菌群严重超出《医疗机构水污染物排放标准》中表2预处理标准，医院含菌废水可沾染病人的血、尿、便，或受到粪便、病毒等病原性微生物污染，；含有酸、碱、悬浮固体、BOD、COD和动植物油等有多种致病菌、病毒和寄生虫卵，它们在环境中具有一定的适应力，有的甚至在污水中存活较长，危害性较大；不经有效处理会成为一条疫病扩散的重要途径和严重污染环境，危害人体健康并对环境有长远影响，排放的废水会导致环境污染事故。除此之外，事故状态下还可导致水中余氯超标，余氯超标会导致水中致癌和制毒性物质的增加，对</w:t>
      </w:r>
      <w:r>
        <w:rPr>
          <w:rFonts w:hint="eastAsia" w:cs="Times New Roman"/>
        </w:rPr>
        <w:t>马壕</w:t>
      </w:r>
      <w:r>
        <w:rPr>
          <w:rFonts w:cs="Times New Roman"/>
        </w:rPr>
        <w:t>污水处理厂的处理效率造成影响。</w:t>
      </w:r>
    </w:p>
    <w:p>
      <w:pPr>
        <w:spacing w:line="360" w:lineRule="auto"/>
        <w:ind w:firstLine="480" w:firstLineChars="200"/>
        <w:rPr>
          <w:rFonts w:cs="Times New Roman"/>
          <w:color w:val="FF0000"/>
        </w:rPr>
      </w:pPr>
      <w:r>
        <w:rPr>
          <w:rFonts w:cs="Times New Roman"/>
          <w:color w:val="000000" w:themeColor="text1"/>
        </w:rPr>
        <w:t>但为了确保达标排放，同时减轻对</w:t>
      </w:r>
      <w:r>
        <w:rPr>
          <w:rFonts w:hint="eastAsia" w:cs="Times New Roman"/>
          <w:color w:val="000000" w:themeColor="text1"/>
        </w:rPr>
        <w:t>马壕</w:t>
      </w:r>
      <w:r>
        <w:rPr>
          <w:rFonts w:cs="Times New Roman"/>
          <w:color w:val="000000" w:themeColor="text1"/>
        </w:rPr>
        <w:t>污水处理厂的冲击，本项目必须杜绝非正常排放</w:t>
      </w:r>
      <w:r>
        <w:rPr>
          <w:rFonts w:cs="Times New Roman"/>
          <w:color w:val="FF0000"/>
        </w:rPr>
        <w:t>。</w:t>
      </w:r>
      <w:r>
        <w:rPr>
          <w:rFonts w:ascii="宋体" w:hAnsi="宋体"/>
          <w:color w:val="000000" w:themeColor="text1"/>
        </w:rPr>
        <w:t>废水处理站在设备检修时，可将废水先保存在调节池或沉淀池中不进行外排废水，待设备检修（检修大约</w:t>
      </w:r>
      <w:r>
        <w:rPr>
          <w:color w:val="000000" w:themeColor="text1"/>
        </w:rPr>
        <w:t>6</w:t>
      </w:r>
      <w:r>
        <w:rPr>
          <w:rFonts w:ascii="宋体" w:hAnsi="宋体"/>
          <w:color w:val="000000" w:themeColor="text1"/>
        </w:rPr>
        <w:t>小时）完成后，正常运行后再进行废水处理及外排，调节池和沉淀池大小需满足可以临时存放</w:t>
      </w:r>
      <w:r>
        <w:rPr>
          <w:color w:val="000000" w:themeColor="text1"/>
        </w:rPr>
        <w:t>6</w:t>
      </w:r>
      <w:r>
        <w:rPr>
          <w:rFonts w:ascii="宋体" w:hAnsi="宋体"/>
          <w:color w:val="000000" w:themeColor="text1"/>
        </w:rPr>
        <w:t>小时事故水，杜绝未经处理的医疗废水排入市政管网。根据《医院污水处理工程技术规范》（</w:t>
      </w:r>
      <w:r>
        <w:rPr>
          <w:color w:val="000000" w:themeColor="text1"/>
        </w:rPr>
        <w:t>HJ2029-2013</w:t>
      </w:r>
      <w:r>
        <w:rPr>
          <w:rFonts w:ascii="宋体" w:hAnsi="宋体"/>
          <w:color w:val="000000" w:themeColor="text1"/>
        </w:rPr>
        <w:t>）的要求和设计规范中对于医院污水处理工程应急事故池设计的相关要求，传染病医院污水处理工程应急事故池容积不小于日排放量的</w:t>
      </w:r>
      <w:r>
        <w:rPr>
          <w:color w:val="000000" w:themeColor="text1"/>
        </w:rPr>
        <w:t>100%</w:t>
      </w:r>
      <w:r>
        <w:rPr>
          <w:rFonts w:ascii="宋体" w:hAnsi="宋体"/>
          <w:color w:val="000000" w:themeColor="text1"/>
        </w:rPr>
        <w:t>，非传染病区医院污水处理工程应急事故池容积不小于日排放量的</w:t>
      </w:r>
      <w:r>
        <w:rPr>
          <w:color w:val="000000" w:themeColor="text1"/>
        </w:rPr>
        <w:t>30%</w:t>
      </w:r>
      <w:r>
        <w:rPr>
          <w:rFonts w:ascii="宋体" w:hAnsi="宋体"/>
          <w:color w:val="000000" w:themeColor="text1"/>
        </w:rPr>
        <w:t>，本项目为</w:t>
      </w:r>
      <w:r>
        <w:rPr>
          <w:rFonts w:hint="eastAsia" w:ascii="宋体" w:hAnsi="宋体"/>
          <w:color w:val="000000" w:themeColor="text1"/>
        </w:rPr>
        <w:t>非传染病医院</w:t>
      </w:r>
      <w:r>
        <w:rPr>
          <w:rFonts w:ascii="宋体" w:hAnsi="宋体"/>
          <w:color w:val="000000" w:themeColor="text1"/>
        </w:rPr>
        <w:t>，本项目废水产生量约为</w:t>
      </w:r>
      <w:r>
        <w:rPr>
          <w:rFonts w:hint="eastAsia"/>
          <w:color w:val="000000" w:themeColor="text1"/>
        </w:rPr>
        <w:t>327.457</w:t>
      </w:r>
      <w:r>
        <w:rPr>
          <w:color w:val="000000" w:themeColor="text1"/>
        </w:rPr>
        <w:t>m</w:t>
      </w:r>
      <w:r>
        <w:rPr>
          <w:color w:val="000000" w:themeColor="text1"/>
          <w:vertAlign w:val="superscript"/>
        </w:rPr>
        <w:t>3</w:t>
      </w:r>
      <w:r>
        <w:rPr>
          <w:color w:val="000000" w:themeColor="text1"/>
        </w:rPr>
        <w:t>/d</w:t>
      </w:r>
      <w:r>
        <w:rPr>
          <w:rFonts w:ascii="宋体" w:hAnsi="宋体"/>
          <w:color w:val="000000" w:themeColor="text1"/>
        </w:rPr>
        <w:t>，，则本项目污水处理工程应急事故池（兼做消防废水池）应大于</w:t>
      </w:r>
      <w:r>
        <w:rPr>
          <w:rFonts w:hint="eastAsia"/>
          <w:color w:val="000000" w:themeColor="text1"/>
        </w:rPr>
        <w:t>327.457</w:t>
      </w:r>
      <w:r>
        <w:rPr>
          <w:color w:val="000000" w:themeColor="text1"/>
        </w:rPr>
        <w:t>×30%=</w:t>
      </w:r>
      <w:r>
        <w:rPr>
          <w:rFonts w:hint="eastAsia"/>
          <w:color w:val="000000" w:themeColor="text1"/>
        </w:rPr>
        <w:t>98.237</w:t>
      </w:r>
      <w:r>
        <w:rPr>
          <w:color w:val="000000" w:themeColor="text1"/>
        </w:rPr>
        <w:t>m</w:t>
      </w:r>
      <w:r>
        <w:rPr>
          <w:color w:val="000000" w:themeColor="text1"/>
          <w:vertAlign w:val="superscript"/>
        </w:rPr>
        <w:t>3</w:t>
      </w:r>
      <w:r>
        <w:rPr>
          <w:rFonts w:ascii="宋体" w:hAnsi="宋体"/>
          <w:color w:val="000000" w:themeColor="text1"/>
        </w:rPr>
        <w:t>，</w:t>
      </w:r>
      <w:r>
        <w:rPr>
          <w:rFonts w:hint="eastAsia" w:ascii="宋体" w:hAnsi="宋体"/>
          <w:color w:val="000000" w:themeColor="text1"/>
        </w:rPr>
        <w:t>本项目废水处理站的调节池和沉淀池一起可容纳</w:t>
      </w:r>
      <w:r>
        <w:rPr>
          <w:rFonts w:hint="eastAsia"/>
          <w:color w:val="000000" w:themeColor="text1"/>
        </w:rPr>
        <w:t>200</w:t>
      </w:r>
      <w:r>
        <w:rPr>
          <w:rFonts w:cs="Times New Roman"/>
          <w:color w:val="000000" w:themeColor="text1"/>
        </w:rPr>
        <w:t>m</w:t>
      </w:r>
      <w:r>
        <w:rPr>
          <w:rFonts w:cs="Times New Roman"/>
          <w:color w:val="000000" w:themeColor="text1"/>
          <w:vertAlign w:val="superscript"/>
        </w:rPr>
        <w:t>3</w:t>
      </w:r>
      <w:r>
        <w:rPr>
          <w:color w:val="000000" w:themeColor="text1"/>
        </w:rPr>
        <w:t>的水量</w:t>
      </w:r>
      <w:r>
        <w:rPr>
          <w:rFonts w:hint="eastAsia"/>
          <w:color w:val="000000" w:themeColor="text1"/>
        </w:rPr>
        <w:t>，</w:t>
      </w:r>
      <w:r>
        <w:rPr>
          <w:color w:val="000000" w:themeColor="text1"/>
        </w:rPr>
        <w:t>则可将调节池和沉淀池作为事故应急池使用</w:t>
      </w:r>
      <w:r>
        <w:rPr>
          <w:rFonts w:hint="eastAsia"/>
          <w:color w:val="000000" w:themeColor="text1"/>
        </w:rPr>
        <w:t>。</w:t>
      </w:r>
    </w:p>
    <w:p>
      <w:pPr>
        <w:spacing w:line="360" w:lineRule="auto"/>
        <w:ind w:firstLine="480" w:firstLineChars="200"/>
        <w:rPr>
          <w:rFonts w:cs="Times New Roman"/>
        </w:rPr>
      </w:pPr>
      <w:r>
        <w:rPr>
          <w:rFonts w:cs="Times New Roman"/>
        </w:rPr>
        <w:t>总的来说，</w:t>
      </w:r>
      <w:r>
        <w:rPr>
          <w:rFonts w:hint="eastAsia" w:cs="Times New Roman"/>
        </w:rPr>
        <w:t>在设置事故应急池之后，医院可杜绝非正常排放废水，并且</w:t>
      </w:r>
      <w:r>
        <w:rPr>
          <w:rFonts w:cs="Times New Roman"/>
        </w:rPr>
        <w:t>医院务必要加强生产管理，加强责任监控，防止事故发生。</w:t>
      </w:r>
    </w:p>
    <w:p>
      <w:pPr>
        <w:spacing w:line="360" w:lineRule="auto"/>
        <w:ind w:firstLine="480" w:firstLineChars="200"/>
        <w:rPr>
          <w:rFonts w:cs="Times New Roman"/>
          <w:szCs w:val="24"/>
        </w:rPr>
      </w:pPr>
      <w:r>
        <w:rPr>
          <w:rFonts w:hint="eastAsia" w:cs="Times New Roman"/>
          <w:szCs w:val="24"/>
        </w:rPr>
        <w:t>（7）地表水污染源排放量核算结果</w:t>
      </w:r>
    </w:p>
    <w:p>
      <w:pPr>
        <w:spacing w:line="360" w:lineRule="auto"/>
        <w:ind w:firstLine="480" w:firstLineChars="200"/>
        <w:rPr>
          <w:rFonts w:cs="Times New Roman"/>
          <w:szCs w:val="24"/>
        </w:rPr>
      </w:pPr>
      <w:r>
        <w:rPr>
          <w:rFonts w:cs="Times New Roman"/>
          <w:szCs w:val="24"/>
        </w:rPr>
        <w:t>建设项目污染物排放信息主要见下表所示</w:t>
      </w:r>
      <w:r>
        <w:rPr>
          <w:rFonts w:hint="eastAsia" w:cs="Times New Roman"/>
          <w:szCs w:val="24"/>
        </w:rPr>
        <w:t>。</w:t>
      </w:r>
    </w:p>
    <w:p>
      <w:pPr>
        <w:rPr>
          <w:rFonts w:cs="Times New Roman"/>
          <w:szCs w:val="24"/>
        </w:rPr>
        <w:sectPr>
          <w:pgSz w:w="11910" w:h="16840"/>
          <w:pgMar w:top="1060" w:right="960" w:bottom="1340" w:left="1520" w:header="720" w:footer="720" w:gutter="0"/>
          <w:cols w:space="720" w:num="1"/>
        </w:sectPr>
      </w:pPr>
      <w:r>
        <w:rPr>
          <w:rFonts w:cs="Times New Roman"/>
          <w:szCs w:val="24"/>
        </w:rPr>
        <w:br w:type="page"/>
      </w:r>
    </w:p>
    <w:p>
      <w:pPr>
        <w:pStyle w:val="14"/>
        <w:spacing w:line="240" w:lineRule="auto"/>
        <w:rPr>
          <w:rFonts w:cs="Times New Roman"/>
          <w:szCs w:val="24"/>
        </w:rPr>
      </w:pPr>
      <w:r>
        <w:rPr>
          <w:rFonts w:cs="Times New Roman"/>
          <w:szCs w:val="24"/>
        </w:rPr>
        <w:t>表</w:t>
      </w:r>
      <w:r>
        <w:rPr>
          <w:rFonts w:cs="Times New Roman"/>
          <w:szCs w:val="24"/>
        </w:rPr>
        <w:fldChar w:fldCharType="begin"/>
      </w:r>
      <w:r>
        <w:rPr>
          <w:rFonts w:cs="Times New Roman"/>
          <w:szCs w:val="24"/>
        </w:rPr>
        <w:instrText xml:space="preserve"> STYLEREF 2 \s </w:instrText>
      </w:r>
      <w:r>
        <w:rPr>
          <w:rFonts w:cs="Times New Roman"/>
          <w:szCs w:val="24"/>
        </w:rPr>
        <w:fldChar w:fldCharType="separate"/>
      </w:r>
      <w:r>
        <w:rPr>
          <w:rFonts w:cs="Times New Roman"/>
          <w:szCs w:val="24"/>
        </w:rPr>
        <w:t>5.2</w:t>
      </w:r>
      <w:r>
        <w:rPr>
          <w:rFonts w:cs="Times New Roman"/>
          <w:szCs w:val="24"/>
        </w:rPr>
        <w:fldChar w:fldCharType="end"/>
      </w:r>
      <w:r>
        <w:rPr>
          <w:rFonts w:cs="Times New Roman"/>
          <w:szCs w:val="24"/>
        </w:rPr>
        <w:noBreakHyphen/>
      </w:r>
      <w:r>
        <w:rPr>
          <w:rFonts w:cs="Times New Roman"/>
          <w:szCs w:val="24"/>
        </w:rPr>
        <w:fldChar w:fldCharType="begin"/>
      </w:r>
      <w:r>
        <w:rPr>
          <w:rFonts w:cs="Times New Roman"/>
          <w:szCs w:val="24"/>
        </w:rPr>
        <w:instrText xml:space="preserve"> SEQ 表 \* ARABIC \s 2 </w:instrText>
      </w:r>
      <w:r>
        <w:rPr>
          <w:rFonts w:cs="Times New Roman"/>
          <w:szCs w:val="24"/>
        </w:rPr>
        <w:fldChar w:fldCharType="separate"/>
      </w:r>
      <w:r>
        <w:rPr>
          <w:rFonts w:cs="Times New Roman"/>
          <w:szCs w:val="24"/>
        </w:rPr>
        <w:t>4</w:t>
      </w:r>
      <w:r>
        <w:rPr>
          <w:rFonts w:cs="Times New Roman"/>
          <w:szCs w:val="24"/>
        </w:rPr>
        <w:fldChar w:fldCharType="end"/>
      </w:r>
      <w:r>
        <w:rPr>
          <w:rFonts w:hint="eastAsia" w:cs="Times New Roman"/>
          <w:szCs w:val="24"/>
        </w:rPr>
        <w:t xml:space="preserve">  废水类别、污染物及污染治理设施信息表</w:t>
      </w:r>
    </w:p>
    <w:tbl>
      <w:tblPr>
        <w:tblStyle w:val="39"/>
        <w:tblW w:w="505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86"/>
        <w:gridCol w:w="1168"/>
        <w:gridCol w:w="1610"/>
        <w:gridCol w:w="1569"/>
        <w:gridCol w:w="762"/>
        <w:gridCol w:w="1169"/>
        <w:gridCol w:w="1166"/>
        <w:gridCol w:w="1788"/>
        <w:gridCol w:w="993"/>
        <w:gridCol w:w="1166"/>
        <w:gridCol w:w="25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235" w:type="pct"/>
            <w:vMerge w:val="restart"/>
            <w:vAlign w:val="center"/>
          </w:tcPr>
          <w:p>
            <w:pPr>
              <w:pStyle w:val="140"/>
              <w:ind w:left="109"/>
              <w:rPr>
                <w:rFonts w:ascii="Times New Roman" w:hAnsi="Times New Roman" w:cs="Times New Roman" w:eastAsiaTheme="minorEastAsia"/>
                <w:sz w:val="21"/>
                <w:szCs w:val="21"/>
              </w:rPr>
            </w:pPr>
            <w:r>
              <w:rPr>
                <w:rFonts w:ascii="Times New Roman" w:hAnsi="Times New Roman" w:cs="Times New Roman" w:eastAsiaTheme="minorEastAsia"/>
                <w:sz w:val="21"/>
                <w:szCs w:val="21"/>
              </w:rPr>
              <w:t>序号</w:t>
            </w:r>
          </w:p>
        </w:tc>
        <w:tc>
          <w:tcPr>
            <w:tcW w:w="400" w:type="pct"/>
            <w:vMerge w:val="restart"/>
            <w:vAlign w:val="center"/>
          </w:tcPr>
          <w:p>
            <w:pPr>
              <w:pStyle w:val="140"/>
              <w:ind w:left="116"/>
              <w:rPr>
                <w:rFonts w:ascii="Times New Roman" w:hAnsi="Times New Roman" w:cs="Times New Roman" w:eastAsiaTheme="minorEastAsia"/>
                <w:sz w:val="21"/>
                <w:szCs w:val="21"/>
              </w:rPr>
            </w:pPr>
            <w:r>
              <w:rPr>
                <w:rFonts w:ascii="Times New Roman" w:hAnsi="Times New Roman" w:cs="Times New Roman" w:eastAsiaTheme="minorEastAsia"/>
                <w:sz w:val="21"/>
                <w:szCs w:val="21"/>
              </w:rPr>
              <w:t>废水类别</w:t>
            </w:r>
          </w:p>
        </w:tc>
        <w:tc>
          <w:tcPr>
            <w:tcW w:w="551" w:type="pct"/>
            <w:vMerge w:val="restart"/>
            <w:vAlign w:val="center"/>
          </w:tcPr>
          <w:p>
            <w:pPr>
              <w:pStyle w:val="140"/>
              <w:ind w:left="116"/>
              <w:rPr>
                <w:rFonts w:ascii="Times New Roman" w:hAnsi="Times New Roman" w:cs="Times New Roman" w:eastAsiaTheme="minorEastAsia"/>
                <w:sz w:val="21"/>
                <w:szCs w:val="21"/>
              </w:rPr>
            </w:pPr>
            <w:r>
              <w:rPr>
                <w:rFonts w:ascii="Times New Roman" w:hAnsi="Times New Roman" w:cs="Times New Roman" w:eastAsiaTheme="minorEastAsia"/>
                <w:sz w:val="21"/>
                <w:szCs w:val="21"/>
              </w:rPr>
              <w:t>污染物种类</w:t>
            </w:r>
          </w:p>
        </w:tc>
        <w:tc>
          <w:tcPr>
            <w:tcW w:w="537" w:type="pct"/>
            <w:vMerge w:val="restart"/>
            <w:vAlign w:val="center"/>
          </w:tcPr>
          <w:p>
            <w:pPr>
              <w:pStyle w:val="140"/>
              <w:ind w:left="116"/>
              <w:rPr>
                <w:rFonts w:ascii="Times New Roman" w:hAnsi="Times New Roman" w:cs="Times New Roman" w:eastAsiaTheme="minorEastAsia"/>
                <w:sz w:val="21"/>
                <w:szCs w:val="21"/>
              </w:rPr>
            </w:pPr>
            <w:r>
              <w:rPr>
                <w:rFonts w:ascii="Times New Roman" w:hAnsi="Times New Roman" w:cs="Times New Roman" w:eastAsiaTheme="minorEastAsia"/>
                <w:sz w:val="21"/>
                <w:szCs w:val="21"/>
              </w:rPr>
              <w:t>排放去向</w:t>
            </w:r>
          </w:p>
        </w:tc>
        <w:tc>
          <w:tcPr>
            <w:tcW w:w="261" w:type="pct"/>
            <w:vMerge w:val="restart"/>
            <w:vAlign w:val="center"/>
          </w:tcPr>
          <w:p>
            <w:pPr>
              <w:pStyle w:val="140"/>
              <w:rPr>
                <w:rFonts w:ascii="Times New Roman" w:hAnsi="Times New Roman" w:cs="Times New Roman" w:eastAsiaTheme="minorEastAsia"/>
                <w:sz w:val="21"/>
                <w:szCs w:val="21"/>
              </w:rPr>
            </w:pPr>
            <w:r>
              <w:rPr>
                <w:rFonts w:ascii="Times New Roman" w:hAnsi="Times New Roman" w:cs="Times New Roman" w:eastAsiaTheme="minorEastAsia"/>
                <w:sz w:val="21"/>
                <w:szCs w:val="21"/>
              </w:rPr>
              <w:t>排放规律</w:t>
            </w:r>
          </w:p>
        </w:tc>
        <w:tc>
          <w:tcPr>
            <w:tcW w:w="1411" w:type="pct"/>
            <w:gridSpan w:val="3"/>
            <w:vAlign w:val="center"/>
          </w:tcPr>
          <w:p>
            <w:pPr>
              <w:pStyle w:val="140"/>
              <w:spacing w:before="93"/>
              <w:ind w:left="143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污染治理设施</w:t>
            </w:r>
          </w:p>
        </w:tc>
        <w:tc>
          <w:tcPr>
            <w:tcW w:w="340" w:type="pct"/>
            <w:vMerge w:val="restart"/>
            <w:vAlign w:val="center"/>
          </w:tcPr>
          <w:p>
            <w:pPr>
              <w:pStyle w:val="14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排放口编号</w:t>
            </w:r>
          </w:p>
        </w:tc>
        <w:tc>
          <w:tcPr>
            <w:tcW w:w="399" w:type="pct"/>
            <w:vMerge w:val="restart"/>
            <w:vAlign w:val="center"/>
          </w:tcPr>
          <w:p>
            <w:pPr>
              <w:pStyle w:val="140"/>
              <w:spacing w:before="101"/>
              <w:ind w:left="121" w:right="73"/>
              <w:rPr>
                <w:rFonts w:ascii="Times New Roman" w:hAnsi="Times New Roman" w:cs="Times New Roman" w:eastAsiaTheme="minorEastAsia"/>
                <w:sz w:val="21"/>
                <w:szCs w:val="21"/>
              </w:rPr>
            </w:pPr>
            <w:r>
              <w:rPr>
                <w:rFonts w:ascii="Times New Roman" w:hAnsi="Times New Roman" w:cs="Times New Roman" w:eastAsiaTheme="minorEastAsia"/>
                <w:sz w:val="21"/>
                <w:szCs w:val="21"/>
              </w:rPr>
              <w:t>排放口设置是否符合要求</w:t>
            </w:r>
          </w:p>
        </w:tc>
        <w:tc>
          <w:tcPr>
            <w:tcW w:w="862" w:type="pct"/>
            <w:vMerge w:val="restart"/>
            <w:vAlign w:val="center"/>
          </w:tcPr>
          <w:p>
            <w:pPr>
              <w:pStyle w:val="140"/>
              <w:ind w:left="122"/>
              <w:rPr>
                <w:rFonts w:ascii="Times New Roman" w:hAnsi="Times New Roman" w:cs="Times New Roman" w:eastAsiaTheme="minorEastAsia"/>
                <w:sz w:val="21"/>
                <w:szCs w:val="21"/>
              </w:rPr>
            </w:pPr>
            <w:r>
              <w:rPr>
                <w:rFonts w:ascii="Times New Roman" w:hAnsi="Times New Roman" w:cs="Times New Roman" w:eastAsiaTheme="minorEastAsia"/>
                <w:sz w:val="21"/>
                <w:szCs w:val="21"/>
              </w:rPr>
              <w:t>排放口类型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35" w:type="pct"/>
            <w:vMerge w:val="continue"/>
            <w:vAlign w:val="center"/>
          </w:tcPr>
          <w:p>
            <w:pPr>
              <w:widowControl/>
              <w:jc w:val="center"/>
              <w:rPr>
                <w:rFonts w:cs="Times New Roman"/>
                <w:sz w:val="21"/>
              </w:rPr>
            </w:pPr>
          </w:p>
        </w:tc>
        <w:tc>
          <w:tcPr>
            <w:tcW w:w="400" w:type="pct"/>
            <w:vMerge w:val="continue"/>
            <w:vAlign w:val="center"/>
          </w:tcPr>
          <w:p>
            <w:pPr>
              <w:widowControl/>
              <w:jc w:val="center"/>
              <w:rPr>
                <w:rFonts w:cs="Times New Roman"/>
                <w:sz w:val="21"/>
              </w:rPr>
            </w:pPr>
          </w:p>
        </w:tc>
        <w:tc>
          <w:tcPr>
            <w:tcW w:w="551" w:type="pct"/>
            <w:vMerge w:val="continue"/>
            <w:vAlign w:val="center"/>
          </w:tcPr>
          <w:p>
            <w:pPr>
              <w:widowControl/>
              <w:jc w:val="center"/>
              <w:rPr>
                <w:rFonts w:cs="Times New Roman"/>
                <w:sz w:val="21"/>
              </w:rPr>
            </w:pPr>
          </w:p>
        </w:tc>
        <w:tc>
          <w:tcPr>
            <w:tcW w:w="537" w:type="pct"/>
            <w:vMerge w:val="continue"/>
            <w:vAlign w:val="center"/>
          </w:tcPr>
          <w:p>
            <w:pPr>
              <w:widowControl/>
              <w:jc w:val="center"/>
              <w:rPr>
                <w:rFonts w:cs="Times New Roman"/>
                <w:sz w:val="21"/>
              </w:rPr>
            </w:pPr>
          </w:p>
        </w:tc>
        <w:tc>
          <w:tcPr>
            <w:tcW w:w="261" w:type="pct"/>
            <w:vMerge w:val="continue"/>
            <w:vAlign w:val="center"/>
          </w:tcPr>
          <w:p>
            <w:pPr>
              <w:widowControl/>
              <w:jc w:val="center"/>
              <w:rPr>
                <w:rFonts w:cs="Times New Roman"/>
                <w:sz w:val="21"/>
              </w:rPr>
            </w:pPr>
          </w:p>
        </w:tc>
        <w:tc>
          <w:tcPr>
            <w:tcW w:w="400" w:type="pct"/>
            <w:vAlign w:val="center"/>
          </w:tcPr>
          <w:p>
            <w:pPr>
              <w:pStyle w:val="140"/>
              <w:ind w:left="118"/>
              <w:rPr>
                <w:rFonts w:ascii="Times New Roman" w:hAnsi="Times New Roman" w:cs="Times New Roman" w:eastAsiaTheme="minorEastAsia"/>
                <w:sz w:val="21"/>
                <w:szCs w:val="21"/>
              </w:rPr>
            </w:pPr>
            <w:r>
              <w:rPr>
                <w:rFonts w:ascii="Times New Roman" w:hAnsi="Times New Roman" w:cs="Times New Roman" w:eastAsiaTheme="minorEastAsia"/>
                <w:sz w:val="21"/>
                <w:szCs w:val="21"/>
              </w:rPr>
              <w:t>污染治理</w:t>
            </w:r>
          </w:p>
          <w:p>
            <w:pPr>
              <w:pStyle w:val="140"/>
              <w:spacing w:before="7" w:line="249" w:lineRule="exact"/>
              <w:ind w:left="118"/>
              <w:rPr>
                <w:rFonts w:ascii="Times New Roman" w:hAnsi="Times New Roman" w:cs="Times New Roman" w:eastAsiaTheme="minorEastAsia"/>
                <w:sz w:val="21"/>
                <w:szCs w:val="21"/>
              </w:rPr>
            </w:pPr>
            <w:r>
              <w:rPr>
                <w:rFonts w:ascii="Times New Roman" w:hAnsi="Times New Roman" w:cs="Times New Roman" w:eastAsiaTheme="minorEastAsia"/>
                <w:sz w:val="21"/>
                <w:szCs w:val="21"/>
              </w:rPr>
              <w:t>设施编号</w:t>
            </w:r>
          </w:p>
        </w:tc>
        <w:tc>
          <w:tcPr>
            <w:tcW w:w="399" w:type="pct"/>
            <w:vAlign w:val="center"/>
          </w:tcPr>
          <w:p>
            <w:pPr>
              <w:pStyle w:val="140"/>
              <w:ind w:left="118"/>
              <w:rPr>
                <w:rFonts w:ascii="Times New Roman" w:hAnsi="Times New Roman" w:cs="Times New Roman" w:eastAsiaTheme="minorEastAsia"/>
                <w:sz w:val="21"/>
                <w:szCs w:val="21"/>
              </w:rPr>
            </w:pPr>
            <w:r>
              <w:rPr>
                <w:rFonts w:ascii="Times New Roman" w:hAnsi="Times New Roman" w:cs="Times New Roman" w:eastAsiaTheme="minorEastAsia"/>
                <w:sz w:val="21"/>
                <w:szCs w:val="21"/>
              </w:rPr>
              <w:t>污染治理</w:t>
            </w:r>
          </w:p>
          <w:p>
            <w:pPr>
              <w:pStyle w:val="140"/>
              <w:spacing w:before="7" w:line="249" w:lineRule="exact"/>
              <w:ind w:left="118"/>
              <w:rPr>
                <w:rFonts w:ascii="Times New Roman" w:hAnsi="Times New Roman" w:cs="Times New Roman" w:eastAsiaTheme="minorEastAsia"/>
                <w:sz w:val="21"/>
                <w:szCs w:val="21"/>
              </w:rPr>
            </w:pPr>
            <w:r>
              <w:rPr>
                <w:rFonts w:ascii="Times New Roman" w:hAnsi="Times New Roman" w:cs="Times New Roman" w:eastAsiaTheme="minorEastAsia"/>
                <w:sz w:val="21"/>
                <w:szCs w:val="21"/>
              </w:rPr>
              <w:t>设施名称</w:t>
            </w:r>
          </w:p>
        </w:tc>
        <w:tc>
          <w:tcPr>
            <w:tcW w:w="611" w:type="pct"/>
            <w:vAlign w:val="center"/>
          </w:tcPr>
          <w:p>
            <w:pPr>
              <w:pStyle w:val="140"/>
              <w:ind w:left="119"/>
              <w:rPr>
                <w:rFonts w:ascii="Times New Roman" w:hAnsi="Times New Roman" w:cs="Times New Roman" w:eastAsiaTheme="minorEastAsia"/>
                <w:sz w:val="21"/>
                <w:szCs w:val="21"/>
              </w:rPr>
            </w:pPr>
            <w:r>
              <w:rPr>
                <w:rFonts w:ascii="Times New Roman" w:hAnsi="Times New Roman" w:cs="Times New Roman" w:eastAsiaTheme="minorEastAsia"/>
                <w:sz w:val="21"/>
                <w:szCs w:val="21"/>
              </w:rPr>
              <w:t>污染治理设</w:t>
            </w:r>
          </w:p>
          <w:p>
            <w:pPr>
              <w:pStyle w:val="140"/>
              <w:spacing w:before="7" w:line="249" w:lineRule="exact"/>
              <w:ind w:left="119"/>
              <w:rPr>
                <w:rFonts w:ascii="Times New Roman" w:hAnsi="Times New Roman" w:cs="Times New Roman" w:eastAsiaTheme="minorEastAsia"/>
                <w:sz w:val="21"/>
                <w:szCs w:val="21"/>
              </w:rPr>
            </w:pPr>
            <w:r>
              <w:rPr>
                <w:rFonts w:ascii="Times New Roman" w:hAnsi="Times New Roman" w:cs="Times New Roman" w:eastAsiaTheme="minorEastAsia"/>
                <w:sz w:val="21"/>
                <w:szCs w:val="21"/>
              </w:rPr>
              <w:t>施工艺</w:t>
            </w:r>
          </w:p>
        </w:tc>
        <w:tc>
          <w:tcPr>
            <w:tcW w:w="340" w:type="pct"/>
            <w:vMerge w:val="continue"/>
            <w:vAlign w:val="center"/>
          </w:tcPr>
          <w:p>
            <w:pPr>
              <w:widowControl/>
              <w:jc w:val="center"/>
              <w:rPr>
                <w:rFonts w:cs="Times New Roman"/>
                <w:sz w:val="21"/>
              </w:rPr>
            </w:pPr>
          </w:p>
        </w:tc>
        <w:tc>
          <w:tcPr>
            <w:tcW w:w="399" w:type="pct"/>
            <w:vMerge w:val="continue"/>
            <w:vAlign w:val="center"/>
          </w:tcPr>
          <w:p>
            <w:pPr>
              <w:widowControl/>
              <w:jc w:val="center"/>
              <w:rPr>
                <w:rFonts w:cs="Times New Roman"/>
                <w:sz w:val="21"/>
              </w:rPr>
            </w:pPr>
          </w:p>
        </w:tc>
        <w:tc>
          <w:tcPr>
            <w:tcW w:w="862" w:type="pct"/>
            <w:vMerge w:val="continue"/>
            <w:vAlign w:val="center"/>
          </w:tcPr>
          <w:p>
            <w:pPr>
              <w:widowControl/>
              <w:jc w:val="center"/>
              <w:rPr>
                <w:rFonts w:cs="Times New Roman"/>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2" w:hRule="atLeast"/>
        </w:trPr>
        <w:tc>
          <w:tcPr>
            <w:tcW w:w="235" w:type="pct"/>
            <w:vAlign w:val="center"/>
          </w:tcPr>
          <w:p>
            <w:pPr>
              <w:pStyle w:val="140"/>
              <w:spacing w:before="143"/>
              <w:ind w:left="109"/>
              <w:rPr>
                <w:rFonts w:ascii="Times New Roman" w:hAnsi="Times New Roman" w:cs="Times New Roman" w:eastAsiaTheme="minorEastAsia"/>
                <w:sz w:val="21"/>
                <w:szCs w:val="21"/>
              </w:rPr>
            </w:pPr>
            <w:r>
              <w:rPr>
                <w:rFonts w:ascii="Times New Roman" w:hAnsi="Times New Roman" w:cs="Times New Roman" w:eastAsiaTheme="minorEastAsia"/>
                <w:sz w:val="21"/>
                <w:szCs w:val="21"/>
              </w:rPr>
              <w:t>1</w:t>
            </w:r>
          </w:p>
        </w:tc>
        <w:tc>
          <w:tcPr>
            <w:tcW w:w="400" w:type="pct"/>
            <w:vAlign w:val="center"/>
          </w:tcPr>
          <w:p>
            <w:pPr>
              <w:pStyle w:val="140"/>
              <w:spacing w:before="137"/>
              <w:ind w:left="116"/>
              <w:rPr>
                <w:rFonts w:ascii="Times New Roman" w:hAnsi="Times New Roman" w:cs="Times New Roman" w:eastAsiaTheme="minorEastAsia"/>
                <w:sz w:val="21"/>
                <w:szCs w:val="21"/>
              </w:rPr>
            </w:pPr>
            <w:r>
              <w:rPr>
                <w:rFonts w:ascii="Times New Roman" w:hAnsi="Times New Roman" w:cs="Times New Roman" w:eastAsiaTheme="minorEastAsia"/>
                <w:sz w:val="21"/>
                <w:szCs w:val="21"/>
              </w:rPr>
              <w:t>医疗废水</w:t>
            </w:r>
          </w:p>
        </w:tc>
        <w:tc>
          <w:tcPr>
            <w:tcW w:w="551" w:type="pct"/>
            <w:vAlign w:val="center"/>
          </w:tcPr>
          <w:p>
            <w:pPr>
              <w:pStyle w:val="140"/>
              <w:spacing w:before="4" w:line="245" w:lineRule="exact"/>
              <w:ind w:left="116"/>
              <w:rPr>
                <w:rFonts w:ascii="Times New Roman" w:hAnsi="Times New Roman" w:cs="Times New Roman"/>
                <w:sz w:val="21"/>
                <w:szCs w:val="21"/>
              </w:rPr>
            </w:pPr>
            <w:r>
              <w:rPr>
                <w:rFonts w:ascii="Times New Roman" w:hAnsi="Times New Roman" w:cs="Times New Roman" w:eastAsiaTheme="minorEastAsia"/>
                <w:sz w:val="21"/>
                <w:szCs w:val="21"/>
              </w:rPr>
              <w:t>COD</w:t>
            </w:r>
            <w:r>
              <w:rPr>
                <w:rFonts w:ascii="Times New Roman" w:hAnsi="Times New Roman" w:cs="Times New Roman" w:eastAsiaTheme="minorEastAsia"/>
                <w:sz w:val="21"/>
                <w:szCs w:val="21"/>
                <w:vertAlign w:val="subscript"/>
              </w:rPr>
              <w:t>Cr</w:t>
            </w:r>
            <w:r>
              <w:rPr>
                <w:rFonts w:ascii="Times New Roman" w:hAnsi="Times New Roman" w:cs="Times New Roman" w:eastAsiaTheme="minorEastAsia"/>
                <w:sz w:val="21"/>
                <w:szCs w:val="21"/>
              </w:rPr>
              <w:t>、BOD</w:t>
            </w:r>
            <w:r>
              <w:rPr>
                <w:rFonts w:ascii="Times New Roman" w:hAnsi="Times New Roman" w:cs="Times New Roman" w:eastAsiaTheme="minorEastAsia"/>
                <w:sz w:val="21"/>
                <w:szCs w:val="21"/>
                <w:vertAlign w:val="subscript"/>
              </w:rPr>
              <w:t>5</w:t>
            </w:r>
            <w:r>
              <w:rPr>
                <w:rFonts w:ascii="Times New Roman" w:hAnsi="Times New Roman" w:cs="Times New Roman" w:eastAsiaTheme="minorEastAsia"/>
                <w:sz w:val="21"/>
                <w:szCs w:val="21"/>
              </w:rPr>
              <w:t>、</w:t>
            </w:r>
            <w:r>
              <w:rPr>
                <w:rFonts w:ascii="Times New Roman" w:hAnsi="Times New Roman" w:cs="Times New Roman" w:eastAsiaTheme="minorEastAsia"/>
                <w:sz w:val="24"/>
                <w:szCs w:val="24"/>
              </w:rPr>
              <w:t>SS、</w:t>
            </w:r>
            <w:r>
              <w:rPr>
                <w:rFonts w:ascii="Times New Roman" w:cs="Times New Roman"/>
                <w:sz w:val="21"/>
              </w:rPr>
              <w:t>氨氮、粪大肠杆菌、总氮、总磷、阴离子表面活性剂、总余氯、</w:t>
            </w:r>
            <w:r>
              <w:rPr>
                <w:rFonts w:ascii="Times New Roman" w:cs="Times New Roman"/>
                <w:color w:val="000000" w:themeColor="text1"/>
                <w:sz w:val="21"/>
              </w:rPr>
              <w:t>总氰化物</w:t>
            </w:r>
          </w:p>
        </w:tc>
        <w:tc>
          <w:tcPr>
            <w:tcW w:w="537" w:type="pct"/>
            <w:vAlign w:val="center"/>
          </w:tcPr>
          <w:p>
            <w:pPr>
              <w:pStyle w:val="140"/>
              <w:spacing w:before="8"/>
              <w:rPr>
                <w:rFonts w:ascii="Times New Roman" w:hAnsi="Times New Roman" w:cs="Times New Roman" w:eastAsiaTheme="minorEastAsia"/>
                <w:sz w:val="21"/>
                <w:szCs w:val="21"/>
              </w:rPr>
            </w:pPr>
            <w:r>
              <w:rPr>
                <w:rFonts w:ascii="Times New Roman" w:hAnsi="Times New Roman" w:cs="Times New Roman" w:eastAsiaTheme="minorEastAsia"/>
                <w:sz w:val="21"/>
                <w:szCs w:val="21"/>
              </w:rPr>
              <w:t>医院废水处理站</w:t>
            </w:r>
          </w:p>
          <w:p>
            <w:pPr>
              <w:pStyle w:val="140"/>
              <w:ind w:right="74"/>
              <w:rPr>
                <w:rFonts w:ascii="Times New Roman" w:hAnsi="Times New Roman" w:cs="Times New Roman" w:eastAsiaTheme="minorEastAsia"/>
                <w:sz w:val="21"/>
                <w:szCs w:val="21"/>
              </w:rPr>
            </w:pPr>
          </w:p>
        </w:tc>
        <w:tc>
          <w:tcPr>
            <w:tcW w:w="261" w:type="pct"/>
            <w:vAlign w:val="center"/>
          </w:tcPr>
          <w:p>
            <w:pPr>
              <w:pStyle w:val="140"/>
              <w:ind w:right="52"/>
              <w:rPr>
                <w:rFonts w:ascii="Times New Roman" w:hAnsi="Times New Roman" w:cs="Times New Roman" w:eastAsiaTheme="minorEastAsia"/>
                <w:sz w:val="21"/>
                <w:szCs w:val="21"/>
              </w:rPr>
            </w:pPr>
            <w:r>
              <w:rPr>
                <w:rFonts w:ascii="Times New Roman" w:hAnsi="Times New Roman" w:cs="Times New Roman" w:eastAsiaTheme="minorEastAsia"/>
                <w:sz w:val="21"/>
                <w:szCs w:val="21"/>
              </w:rPr>
              <w:t>连续排放，流量稳定</w:t>
            </w:r>
          </w:p>
        </w:tc>
        <w:tc>
          <w:tcPr>
            <w:tcW w:w="400" w:type="pct"/>
            <w:vAlign w:val="center"/>
          </w:tcPr>
          <w:p>
            <w:pPr>
              <w:pStyle w:val="140"/>
              <w:ind w:left="118"/>
              <w:rPr>
                <w:rFonts w:ascii="Times New Roman" w:hAnsi="Times New Roman" w:cs="Times New Roman" w:eastAsiaTheme="minorEastAsia"/>
                <w:sz w:val="21"/>
                <w:szCs w:val="21"/>
              </w:rPr>
            </w:pPr>
            <w:r>
              <w:rPr>
                <w:rFonts w:ascii="Times New Roman" w:hAnsi="Times New Roman" w:cs="Times New Roman" w:eastAsiaTheme="minorEastAsia"/>
                <w:sz w:val="21"/>
                <w:szCs w:val="21"/>
              </w:rPr>
              <w:t>TW001</w:t>
            </w:r>
          </w:p>
        </w:tc>
        <w:tc>
          <w:tcPr>
            <w:tcW w:w="399" w:type="pct"/>
            <w:vAlign w:val="center"/>
          </w:tcPr>
          <w:p>
            <w:pPr>
              <w:pStyle w:val="140"/>
              <w:ind w:right="75"/>
              <w:rPr>
                <w:rFonts w:ascii="Times New Roman" w:hAnsi="Times New Roman" w:cs="Times New Roman" w:eastAsiaTheme="minorEastAsia"/>
                <w:sz w:val="21"/>
                <w:szCs w:val="21"/>
              </w:rPr>
            </w:pPr>
            <w:r>
              <w:rPr>
                <w:rFonts w:ascii="Times New Roman" w:hAnsi="Times New Roman" w:cs="Times New Roman" w:eastAsiaTheme="minorEastAsia"/>
                <w:sz w:val="21"/>
                <w:szCs w:val="21"/>
              </w:rPr>
              <w:t>医院医疗废水处理站</w:t>
            </w:r>
          </w:p>
        </w:tc>
        <w:tc>
          <w:tcPr>
            <w:tcW w:w="611" w:type="pct"/>
            <w:vAlign w:val="center"/>
          </w:tcPr>
          <w:p>
            <w:pPr>
              <w:pStyle w:val="140"/>
              <w:ind w:left="119" w:right="78"/>
              <w:rPr>
                <w:rFonts w:ascii="Times New Roman" w:hAnsi="Times New Roman" w:cs="Times New Roman" w:eastAsiaTheme="minorEastAsia"/>
                <w:sz w:val="21"/>
                <w:szCs w:val="21"/>
              </w:rPr>
            </w:pPr>
            <w:r>
              <w:rPr>
                <w:rFonts w:ascii="Times New Roman" w:hAnsi="Times New Roman" w:cs="Times New Roman" w:eastAsiaTheme="minorEastAsia"/>
                <w:spacing w:val="23"/>
                <w:sz w:val="21"/>
                <w:szCs w:val="21"/>
              </w:rPr>
              <w:t xml:space="preserve"> “一级预处理+消毒处理</w:t>
            </w:r>
            <w:r>
              <w:rPr>
                <w:rFonts w:ascii="Times New Roman" w:hAnsi="Times New Roman" w:cs="Times New Roman" w:eastAsiaTheme="minorEastAsia"/>
                <w:spacing w:val="-2"/>
                <w:sz w:val="21"/>
                <w:szCs w:val="21"/>
              </w:rPr>
              <w:t>”</w:t>
            </w:r>
          </w:p>
        </w:tc>
        <w:tc>
          <w:tcPr>
            <w:tcW w:w="340" w:type="pct"/>
            <w:vAlign w:val="center"/>
          </w:tcPr>
          <w:p>
            <w:pPr>
              <w:pStyle w:val="140"/>
              <w:ind w:left="120"/>
              <w:rPr>
                <w:rFonts w:ascii="Times New Roman" w:hAnsi="Times New Roman" w:cs="Times New Roman" w:eastAsiaTheme="minorEastAsia"/>
                <w:sz w:val="21"/>
                <w:szCs w:val="21"/>
              </w:rPr>
            </w:pPr>
            <w:r>
              <w:rPr>
                <w:rFonts w:ascii="Times New Roman" w:hAnsi="Times New Roman" w:cs="Times New Roman" w:eastAsiaTheme="minorEastAsia"/>
                <w:sz w:val="21"/>
                <w:szCs w:val="21"/>
              </w:rPr>
              <w:t>DW001</w:t>
            </w:r>
          </w:p>
        </w:tc>
        <w:tc>
          <w:tcPr>
            <w:tcW w:w="399" w:type="pct"/>
            <w:vAlign w:val="center"/>
          </w:tcPr>
          <w:p>
            <w:pPr>
              <w:pStyle w:val="140"/>
              <w:ind w:left="121"/>
              <w:rPr>
                <w:rFonts w:ascii="Times New Roman" w:hAnsi="Times New Roman" w:cs="Times New Roman" w:eastAsiaTheme="minorEastAsia"/>
                <w:sz w:val="21"/>
                <w:szCs w:val="21"/>
              </w:rPr>
            </w:pPr>
            <w:r>
              <w:rPr>
                <w:rFonts w:ascii="Times New Roman" w:hAnsi="Times New Roman" w:cs="Times New Roman" w:eastAsiaTheme="minorEastAsia"/>
                <w:sz w:val="21"/>
                <w:szCs w:val="21"/>
              </w:rPr>
              <w:sym w:font="Wingdings 2" w:char="0052"/>
            </w:r>
            <w:r>
              <w:rPr>
                <w:rFonts w:ascii="Times New Roman" w:hAnsi="Times New Roman" w:cs="Times New Roman" w:eastAsiaTheme="minorEastAsia"/>
                <w:spacing w:val="-1"/>
                <w:sz w:val="21"/>
                <w:szCs w:val="21"/>
              </w:rPr>
              <w:t>是</w:t>
            </w:r>
          </w:p>
          <w:p>
            <w:pPr>
              <w:pStyle w:val="140"/>
              <w:spacing w:before="3"/>
              <w:ind w:left="121"/>
              <w:rPr>
                <w:rFonts w:ascii="Times New Roman" w:hAnsi="Times New Roman" w:cs="Times New Roman" w:eastAsiaTheme="minorEastAsia"/>
                <w:sz w:val="21"/>
                <w:szCs w:val="21"/>
              </w:rPr>
            </w:pPr>
            <w:r>
              <w:rPr>
                <w:rFonts w:ascii="Times New Roman" w:hAnsi="Times New Roman" w:cs="Times New Roman" w:eastAsiaTheme="minorEastAsia"/>
                <w:sz w:val="21"/>
                <w:szCs w:val="21"/>
              </w:rPr>
              <w:t>□否</w:t>
            </w:r>
          </w:p>
        </w:tc>
        <w:tc>
          <w:tcPr>
            <w:tcW w:w="862" w:type="pct"/>
            <w:vAlign w:val="center"/>
          </w:tcPr>
          <w:p>
            <w:pPr>
              <w:pStyle w:val="140"/>
              <w:spacing w:before="151"/>
              <w:ind w:left="122"/>
              <w:rPr>
                <w:rFonts w:ascii="Times New Roman" w:hAnsi="Times New Roman" w:cs="Times New Roman" w:eastAsiaTheme="minorEastAsia"/>
                <w:sz w:val="21"/>
                <w:szCs w:val="21"/>
              </w:rPr>
            </w:pPr>
            <w:r>
              <w:rPr>
                <w:rFonts w:ascii="Times New Roman" w:hAnsi="Times New Roman" w:cs="Times New Roman" w:eastAsiaTheme="minorEastAsia"/>
                <w:sz w:val="21"/>
                <w:szCs w:val="21"/>
              </w:rPr>
              <w:sym w:font="Wingdings 2" w:char="0052"/>
            </w:r>
            <w:r>
              <w:rPr>
                <w:rFonts w:ascii="Times New Roman" w:hAnsi="Times New Roman" w:cs="Times New Roman" w:eastAsiaTheme="minorEastAsia"/>
                <w:spacing w:val="-2"/>
                <w:sz w:val="21"/>
                <w:szCs w:val="21"/>
              </w:rPr>
              <w:t>企业总排</w:t>
            </w:r>
          </w:p>
          <w:p>
            <w:pPr>
              <w:pStyle w:val="140"/>
              <w:spacing w:before="3"/>
              <w:ind w:left="122"/>
              <w:rPr>
                <w:rFonts w:ascii="Times New Roman" w:hAnsi="Times New Roman" w:cs="Times New Roman" w:eastAsiaTheme="minorEastAsia"/>
                <w:sz w:val="21"/>
                <w:szCs w:val="21"/>
              </w:rPr>
            </w:pPr>
            <w:r>
              <w:rPr>
                <w:rFonts w:ascii="Times New Roman" w:hAnsi="Times New Roman" w:cs="Times New Roman" w:eastAsiaTheme="minorEastAsia"/>
                <w:spacing w:val="-2"/>
                <w:sz w:val="21"/>
                <w:szCs w:val="21"/>
              </w:rPr>
              <w:t>□雨水排放</w:t>
            </w:r>
          </w:p>
          <w:p>
            <w:pPr>
              <w:pStyle w:val="140"/>
              <w:spacing w:before="3"/>
              <w:ind w:left="122"/>
              <w:rPr>
                <w:rFonts w:ascii="Times New Roman" w:hAnsi="Times New Roman" w:cs="Times New Roman" w:eastAsiaTheme="minorEastAsia"/>
                <w:sz w:val="21"/>
                <w:szCs w:val="21"/>
              </w:rPr>
            </w:pPr>
            <w:r>
              <w:rPr>
                <w:rFonts w:ascii="Times New Roman" w:hAnsi="Times New Roman" w:cs="Times New Roman" w:eastAsiaTheme="minorEastAsia"/>
                <w:sz w:val="21"/>
                <w:szCs w:val="21"/>
              </w:rPr>
              <w:t>□清净下水排放</w:t>
            </w:r>
          </w:p>
          <w:p>
            <w:pPr>
              <w:pStyle w:val="140"/>
              <w:spacing w:before="3"/>
              <w:ind w:left="122"/>
              <w:rPr>
                <w:rFonts w:ascii="Times New Roman" w:hAnsi="Times New Roman" w:cs="Times New Roman" w:eastAsiaTheme="minorEastAsia"/>
                <w:sz w:val="21"/>
                <w:szCs w:val="21"/>
              </w:rPr>
            </w:pPr>
            <w:r>
              <w:rPr>
                <w:rFonts w:ascii="Times New Roman" w:hAnsi="Times New Roman" w:cs="Times New Roman" w:eastAsiaTheme="minorEastAsia"/>
                <w:sz w:val="21"/>
                <w:szCs w:val="21"/>
              </w:rPr>
              <w:t>□温排水排放</w:t>
            </w:r>
          </w:p>
          <w:p>
            <w:pPr>
              <w:pStyle w:val="140"/>
              <w:spacing w:before="2" w:line="244" w:lineRule="auto"/>
              <w:ind w:left="122" w:right="55"/>
              <w:rPr>
                <w:rFonts w:ascii="Times New Roman" w:hAnsi="Times New Roman" w:cs="Times New Roman" w:eastAsiaTheme="minorEastAsia"/>
                <w:sz w:val="21"/>
                <w:szCs w:val="21"/>
              </w:rPr>
            </w:pPr>
            <w:r>
              <w:rPr>
                <w:rFonts w:ascii="Times New Roman" w:hAnsi="Times New Roman" w:cs="Times New Roman" w:eastAsiaTheme="minorEastAsia"/>
                <w:sz w:val="21"/>
                <w:szCs w:val="21"/>
              </w:rPr>
              <w:t>□车间或车间处理设施排放口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2" w:hRule="atLeast"/>
        </w:trPr>
        <w:tc>
          <w:tcPr>
            <w:tcW w:w="235" w:type="pct"/>
            <w:vAlign w:val="center"/>
          </w:tcPr>
          <w:p>
            <w:pPr>
              <w:pStyle w:val="140"/>
              <w:spacing w:before="143"/>
              <w:ind w:left="109"/>
              <w:rPr>
                <w:rFonts w:ascii="Times New Roman" w:hAnsi="Times New Roman" w:cs="Times New Roman" w:eastAsiaTheme="minorEastAsia"/>
                <w:sz w:val="21"/>
                <w:szCs w:val="21"/>
              </w:rPr>
            </w:pPr>
            <w:r>
              <w:rPr>
                <w:rFonts w:ascii="Times New Roman" w:hAnsi="Times New Roman" w:cs="Times New Roman" w:eastAsiaTheme="minorEastAsia"/>
                <w:sz w:val="21"/>
                <w:szCs w:val="21"/>
              </w:rPr>
              <w:t>2</w:t>
            </w:r>
          </w:p>
        </w:tc>
        <w:tc>
          <w:tcPr>
            <w:tcW w:w="400" w:type="pct"/>
            <w:vAlign w:val="center"/>
          </w:tcPr>
          <w:p>
            <w:pPr>
              <w:pStyle w:val="140"/>
              <w:spacing w:before="137"/>
              <w:ind w:left="116"/>
              <w:rPr>
                <w:rFonts w:ascii="Times New Roman" w:hAnsi="Times New Roman" w:cs="Times New Roman" w:eastAsiaTheme="minorEastAsia"/>
                <w:sz w:val="21"/>
                <w:szCs w:val="21"/>
              </w:rPr>
            </w:pPr>
            <w:r>
              <w:rPr>
                <w:rFonts w:ascii="Times New Roman" w:hAnsi="Times New Roman" w:cs="Times New Roman" w:eastAsiaTheme="minorEastAsia"/>
                <w:sz w:val="21"/>
                <w:szCs w:val="21"/>
              </w:rPr>
              <w:t>职工公寓废水</w:t>
            </w:r>
          </w:p>
        </w:tc>
        <w:tc>
          <w:tcPr>
            <w:tcW w:w="551" w:type="pct"/>
            <w:vAlign w:val="center"/>
          </w:tcPr>
          <w:p>
            <w:pPr>
              <w:pStyle w:val="140"/>
              <w:spacing w:before="4" w:line="245" w:lineRule="exact"/>
              <w:ind w:left="116"/>
              <w:rPr>
                <w:rFonts w:ascii="Times New Roman" w:hAnsi="Times New Roman" w:cs="Times New Roman"/>
                <w:sz w:val="21"/>
                <w:szCs w:val="21"/>
              </w:rPr>
            </w:pPr>
            <w:r>
              <w:rPr>
                <w:rFonts w:ascii="Times New Roman" w:hAnsi="Times New Roman" w:cs="Times New Roman" w:eastAsiaTheme="minorEastAsia"/>
                <w:sz w:val="21"/>
                <w:szCs w:val="21"/>
              </w:rPr>
              <w:t>COD</w:t>
            </w:r>
            <w:r>
              <w:rPr>
                <w:rFonts w:ascii="Times New Roman" w:hAnsi="Times New Roman" w:cs="Times New Roman" w:eastAsiaTheme="minorEastAsia"/>
                <w:sz w:val="21"/>
                <w:szCs w:val="21"/>
                <w:vertAlign w:val="subscript"/>
              </w:rPr>
              <w:t>Cr</w:t>
            </w:r>
            <w:r>
              <w:rPr>
                <w:rFonts w:ascii="Times New Roman" w:hAnsi="Times New Roman" w:cs="Times New Roman" w:eastAsiaTheme="minorEastAsia"/>
                <w:sz w:val="21"/>
                <w:szCs w:val="21"/>
              </w:rPr>
              <w:t>、BOD</w:t>
            </w:r>
            <w:r>
              <w:rPr>
                <w:rFonts w:ascii="Times New Roman" w:hAnsi="Times New Roman" w:cs="Times New Roman" w:eastAsiaTheme="minorEastAsia"/>
                <w:sz w:val="21"/>
                <w:szCs w:val="21"/>
                <w:vertAlign w:val="subscript"/>
              </w:rPr>
              <w:t>5</w:t>
            </w:r>
            <w:r>
              <w:rPr>
                <w:rFonts w:ascii="Times New Roman" w:hAnsi="Times New Roman" w:cs="Times New Roman" w:eastAsiaTheme="minorEastAsia"/>
                <w:sz w:val="21"/>
                <w:szCs w:val="21"/>
              </w:rPr>
              <w:t>、</w:t>
            </w:r>
            <w:r>
              <w:rPr>
                <w:rFonts w:ascii="Times New Roman" w:hAnsi="Times New Roman" w:cs="Times New Roman" w:eastAsiaTheme="minorEastAsia"/>
                <w:sz w:val="24"/>
                <w:szCs w:val="24"/>
              </w:rPr>
              <w:t>SS、</w:t>
            </w:r>
            <w:r>
              <w:rPr>
                <w:rFonts w:ascii="Times New Roman" w:cs="Times New Roman"/>
                <w:sz w:val="21"/>
              </w:rPr>
              <w:t>氨氮、动植物油</w:t>
            </w:r>
          </w:p>
        </w:tc>
        <w:tc>
          <w:tcPr>
            <w:tcW w:w="537" w:type="pct"/>
            <w:vAlign w:val="center"/>
          </w:tcPr>
          <w:p>
            <w:pPr>
              <w:pStyle w:val="140"/>
              <w:ind w:left="116" w:right="74"/>
              <w:rPr>
                <w:rFonts w:ascii="Times New Roman" w:hAnsi="Times New Roman" w:cs="Times New Roman" w:eastAsiaTheme="minorEastAsia"/>
                <w:sz w:val="21"/>
                <w:szCs w:val="21"/>
              </w:rPr>
            </w:pPr>
            <w:r>
              <w:rPr>
                <w:rFonts w:ascii="Times New Roman" w:hAnsi="Times New Roman" w:cs="Times New Roman" w:eastAsiaTheme="minorEastAsia"/>
                <w:sz w:val="21"/>
                <w:szCs w:val="21"/>
              </w:rPr>
              <w:t>化粪池</w:t>
            </w:r>
          </w:p>
        </w:tc>
        <w:tc>
          <w:tcPr>
            <w:tcW w:w="261" w:type="pct"/>
            <w:vAlign w:val="center"/>
          </w:tcPr>
          <w:p>
            <w:pPr>
              <w:pStyle w:val="140"/>
              <w:ind w:right="52"/>
              <w:rPr>
                <w:rFonts w:ascii="Times New Roman" w:hAnsi="Times New Roman" w:cs="Times New Roman" w:eastAsiaTheme="minorEastAsia"/>
                <w:sz w:val="21"/>
                <w:szCs w:val="21"/>
              </w:rPr>
            </w:pPr>
            <w:r>
              <w:rPr>
                <w:rFonts w:ascii="Times New Roman" w:hAnsi="Times New Roman" w:cs="Times New Roman" w:eastAsiaTheme="minorEastAsia"/>
                <w:sz w:val="21"/>
                <w:szCs w:val="21"/>
              </w:rPr>
              <w:t>连续排放，流量稳定</w:t>
            </w:r>
          </w:p>
        </w:tc>
        <w:tc>
          <w:tcPr>
            <w:tcW w:w="400" w:type="pct"/>
            <w:vAlign w:val="center"/>
          </w:tcPr>
          <w:p>
            <w:pPr>
              <w:pStyle w:val="140"/>
              <w:ind w:left="118"/>
              <w:rPr>
                <w:rFonts w:ascii="Times New Roman" w:hAnsi="Times New Roman" w:cs="Times New Roman" w:eastAsiaTheme="minorEastAsia"/>
                <w:sz w:val="21"/>
                <w:szCs w:val="21"/>
              </w:rPr>
            </w:pPr>
            <w:r>
              <w:rPr>
                <w:rFonts w:ascii="Times New Roman" w:hAnsi="Times New Roman" w:cs="Times New Roman" w:eastAsiaTheme="minorEastAsia"/>
                <w:sz w:val="21"/>
                <w:szCs w:val="21"/>
              </w:rPr>
              <w:t>TW002</w:t>
            </w:r>
          </w:p>
        </w:tc>
        <w:tc>
          <w:tcPr>
            <w:tcW w:w="399" w:type="pct"/>
            <w:vAlign w:val="center"/>
          </w:tcPr>
          <w:p>
            <w:pPr>
              <w:pStyle w:val="140"/>
              <w:ind w:right="75"/>
              <w:rPr>
                <w:rFonts w:ascii="Times New Roman" w:hAnsi="Times New Roman" w:cs="Times New Roman" w:eastAsiaTheme="minorEastAsia"/>
                <w:sz w:val="21"/>
                <w:szCs w:val="21"/>
              </w:rPr>
            </w:pPr>
            <w:r>
              <w:rPr>
                <w:rFonts w:ascii="Times New Roman" w:hAnsi="Times New Roman" w:cs="Times New Roman" w:eastAsiaTheme="minorEastAsia"/>
                <w:sz w:val="21"/>
                <w:szCs w:val="21"/>
              </w:rPr>
              <w:t>职工公寓化粪池</w:t>
            </w:r>
          </w:p>
        </w:tc>
        <w:tc>
          <w:tcPr>
            <w:tcW w:w="611" w:type="pct"/>
            <w:vAlign w:val="center"/>
          </w:tcPr>
          <w:p>
            <w:pPr>
              <w:pStyle w:val="140"/>
              <w:ind w:left="119" w:right="78"/>
              <w:rPr>
                <w:rFonts w:ascii="Times New Roman" w:hAnsi="Times New Roman" w:cs="Times New Roman" w:eastAsiaTheme="minorEastAsia"/>
                <w:spacing w:val="23"/>
                <w:sz w:val="21"/>
                <w:szCs w:val="21"/>
              </w:rPr>
            </w:pPr>
            <w:r>
              <w:rPr>
                <w:rFonts w:ascii="Times New Roman" w:hAnsi="Times New Roman" w:cs="Times New Roman" w:eastAsiaTheme="minorEastAsia"/>
                <w:spacing w:val="23"/>
                <w:sz w:val="21"/>
                <w:szCs w:val="21"/>
              </w:rPr>
              <w:t>化粪池</w:t>
            </w:r>
          </w:p>
        </w:tc>
        <w:tc>
          <w:tcPr>
            <w:tcW w:w="340" w:type="pct"/>
            <w:vAlign w:val="center"/>
          </w:tcPr>
          <w:p>
            <w:pPr>
              <w:pStyle w:val="140"/>
              <w:ind w:left="120"/>
              <w:rPr>
                <w:rFonts w:ascii="Times New Roman" w:hAnsi="Times New Roman" w:cs="Times New Roman" w:eastAsiaTheme="minorEastAsia"/>
                <w:sz w:val="21"/>
                <w:szCs w:val="21"/>
              </w:rPr>
            </w:pPr>
            <w:r>
              <w:rPr>
                <w:rFonts w:ascii="Times New Roman" w:hAnsi="Times New Roman" w:cs="Times New Roman" w:eastAsiaTheme="minorEastAsia"/>
                <w:sz w:val="21"/>
                <w:szCs w:val="21"/>
              </w:rPr>
              <w:t>DW002</w:t>
            </w:r>
          </w:p>
        </w:tc>
        <w:tc>
          <w:tcPr>
            <w:tcW w:w="399" w:type="pct"/>
            <w:vAlign w:val="center"/>
          </w:tcPr>
          <w:p>
            <w:pPr>
              <w:pStyle w:val="140"/>
              <w:ind w:left="121"/>
              <w:rPr>
                <w:rFonts w:ascii="Times New Roman" w:hAnsi="Times New Roman" w:cs="Times New Roman" w:eastAsiaTheme="minorEastAsia"/>
                <w:sz w:val="21"/>
                <w:szCs w:val="21"/>
              </w:rPr>
            </w:pPr>
            <w:r>
              <w:rPr>
                <w:rFonts w:ascii="Times New Roman" w:hAnsi="Times New Roman" w:cs="Times New Roman" w:eastAsiaTheme="minorEastAsia"/>
                <w:sz w:val="21"/>
                <w:szCs w:val="21"/>
              </w:rPr>
              <w:sym w:font="Wingdings 2" w:char="0052"/>
            </w:r>
            <w:r>
              <w:rPr>
                <w:rFonts w:ascii="Times New Roman" w:hAnsi="Times New Roman" w:cs="Times New Roman" w:eastAsiaTheme="minorEastAsia"/>
                <w:spacing w:val="-1"/>
                <w:sz w:val="21"/>
                <w:szCs w:val="21"/>
              </w:rPr>
              <w:t>是</w:t>
            </w:r>
          </w:p>
          <w:p>
            <w:pPr>
              <w:pStyle w:val="140"/>
              <w:spacing w:before="3"/>
              <w:ind w:left="121"/>
              <w:rPr>
                <w:rFonts w:ascii="Times New Roman" w:hAnsi="Times New Roman" w:cs="Times New Roman" w:eastAsiaTheme="minorEastAsia"/>
                <w:sz w:val="21"/>
                <w:szCs w:val="21"/>
              </w:rPr>
            </w:pPr>
            <w:r>
              <w:rPr>
                <w:rFonts w:ascii="Times New Roman" w:hAnsi="Times New Roman" w:cs="Times New Roman" w:eastAsiaTheme="minorEastAsia"/>
                <w:sz w:val="21"/>
                <w:szCs w:val="21"/>
              </w:rPr>
              <w:t>□否</w:t>
            </w:r>
          </w:p>
        </w:tc>
        <w:tc>
          <w:tcPr>
            <w:tcW w:w="862" w:type="pct"/>
            <w:vAlign w:val="center"/>
          </w:tcPr>
          <w:p>
            <w:pPr>
              <w:pStyle w:val="140"/>
              <w:spacing w:before="151"/>
              <w:ind w:left="122"/>
              <w:rPr>
                <w:rFonts w:ascii="Times New Roman" w:hAnsi="Times New Roman" w:cs="Times New Roman" w:eastAsiaTheme="minorEastAsia"/>
                <w:sz w:val="21"/>
                <w:szCs w:val="21"/>
              </w:rPr>
            </w:pPr>
            <w:r>
              <w:rPr>
                <w:rFonts w:ascii="Times New Roman" w:hAnsi="Times New Roman" w:cs="Times New Roman" w:eastAsiaTheme="minorEastAsia"/>
                <w:sz w:val="21"/>
                <w:szCs w:val="21"/>
              </w:rPr>
              <w:sym w:font="Wingdings 2" w:char="0052"/>
            </w:r>
            <w:r>
              <w:rPr>
                <w:rFonts w:ascii="Times New Roman" w:hAnsi="Times New Roman" w:cs="Times New Roman" w:eastAsiaTheme="minorEastAsia"/>
                <w:spacing w:val="-2"/>
                <w:sz w:val="21"/>
                <w:szCs w:val="21"/>
              </w:rPr>
              <w:t>企业总排</w:t>
            </w:r>
          </w:p>
          <w:p>
            <w:pPr>
              <w:pStyle w:val="140"/>
              <w:spacing w:before="3"/>
              <w:ind w:left="122"/>
              <w:rPr>
                <w:rFonts w:ascii="Times New Roman" w:hAnsi="Times New Roman" w:cs="Times New Roman" w:eastAsiaTheme="minorEastAsia"/>
                <w:sz w:val="21"/>
                <w:szCs w:val="21"/>
              </w:rPr>
            </w:pPr>
            <w:r>
              <w:rPr>
                <w:rFonts w:ascii="Times New Roman" w:hAnsi="Times New Roman" w:cs="Times New Roman" w:eastAsiaTheme="minorEastAsia"/>
                <w:spacing w:val="-2"/>
                <w:sz w:val="21"/>
                <w:szCs w:val="21"/>
              </w:rPr>
              <w:t>□雨水排放</w:t>
            </w:r>
          </w:p>
          <w:p>
            <w:pPr>
              <w:pStyle w:val="140"/>
              <w:spacing w:before="3"/>
              <w:ind w:left="122"/>
              <w:rPr>
                <w:rFonts w:ascii="Times New Roman" w:hAnsi="Times New Roman" w:cs="Times New Roman" w:eastAsiaTheme="minorEastAsia"/>
                <w:sz w:val="21"/>
                <w:szCs w:val="21"/>
              </w:rPr>
            </w:pPr>
            <w:r>
              <w:rPr>
                <w:rFonts w:ascii="Times New Roman" w:hAnsi="Times New Roman" w:cs="Times New Roman" w:eastAsiaTheme="minorEastAsia"/>
                <w:sz w:val="21"/>
                <w:szCs w:val="21"/>
              </w:rPr>
              <w:t>□清净下水排放</w:t>
            </w:r>
          </w:p>
          <w:p>
            <w:pPr>
              <w:pStyle w:val="140"/>
              <w:spacing w:before="3"/>
              <w:ind w:left="122"/>
              <w:rPr>
                <w:rFonts w:ascii="Times New Roman" w:hAnsi="Times New Roman" w:cs="Times New Roman" w:eastAsiaTheme="minorEastAsia"/>
                <w:sz w:val="21"/>
                <w:szCs w:val="21"/>
              </w:rPr>
            </w:pPr>
            <w:r>
              <w:rPr>
                <w:rFonts w:ascii="Times New Roman" w:hAnsi="Times New Roman" w:cs="Times New Roman" w:eastAsiaTheme="minorEastAsia"/>
                <w:sz w:val="21"/>
                <w:szCs w:val="21"/>
              </w:rPr>
              <w:t>□温排水排放</w:t>
            </w:r>
          </w:p>
          <w:p>
            <w:pPr>
              <w:pStyle w:val="140"/>
              <w:spacing w:before="2" w:line="244" w:lineRule="auto"/>
              <w:ind w:left="122" w:right="55"/>
              <w:rPr>
                <w:rFonts w:ascii="Times New Roman" w:hAnsi="Times New Roman" w:cs="Times New Roman" w:eastAsiaTheme="minorEastAsia"/>
                <w:sz w:val="21"/>
                <w:szCs w:val="21"/>
              </w:rPr>
            </w:pPr>
            <w:r>
              <w:rPr>
                <w:rFonts w:ascii="Times New Roman" w:hAnsi="Times New Roman" w:cs="Times New Roman" w:eastAsiaTheme="minorEastAsia"/>
                <w:sz w:val="21"/>
                <w:szCs w:val="21"/>
              </w:rPr>
              <w:t>□车间或车间处理设施排放口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2" w:hRule="atLeast"/>
        </w:trPr>
        <w:tc>
          <w:tcPr>
            <w:tcW w:w="235" w:type="pct"/>
            <w:vAlign w:val="center"/>
          </w:tcPr>
          <w:p>
            <w:pPr>
              <w:pStyle w:val="140"/>
              <w:spacing w:before="143"/>
              <w:ind w:left="109"/>
              <w:rPr>
                <w:rFonts w:ascii="Times New Roman" w:hAnsi="Times New Roman" w:cs="Times New Roman" w:eastAsiaTheme="minorEastAsia"/>
                <w:sz w:val="21"/>
                <w:szCs w:val="21"/>
              </w:rPr>
            </w:pPr>
            <w:r>
              <w:rPr>
                <w:rFonts w:ascii="Times New Roman" w:hAnsi="Times New Roman" w:cs="Times New Roman" w:eastAsiaTheme="minorEastAsia"/>
                <w:sz w:val="21"/>
                <w:szCs w:val="21"/>
              </w:rPr>
              <w:t>3</w:t>
            </w:r>
          </w:p>
        </w:tc>
        <w:tc>
          <w:tcPr>
            <w:tcW w:w="400" w:type="pct"/>
            <w:vAlign w:val="center"/>
          </w:tcPr>
          <w:p>
            <w:pPr>
              <w:pStyle w:val="140"/>
              <w:spacing w:before="137"/>
              <w:ind w:left="116"/>
              <w:rPr>
                <w:rFonts w:ascii="Times New Roman" w:hAnsi="Times New Roman" w:cs="Times New Roman" w:eastAsiaTheme="minorEastAsia"/>
                <w:sz w:val="21"/>
                <w:szCs w:val="21"/>
              </w:rPr>
            </w:pPr>
            <w:r>
              <w:rPr>
                <w:rFonts w:ascii="Times New Roman" w:hAnsi="Times New Roman" w:cs="Times New Roman" w:eastAsiaTheme="minorEastAsia"/>
                <w:sz w:val="21"/>
                <w:szCs w:val="21"/>
              </w:rPr>
              <w:t>厨房废水</w:t>
            </w:r>
          </w:p>
        </w:tc>
        <w:tc>
          <w:tcPr>
            <w:tcW w:w="551" w:type="pct"/>
            <w:vAlign w:val="center"/>
          </w:tcPr>
          <w:p>
            <w:pPr>
              <w:pStyle w:val="140"/>
              <w:spacing w:before="4" w:line="245" w:lineRule="exact"/>
              <w:ind w:left="116"/>
              <w:rPr>
                <w:rFonts w:ascii="Times New Roman" w:hAnsi="Times New Roman" w:cs="Times New Roman" w:eastAsiaTheme="minorEastAsia"/>
                <w:sz w:val="21"/>
                <w:szCs w:val="21"/>
              </w:rPr>
            </w:pPr>
            <w:r>
              <w:rPr>
                <w:rFonts w:ascii="Times New Roman" w:hAnsi="Times New Roman" w:cs="Times New Roman" w:eastAsiaTheme="minorEastAsia"/>
                <w:sz w:val="21"/>
                <w:szCs w:val="21"/>
              </w:rPr>
              <w:t>COD</w:t>
            </w:r>
            <w:r>
              <w:rPr>
                <w:rFonts w:ascii="Times New Roman" w:hAnsi="Times New Roman" w:cs="Times New Roman" w:eastAsiaTheme="minorEastAsia"/>
                <w:sz w:val="21"/>
                <w:szCs w:val="21"/>
                <w:vertAlign w:val="subscript"/>
              </w:rPr>
              <w:t>Cr</w:t>
            </w:r>
            <w:r>
              <w:rPr>
                <w:rFonts w:ascii="Times New Roman" w:hAnsi="Times New Roman" w:cs="Times New Roman" w:eastAsiaTheme="minorEastAsia"/>
                <w:sz w:val="21"/>
                <w:szCs w:val="21"/>
              </w:rPr>
              <w:t>、BOD</w:t>
            </w:r>
            <w:r>
              <w:rPr>
                <w:rFonts w:ascii="Times New Roman" w:hAnsi="Times New Roman" w:cs="Times New Roman" w:eastAsiaTheme="minorEastAsia"/>
                <w:sz w:val="21"/>
                <w:szCs w:val="21"/>
                <w:vertAlign w:val="subscript"/>
              </w:rPr>
              <w:t>5、</w:t>
            </w:r>
            <w:r>
              <w:rPr>
                <w:rFonts w:ascii="Times New Roman" w:hAnsi="Times New Roman" w:cs="Times New Roman" w:eastAsiaTheme="minorEastAsia"/>
                <w:sz w:val="24"/>
                <w:szCs w:val="24"/>
              </w:rPr>
              <w:t>SS、</w:t>
            </w:r>
            <w:r>
              <w:rPr>
                <w:rFonts w:ascii="Times New Roman" w:cs="Times New Roman"/>
                <w:sz w:val="21"/>
              </w:rPr>
              <w:t>氨氮、动植物油</w:t>
            </w:r>
          </w:p>
        </w:tc>
        <w:tc>
          <w:tcPr>
            <w:tcW w:w="537" w:type="pct"/>
            <w:vAlign w:val="center"/>
          </w:tcPr>
          <w:p>
            <w:pPr>
              <w:pStyle w:val="140"/>
              <w:ind w:left="116" w:right="74"/>
              <w:rPr>
                <w:rFonts w:ascii="Times New Roman" w:hAnsi="Times New Roman" w:cs="Times New Roman" w:eastAsiaTheme="minorEastAsia"/>
                <w:sz w:val="21"/>
                <w:szCs w:val="21"/>
              </w:rPr>
            </w:pPr>
            <w:r>
              <w:rPr>
                <w:rFonts w:ascii="Times New Roman" w:hAnsi="Times New Roman" w:cs="Times New Roman" w:eastAsiaTheme="minorEastAsia"/>
                <w:sz w:val="21"/>
                <w:szCs w:val="21"/>
              </w:rPr>
              <w:t>隔油沉淀池+化粪池</w:t>
            </w:r>
          </w:p>
        </w:tc>
        <w:tc>
          <w:tcPr>
            <w:tcW w:w="261" w:type="pct"/>
            <w:vAlign w:val="center"/>
          </w:tcPr>
          <w:p>
            <w:pPr>
              <w:pStyle w:val="140"/>
              <w:ind w:right="52"/>
              <w:rPr>
                <w:rFonts w:ascii="Times New Roman" w:hAnsi="Times New Roman" w:cs="Times New Roman" w:eastAsiaTheme="minorEastAsia"/>
                <w:sz w:val="21"/>
                <w:szCs w:val="21"/>
              </w:rPr>
            </w:pPr>
            <w:r>
              <w:rPr>
                <w:rFonts w:ascii="Times New Roman" w:hAnsi="Times New Roman" w:cs="Times New Roman" w:eastAsiaTheme="minorEastAsia"/>
                <w:sz w:val="21"/>
                <w:szCs w:val="21"/>
              </w:rPr>
              <w:t>间接排放，不稳定有周期性</w:t>
            </w:r>
          </w:p>
        </w:tc>
        <w:tc>
          <w:tcPr>
            <w:tcW w:w="400" w:type="pct"/>
            <w:vAlign w:val="center"/>
          </w:tcPr>
          <w:p>
            <w:pPr>
              <w:pStyle w:val="140"/>
              <w:ind w:left="118"/>
              <w:rPr>
                <w:rFonts w:ascii="Times New Roman" w:hAnsi="Times New Roman" w:cs="Times New Roman" w:eastAsiaTheme="minorEastAsia"/>
                <w:sz w:val="21"/>
                <w:szCs w:val="21"/>
              </w:rPr>
            </w:pPr>
            <w:r>
              <w:rPr>
                <w:rFonts w:ascii="Times New Roman" w:hAnsi="Times New Roman" w:cs="Times New Roman" w:eastAsiaTheme="minorEastAsia"/>
                <w:sz w:val="21"/>
                <w:szCs w:val="21"/>
              </w:rPr>
              <w:t>TW003</w:t>
            </w:r>
          </w:p>
        </w:tc>
        <w:tc>
          <w:tcPr>
            <w:tcW w:w="399" w:type="pct"/>
            <w:vAlign w:val="center"/>
          </w:tcPr>
          <w:p>
            <w:pPr>
              <w:pStyle w:val="140"/>
              <w:ind w:right="75"/>
              <w:rPr>
                <w:rFonts w:ascii="Times New Roman" w:hAnsi="Times New Roman" w:cs="Times New Roman" w:eastAsiaTheme="minorEastAsia"/>
                <w:sz w:val="21"/>
                <w:szCs w:val="21"/>
              </w:rPr>
            </w:pPr>
            <w:r>
              <w:rPr>
                <w:rFonts w:ascii="Times New Roman" w:hAnsi="Times New Roman" w:cs="Times New Roman" w:eastAsiaTheme="minorEastAsia"/>
                <w:sz w:val="21"/>
                <w:szCs w:val="21"/>
              </w:rPr>
              <w:t>医院食堂废水处理</w:t>
            </w:r>
          </w:p>
        </w:tc>
        <w:tc>
          <w:tcPr>
            <w:tcW w:w="611" w:type="pct"/>
            <w:vAlign w:val="center"/>
          </w:tcPr>
          <w:p>
            <w:pPr>
              <w:pStyle w:val="140"/>
              <w:ind w:right="78"/>
              <w:rPr>
                <w:rFonts w:ascii="Times New Roman" w:hAnsi="Times New Roman" w:cs="Times New Roman" w:eastAsiaTheme="minorEastAsia"/>
                <w:spacing w:val="23"/>
                <w:sz w:val="21"/>
                <w:szCs w:val="21"/>
              </w:rPr>
            </w:pPr>
            <w:r>
              <w:rPr>
                <w:rFonts w:ascii="Times New Roman" w:hAnsi="Times New Roman" w:cs="Times New Roman" w:eastAsiaTheme="minorEastAsia"/>
                <w:spacing w:val="23"/>
                <w:sz w:val="21"/>
                <w:szCs w:val="21"/>
              </w:rPr>
              <w:t>隔油沉淀池+化粪池</w:t>
            </w:r>
          </w:p>
        </w:tc>
        <w:tc>
          <w:tcPr>
            <w:tcW w:w="340" w:type="pct"/>
            <w:vAlign w:val="center"/>
          </w:tcPr>
          <w:p>
            <w:pPr>
              <w:pStyle w:val="140"/>
              <w:ind w:left="120"/>
              <w:rPr>
                <w:rFonts w:ascii="Times New Roman" w:hAnsi="Times New Roman" w:cs="Times New Roman" w:eastAsiaTheme="minorEastAsia"/>
                <w:sz w:val="21"/>
                <w:szCs w:val="21"/>
              </w:rPr>
            </w:pPr>
            <w:r>
              <w:rPr>
                <w:rFonts w:ascii="Times New Roman" w:hAnsi="Times New Roman" w:cs="Times New Roman" w:eastAsiaTheme="minorEastAsia"/>
                <w:sz w:val="21"/>
                <w:szCs w:val="21"/>
              </w:rPr>
              <w:t>DW003</w:t>
            </w:r>
          </w:p>
        </w:tc>
        <w:tc>
          <w:tcPr>
            <w:tcW w:w="399" w:type="pct"/>
            <w:vAlign w:val="center"/>
          </w:tcPr>
          <w:p>
            <w:pPr>
              <w:pStyle w:val="140"/>
              <w:ind w:left="121"/>
              <w:rPr>
                <w:rFonts w:ascii="Times New Roman" w:hAnsi="Times New Roman" w:cs="Times New Roman" w:eastAsiaTheme="minorEastAsia"/>
                <w:sz w:val="21"/>
                <w:szCs w:val="21"/>
              </w:rPr>
            </w:pPr>
            <w:r>
              <w:rPr>
                <w:rFonts w:ascii="Times New Roman" w:hAnsi="Times New Roman" w:cs="Times New Roman" w:eastAsiaTheme="minorEastAsia"/>
                <w:sz w:val="21"/>
                <w:szCs w:val="21"/>
              </w:rPr>
              <w:sym w:font="Wingdings 2" w:char="0052"/>
            </w:r>
            <w:r>
              <w:rPr>
                <w:rFonts w:ascii="Times New Roman" w:hAnsi="Times New Roman" w:cs="Times New Roman" w:eastAsiaTheme="minorEastAsia"/>
                <w:spacing w:val="-1"/>
                <w:sz w:val="21"/>
                <w:szCs w:val="21"/>
              </w:rPr>
              <w:t>是</w:t>
            </w:r>
          </w:p>
          <w:p>
            <w:pPr>
              <w:pStyle w:val="140"/>
              <w:spacing w:before="3"/>
              <w:ind w:left="121"/>
              <w:rPr>
                <w:rFonts w:ascii="Times New Roman" w:hAnsi="Times New Roman" w:cs="Times New Roman" w:eastAsiaTheme="minorEastAsia"/>
                <w:sz w:val="21"/>
                <w:szCs w:val="21"/>
              </w:rPr>
            </w:pPr>
            <w:r>
              <w:rPr>
                <w:rFonts w:ascii="Times New Roman" w:hAnsi="Times New Roman" w:cs="Times New Roman" w:eastAsiaTheme="minorEastAsia"/>
                <w:sz w:val="21"/>
                <w:szCs w:val="21"/>
              </w:rPr>
              <w:t>□否</w:t>
            </w:r>
          </w:p>
        </w:tc>
        <w:tc>
          <w:tcPr>
            <w:tcW w:w="862" w:type="pct"/>
            <w:vAlign w:val="center"/>
          </w:tcPr>
          <w:p>
            <w:pPr>
              <w:pStyle w:val="140"/>
              <w:spacing w:before="151"/>
              <w:ind w:left="122"/>
              <w:rPr>
                <w:rFonts w:ascii="Times New Roman" w:hAnsi="Times New Roman" w:cs="Times New Roman" w:eastAsiaTheme="minorEastAsia"/>
                <w:sz w:val="21"/>
                <w:szCs w:val="21"/>
              </w:rPr>
            </w:pPr>
            <w:r>
              <w:rPr>
                <w:rFonts w:ascii="Times New Roman" w:hAnsi="Times New Roman" w:cs="Times New Roman" w:eastAsiaTheme="minorEastAsia"/>
                <w:sz w:val="21"/>
                <w:szCs w:val="21"/>
              </w:rPr>
              <w:sym w:font="Wingdings 2" w:char="0052"/>
            </w:r>
            <w:r>
              <w:rPr>
                <w:rFonts w:ascii="Times New Roman" w:hAnsi="Times New Roman" w:cs="Times New Roman" w:eastAsiaTheme="minorEastAsia"/>
                <w:spacing w:val="-2"/>
                <w:sz w:val="21"/>
                <w:szCs w:val="21"/>
              </w:rPr>
              <w:t>企业总排</w:t>
            </w:r>
          </w:p>
          <w:p>
            <w:pPr>
              <w:pStyle w:val="140"/>
              <w:spacing w:before="3"/>
              <w:ind w:left="122"/>
              <w:rPr>
                <w:rFonts w:ascii="Times New Roman" w:hAnsi="Times New Roman" w:cs="Times New Roman" w:eastAsiaTheme="minorEastAsia"/>
                <w:sz w:val="21"/>
                <w:szCs w:val="21"/>
              </w:rPr>
            </w:pPr>
            <w:r>
              <w:rPr>
                <w:rFonts w:ascii="Times New Roman" w:hAnsi="Times New Roman" w:cs="Times New Roman" w:eastAsiaTheme="minorEastAsia"/>
                <w:spacing w:val="-2"/>
                <w:sz w:val="21"/>
                <w:szCs w:val="21"/>
              </w:rPr>
              <w:t>□雨水排放</w:t>
            </w:r>
          </w:p>
          <w:p>
            <w:pPr>
              <w:pStyle w:val="140"/>
              <w:spacing w:before="3"/>
              <w:ind w:left="122"/>
              <w:rPr>
                <w:rFonts w:ascii="Times New Roman" w:hAnsi="Times New Roman" w:cs="Times New Roman" w:eastAsiaTheme="minorEastAsia"/>
                <w:sz w:val="21"/>
                <w:szCs w:val="21"/>
              </w:rPr>
            </w:pPr>
            <w:r>
              <w:rPr>
                <w:rFonts w:ascii="Times New Roman" w:hAnsi="Times New Roman" w:cs="Times New Roman" w:eastAsiaTheme="minorEastAsia"/>
                <w:sz w:val="21"/>
                <w:szCs w:val="21"/>
              </w:rPr>
              <w:t>□清净下水排放</w:t>
            </w:r>
          </w:p>
          <w:p>
            <w:pPr>
              <w:pStyle w:val="140"/>
              <w:spacing w:before="3"/>
              <w:ind w:left="122"/>
              <w:rPr>
                <w:rFonts w:ascii="Times New Roman" w:hAnsi="Times New Roman" w:cs="Times New Roman" w:eastAsiaTheme="minorEastAsia"/>
                <w:sz w:val="21"/>
                <w:szCs w:val="21"/>
              </w:rPr>
            </w:pPr>
            <w:r>
              <w:rPr>
                <w:rFonts w:ascii="Times New Roman" w:hAnsi="Times New Roman" w:cs="Times New Roman" w:eastAsiaTheme="minorEastAsia"/>
                <w:sz w:val="21"/>
                <w:szCs w:val="21"/>
              </w:rPr>
              <w:t>□温排水排放</w:t>
            </w:r>
          </w:p>
          <w:p>
            <w:pPr>
              <w:pStyle w:val="140"/>
              <w:spacing w:before="2" w:line="244" w:lineRule="auto"/>
              <w:ind w:left="122" w:right="55"/>
              <w:rPr>
                <w:rFonts w:ascii="Times New Roman" w:hAnsi="Times New Roman" w:cs="Times New Roman" w:eastAsiaTheme="minorEastAsia"/>
                <w:sz w:val="21"/>
                <w:szCs w:val="21"/>
              </w:rPr>
            </w:pPr>
            <w:r>
              <w:rPr>
                <w:rFonts w:ascii="Times New Roman" w:hAnsi="Times New Roman" w:cs="Times New Roman" w:eastAsiaTheme="minorEastAsia"/>
                <w:sz w:val="21"/>
                <w:szCs w:val="21"/>
              </w:rPr>
              <w:t>□车间或车间处理设施排放口</w:t>
            </w:r>
          </w:p>
        </w:tc>
      </w:tr>
    </w:tbl>
    <w:p>
      <w:pPr>
        <w:pStyle w:val="14"/>
        <w:spacing w:line="240" w:lineRule="auto"/>
        <w:rPr>
          <w:rFonts w:cs="Times New Roman"/>
          <w:szCs w:val="24"/>
        </w:rPr>
      </w:pPr>
      <w:r>
        <w:rPr>
          <w:rFonts w:cs="Times New Roman"/>
          <w:szCs w:val="24"/>
        </w:rPr>
        <w:t>表</w:t>
      </w:r>
      <w:r>
        <w:rPr>
          <w:rFonts w:cs="Times New Roman"/>
          <w:szCs w:val="24"/>
        </w:rPr>
        <w:fldChar w:fldCharType="begin"/>
      </w:r>
      <w:r>
        <w:rPr>
          <w:rFonts w:cs="Times New Roman"/>
          <w:szCs w:val="24"/>
        </w:rPr>
        <w:instrText xml:space="preserve"> STYLEREF 2 \s </w:instrText>
      </w:r>
      <w:r>
        <w:rPr>
          <w:rFonts w:cs="Times New Roman"/>
          <w:szCs w:val="24"/>
        </w:rPr>
        <w:fldChar w:fldCharType="separate"/>
      </w:r>
      <w:r>
        <w:rPr>
          <w:rFonts w:cs="Times New Roman"/>
          <w:szCs w:val="24"/>
        </w:rPr>
        <w:t>5.2</w:t>
      </w:r>
      <w:r>
        <w:rPr>
          <w:rFonts w:cs="Times New Roman"/>
          <w:szCs w:val="24"/>
        </w:rPr>
        <w:fldChar w:fldCharType="end"/>
      </w:r>
      <w:r>
        <w:rPr>
          <w:rFonts w:cs="Times New Roman"/>
          <w:szCs w:val="24"/>
        </w:rPr>
        <w:noBreakHyphen/>
      </w:r>
      <w:r>
        <w:rPr>
          <w:rFonts w:cs="Times New Roman"/>
          <w:szCs w:val="24"/>
        </w:rPr>
        <w:fldChar w:fldCharType="begin"/>
      </w:r>
      <w:r>
        <w:rPr>
          <w:rFonts w:cs="Times New Roman"/>
          <w:szCs w:val="24"/>
        </w:rPr>
        <w:instrText xml:space="preserve"> SEQ 表 \* ARABIC \s 2 </w:instrText>
      </w:r>
      <w:r>
        <w:rPr>
          <w:rFonts w:cs="Times New Roman"/>
          <w:szCs w:val="24"/>
        </w:rPr>
        <w:fldChar w:fldCharType="separate"/>
      </w:r>
      <w:r>
        <w:rPr>
          <w:rFonts w:cs="Times New Roman"/>
          <w:szCs w:val="24"/>
        </w:rPr>
        <w:t>5</w:t>
      </w:r>
      <w:r>
        <w:rPr>
          <w:rFonts w:cs="Times New Roman"/>
          <w:szCs w:val="24"/>
        </w:rPr>
        <w:fldChar w:fldCharType="end"/>
      </w:r>
      <w:r>
        <w:rPr>
          <w:rFonts w:hint="eastAsia" w:cs="Times New Roman"/>
          <w:szCs w:val="24"/>
        </w:rPr>
        <w:t xml:space="preserve">  废水间接排放口基本情况表</w:t>
      </w:r>
    </w:p>
    <w:tbl>
      <w:tblPr>
        <w:tblStyle w:val="3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89"/>
        <w:gridCol w:w="867"/>
        <w:gridCol w:w="1481"/>
        <w:gridCol w:w="1643"/>
        <w:gridCol w:w="1508"/>
        <w:gridCol w:w="682"/>
        <w:gridCol w:w="1182"/>
        <w:gridCol w:w="688"/>
        <w:gridCol w:w="698"/>
        <w:gridCol w:w="3176"/>
        <w:gridCol w:w="21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0" w:type="auto"/>
            <w:vMerge w:val="restart"/>
            <w:vAlign w:val="center"/>
          </w:tcPr>
          <w:p>
            <w:pPr>
              <w:pStyle w:val="140"/>
              <w:ind w:left="109"/>
              <w:rPr>
                <w:rFonts w:ascii="Times New Roman" w:hAnsi="Times New Roman" w:cs="Times New Roman" w:eastAsiaTheme="majorEastAsia"/>
                <w:sz w:val="21"/>
                <w:szCs w:val="21"/>
              </w:rPr>
            </w:pPr>
            <w:r>
              <w:rPr>
                <w:rFonts w:ascii="Times New Roman" w:hAnsi="Times New Roman" w:cs="Times New Roman" w:eastAsiaTheme="majorEastAsia"/>
                <w:sz w:val="21"/>
                <w:szCs w:val="21"/>
              </w:rPr>
              <w:t>序号</w:t>
            </w:r>
          </w:p>
        </w:tc>
        <w:tc>
          <w:tcPr>
            <w:tcW w:w="0" w:type="auto"/>
            <w:vMerge w:val="restart"/>
            <w:vAlign w:val="center"/>
          </w:tcPr>
          <w:p>
            <w:pPr>
              <w:pStyle w:val="140"/>
              <w:spacing w:before="1"/>
              <w:ind w:left="116" w:right="83"/>
              <w:rPr>
                <w:rFonts w:ascii="Times New Roman" w:hAnsi="Times New Roman" w:cs="Times New Roman" w:eastAsiaTheme="majorEastAsia"/>
                <w:sz w:val="21"/>
                <w:szCs w:val="21"/>
              </w:rPr>
            </w:pPr>
            <w:r>
              <w:rPr>
                <w:rFonts w:hint="eastAsia" w:ascii="Times New Roman" w:hAnsi="Times New Roman" w:cs="Times New Roman" w:eastAsiaTheme="majorEastAsia"/>
                <w:spacing w:val="-20"/>
                <w:sz w:val="21"/>
                <w:szCs w:val="21"/>
              </w:rPr>
              <w:t>排放口编号</w:t>
            </w:r>
          </w:p>
        </w:tc>
        <w:tc>
          <w:tcPr>
            <w:tcW w:w="0" w:type="auto"/>
            <w:gridSpan w:val="2"/>
            <w:vAlign w:val="center"/>
          </w:tcPr>
          <w:p>
            <w:pPr>
              <w:pStyle w:val="140"/>
              <w:spacing w:before="93"/>
              <w:ind w:left="116"/>
              <w:rPr>
                <w:rFonts w:ascii="Times New Roman" w:hAnsi="Times New Roman" w:cs="Times New Roman" w:eastAsiaTheme="majorEastAsia"/>
                <w:sz w:val="21"/>
                <w:szCs w:val="21"/>
              </w:rPr>
            </w:pPr>
            <w:r>
              <w:rPr>
                <w:rFonts w:ascii="Times New Roman" w:hAnsi="Times New Roman" w:cs="Times New Roman" w:eastAsiaTheme="majorEastAsia"/>
                <w:sz w:val="21"/>
                <w:szCs w:val="21"/>
              </w:rPr>
              <w:t>排放口地理坐标</w:t>
            </w:r>
          </w:p>
        </w:tc>
        <w:tc>
          <w:tcPr>
            <w:tcW w:w="0" w:type="auto"/>
            <w:vMerge w:val="restart"/>
            <w:vAlign w:val="center"/>
          </w:tcPr>
          <w:p>
            <w:pPr>
              <w:pStyle w:val="140"/>
              <w:spacing w:before="1"/>
              <w:ind w:left="117"/>
              <w:rPr>
                <w:rFonts w:ascii="Times New Roman" w:hAnsi="Times New Roman" w:cs="Times New Roman" w:eastAsiaTheme="majorEastAsia"/>
                <w:sz w:val="21"/>
                <w:szCs w:val="21"/>
              </w:rPr>
            </w:pPr>
            <w:r>
              <w:rPr>
                <w:rFonts w:ascii="Times New Roman" w:hAnsi="Times New Roman" w:cs="Times New Roman" w:eastAsiaTheme="majorEastAsia"/>
                <w:sz w:val="21"/>
                <w:szCs w:val="21"/>
              </w:rPr>
              <w:t>废水排放量</w:t>
            </w:r>
          </w:p>
          <w:p>
            <w:pPr>
              <w:pStyle w:val="140"/>
              <w:spacing w:before="2"/>
              <w:ind w:left="117"/>
              <w:rPr>
                <w:rFonts w:ascii="Times New Roman" w:hAnsi="Times New Roman" w:cs="Times New Roman" w:eastAsiaTheme="majorEastAsia"/>
                <w:sz w:val="21"/>
                <w:szCs w:val="21"/>
              </w:rPr>
            </w:pPr>
            <w:r>
              <w:rPr>
                <w:rFonts w:ascii="Times New Roman" w:hAnsi="Times New Roman" w:cs="Times New Roman" w:eastAsiaTheme="majorEastAsia"/>
                <w:sz w:val="21"/>
                <w:szCs w:val="21"/>
              </w:rPr>
              <w:t>/（</w:t>
            </w:r>
            <w:r>
              <w:rPr>
                <w:rFonts w:ascii="Times New Roman" w:hAnsi="Times New Roman" w:cs="Times New Roman" w:eastAsiaTheme="majorEastAsia"/>
                <w:spacing w:val="52"/>
                <w:sz w:val="21"/>
                <w:szCs w:val="21"/>
              </w:rPr>
              <w:t>万</w:t>
            </w:r>
            <w:r>
              <w:rPr>
                <w:rFonts w:ascii="Times New Roman" w:hAnsi="Times New Roman" w:cs="Times New Roman" w:eastAsiaTheme="majorEastAsia"/>
                <w:sz w:val="21"/>
                <w:szCs w:val="21"/>
              </w:rPr>
              <w:t>t/a）</w:t>
            </w:r>
          </w:p>
        </w:tc>
        <w:tc>
          <w:tcPr>
            <w:tcW w:w="0" w:type="auto"/>
            <w:vMerge w:val="restart"/>
            <w:vAlign w:val="center"/>
          </w:tcPr>
          <w:p>
            <w:pPr>
              <w:pStyle w:val="140"/>
              <w:ind w:left="118"/>
              <w:rPr>
                <w:rFonts w:ascii="Times New Roman" w:hAnsi="Times New Roman" w:cs="Times New Roman" w:eastAsiaTheme="majorEastAsia"/>
                <w:sz w:val="21"/>
                <w:szCs w:val="21"/>
              </w:rPr>
            </w:pPr>
            <w:r>
              <w:rPr>
                <w:rFonts w:ascii="Times New Roman" w:hAnsi="Times New Roman" w:cs="Times New Roman" w:eastAsiaTheme="majorEastAsia"/>
                <w:sz w:val="21"/>
                <w:szCs w:val="21"/>
              </w:rPr>
              <w:t>排放去向</w:t>
            </w:r>
          </w:p>
        </w:tc>
        <w:tc>
          <w:tcPr>
            <w:tcW w:w="0" w:type="auto"/>
            <w:vMerge w:val="restart"/>
            <w:vAlign w:val="center"/>
          </w:tcPr>
          <w:p>
            <w:pPr>
              <w:pStyle w:val="140"/>
              <w:ind w:left="119"/>
              <w:rPr>
                <w:rFonts w:ascii="Times New Roman" w:hAnsi="Times New Roman" w:cs="Times New Roman" w:eastAsiaTheme="majorEastAsia"/>
                <w:sz w:val="21"/>
                <w:szCs w:val="21"/>
              </w:rPr>
            </w:pPr>
            <w:r>
              <w:rPr>
                <w:rFonts w:ascii="Times New Roman" w:hAnsi="Times New Roman" w:cs="Times New Roman" w:eastAsiaTheme="majorEastAsia"/>
                <w:sz w:val="21"/>
                <w:szCs w:val="21"/>
              </w:rPr>
              <w:t>排放规律</w:t>
            </w:r>
          </w:p>
        </w:tc>
        <w:tc>
          <w:tcPr>
            <w:tcW w:w="0" w:type="auto"/>
            <w:vMerge w:val="restart"/>
            <w:vAlign w:val="center"/>
          </w:tcPr>
          <w:p>
            <w:pPr>
              <w:pStyle w:val="140"/>
              <w:spacing w:before="1"/>
              <w:ind w:left="120" w:right="74"/>
              <w:rPr>
                <w:rFonts w:ascii="Times New Roman" w:hAnsi="Times New Roman" w:cs="Times New Roman" w:eastAsiaTheme="majorEastAsia"/>
                <w:sz w:val="21"/>
                <w:szCs w:val="21"/>
              </w:rPr>
            </w:pPr>
            <w:r>
              <w:rPr>
                <w:rFonts w:hint="eastAsia" w:ascii="Times New Roman" w:hAnsi="Times New Roman" w:cs="Times New Roman" w:eastAsiaTheme="majorEastAsia"/>
                <w:spacing w:val="-5"/>
                <w:sz w:val="21"/>
                <w:szCs w:val="21"/>
              </w:rPr>
              <w:t>间歇排放时段</w:t>
            </w:r>
          </w:p>
        </w:tc>
        <w:tc>
          <w:tcPr>
            <w:tcW w:w="0" w:type="auto"/>
            <w:gridSpan w:val="3"/>
            <w:vAlign w:val="center"/>
          </w:tcPr>
          <w:p>
            <w:pPr>
              <w:pStyle w:val="140"/>
              <w:spacing w:before="93"/>
              <w:ind w:left="680"/>
              <w:rPr>
                <w:rFonts w:ascii="Times New Roman" w:hAnsi="Times New Roman" w:cs="Times New Roman" w:eastAsiaTheme="majorEastAsia"/>
                <w:sz w:val="21"/>
                <w:szCs w:val="21"/>
              </w:rPr>
            </w:pPr>
            <w:r>
              <w:rPr>
                <w:rFonts w:ascii="Times New Roman" w:hAnsi="Times New Roman" w:cs="Times New Roman" w:eastAsiaTheme="majorEastAsia"/>
                <w:sz w:val="21"/>
                <w:szCs w:val="21"/>
              </w:rPr>
              <w:t>受纳污水处理厂信息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0" w:type="auto"/>
            <w:vMerge w:val="continue"/>
            <w:vAlign w:val="center"/>
          </w:tcPr>
          <w:p>
            <w:pPr>
              <w:widowControl/>
              <w:jc w:val="center"/>
              <w:rPr>
                <w:rFonts w:cs="Times New Roman" w:eastAsiaTheme="majorEastAsia"/>
                <w:sz w:val="21"/>
              </w:rPr>
            </w:pPr>
          </w:p>
        </w:tc>
        <w:tc>
          <w:tcPr>
            <w:tcW w:w="0" w:type="auto"/>
            <w:vMerge w:val="continue"/>
            <w:vAlign w:val="center"/>
          </w:tcPr>
          <w:p>
            <w:pPr>
              <w:widowControl/>
              <w:jc w:val="center"/>
              <w:rPr>
                <w:rFonts w:cs="Times New Roman" w:eastAsiaTheme="majorEastAsia"/>
                <w:sz w:val="21"/>
              </w:rPr>
            </w:pPr>
          </w:p>
        </w:tc>
        <w:tc>
          <w:tcPr>
            <w:tcW w:w="0" w:type="auto"/>
            <w:vAlign w:val="center"/>
          </w:tcPr>
          <w:p>
            <w:pPr>
              <w:pStyle w:val="140"/>
              <w:ind w:left="116"/>
              <w:rPr>
                <w:rFonts w:ascii="Times New Roman" w:hAnsi="Times New Roman" w:cs="Times New Roman" w:eastAsiaTheme="majorEastAsia"/>
                <w:sz w:val="21"/>
                <w:szCs w:val="21"/>
              </w:rPr>
            </w:pPr>
            <w:r>
              <w:rPr>
                <w:rFonts w:ascii="Times New Roman" w:hAnsi="Times New Roman" w:cs="Times New Roman" w:eastAsiaTheme="majorEastAsia"/>
                <w:sz w:val="21"/>
                <w:szCs w:val="21"/>
              </w:rPr>
              <w:t>经度</w:t>
            </w:r>
          </w:p>
        </w:tc>
        <w:tc>
          <w:tcPr>
            <w:tcW w:w="0" w:type="auto"/>
            <w:vAlign w:val="center"/>
          </w:tcPr>
          <w:p>
            <w:pPr>
              <w:pStyle w:val="140"/>
              <w:ind w:left="116"/>
              <w:rPr>
                <w:rFonts w:ascii="Times New Roman" w:hAnsi="Times New Roman" w:cs="Times New Roman" w:eastAsiaTheme="majorEastAsia"/>
                <w:sz w:val="21"/>
                <w:szCs w:val="21"/>
              </w:rPr>
            </w:pPr>
            <w:r>
              <w:rPr>
                <w:rFonts w:ascii="Times New Roman" w:hAnsi="Times New Roman" w:cs="Times New Roman" w:eastAsiaTheme="majorEastAsia"/>
                <w:sz w:val="21"/>
                <w:szCs w:val="21"/>
              </w:rPr>
              <w:t>纬度</w:t>
            </w:r>
          </w:p>
        </w:tc>
        <w:tc>
          <w:tcPr>
            <w:tcW w:w="0" w:type="auto"/>
            <w:vMerge w:val="continue"/>
            <w:vAlign w:val="center"/>
          </w:tcPr>
          <w:p>
            <w:pPr>
              <w:widowControl/>
              <w:jc w:val="center"/>
              <w:rPr>
                <w:rFonts w:cs="Times New Roman" w:eastAsiaTheme="majorEastAsia"/>
                <w:sz w:val="21"/>
              </w:rPr>
            </w:pPr>
          </w:p>
        </w:tc>
        <w:tc>
          <w:tcPr>
            <w:tcW w:w="0" w:type="auto"/>
            <w:vMerge w:val="continue"/>
            <w:vAlign w:val="center"/>
          </w:tcPr>
          <w:p>
            <w:pPr>
              <w:widowControl/>
              <w:jc w:val="center"/>
              <w:rPr>
                <w:rFonts w:cs="Times New Roman" w:eastAsiaTheme="majorEastAsia"/>
                <w:sz w:val="21"/>
              </w:rPr>
            </w:pPr>
          </w:p>
        </w:tc>
        <w:tc>
          <w:tcPr>
            <w:tcW w:w="0" w:type="auto"/>
            <w:vMerge w:val="continue"/>
            <w:vAlign w:val="center"/>
          </w:tcPr>
          <w:p>
            <w:pPr>
              <w:widowControl/>
              <w:jc w:val="center"/>
              <w:rPr>
                <w:rFonts w:cs="Times New Roman" w:eastAsiaTheme="majorEastAsia"/>
                <w:sz w:val="21"/>
              </w:rPr>
            </w:pPr>
          </w:p>
        </w:tc>
        <w:tc>
          <w:tcPr>
            <w:tcW w:w="0" w:type="auto"/>
            <w:vMerge w:val="continue"/>
            <w:vAlign w:val="center"/>
          </w:tcPr>
          <w:p>
            <w:pPr>
              <w:widowControl/>
              <w:jc w:val="center"/>
              <w:rPr>
                <w:rFonts w:cs="Times New Roman" w:eastAsiaTheme="majorEastAsia"/>
                <w:sz w:val="21"/>
              </w:rPr>
            </w:pPr>
          </w:p>
        </w:tc>
        <w:tc>
          <w:tcPr>
            <w:tcW w:w="0" w:type="auto"/>
            <w:vAlign w:val="center"/>
          </w:tcPr>
          <w:p>
            <w:pPr>
              <w:pStyle w:val="140"/>
              <w:ind w:left="120"/>
              <w:rPr>
                <w:rFonts w:ascii="Times New Roman" w:hAnsi="Times New Roman" w:cs="Times New Roman" w:eastAsiaTheme="majorEastAsia"/>
                <w:sz w:val="21"/>
                <w:szCs w:val="21"/>
              </w:rPr>
            </w:pPr>
            <w:r>
              <w:rPr>
                <w:rFonts w:ascii="Times New Roman" w:hAnsi="Times New Roman" w:cs="Times New Roman" w:eastAsiaTheme="majorEastAsia"/>
                <w:sz w:val="21"/>
                <w:szCs w:val="21"/>
              </w:rPr>
              <w:t>名称</w:t>
            </w:r>
          </w:p>
        </w:tc>
        <w:tc>
          <w:tcPr>
            <w:tcW w:w="0" w:type="auto"/>
            <w:vAlign w:val="center"/>
          </w:tcPr>
          <w:p>
            <w:pPr>
              <w:pStyle w:val="140"/>
              <w:ind w:left="121"/>
              <w:rPr>
                <w:rFonts w:ascii="Times New Roman" w:hAnsi="Times New Roman" w:cs="Times New Roman" w:eastAsiaTheme="majorEastAsia"/>
                <w:sz w:val="21"/>
                <w:szCs w:val="21"/>
              </w:rPr>
            </w:pPr>
            <w:r>
              <w:rPr>
                <w:rFonts w:ascii="Times New Roman" w:hAnsi="Times New Roman" w:cs="Times New Roman" w:eastAsiaTheme="majorEastAsia"/>
                <w:sz w:val="21"/>
                <w:szCs w:val="21"/>
              </w:rPr>
              <w:t>污染物种类</w:t>
            </w:r>
          </w:p>
        </w:tc>
        <w:tc>
          <w:tcPr>
            <w:tcW w:w="0" w:type="auto"/>
            <w:vAlign w:val="center"/>
          </w:tcPr>
          <w:p>
            <w:pPr>
              <w:pStyle w:val="140"/>
              <w:spacing w:before="4"/>
              <w:ind w:left="122" w:right="65"/>
              <w:rPr>
                <w:rFonts w:ascii="Times New Roman" w:hAnsi="Times New Roman" w:cs="Times New Roman" w:eastAsiaTheme="majorEastAsia"/>
                <w:sz w:val="21"/>
                <w:szCs w:val="21"/>
              </w:rPr>
            </w:pPr>
            <w:r>
              <w:rPr>
                <w:rFonts w:ascii="Times New Roman" w:hAnsi="Times New Roman" w:cs="Times New Roman" w:eastAsiaTheme="majorEastAsia"/>
                <w:spacing w:val="10"/>
                <w:sz w:val="21"/>
                <w:szCs w:val="21"/>
              </w:rPr>
              <w:t>国家或地方污染物</w:t>
            </w:r>
            <w:r>
              <w:rPr>
                <w:rFonts w:ascii="Times New Roman" w:hAnsi="Times New Roman" w:cs="Times New Roman" w:eastAsiaTheme="majorEastAsia"/>
                <w:spacing w:val="-192"/>
                <w:sz w:val="21"/>
                <w:szCs w:val="21"/>
              </w:rPr>
              <w:t>排</w:t>
            </w:r>
            <w:r>
              <w:rPr>
                <w:rFonts w:ascii="Times New Roman" w:hAnsi="Times New Roman" w:cs="Times New Roman" w:eastAsiaTheme="majorEastAsia"/>
                <w:spacing w:val="3"/>
                <w:sz w:val="21"/>
                <w:szCs w:val="21"/>
              </w:rPr>
              <w:t>放标准浓度限值</w:t>
            </w:r>
            <w:r>
              <w:rPr>
                <w:rFonts w:ascii="Times New Roman" w:hAnsi="Times New Roman" w:cs="Times New Roman" w:eastAsiaTheme="majorEastAsia"/>
                <w:sz w:val="21"/>
                <w:szCs w:val="21"/>
              </w:rPr>
              <w:t>/</w:t>
            </w:r>
          </w:p>
          <w:p>
            <w:pPr>
              <w:pStyle w:val="140"/>
              <w:spacing w:before="1" w:line="249" w:lineRule="exact"/>
              <w:ind w:left="122"/>
              <w:rPr>
                <w:rFonts w:ascii="Times New Roman" w:hAnsi="Times New Roman" w:cs="Times New Roman" w:eastAsiaTheme="majorEastAsia"/>
                <w:sz w:val="21"/>
                <w:szCs w:val="21"/>
              </w:rPr>
            </w:pPr>
            <w:r>
              <w:rPr>
                <w:rFonts w:ascii="Times New Roman" w:hAnsi="Times New Roman" w:cs="Times New Roman" w:eastAsiaTheme="majorEastAsia"/>
                <w:sz w:val="21"/>
                <w:szCs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0" w:hRule="atLeast"/>
        </w:trPr>
        <w:tc>
          <w:tcPr>
            <w:tcW w:w="0" w:type="auto"/>
            <w:vAlign w:val="center"/>
          </w:tcPr>
          <w:p>
            <w:pPr>
              <w:pStyle w:val="140"/>
              <w:ind w:left="109"/>
              <w:rPr>
                <w:rFonts w:ascii="Times New Roman" w:hAnsi="Times New Roman" w:cs="Times New Roman" w:eastAsiaTheme="majorEastAsia"/>
                <w:sz w:val="21"/>
                <w:szCs w:val="21"/>
              </w:rPr>
            </w:pPr>
            <w:r>
              <w:rPr>
                <w:rFonts w:ascii="Times New Roman" w:hAnsi="Times New Roman" w:cs="Times New Roman" w:eastAsiaTheme="majorEastAsia"/>
                <w:sz w:val="21"/>
                <w:szCs w:val="21"/>
              </w:rPr>
              <w:t>1</w:t>
            </w:r>
          </w:p>
        </w:tc>
        <w:tc>
          <w:tcPr>
            <w:tcW w:w="0" w:type="auto"/>
            <w:vAlign w:val="center"/>
          </w:tcPr>
          <w:p>
            <w:pPr>
              <w:pStyle w:val="140"/>
              <w:ind w:left="116"/>
              <w:rPr>
                <w:rFonts w:ascii="Times New Roman" w:hAnsi="Times New Roman" w:cs="Times New Roman" w:eastAsiaTheme="majorEastAsia"/>
                <w:sz w:val="21"/>
                <w:szCs w:val="21"/>
              </w:rPr>
            </w:pPr>
            <w:r>
              <w:rPr>
                <w:rFonts w:ascii="Times New Roman" w:hAnsi="Times New Roman" w:cs="Times New Roman" w:eastAsiaTheme="majorEastAsia"/>
                <w:sz w:val="21"/>
                <w:szCs w:val="21"/>
              </w:rPr>
              <w:t>DW001</w:t>
            </w:r>
          </w:p>
        </w:tc>
        <w:tc>
          <w:tcPr>
            <w:tcW w:w="0" w:type="auto"/>
            <w:vAlign w:val="center"/>
          </w:tcPr>
          <w:p>
            <w:pPr>
              <w:pStyle w:val="140"/>
              <w:ind w:left="239" w:right="211"/>
              <w:rPr>
                <w:rFonts w:ascii="Times New Roman" w:hAnsi="Times New Roman" w:cs="Times New Roman" w:eastAsiaTheme="majorEastAsia"/>
                <w:sz w:val="21"/>
                <w:szCs w:val="21"/>
              </w:rPr>
            </w:pPr>
            <w:r>
              <w:rPr>
                <w:rFonts w:ascii="Times New Roman" w:hAnsi="Times New Roman" w:cs="Times New Roman" w:eastAsiaTheme="minorEastAsia"/>
                <w:sz w:val="21"/>
                <w:szCs w:val="21"/>
              </w:rPr>
              <w:t>E113.14062</w:t>
            </w:r>
          </w:p>
        </w:tc>
        <w:tc>
          <w:tcPr>
            <w:tcW w:w="0" w:type="auto"/>
            <w:vAlign w:val="center"/>
          </w:tcPr>
          <w:p>
            <w:pPr>
              <w:pStyle w:val="140"/>
              <w:ind w:left="360" w:right="333"/>
              <w:rPr>
                <w:rFonts w:ascii="Times New Roman" w:hAnsi="Times New Roman" w:cs="Times New Roman" w:eastAsiaTheme="majorEastAsia"/>
                <w:sz w:val="21"/>
                <w:szCs w:val="21"/>
              </w:rPr>
            </w:pPr>
            <w:r>
              <w:rPr>
                <w:rFonts w:ascii="Times New Roman" w:hAnsi="Times New Roman" w:cs="Times New Roman" w:eastAsiaTheme="minorEastAsia"/>
                <w:sz w:val="21"/>
                <w:szCs w:val="21"/>
              </w:rPr>
              <w:t>N29.38159</w:t>
            </w:r>
          </w:p>
        </w:tc>
        <w:tc>
          <w:tcPr>
            <w:tcW w:w="0" w:type="auto"/>
            <w:vAlign w:val="center"/>
          </w:tcPr>
          <w:p>
            <w:pPr>
              <w:pStyle w:val="140"/>
              <w:ind w:left="117"/>
              <w:rPr>
                <w:rFonts w:ascii="Times New Roman" w:hAnsi="Times New Roman" w:cs="Times New Roman" w:eastAsiaTheme="majorEastAsia"/>
                <w:color w:val="000000" w:themeColor="text1"/>
                <w:sz w:val="21"/>
                <w:szCs w:val="21"/>
              </w:rPr>
            </w:pPr>
            <w:r>
              <w:rPr>
                <w:rFonts w:hint="eastAsia" w:ascii="Times New Roman" w:hAnsi="Times New Roman" w:cs="Times New Roman" w:eastAsiaTheme="majorEastAsia"/>
                <w:color w:val="000000" w:themeColor="text1"/>
                <w:sz w:val="21"/>
                <w:szCs w:val="21"/>
              </w:rPr>
              <w:t>119755.405</w:t>
            </w:r>
            <w:r>
              <w:rPr>
                <w:rFonts w:ascii="Times New Roman" w:hAnsi="Times New Roman" w:cs="Times New Roman" w:eastAsiaTheme="majorEastAsia"/>
                <w:color w:val="000000" w:themeColor="text1"/>
                <w:sz w:val="21"/>
                <w:szCs w:val="21"/>
              </w:rPr>
              <w:t>m</w:t>
            </w:r>
            <w:r>
              <w:rPr>
                <w:rFonts w:ascii="Times New Roman" w:hAnsi="Times New Roman" w:cs="Times New Roman" w:eastAsiaTheme="majorEastAsia"/>
                <w:color w:val="000000" w:themeColor="text1"/>
                <w:sz w:val="21"/>
                <w:szCs w:val="21"/>
                <w:vertAlign w:val="superscript"/>
              </w:rPr>
              <w:t>3</w:t>
            </w:r>
            <w:r>
              <w:rPr>
                <w:rFonts w:ascii="Times New Roman" w:hAnsi="Times New Roman" w:cs="Times New Roman" w:eastAsiaTheme="majorEastAsia"/>
                <w:color w:val="000000" w:themeColor="text1"/>
                <w:sz w:val="21"/>
                <w:szCs w:val="21"/>
              </w:rPr>
              <w:t>/a</w:t>
            </w:r>
          </w:p>
        </w:tc>
        <w:tc>
          <w:tcPr>
            <w:tcW w:w="0" w:type="auto"/>
            <w:vAlign w:val="center"/>
          </w:tcPr>
          <w:p>
            <w:pPr>
              <w:pStyle w:val="140"/>
              <w:ind w:left="118" w:right="45"/>
              <w:rPr>
                <w:rFonts w:ascii="Times New Roman" w:hAnsi="Times New Roman" w:cs="Times New Roman" w:eastAsiaTheme="majorEastAsia"/>
                <w:sz w:val="21"/>
                <w:szCs w:val="21"/>
              </w:rPr>
            </w:pPr>
            <w:r>
              <w:rPr>
                <w:rFonts w:ascii="Times New Roman" w:hAnsi="Times New Roman" w:cs="Times New Roman" w:eastAsiaTheme="majorEastAsia"/>
                <w:sz w:val="21"/>
                <w:szCs w:val="21"/>
              </w:rPr>
              <w:t>市政污水管网</w:t>
            </w:r>
          </w:p>
        </w:tc>
        <w:tc>
          <w:tcPr>
            <w:tcW w:w="0" w:type="auto"/>
            <w:vAlign w:val="center"/>
          </w:tcPr>
          <w:p>
            <w:pPr>
              <w:pStyle w:val="140"/>
              <w:ind w:left="119" w:right="76"/>
              <w:rPr>
                <w:rFonts w:ascii="Times New Roman" w:hAnsi="Times New Roman" w:cs="Times New Roman" w:eastAsiaTheme="majorEastAsia"/>
                <w:sz w:val="21"/>
                <w:szCs w:val="21"/>
              </w:rPr>
            </w:pPr>
            <w:r>
              <w:rPr>
                <w:rFonts w:hint="eastAsia" w:ascii="Times New Roman" w:hAnsi="Times New Roman" w:cs="Times New Roman" w:eastAsiaTheme="minorEastAsia"/>
                <w:sz w:val="21"/>
                <w:szCs w:val="21"/>
              </w:rPr>
              <w:t>连续排放，流量稳定</w:t>
            </w:r>
          </w:p>
        </w:tc>
        <w:tc>
          <w:tcPr>
            <w:tcW w:w="0" w:type="auto"/>
            <w:vAlign w:val="center"/>
          </w:tcPr>
          <w:p>
            <w:pPr>
              <w:pStyle w:val="140"/>
              <w:ind w:left="120"/>
              <w:rPr>
                <w:rFonts w:ascii="Times New Roman" w:hAnsi="Times New Roman" w:cs="Times New Roman" w:eastAsiaTheme="majorEastAsia"/>
                <w:sz w:val="21"/>
                <w:szCs w:val="21"/>
              </w:rPr>
            </w:pPr>
            <w:r>
              <w:rPr>
                <w:rFonts w:ascii="Times New Roman" w:hAnsi="Times New Roman" w:cs="Times New Roman" w:eastAsiaTheme="majorEastAsia"/>
                <w:sz w:val="21"/>
                <w:szCs w:val="21"/>
              </w:rPr>
              <w:t>/</w:t>
            </w:r>
          </w:p>
        </w:tc>
        <w:tc>
          <w:tcPr>
            <w:tcW w:w="0" w:type="auto"/>
            <w:vMerge w:val="restart"/>
            <w:vAlign w:val="center"/>
          </w:tcPr>
          <w:p>
            <w:pPr>
              <w:pStyle w:val="140"/>
              <w:spacing w:before="2" w:line="249" w:lineRule="exact"/>
              <w:ind w:left="120"/>
              <w:rPr>
                <w:rFonts w:ascii="Times New Roman" w:hAnsi="Times New Roman" w:cs="Times New Roman" w:eastAsiaTheme="majorEastAsia"/>
                <w:sz w:val="21"/>
                <w:szCs w:val="21"/>
              </w:rPr>
            </w:pPr>
            <w:r>
              <w:rPr>
                <w:rFonts w:hint="eastAsia" w:ascii="Times New Roman" w:hAnsi="Times New Roman" w:cs="Times New Roman" w:eastAsiaTheme="majorEastAsia"/>
                <w:sz w:val="21"/>
                <w:szCs w:val="21"/>
              </w:rPr>
              <w:t>马壕污水处理厂</w:t>
            </w:r>
          </w:p>
        </w:tc>
        <w:tc>
          <w:tcPr>
            <w:tcW w:w="0" w:type="auto"/>
            <w:vAlign w:val="center"/>
          </w:tcPr>
          <w:p>
            <w:pPr>
              <w:pStyle w:val="140"/>
              <w:spacing w:before="4" w:line="245" w:lineRule="exact"/>
              <w:ind w:left="116"/>
              <w:rPr>
                <w:rFonts w:ascii="Times New Roman" w:hAnsi="Times New Roman" w:cs="Times New Roman" w:eastAsiaTheme="majorEastAsia"/>
                <w:sz w:val="21"/>
                <w:szCs w:val="21"/>
              </w:rPr>
            </w:pPr>
            <w:r>
              <w:rPr>
                <w:rFonts w:ascii="Times New Roman" w:hAnsi="Times New Roman" w:cs="Times New Roman" w:eastAsiaTheme="minorEastAsia"/>
                <w:sz w:val="21"/>
                <w:szCs w:val="21"/>
              </w:rPr>
              <w:t>COD</w:t>
            </w:r>
            <w:r>
              <w:rPr>
                <w:rFonts w:ascii="Times New Roman" w:hAnsi="Times New Roman" w:cs="Times New Roman" w:eastAsiaTheme="minorEastAsia"/>
                <w:sz w:val="21"/>
                <w:szCs w:val="21"/>
                <w:vertAlign w:val="subscript"/>
              </w:rPr>
              <w:t>Cr</w:t>
            </w:r>
            <w:r>
              <w:rPr>
                <w:rFonts w:hint="eastAsia" w:ascii="Times New Roman" w:hAnsi="Times New Roman" w:cs="Times New Roman" w:eastAsiaTheme="minorEastAsia"/>
                <w:sz w:val="21"/>
                <w:szCs w:val="21"/>
              </w:rPr>
              <w:t>、BOD</w:t>
            </w:r>
            <w:r>
              <w:rPr>
                <w:rFonts w:hint="eastAsia" w:ascii="Times New Roman" w:hAnsi="Times New Roman" w:cs="Times New Roman" w:eastAsiaTheme="minorEastAsia"/>
                <w:sz w:val="21"/>
                <w:szCs w:val="21"/>
                <w:vertAlign w:val="subscript"/>
              </w:rPr>
              <w:t>5</w:t>
            </w:r>
            <w:r>
              <w:rPr>
                <w:rFonts w:hint="eastAsia" w:ascii="Times New Roman" w:hAnsi="Times New Roman" w:cs="Times New Roman" w:eastAsiaTheme="minorEastAsia"/>
                <w:sz w:val="21"/>
                <w:szCs w:val="21"/>
              </w:rPr>
              <w:t>、</w:t>
            </w:r>
            <w:r>
              <w:rPr>
                <w:rFonts w:hint="eastAsia" w:ascii="Times New Roman" w:hAnsi="Times New Roman" w:cs="Times New Roman" w:eastAsiaTheme="minorEastAsia"/>
                <w:sz w:val="24"/>
                <w:szCs w:val="24"/>
              </w:rPr>
              <w:t>SS、</w:t>
            </w:r>
            <w:r>
              <w:rPr>
                <w:rFonts w:cs="Times New Roman"/>
                <w:sz w:val="21"/>
              </w:rPr>
              <w:t>氨氮</w:t>
            </w:r>
            <w:r>
              <w:rPr>
                <w:rFonts w:hint="eastAsia" w:cs="Times New Roman"/>
                <w:sz w:val="21"/>
              </w:rPr>
              <w:t>、</w:t>
            </w:r>
            <w:r>
              <w:rPr>
                <w:rFonts w:cs="Times New Roman"/>
                <w:sz w:val="21"/>
              </w:rPr>
              <w:t>粪大肠杆菌</w:t>
            </w:r>
            <w:r>
              <w:rPr>
                <w:rFonts w:hint="eastAsia" w:cs="Times New Roman"/>
                <w:sz w:val="21"/>
              </w:rPr>
              <w:t>、</w:t>
            </w:r>
            <w:r>
              <w:rPr>
                <w:rFonts w:cs="Times New Roman"/>
                <w:sz w:val="21"/>
              </w:rPr>
              <w:t>总氮</w:t>
            </w:r>
            <w:r>
              <w:rPr>
                <w:rFonts w:hint="eastAsia" w:cs="Times New Roman"/>
                <w:sz w:val="21"/>
              </w:rPr>
              <w:t>、总磷、</w:t>
            </w:r>
            <w:r>
              <w:rPr>
                <w:rFonts w:cs="Times New Roman"/>
                <w:sz w:val="21"/>
              </w:rPr>
              <w:t>阴离子表面活性剂</w:t>
            </w:r>
            <w:r>
              <w:rPr>
                <w:rFonts w:hint="eastAsia" w:cs="Times New Roman"/>
                <w:sz w:val="21"/>
              </w:rPr>
              <w:t>、总余氯、</w:t>
            </w:r>
            <w:r>
              <w:rPr>
                <w:rFonts w:cs="Times New Roman"/>
                <w:color w:val="000000" w:themeColor="text1"/>
                <w:sz w:val="21"/>
              </w:rPr>
              <w:t>总氰化物</w:t>
            </w:r>
          </w:p>
        </w:tc>
        <w:tc>
          <w:tcPr>
            <w:tcW w:w="0" w:type="auto"/>
            <w:vMerge w:val="restart"/>
            <w:vAlign w:val="center"/>
          </w:tcPr>
          <w:p>
            <w:pPr>
              <w:pStyle w:val="140"/>
              <w:spacing w:before="157"/>
              <w:ind w:left="122" w:right="62"/>
              <w:rPr>
                <w:rFonts w:ascii="Times New Roman" w:hAnsi="Times New Roman" w:cs="Times New Roman" w:eastAsiaTheme="majorEastAsia"/>
                <w:sz w:val="21"/>
                <w:szCs w:val="21"/>
              </w:rPr>
            </w:pPr>
            <w:r>
              <w:rPr>
                <w:rFonts w:ascii="Times New Roman" w:hAnsi="Times New Roman" w:cs="Times New Roman" w:eastAsiaTheme="majorEastAsia"/>
                <w:sz w:val="21"/>
                <w:szCs w:val="21"/>
              </w:rPr>
              <w:t>一</w:t>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级A</w:t>
            </w:r>
            <w:r>
              <w:rPr>
                <w:rFonts w:hint="eastAsia" w:ascii="Times New Roman" w:hAnsi="Times New Roman" w:cs="Times New Roman" w:eastAsiaTheme="majorEastAsia"/>
                <w:spacing w:val="-13"/>
                <w:sz w:val="21"/>
                <w:szCs w:val="21"/>
              </w:rPr>
              <w:t>：</w:t>
            </w:r>
            <w:r>
              <w:rPr>
                <w:rFonts w:ascii="Times New Roman" w:hAnsi="Times New Roman" w:cs="Times New Roman" w:eastAsiaTheme="majorEastAsia"/>
                <w:spacing w:val="-13"/>
                <w:sz w:val="21"/>
                <w:szCs w:val="21"/>
              </w:rPr>
              <w:t xml:space="preserve"> </w:t>
            </w:r>
            <w:r>
              <w:rPr>
                <w:rFonts w:ascii="Times New Roman" w:hAnsi="Times New Roman" w:cs="Times New Roman" w:eastAsiaTheme="majorEastAsia"/>
                <w:spacing w:val="-7"/>
                <w:sz w:val="21"/>
                <w:szCs w:val="21"/>
              </w:rPr>
              <w:t>COD≤50mg/L，</w:t>
            </w:r>
            <w:r>
              <w:rPr>
                <w:rFonts w:ascii="Times New Roman" w:hAnsi="Times New Roman" w:cs="Times New Roman" w:eastAsiaTheme="majorEastAsia"/>
                <w:spacing w:val="-5"/>
                <w:sz w:val="21"/>
                <w:szCs w:val="21"/>
              </w:rPr>
              <w:t>氨</w:t>
            </w:r>
            <w:r>
              <w:rPr>
                <w:rFonts w:ascii="Times New Roman" w:hAnsi="Times New Roman" w:cs="Times New Roman" w:eastAsiaTheme="majorEastAsia"/>
                <w:sz w:val="21"/>
                <w:szCs w:val="21"/>
              </w:rPr>
              <w:t>氮</w:t>
            </w:r>
          </w:p>
          <w:p>
            <w:pPr>
              <w:pStyle w:val="140"/>
              <w:spacing w:line="232" w:lineRule="exact"/>
              <w:ind w:left="122"/>
              <w:rPr>
                <w:rFonts w:ascii="Times New Roman" w:hAnsi="Times New Roman" w:cs="Times New Roman" w:eastAsiaTheme="majorEastAsia"/>
                <w:sz w:val="21"/>
                <w:szCs w:val="21"/>
              </w:rPr>
            </w:pPr>
            <w:r>
              <w:rPr>
                <w:rFonts w:ascii="Times New Roman" w:hAnsi="Times New Roman" w:cs="Times New Roman" w:eastAsiaTheme="majorEastAsia"/>
                <w:sz w:val="21"/>
                <w:szCs w:val="21"/>
              </w:rPr>
              <w:t>≤5mg/L</w:t>
            </w:r>
            <w:r>
              <w:rPr>
                <w:rFonts w:hint="eastAsia" w:ascii="Times New Roman" w:hAnsi="Times New Roman" w:cs="Times New Roman" w:eastAsiaTheme="majorEastAsia"/>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0" w:hRule="atLeast"/>
        </w:trPr>
        <w:tc>
          <w:tcPr>
            <w:tcW w:w="0" w:type="auto"/>
            <w:vAlign w:val="center"/>
          </w:tcPr>
          <w:p>
            <w:pPr>
              <w:pStyle w:val="140"/>
              <w:ind w:left="109"/>
              <w:rPr>
                <w:rFonts w:ascii="Times New Roman" w:hAnsi="Times New Roman" w:cs="Times New Roman" w:eastAsiaTheme="majorEastAsia"/>
                <w:sz w:val="21"/>
                <w:szCs w:val="21"/>
              </w:rPr>
            </w:pPr>
            <w:r>
              <w:rPr>
                <w:rFonts w:hint="eastAsia" w:ascii="Times New Roman" w:hAnsi="Times New Roman" w:cs="Times New Roman" w:eastAsiaTheme="majorEastAsia"/>
                <w:sz w:val="21"/>
                <w:szCs w:val="21"/>
              </w:rPr>
              <w:t>2</w:t>
            </w:r>
          </w:p>
        </w:tc>
        <w:tc>
          <w:tcPr>
            <w:tcW w:w="0" w:type="auto"/>
            <w:vAlign w:val="center"/>
          </w:tcPr>
          <w:p>
            <w:pPr>
              <w:ind w:left="116"/>
              <w:jc w:val="center"/>
              <w:rPr>
                <w:rFonts w:cs="Times New Roman" w:eastAsiaTheme="majorEastAsia"/>
                <w:sz w:val="21"/>
              </w:rPr>
            </w:pPr>
            <w:r>
              <w:rPr>
                <w:rFonts w:cs="Times New Roman" w:eastAsiaTheme="majorEastAsia"/>
                <w:sz w:val="21"/>
              </w:rPr>
              <w:t>DW00</w:t>
            </w:r>
            <w:r>
              <w:rPr>
                <w:rFonts w:hint="eastAsia" w:cs="Times New Roman" w:eastAsiaTheme="majorEastAsia"/>
                <w:sz w:val="21"/>
              </w:rPr>
              <w:t>2</w:t>
            </w:r>
          </w:p>
        </w:tc>
        <w:tc>
          <w:tcPr>
            <w:tcW w:w="0" w:type="auto"/>
            <w:vAlign w:val="center"/>
          </w:tcPr>
          <w:p>
            <w:pPr>
              <w:pStyle w:val="140"/>
              <w:ind w:left="239" w:right="211"/>
              <w:rPr>
                <w:rFonts w:ascii="Times New Roman" w:hAnsi="Times New Roman" w:cs="Times New Roman" w:eastAsiaTheme="majorEastAsia"/>
                <w:sz w:val="21"/>
                <w:szCs w:val="21"/>
              </w:rPr>
            </w:pPr>
            <w:r>
              <w:rPr>
                <w:rFonts w:ascii="Times New Roman" w:hAnsi="Times New Roman" w:cs="Times New Roman" w:eastAsiaTheme="minorEastAsia"/>
                <w:sz w:val="21"/>
                <w:szCs w:val="21"/>
              </w:rPr>
              <w:t>E113.13907</w:t>
            </w:r>
          </w:p>
        </w:tc>
        <w:tc>
          <w:tcPr>
            <w:tcW w:w="0" w:type="auto"/>
            <w:vAlign w:val="center"/>
          </w:tcPr>
          <w:p>
            <w:pPr>
              <w:pStyle w:val="140"/>
              <w:ind w:left="360" w:right="333"/>
              <w:rPr>
                <w:rFonts w:ascii="Times New Roman" w:hAnsi="Times New Roman" w:cs="Times New Roman" w:eastAsiaTheme="majorEastAsia"/>
                <w:sz w:val="21"/>
                <w:szCs w:val="21"/>
              </w:rPr>
            </w:pPr>
            <w:r>
              <w:rPr>
                <w:rFonts w:ascii="Times New Roman" w:hAnsi="Times New Roman" w:cs="Times New Roman" w:eastAsiaTheme="minorEastAsia"/>
                <w:sz w:val="21"/>
                <w:szCs w:val="21"/>
              </w:rPr>
              <w:t>N29.38122</w:t>
            </w:r>
          </w:p>
        </w:tc>
        <w:tc>
          <w:tcPr>
            <w:tcW w:w="0" w:type="auto"/>
            <w:vAlign w:val="center"/>
          </w:tcPr>
          <w:p>
            <w:pPr>
              <w:pStyle w:val="140"/>
              <w:ind w:left="117"/>
              <w:rPr>
                <w:rFonts w:ascii="Times New Roman" w:hAnsi="Times New Roman" w:cs="Times New Roman" w:eastAsiaTheme="majorEastAsia"/>
                <w:color w:val="000000" w:themeColor="text1"/>
                <w:sz w:val="21"/>
                <w:szCs w:val="21"/>
              </w:rPr>
            </w:pPr>
            <w:r>
              <w:rPr>
                <w:rFonts w:hint="eastAsia" w:ascii="Times New Roman" w:hAnsi="Times New Roman" w:cs="Times New Roman" w:eastAsiaTheme="majorEastAsia"/>
                <w:color w:val="000000" w:themeColor="text1"/>
                <w:sz w:val="21"/>
                <w:szCs w:val="21"/>
              </w:rPr>
              <w:t>4343.5</w:t>
            </w:r>
            <w:r>
              <w:rPr>
                <w:rFonts w:ascii="Times New Roman" w:hAnsi="Times New Roman" w:cs="Times New Roman" w:eastAsiaTheme="majorEastAsia"/>
                <w:color w:val="000000" w:themeColor="text1"/>
                <w:sz w:val="21"/>
                <w:szCs w:val="21"/>
              </w:rPr>
              <w:t>m</w:t>
            </w:r>
            <w:r>
              <w:rPr>
                <w:rFonts w:ascii="Times New Roman" w:hAnsi="Times New Roman" w:cs="Times New Roman" w:eastAsiaTheme="majorEastAsia"/>
                <w:color w:val="000000" w:themeColor="text1"/>
                <w:sz w:val="21"/>
                <w:szCs w:val="21"/>
                <w:vertAlign w:val="superscript"/>
              </w:rPr>
              <w:t>3</w:t>
            </w:r>
            <w:r>
              <w:rPr>
                <w:rFonts w:ascii="Times New Roman" w:hAnsi="Times New Roman" w:cs="Times New Roman" w:eastAsiaTheme="majorEastAsia"/>
                <w:color w:val="000000" w:themeColor="text1"/>
                <w:sz w:val="21"/>
                <w:szCs w:val="21"/>
              </w:rPr>
              <w:t>/a</w:t>
            </w:r>
          </w:p>
        </w:tc>
        <w:tc>
          <w:tcPr>
            <w:tcW w:w="0" w:type="auto"/>
            <w:vAlign w:val="center"/>
          </w:tcPr>
          <w:p>
            <w:pPr>
              <w:ind w:left="118" w:right="45"/>
              <w:jc w:val="center"/>
              <w:rPr>
                <w:rFonts w:cs="Times New Roman" w:eastAsiaTheme="majorEastAsia"/>
                <w:sz w:val="21"/>
              </w:rPr>
            </w:pPr>
            <w:r>
              <w:rPr>
                <w:rFonts w:cs="Times New Roman" w:eastAsiaTheme="majorEastAsia"/>
                <w:sz w:val="21"/>
              </w:rPr>
              <w:t>市政污水管网</w:t>
            </w:r>
          </w:p>
        </w:tc>
        <w:tc>
          <w:tcPr>
            <w:tcW w:w="0" w:type="auto"/>
            <w:vAlign w:val="center"/>
          </w:tcPr>
          <w:p>
            <w:pPr>
              <w:pStyle w:val="140"/>
              <w:ind w:right="52"/>
              <w:rPr>
                <w:rFonts w:ascii="Times New Roman" w:hAnsi="Times New Roman" w:cs="Times New Roman" w:eastAsiaTheme="majorEastAsia"/>
                <w:spacing w:val="-4"/>
                <w:sz w:val="21"/>
                <w:szCs w:val="21"/>
              </w:rPr>
            </w:pPr>
            <w:r>
              <w:rPr>
                <w:rFonts w:hint="eastAsia" w:ascii="Times New Roman" w:hAnsi="Times New Roman" w:cs="Times New Roman" w:eastAsiaTheme="minorEastAsia"/>
                <w:sz w:val="21"/>
                <w:szCs w:val="21"/>
              </w:rPr>
              <w:t>连续排放，流量稳定</w:t>
            </w:r>
          </w:p>
        </w:tc>
        <w:tc>
          <w:tcPr>
            <w:tcW w:w="0" w:type="auto"/>
            <w:vAlign w:val="center"/>
          </w:tcPr>
          <w:p>
            <w:pPr>
              <w:ind w:left="120"/>
              <w:jc w:val="center"/>
              <w:rPr>
                <w:rFonts w:cs="Times New Roman" w:eastAsiaTheme="majorEastAsia"/>
                <w:sz w:val="21"/>
              </w:rPr>
            </w:pPr>
            <w:r>
              <w:rPr>
                <w:rFonts w:cs="Times New Roman" w:eastAsiaTheme="majorEastAsia"/>
                <w:sz w:val="21"/>
              </w:rPr>
              <w:t>/</w:t>
            </w:r>
          </w:p>
        </w:tc>
        <w:tc>
          <w:tcPr>
            <w:tcW w:w="0" w:type="auto"/>
            <w:vMerge w:val="continue"/>
            <w:vAlign w:val="center"/>
          </w:tcPr>
          <w:p>
            <w:pPr>
              <w:pStyle w:val="140"/>
              <w:spacing w:before="2" w:line="249" w:lineRule="exact"/>
              <w:ind w:left="120"/>
              <w:rPr>
                <w:rFonts w:ascii="Times New Roman" w:hAnsi="Times New Roman" w:cs="Times New Roman" w:eastAsiaTheme="majorEastAsia"/>
                <w:sz w:val="21"/>
                <w:szCs w:val="21"/>
              </w:rPr>
            </w:pPr>
          </w:p>
        </w:tc>
        <w:tc>
          <w:tcPr>
            <w:tcW w:w="0" w:type="auto"/>
            <w:vAlign w:val="center"/>
          </w:tcPr>
          <w:p>
            <w:pPr>
              <w:pStyle w:val="140"/>
              <w:spacing w:before="4" w:line="245" w:lineRule="exact"/>
              <w:ind w:left="116"/>
              <w:rPr>
                <w:rFonts w:ascii="Times New Roman" w:hAnsi="Times New Roman" w:cs="Times New Roman" w:eastAsiaTheme="majorEastAsia"/>
                <w:sz w:val="21"/>
                <w:szCs w:val="21"/>
              </w:rPr>
            </w:pPr>
            <w:r>
              <w:rPr>
                <w:rFonts w:ascii="Times New Roman" w:hAnsi="Times New Roman" w:cs="Times New Roman" w:eastAsiaTheme="minorEastAsia"/>
                <w:sz w:val="21"/>
                <w:szCs w:val="21"/>
              </w:rPr>
              <w:t>COD</w:t>
            </w:r>
            <w:r>
              <w:rPr>
                <w:rFonts w:ascii="Times New Roman" w:hAnsi="Times New Roman" w:cs="Times New Roman" w:eastAsiaTheme="minorEastAsia"/>
                <w:sz w:val="21"/>
                <w:szCs w:val="21"/>
                <w:vertAlign w:val="subscript"/>
              </w:rPr>
              <w:t>Cr</w:t>
            </w:r>
            <w:r>
              <w:rPr>
                <w:rFonts w:hint="eastAsia" w:ascii="Times New Roman" w:hAnsi="Times New Roman" w:cs="Times New Roman" w:eastAsiaTheme="minorEastAsia"/>
                <w:sz w:val="21"/>
                <w:szCs w:val="21"/>
              </w:rPr>
              <w:t>、BOD</w:t>
            </w:r>
            <w:r>
              <w:rPr>
                <w:rFonts w:hint="eastAsia" w:ascii="Times New Roman" w:hAnsi="Times New Roman" w:cs="Times New Roman" w:eastAsiaTheme="minorEastAsia"/>
                <w:sz w:val="21"/>
                <w:szCs w:val="21"/>
                <w:vertAlign w:val="subscript"/>
              </w:rPr>
              <w:t>5</w:t>
            </w:r>
            <w:r>
              <w:rPr>
                <w:rFonts w:hint="eastAsia" w:ascii="Times New Roman" w:hAnsi="Times New Roman" w:cs="Times New Roman" w:eastAsiaTheme="minorEastAsia"/>
                <w:sz w:val="21"/>
                <w:szCs w:val="21"/>
              </w:rPr>
              <w:t>、</w:t>
            </w:r>
            <w:r>
              <w:rPr>
                <w:rFonts w:hint="eastAsia" w:ascii="Times New Roman" w:hAnsi="Times New Roman" w:cs="Times New Roman" w:eastAsiaTheme="minorEastAsia"/>
                <w:sz w:val="24"/>
                <w:szCs w:val="24"/>
              </w:rPr>
              <w:t>SS、</w:t>
            </w:r>
            <w:r>
              <w:rPr>
                <w:rFonts w:cs="Times New Roman"/>
                <w:sz w:val="21"/>
              </w:rPr>
              <w:t>氨氮</w:t>
            </w:r>
            <w:r>
              <w:rPr>
                <w:rFonts w:hint="eastAsia" w:cs="Times New Roman"/>
                <w:sz w:val="21"/>
              </w:rPr>
              <w:t>、</w:t>
            </w:r>
            <w:r>
              <w:rPr>
                <w:rFonts w:cs="Times New Roman"/>
                <w:sz w:val="21"/>
              </w:rPr>
              <w:t>动植物油</w:t>
            </w:r>
          </w:p>
        </w:tc>
        <w:tc>
          <w:tcPr>
            <w:tcW w:w="0" w:type="auto"/>
            <w:vMerge w:val="continue"/>
            <w:vAlign w:val="center"/>
          </w:tcPr>
          <w:p>
            <w:pPr>
              <w:pStyle w:val="140"/>
              <w:spacing w:line="232" w:lineRule="exact"/>
              <w:ind w:left="122"/>
              <w:rPr>
                <w:rFonts w:ascii="Times New Roman" w:hAnsi="Times New Roman" w:cs="Times New Roman" w:eastAsiaTheme="maj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0" w:hRule="atLeast"/>
        </w:trPr>
        <w:tc>
          <w:tcPr>
            <w:tcW w:w="0" w:type="auto"/>
            <w:vAlign w:val="center"/>
          </w:tcPr>
          <w:p>
            <w:pPr>
              <w:pStyle w:val="140"/>
              <w:ind w:left="109"/>
              <w:rPr>
                <w:rFonts w:ascii="Times New Roman" w:hAnsi="Times New Roman" w:cs="Times New Roman" w:eastAsiaTheme="majorEastAsia"/>
                <w:sz w:val="21"/>
                <w:szCs w:val="21"/>
              </w:rPr>
            </w:pPr>
            <w:r>
              <w:rPr>
                <w:rFonts w:hint="eastAsia" w:ascii="Times New Roman" w:hAnsi="Times New Roman" w:cs="Times New Roman" w:eastAsiaTheme="majorEastAsia"/>
                <w:sz w:val="21"/>
                <w:szCs w:val="21"/>
              </w:rPr>
              <w:t>3</w:t>
            </w:r>
          </w:p>
        </w:tc>
        <w:tc>
          <w:tcPr>
            <w:tcW w:w="0" w:type="auto"/>
            <w:vAlign w:val="center"/>
          </w:tcPr>
          <w:p>
            <w:pPr>
              <w:ind w:left="116"/>
              <w:jc w:val="center"/>
              <w:rPr>
                <w:rFonts w:cs="Times New Roman" w:eastAsiaTheme="majorEastAsia"/>
                <w:sz w:val="21"/>
              </w:rPr>
            </w:pPr>
            <w:r>
              <w:rPr>
                <w:rFonts w:cs="Times New Roman" w:eastAsiaTheme="majorEastAsia"/>
                <w:sz w:val="21"/>
              </w:rPr>
              <w:t>DW00</w:t>
            </w:r>
            <w:r>
              <w:rPr>
                <w:rFonts w:hint="eastAsia" w:cs="Times New Roman" w:eastAsiaTheme="majorEastAsia"/>
                <w:sz w:val="21"/>
              </w:rPr>
              <w:t>3</w:t>
            </w:r>
          </w:p>
        </w:tc>
        <w:tc>
          <w:tcPr>
            <w:tcW w:w="0" w:type="auto"/>
            <w:vAlign w:val="center"/>
          </w:tcPr>
          <w:p>
            <w:pPr>
              <w:pStyle w:val="140"/>
              <w:ind w:left="239" w:right="211"/>
              <w:rPr>
                <w:rFonts w:ascii="Times New Roman" w:hAnsi="Times New Roman" w:cs="Times New Roman" w:eastAsiaTheme="majorEastAsia"/>
                <w:sz w:val="21"/>
                <w:szCs w:val="21"/>
              </w:rPr>
            </w:pPr>
            <w:r>
              <w:rPr>
                <w:rFonts w:ascii="Times New Roman" w:hAnsi="Times New Roman" w:cs="Times New Roman" w:eastAsiaTheme="minorEastAsia"/>
                <w:sz w:val="21"/>
                <w:szCs w:val="21"/>
              </w:rPr>
              <w:t>E113.14110</w:t>
            </w:r>
          </w:p>
        </w:tc>
        <w:tc>
          <w:tcPr>
            <w:tcW w:w="0" w:type="auto"/>
            <w:vAlign w:val="center"/>
          </w:tcPr>
          <w:p>
            <w:pPr>
              <w:pStyle w:val="140"/>
              <w:ind w:left="360" w:right="333"/>
              <w:rPr>
                <w:rFonts w:ascii="Times New Roman" w:hAnsi="Times New Roman" w:cs="Times New Roman" w:eastAsiaTheme="majorEastAsia"/>
                <w:sz w:val="21"/>
                <w:szCs w:val="21"/>
              </w:rPr>
            </w:pPr>
            <w:r>
              <w:rPr>
                <w:rFonts w:ascii="Times New Roman" w:hAnsi="Times New Roman" w:cs="Times New Roman" w:eastAsiaTheme="minorEastAsia"/>
                <w:sz w:val="21"/>
                <w:szCs w:val="21"/>
              </w:rPr>
              <w:t>N29.38133</w:t>
            </w:r>
          </w:p>
        </w:tc>
        <w:tc>
          <w:tcPr>
            <w:tcW w:w="0" w:type="auto"/>
            <w:vAlign w:val="center"/>
          </w:tcPr>
          <w:p>
            <w:pPr>
              <w:pStyle w:val="140"/>
              <w:ind w:left="117"/>
              <w:rPr>
                <w:rFonts w:ascii="Times New Roman" w:hAnsi="Times New Roman" w:cs="Times New Roman" w:eastAsiaTheme="majorEastAsia"/>
                <w:color w:val="000000" w:themeColor="text1"/>
                <w:sz w:val="21"/>
                <w:szCs w:val="21"/>
              </w:rPr>
            </w:pPr>
            <w:r>
              <w:rPr>
                <w:rFonts w:hint="eastAsia" w:ascii="Times New Roman" w:hAnsi="Times New Roman" w:cs="Times New Roman" w:eastAsiaTheme="majorEastAsia"/>
                <w:color w:val="000000" w:themeColor="text1"/>
                <w:sz w:val="21"/>
                <w:szCs w:val="21"/>
              </w:rPr>
              <w:t>4343.5</w:t>
            </w:r>
            <w:r>
              <w:rPr>
                <w:rFonts w:ascii="Times New Roman" w:hAnsi="Times New Roman" w:cs="Times New Roman" w:eastAsiaTheme="majorEastAsia"/>
                <w:color w:val="000000" w:themeColor="text1"/>
                <w:sz w:val="21"/>
                <w:szCs w:val="21"/>
              </w:rPr>
              <w:t>m</w:t>
            </w:r>
            <w:r>
              <w:rPr>
                <w:rFonts w:ascii="Times New Roman" w:hAnsi="Times New Roman" w:cs="Times New Roman" w:eastAsiaTheme="majorEastAsia"/>
                <w:color w:val="000000" w:themeColor="text1"/>
                <w:sz w:val="21"/>
                <w:szCs w:val="21"/>
                <w:vertAlign w:val="superscript"/>
              </w:rPr>
              <w:t>3</w:t>
            </w:r>
            <w:r>
              <w:rPr>
                <w:rFonts w:ascii="Times New Roman" w:hAnsi="Times New Roman" w:cs="Times New Roman" w:eastAsiaTheme="majorEastAsia"/>
                <w:color w:val="000000" w:themeColor="text1"/>
                <w:sz w:val="21"/>
                <w:szCs w:val="21"/>
              </w:rPr>
              <w:t>/a</w:t>
            </w:r>
          </w:p>
        </w:tc>
        <w:tc>
          <w:tcPr>
            <w:tcW w:w="0" w:type="auto"/>
            <w:vAlign w:val="center"/>
          </w:tcPr>
          <w:p>
            <w:pPr>
              <w:ind w:left="118" w:right="45"/>
              <w:jc w:val="center"/>
              <w:rPr>
                <w:rFonts w:cs="Times New Roman" w:eastAsiaTheme="majorEastAsia"/>
                <w:sz w:val="21"/>
              </w:rPr>
            </w:pPr>
            <w:r>
              <w:rPr>
                <w:rFonts w:cs="Times New Roman" w:eastAsiaTheme="majorEastAsia"/>
                <w:sz w:val="21"/>
              </w:rPr>
              <w:t>市政污水管网</w:t>
            </w:r>
          </w:p>
        </w:tc>
        <w:tc>
          <w:tcPr>
            <w:tcW w:w="0" w:type="auto"/>
            <w:vAlign w:val="center"/>
          </w:tcPr>
          <w:p>
            <w:pPr>
              <w:pStyle w:val="140"/>
              <w:ind w:right="52"/>
              <w:rPr>
                <w:rFonts w:ascii="Times New Roman" w:hAnsi="Times New Roman" w:cs="Times New Roman" w:eastAsiaTheme="majorEastAsia"/>
                <w:spacing w:val="-4"/>
                <w:sz w:val="21"/>
                <w:szCs w:val="21"/>
              </w:rPr>
            </w:pPr>
            <w:r>
              <w:rPr>
                <w:rFonts w:hint="eastAsia" w:ascii="Times New Roman" w:hAnsi="Times New Roman" w:cs="Times New Roman" w:eastAsiaTheme="minorEastAsia"/>
                <w:sz w:val="21"/>
                <w:szCs w:val="21"/>
              </w:rPr>
              <w:t>间接排放，不稳定有周期性</w:t>
            </w:r>
          </w:p>
        </w:tc>
        <w:tc>
          <w:tcPr>
            <w:tcW w:w="0" w:type="auto"/>
            <w:vAlign w:val="center"/>
          </w:tcPr>
          <w:p>
            <w:pPr>
              <w:ind w:left="120"/>
              <w:jc w:val="center"/>
              <w:rPr>
                <w:rFonts w:cs="Times New Roman" w:eastAsiaTheme="majorEastAsia"/>
                <w:sz w:val="21"/>
              </w:rPr>
            </w:pPr>
            <w:r>
              <w:rPr>
                <w:rFonts w:cs="Times New Roman" w:eastAsiaTheme="majorEastAsia"/>
                <w:sz w:val="21"/>
              </w:rPr>
              <w:t>/</w:t>
            </w:r>
          </w:p>
        </w:tc>
        <w:tc>
          <w:tcPr>
            <w:tcW w:w="0" w:type="auto"/>
            <w:vMerge w:val="continue"/>
            <w:vAlign w:val="center"/>
          </w:tcPr>
          <w:p>
            <w:pPr>
              <w:pStyle w:val="140"/>
              <w:spacing w:before="2" w:line="249" w:lineRule="exact"/>
              <w:ind w:left="120"/>
              <w:rPr>
                <w:rFonts w:ascii="Times New Roman" w:hAnsi="Times New Roman" w:cs="Times New Roman" w:eastAsiaTheme="majorEastAsia"/>
                <w:sz w:val="21"/>
                <w:szCs w:val="21"/>
              </w:rPr>
            </w:pPr>
          </w:p>
        </w:tc>
        <w:tc>
          <w:tcPr>
            <w:tcW w:w="0" w:type="auto"/>
            <w:vAlign w:val="center"/>
          </w:tcPr>
          <w:p>
            <w:pPr>
              <w:pStyle w:val="140"/>
              <w:spacing w:before="4" w:line="245" w:lineRule="exact"/>
              <w:ind w:left="116"/>
              <w:rPr>
                <w:rFonts w:ascii="Times New Roman" w:hAnsi="Times New Roman" w:cs="Times New Roman" w:eastAsiaTheme="majorEastAsia"/>
                <w:sz w:val="21"/>
                <w:szCs w:val="21"/>
              </w:rPr>
            </w:pPr>
            <w:r>
              <w:rPr>
                <w:rFonts w:ascii="Times New Roman" w:hAnsi="Times New Roman" w:cs="Times New Roman" w:eastAsiaTheme="minorEastAsia"/>
                <w:sz w:val="21"/>
                <w:szCs w:val="21"/>
              </w:rPr>
              <w:t>COD</w:t>
            </w:r>
            <w:r>
              <w:rPr>
                <w:rFonts w:ascii="Times New Roman" w:hAnsi="Times New Roman" w:cs="Times New Roman" w:eastAsiaTheme="minorEastAsia"/>
                <w:sz w:val="21"/>
                <w:szCs w:val="21"/>
                <w:vertAlign w:val="subscript"/>
              </w:rPr>
              <w:t>Cr</w:t>
            </w:r>
            <w:r>
              <w:rPr>
                <w:rFonts w:hint="eastAsia" w:ascii="Times New Roman" w:hAnsi="Times New Roman" w:cs="Times New Roman" w:eastAsiaTheme="minorEastAsia"/>
                <w:sz w:val="21"/>
                <w:szCs w:val="21"/>
              </w:rPr>
              <w:t>、BOD</w:t>
            </w:r>
            <w:r>
              <w:rPr>
                <w:rFonts w:hint="eastAsia" w:ascii="Times New Roman" w:hAnsi="Times New Roman" w:cs="Times New Roman" w:eastAsiaTheme="minorEastAsia"/>
                <w:sz w:val="21"/>
                <w:szCs w:val="21"/>
                <w:vertAlign w:val="subscript"/>
              </w:rPr>
              <w:t>5、</w:t>
            </w:r>
            <w:r>
              <w:rPr>
                <w:rFonts w:hint="eastAsia" w:ascii="Times New Roman" w:hAnsi="Times New Roman" w:cs="Times New Roman" w:eastAsiaTheme="minorEastAsia"/>
                <w:sz w:val="24"/>
                <w:szCs w:val="24"/>
              </w:rPr>
              <w:t>SS、</w:t>
            </w:r>
            <w:r>
              <w:rPr>
                <w:rFonts w:cs="Times New Roman"/>
                <w:sz w:val="21"/>
              </w:rPr>
              <w:t>氨氮</w:t>
            </w:r>
            <w:r>
              <w:rPr>
                <w:rFonts w:hint="eastAsia" w:cs="Times New Roman"/>
                <w:sz w:val="21"/>
              </w:rPr>
              <w:t>、</w:t>
            </w:r>
            <w:r>
              <w:rPr>
                <w:rFonts w:cs="Times New Roman"/>
                <w:sz w:val="21"/>
              </w:rPr>
              <w:t>动植物油</w:t>
            </w:r>
          </w:p>
        </w:tc>
        <w:tc>
          <w:tcPr>
            <w:tcW w:w="0" w:type="auto"/>
            <w:vMerge w:val="continue"/>
            <w:vAlign w:val="center"/>
          </w:tcPr>
          <w:p>
            <w:pPr>
              <w:pStyle w:val="140"/>
              <w:spacing w:line="232" w:lineRule="exact"/>
              <w:ind w:left="122"/>
              <w:rPr>
                <w:rFonts w:ascii="Times New Roman" w:hAnsi="Times New Roman" w:cs="Times New Roman" w:eastAsiaTheme="majorEastAsia"/>
                <w:sz w:val="21"/>
                <w:szCs w:val="21"/>
              </w:rPr>
            </w:pPr>
          </w:p>
        </w:tc>
      </w:tr>
    </w:tbl>
    <w:p>
      <w:pPr>
        <w:pStyle w:val="14"/>
        <w:spacing w:line="240" w:lineRule="auto"/>
        <w:rPr>
          <w:rFonts w:cs="Times New Roman"/>
          <w:szCs w:val="24"/>
        </w:rPr>
      </w:pPr>
      <w:r>
        <w:rPr>
          <w:rFonts w:cs="Times New Roman"/>
          <w:szCs w:val="24"/>
        </w:rPr>
        <w:t>表</w:t>
      </w:r>
      <w:r>
        <w:rPr>
          <w:rFonts w:cs="Times New Roman"/>
          <w:szCs w:val="24"/>
        </w:rPr>
        <w:fldChar w:fldCharType="begin"/>
      </w:r>
      <w:r>
        <w:rPr>
          <w:rFonts w:cs="Times New Roman"/>
          <w:szCs w:val="24"/>
        </w:rPr>
        <w:instrText xml:space="preserve"> STYLEREF 2 \s </w:instrText>
      </w:r>
      <w:r>
        <w:rPr>
          <w:rFonts w:cs="Times New Roman"/>
          <w:szCs w:val="24"/>
        </w:rPr>
        <w:fldChar w:fldCharType="separate"/>
      </w:r>
      <w:r>
        <w:rPr>
          <w:rFonts w:cs="Times New Roman"/>
          <w:szCs w:val="24"/>
        </w:rPr>
        <w:t>5.2</w:t>
      </w:r>
      <w:r>
        <w:rPr>
          <w:rFonts w:cs="Times New Roman"/>
          <w:szCs w:val="24"/>
        </w:rPr>
        <w:fldChar w:fldCharType="end"/>
      </w:r>
      <w:r>
        <w:rPr>
          <w:rFonts w:cs="Times New Roman"/>
          <w:szCs w:val="24"/>
        </w:rPr>
        <w:noBreakHyphen/>
      </w:r>
      <w:r>
        <w:rPr>
          <w:rFonts w:cs="Times New Roman"/>
          <w:szCs w:val="24"/>
        </w:rPr>
        <w:fldChar w:fldCharType="begin"/>
      </w:r>
      <w:r>
        <w:rPr>
          <w:rFonts w:cs="Times New Roman"/>
          <w:szCs w:val="24"/>
        </w:rPr>
        <w:instrText xml:space="preserve"> SEQ 表 \* ARABIC \s 2 </w:instrText>
      </w:r>
      <w:r>
        <w:rPr>
          <w:rFonts w:cs="Times New Roman"/>
          <w:szCs w:val="24"/>
        </w:rPr>
        <w:fldChar w:fldCharType="separate"/>
      </w:r>
      <w:r>
        <w:rPr>
          <w:rFonts w:cs="Times New Roman"/>
          <w:szCs w:val="24"/>
        </w:rPr>
        <w:t>6</w:t>
      </w:r>
      <w:r>
        <w:rPr>
          <w:rFonts w:cs="Times New Roman"/>
          <w:szCs w:val="24"/>
        </w:rPr>
        <w:fldChar w:fldCharType="end"/>
      </w:r>
      <w:r>
        <w:rPr>
          <w:rFonts w:hint="eastAsia" w:cs="Times New Roman"/>
          <w:szCs w:val="24"/>
        </w:rPr>
        <w:t xml:space="preserve"> 废水污染物排放执行标准表</w:t>
      </w:r>
    </w:p>
    <w:tbl>
      <w:tblPr>
        <w:tblStyle w:val="39"/>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32"/>
        <w:gridCol w:w="1289"/>
        <w:gridCol w:w="2040"/>
        <w:gridCol w:w="5543"/>
        <w:gridCol w:w="50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3" w:hRule="atLeast"/>
        </w:trPr>
        <w:tc>
          <w:tcPr>
            <w:tcW w:w="184" w:type="pct"/>
            <w:vMerge w:val="restart"/>
            <w:vAlign w:val="center"/>
          </w:tcPr>
          <w:p>
            <w:pPr>
              <w:pStyle w:val="140"/>
              <w:ind w:left="22"/>
              <w:rPr>
                <w:rFonts w:ascii="Times New Roman" w:hAnsi="Times New Roman" w:cs="Times New Roman" w:eastAsiaTheme="majorEastAsia"/>
                <w:sz w:val="21"/>
                <w:szCs w:val="21"/>
              </w:rPr>
            </w:pPr>
            <w:r>
              <w:rPr>
                <w:rFonts w:ascii="Times New Roman" w:hAnsi="Times New Roman" w:cs="Times New Roman" w:eastAsiaTheme="majorEastAsia"/>
                <w:sz w:val="21"/>
                <w:szCs w:val="21"/>
              </w:rPr>
              <w:t>序号</w:t>
            </w:r>
          </w:p>
        </w:tc>
        <w:tc>
          <w:tcPr>
            <w:tcW w:w="446" w:type="pct"/>
            <w:vMerge w:val="restart"/>
            <w:vAlign w:val="center"/>
          </w:tcPr>
          <w:p>
            <w:pPr>
              <w:pStyle w:val="140"/>
              <w:ind w:left="22"/>
              <w:rPr>
                <w:rFonts w:ascii="Times New Roman" w:hAnsi="Times New Roman" w:cs="Times New Roman" w:eastAsiaTheme="majorEastAsia"/>
                <w:sz w:val="21"/>
                <w:szCs w:val="21"/>
              </w:rPr>
            </w:pPr>
            <w:r>
              <w:rPr>
                <w:rFonts w:ascii="Times New Roman" w:hAnsi="Times New Roman" w:cs="Times New Roman" w:eastAsiaTheme="majorEastAsia"/>
                <w:sz w:val="21"/>
                <w:szCs w:val="21"/>
              </w:rPr>
              <w:t>排放口编号</w:t>
            </w:r>
          </w:p>
        </w:tc>
        <w:tc>
          <w:tcPr>
            <w:tcW w:w="706" w:type="pct"/>
            <w:vMerge w:val="restart"/>
            <w:vAlign w:val="center"/>
          </w:tcPr>
          <w:p>
            <w:pPr>
              <w:pStyle w:val="140"/>
              <w:ind w:left="22"/>
              <w:rPr>
                <w:rFonts w:ascii="Times New Roman" w:hAnsi="Times New Roman" w:cs="Times New Roman" w:eastAsiaTheme="majorEastAsia"/>
                <w:sz w:val="21"/>
                <w:szCs w:val="21"/>
              </w:rPr>
            </w:pPr>
            <w:r>
              <w:rPr>
                <w:rFonts w:ascii="Times New Roman" w:hAnsi="Times New Roman" w:cs="Times New Roman" w:eastAsiaTheme="majorEastAsia"/>
                <w:sz w:val="21"/>
                <w:szCs w:val="21"/>
              </w:rPr>
              <w:t>污染物种类</w:t>
            </w:r>
          </w:p>
        </w:tc>
        <w:tc>
          <w:tcPr>
            <w:tcW w:w="3664" w:type="pct"/>
            <w:gridSpan w:val="2"/>
            <w:vAlign w:val="center"/>
          </w:tcPr>
          <w:p>
            <w:pPr>
              <w:pStyle w:val="140"/>
              <w:spacing w:before="93"/>
              <w:ind w:left="1418" w:right="1388"/>
              <w:rPr>
                <w:rFonts w:ascii="Times New Roman" w:hAnsi="Times New Roman" w:cs="Times New Roman" w:eastAsiaTheme="majorEastAsia"/>
                <w:sz w:val="21"/>
                <w:szCs w:val="21"/>
              </w:rPr>
            </w:pPr>
            <w:r>
              <w:rPr>
                <w:rFonts w:ascii="Times New Roman" w:hAnsi="Times New Roman" w:cs="Times New Roman" w:eastAsiaTheme="majorEastAsia"/>
                <w:sz w:val="21"/>
                <w:szCs w:val="21"/>
              </w:rPr>
              <w:t>国家或地方污染物排放标准及其他按规定商定的排放协议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84" w:type="pct"/>
            <w:vMerge w:val="continue"/>
            <w:vAlign w:val="center"/>
          </w:tcPr>
          <w:p>
            <w:pPr>
              <w:widowControl/>
              <w:jc w:val="center"/>
              <w:rPr>
                <w:rFonts w:cs="Times New Roman" w:eastAsiaTheme="majorEastAsia"/>
                <w:sz w:val="21"/>
              </w:rPr>
            </w:pPr>
          </w:p>
        </w:tc>
        <w:tc>
          <w:tcPr>
            <w:tcW w:w="446" w:type="pct"/>
            <w:vMerge w:val="continue"/>
            <w:vAlign w:val="center"/>
          </w:tcPr>
          <w:p>
            <w:pPr>
              <w:widowControl/>
              <w:jc w:val="center"/>
              <w:rPr>
                <w:rFonts w:cs="Times New Roman" w:eastAsiaTheme="majorEastAsia"/>
                <w:sz w:val="21"/>
              </w:rPr>
            </w:pPr>
          </w:p>
        </w:tc>
        <w:tc>
          <w:tcPr>
            <w:tcW w:w="706" w:type="pct"/>
            <w:vMerge w:val="continue"/>
            <w:vAlign w:val="center"/>
          </w:tcPr>
          <w:p>
            <w:pPr>
              <w:pStyle w:val="140"/>
              <w:ind w:left="22"/>
              <w:rPr>
                <w:rFonts w:ascii="Times New Roman" w:hAnsi="Times New Roman" w:cs="Times New Roman" w:eastAsiaTheme="majorEastAsia"/>
                <w:sz w:val="21"/>
                <w:szCs w:val="21"/>
              </w:rPr>
            </w:pPr>
          </w:p>
        </w:tc>
        <w:tc>
          <w:tcPr>
            <w:tcW w:w="1918" w:type="pct"/>
            <w:vAlign w:val="center"/>
          </w:tcPr>
          <w:p>
            <w:pPr>
              <w:pStyle w:val="140"/>
              <w:spacing w:before="96"/>
              <w:ind w:left="1974" w:right="1381"/>
              <w:rPr>
                <w:rFonts w:ascii="Times New Roman" w:hAnsi="Times New Roman" w:cs="Times New Roman" w:eastAsiaTheme="majorEastAsia"/>
                <w:sz w:val="21"/>
                <w:szCs w:val="21"/>
              </w:rPr>
            </w:pPr>
            <w:r>
              <w:rPr>
                <w:rFonts w:ascii="Times New Roman" w:hAnsi="Times New Roman" w:cs="Times New Roman" w:eastAsiaTheme="majorEastAsia"/>
                <w:sz w:val="21"/>
                <w:szCs w:val="21"/>
              </w:rPr>
              <w:t>名称</w:t>
            </w:r>
          </w:p>
        </w:tc>
        <w:tc>
          <w:tcPr>
            <w:tcW w:w="1745" w:type="pct"/>
            <w:vAlign w:val="center"/>
          </w:tcPr>
          <w:p>
            <w:pPr>
              <w:pStyle w:val="140"/>
              <w:spacing w:before="96"/>
              <w:ind w:left="1543"/>
              <w:jc w:val="both"/>
              <w:rPr>
                <w:rFonts w:ascii="Times New Roman" w:hAnsi="Times New Roman" w:cs="Times New Roman" w:eastAsiaTheme="majorEastAsia"/>
                <w:sz w:val="21"/>
                <w:szCs w:val="21"/>
              </w:rPr>
            </w:pPr>
            <w:r>
              <w:rPr>
                <w:rFonts w:ascii="Times New Roman" w:hAnsi="Times New Roman" w:cs="Times New Roman" w:eastAsiaTheme="majorEastAsia"/>
                <w:sz w:val="21"/>
                <w:szCs w:val="21"/>
              </w:rPr>
              <w:t>浓度限值/（mg/L）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184" w:type="pct"/>
            <w:vMerge w:val="restart"/>
            <w:vAlign w:val="center"/>
          </w:tcPr>
          <w:p>
            <w:pPr>
              <w:pStyle w:val="140"/>
              <w:ind w:left="22"/>
              <w:rPr>
                <w:rFonts w:ascii="Times New Roman" w:hAnsi="Times New Roman" w:cs="Times New Roman" w:eastAsiaTheme="majorEastAsia"/>
                <w:sz w:val="21"/>
                <w:szCs w:val="21"/>
              </w:rPr>
            </w:pPr>
            <w:r>
              <w:rPr>
                <w:rFonts w:ascii="Times New Roman" w:hAnsi="Times New Roman" w:cs="Times New Roman" w:eastAsiaTheme="majorEastAsia"/>
                <w:sz w:val="21"/>
                <w:szCs w:val="21"/>
              </w:rPr>
              <w:t>1</w:t>
            </w:r>
          </w:p>
        </w:tc>
        <w:tc>
          <w:tcPr>
            <w:tcW w:w="446" w:type="pct"/>
            <w:vMerge w:val="restart"/>
            <w:vAlign w:val="center"/>
          </w:tcPr>
          <w:p>
            <w:pPr>
              <w:pStyle w:val="140"/>
              <w:ind w:left="22"/>
              <w:rPr>
                <w:rFonts w:ascii="Times New Roman" w:hAnsi="Times New Roman" w:cs="Times New Roman" w:eastAsiaTheme="majorEastAsia"/>
                <w:sz w:val="21"/>
                <w:szCs w:val="21"/>
              </w:rPr>
            </w:pPr>
            <w:r>
              <w:rPr>
                <w:rFonts w:ascii="Times New Roman" w:hAnsi="Times New Roman" w:cs="Times New Roman" w:eastAsiaTheme="majorEastAsia"/>
                <w:sz w:val="21"/>
                <w:szCs w:val="21"/>
              </w:rPr>
              <w:t>DW001</w:t>
            </w:r>
          </w:p>
        </w:tc>
        <w:tc>
          <w:tcPr>
            <w:tcW w:w="706" w:type="pct"/>
            <w:vAlign w:val="center"/>
          </w:tcPr>
          <w:p>
            <w:pPr>
              <w:pStyle w:val="140"/>
              <w:ind w:left="22"/>
              <w:rPr>
                <w:rFonts w:ascii="Times New Roman" w:hAnsi="Times New Roman" w:cs="Times New Roman" w:eastAsiaTheme="majorEastAsia"/>
                <w:sz w:val="21"/>
                <w:szCs w:val="21"/>
              </w:rPr>
            </w:pPr>
            <w:r>
              <w:rPr>
                <w:rFonts w:ascii="Times New Roman" w:hAnsi="Times New Roman" w:cs="Times New Roman" w:eastAsiaTheme="majorEastAsia"/>
                <w:sz w:val="21"/>
                <w:szCs w:val="21"/>
              </w:rPr>
              <w:t>COD</w:t>
            </w:r>
          </w:p>
        </w:tc>
        <w:tc>
          <w:tcPr>
            <w:tcW w:w="1918" w:type="pct"/>
            <w:vMerge w:val="restart"/>
            <w:vAlign w:val="center"/>
          </w:tcPr>
          <w:p>
            <w:pPr>
              <w:pStyle w:val="140"/>
              <w:ind w:left="22"/>
              <w:rPr>
                <w:rFonts w:ascii="Times New Roman" w:hAnsi="Times New Roman" w:cs="Times New Roman" w:eastAsiaTheme="majorEastAsia"/>
                <w:sz w:val="21"/>
                <w:szCs w:val="21"/>
              </w:rPr>
            </w:pPr>
            <w:r>
              <w:rPr>
                <w:rFonts w:ascii="Times New Roman" w:hAnsi="Times New Roman" w:cs="Times New Roman" w:eastAsiaTheme="majorEastAsia"/>
                <w:sz w:val="21"/>
                <w:szCs w:val="21"/>
              </w:rPr>
              <w:t>《医疗机构水污染排放标准》表 2预处理标准限值</w:t>
            </w:r>
          </w:p>
        </w:tc>
        <w:tc>
          <w:tcPr>
            <w:tcW w:w="1745" w:type="pct"/>
            <w:vAlign w:val="center"/>
          </w:tcPr>
          <w:p>
            <w:pPr>
              <w:pStyle w:val="140"/>
              <w:spacing w:before="102"/>
              <w:ind w:left="1972" w:right="1940"/>
              <w:rPr>
                <w:rFonts w:ascii="Times New Roman" w:hAnsi="Times New Roman" w:cs="Times New Roman" w:eastAsiaTheme="majorEastAsia"/>
                <w:sz w:val="21"/>
                <w:szCs w:val="21"/>
              </w:rPr>
            </w:pPr>
            <w:r>
              <w:rPr>
                <w:rFonts w:ascii="Times New Roman" w:hAnsi="Times New Roman" w:cs="Times New Roman" w:eastAsiaTheme="majorEastAsia"/>
                <w:sz w:val="21"/>
                <w:szCs w:val="21"/>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184" w:type="pct"/>
            <w:vMerge w:val="continue"/>
            <w:vAlign w:val="center"/>
          </w:tcPr>
          <w:p>
            <w:pPr>
              <w:widowControl/>
              <w:jc w:val="center"/>
              <w:rPr>
                <w:rFonts w:cs="Times New Roman" w:eastAsiaTheme="majorEastAsia"/>
                <w:sz w:val="21"/>
              </w:rPr>
            </w:pPr>
          </w:p>
        </w:tc>
        <w:tc>
          <w:tcPr>
            <w:tcW w:w="446" w:type="pct"/>
            <w:vMerge w:val="continue"/>
            <w:vAlign w:val="center"/>
          </w:tcPr>
          <w:p>
            <w:pPr>
              <w:widowControl/>
              <w:jc w:val="center"/>
              <w:rPr>
                <w:rFonts w:cs="Times New Roman" w:eastAsiaTheme="majorEastAsia"/>
                <w:sz w:val="21"/>
              </w:rPr>
            </w:pPr>
          </w:p>
        </w:tc>
        <w:tc>
          <w:tcPr>
            <w:tcW w:w="706" w:type="pct"/>
            <w:vAlign w:val="center"/>
          </w:tcPr>
          <w:p>
            <w:pPr>
              <w:pStyle w:val="140"/>
              <w:ind w:left="22"/>
              <w:rPr>
                <w:rFonts w:ascii="Times New Roman" w:hAnsi="Times New Roman" w:cs="Times New Roman" w:eastAsiaTheme="majorEastAsia"/>
                <w:sz w:val="21"/>
                <w:szCs w:val="21"/>
              </w:rPr>
            </w:pPr>
            <w:r>
              <w:rPr>
                <w:rFonts w:ascii="Times New Roman" w:hAnsi="Times New Roman" w:cs="Times New Roman" w:eastAsiaTheme="majorEastAsia"/>
                <w:sz w:val="21"/>
                <w:szCs w:val="21"/>
              </w:rPr>
              <w:t>BOD</w:t>
            </w:r>
            <w:r>
              <w:rPr>
                <w:rFonts w:ascii="Times New Roman" w:hAnsi="Times New Roman" w:cs="Times New Roman" w:eastAsiaTheme="majorEastAsia"/>
                <w:sz w:val="21"/>
                <w:szCs w:val="21"/>
                <w:vertAlign w:val="subscript"/>
              </w:rPr>
              <w:t>5</w:t>
            </w:r>
          </w:p>
        </w:tc>
        <w:tc>
          <w:tcPr>
            <w:tcW w:w="1918" w:type="pct"/>
            <w:vMerge w:val="continue"/>
            <w:vAlign w:val="center"/>
          </w:tcPr>
          <w:p>
            <w:pPr>
              <w:widowControl/>
              <w:jc w:val="center"/>
              <w:rPr>
                <w:rFonts w:cs="Times New Roman" w:eastAsiaTheme="majorEastAsia"/>
                <w:sz w:val="21"/>
              </w:rPr>
            </w:pPr>
          </w:p>
        </w:tc>
        <w:tc>
          <w:tcPr>
            <w:tcW w:w="1745" w:type="pct"/>
            <w:vAlign w:val="center"/>
          </w:tcPr>
          <w:p>
            <w:pPr>
              <w:pStyle w:val="140"/>
              <w:spacing w:before="91"/>
              <w:ind w:left="1972" w:right="1940"/>
              <w:rPr>
                <w:rFonts w:ascii="Times New Roman" w:hAnsi="Times New Roman" w:cs="Times New Roman" w:eastAsiaTheme="majorEastAsia"/>
                <w:sz w:val="21"/>
                <w:szCs w:val="21"/>
              </w:rPr>
            </w:pPr>
            <w:r>
              <w:rPr>
                <w:rFonts w:ascii="Times New Roman" w:hAnsi="Times New Roman" w:cs="Times New Roman" w:eastAsiaTheme="majorEastAsia"/>
                <w:sz w:val="21"/>
                <w:szCs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trPr>
        <w:tc>
          <w:tcPr>
            <w:tcW w:w="184" w:type="pct"/>
            <w:vMerge w:val="continue"/>
            <w:vAlign w:val="center"/>
          </w:tcPr>
          <w:p>
            <w:pPr>
              <w:widowControl/>
              <w:jc w:val="center"/>
              <w:rPr>
                <w:rFonts w:cs="Times New Roman" w:eastAsiaTheme="majorEastAsia"/>
                <w:sz w:val="21"/>
              </w:rPr>
            </w:pPr>
          </w:p>
        </w:tc>
        <w:tc>
          <w:tcPr>
            <w:tcW w:w="446" w:type="pct"/>
            <w:vMerge w:val="continue"/>
            <w:vAlign w:val="center"/>
          </w:tcPr>
          <w:p>
            <w:pPr>
              <w:widowControl/>
              <w:jc w:val="center"/>
              <w:rPr>
                <w:rFonts w:cs="Times New Roman" w:eastAsiaTheme="majorEastAsia"/>
                <w:sz w:val="21"/>
              </w:rPr>
            </w:pPr>
          </w:p>
        </w:tc>
        <w:tc>
          <w:tcPr>
            <w:tcW w:w="706" w:type="pct"/>
            <w:vAlign w:val="center"/>
          </w:tcPr>
          <w:p>
            <w:pPr>
              <w:pStyle w:val="140"/>
              <w:ind w:left="22"/>
              <w:rPr>
                <w:rFonts w:ascii="Times New Roman" w:hAnsi="Times New Roman" w:cs="Times New Roman" w:eastAsiaTheme="majorEastAsia"/>
                <w:sz w:val="21"/>
                <w:szCs w:val="21"/>
              </w:rPr>
            </w:pPr>
            <w:r>
              <w:rPr>
                <w:rFonts w:ascii="Times New Roman" w:hAnsi="Times New Roman" w:cs="Times New Roman" w:eastAsiaTheme="majorEastAsia"/>
                <w:sz w:val="21"/>
                <w:szCs w:val="21"/>
              </w:rPr>
              <w:t>SS</w:t>
            </w:r>
          </w:p>
        </w:tc>
        <w:tc>
          <w:tcPr>
            <w:tcW w:w="1918" w:type="pct"/>
            <w:vMerge w:val="continue"/>
            <w:vAlign w:val="center"/>
          </w:tcPr>
          <w:p>
            <w:pPr>
              <w:widowControl/>
              <w:jc w:val="center"/>
              <w:rPr>
                <w:rFonts w:cs="Times New Roman" w:eastAsiaTheme="majorEastAsia"/>
                <w:sz w:val="21"/>
              </w:rPr>
            </w:pPr>
          </w:p>
        </w:tc>
        <w:tc>
          <w:tcPr>
            <w:tcW w:w="1745" w:type="pct"/>
            <w:vAlign w:val="center"/>
          </w:tcPr>
          <w:p>
            <w:pPr>
              <w:pStyle w:val="140"/>
              <w:spacing w:before="91"/>
              <w:ind w:left="1972" w:right="1938"/>
              <w:rPr>
                <w:rFonts w:ascii="Times New Roman" w:hAnsi="Times New Roman" w:cs="Times New Roman" w:eastAsiaTheme="majorEastAsia"/>
                <w:sz w:val="21"/>
                <w:szCs w:val="21"/>
              </w:rPr>
            </w:pPr>
            <w:r>
              <w:rPr>
                <w:rFonts w:ascii="Times New Roman" w:hAnsi="Times New Roman" w:cs="Times New Roman" w:eastAsiaTheme="majorEastAsia"/>
                <w:sz w:val="21"/>
                <w:szCs w:val="21"/>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84" w:type="pct"/>
            <w:vMerge w:val="continue"/>
            <w:vAlign w:val="center"/>
          </w:tcPr>
          <w:p>
            <w:pPr>
              <w:widowControl/>
              <w:jc w:val="center"/>
              <w:rPr>
                <w:rFonts w:cs="Times New Roman" w:eastAsiaTheme="majorEastAsia"/>
                <w:sz w:val="21"/>
              </w:rPr>
            </w:pPr>
          </w:p>
        </w:tc>
        <w:tc>
          <w:tcPr>
            <w:tcW w:w="446" w:type="pct"/>
            <w:vMerge w:val="continue"/>
            <w:vAlign w:val="center"/>
          </w:tcPr>
          <w:p>
            <w:pPr>
              <w:widowControl/>
              <w:jc w:val="center"/>
              <w:rPr>
                <w:rFonts w:cs="Times New Roman" w:eastAsiaTheme="majorEastAsia"/>
                <w:sz w:val="21"/>
              </w:rPr>
            </w:pPr>
          </w:p>
        </w:tc>
        <w:tc>
          <w:tcPr>
            <w:tcW w:w="706" w:type="pct"/>
            <w:vAlign w:val="center"/>
          </w:tcPr>
          <w:p>
            <w:pPr>
              <w:pStyle w:val="140"/>
              <w:ind w:left="22"/>
              <w:rPr>
                <w:rFonts w:ascii="Times New Roman" w:hAnsi="Times New Roman" w:cs="Times New Roman" w:eastAsiaTheme="majorEastAsia"/>
                <w:sz w:val="21"/>
                <w:szCs w:val="21"/>
              </w:rPr>
            </w:pPr>
            <w:r>
              <w:rPr>
                <w:rFonts w:ascii="Times New Roman" w:hAnsi="Times New Roman" w:cs="Times New Roman" w:eastAsiaTheme="majorEastAsia"/>
                <w:sz w:val="21"/>
                <w:szCs w:val="21"/>
              </w:rPr>
              <w:t>氨氮</w:t>
            </w:r>
          </w:p>
        </w:tc>
        <w:tc>
          <w:tcPr>
            <w:tcW w:w="1918" w:type="pct"/>
            <w:vMerge w:val="continue"/>
            <w:vAlign w:val="center"/>
          </w:tcPr>
          <w:p>
            <w:pPr>
              <w:widowControl/>
              <w:jc w:val="center"/>
              <w:rPr>
                <w:rFonts w:cs="Times New Roman" w:eastAsiaTheme="majorEastAsia"/>
                <w:sz w:val="21"/>
              </w:rPr>
            </w:pPr>
          </w:p>
        </w:tc>
        <w:tc>
          <w:tcPr>
            <w:tcW w:w="1745" w:type="pct"/>
            <w:vAlign w:val="center"/>
          </w:tcPr>
          <w:p>
            <w:pPr>
              <w:pStyle w:val="140"/>
              <w:spacing w:before="95"/>
              <w:ind w:left="29"/>
              <w:rPr>
                <w:rFonts w:ascii="Times New Roman" w:hAnsi="Times New Roman" w:cs="Times New Roman" w:eastAsiaTheme="majorEastAsia"/>
                <w:sz w:val="21"/>
                <w:szCs w:val="21"/>
              </w:rPr>
            </w:pPr>
            <w:r>
              <w:rPr>
                <w:rFonts w:ascii="Times New Roman" w:hAnsi="Times New Roman" w:cs="Times New Roman" w:eastAsiaTheme="majorEastAsia"/>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84" w:type="pct"/>
            <w:vMerge w:val="continue"/>
            <w:vAlign w:val="center"/>
          </w:tcPr>
          <w:p>
            <w:pPr>
              <w:widowControl/>
              <w:jc w:val="center"/>
              <w:rPr>
                <w:rFonts w:cs="Times New Roman" w:eastAsiaTheme="majorEastAsia"/>
                <w:sz w:val="21"/>
              </w:rPr>
            </w:pPr>
          </w:p>
        </w:tc>
        <w:tc>
          <w:tcPr>
            <w:tcW w:w="446" w:type="pct"/>
            <w:vMerge w:val="continue"/>
            <w:vAlign w:val="center"/>
          </w:tcPr>
          <w:p>
            <w:pPr>
              <w:widowControl/>
              <w:jc w:val="center"/>
              <w:rPr>
                <w:rFonts w:cs="Times New Roman" w:eastAsiaTheme="majorEastAsia"/>
                <w:sz w:val="21"/>
              </w:rPr>
            </w:pPr>
          </w:p>
        </w:tc>
        <w:tc>
          <w:tcPr>
            <w:tcW w:w="706" w:type="pct"/>
            <w:vAlign w:val="center"/>
          </w:tcPr>
          <w:p>
            <w:pPr>
              <w:pStyle w:val="140"/>
              <w:ind w:left="22"/>
              <w:rPr>
                <w:rFonts w:ascii="Times New Roman" w:hAnsi="Times New Roman" w:cs="Times New Roman" w:eastAsiaTheme="majorEastAsia"/>
                <w:sz w:val="21"/>
                <w:szCs w:val="21"/>
              </w:rPr>
            </w:pPr>
            <w:r>
              <w:rPr>
                <w:rFonts w:ascii="Times New Roman" w:hAnsi="Times New Roman" w:cs="Times New Roman" w:eastAsiaTheme="majorEastAsia"/>
                <w:sz w:val="21"/>
                <w:szCs w:val="21"/>
              </w:rPr>
              <w:t>粪大肠杆菌</w:t>
            </w:r>
          </w:p>
        </w:tc>
        <w:tc>
          <w:tcPr>
            <w:tcW w:w="1918" w:type="pct"/>
            <w:vMerge w:val="continue"/>
            <w:vAlign w:val="center"/>
          </w:tcPr>
          <w:p>
            <w:pPr>
              <w:widowControl/>
              <w:jc w:val="center"/>
              <w:rPr>
                <w:rFonts w:cs="Times New Roman" w:eastAsiaTheme="majorEastAsia"/>
                <w:sz w:val="21"/>
              </w:rPr>
            </w:pPr>
          </w:p>
        </w:tc>
        <w:tc>
          <w:tcPr>
            <w:tcW w:w="1745" w:type="pct"/>
            <w:vAlign w:val="center"/>
          </w:tcPr>
          <w:p>
            <w:pPr>
              <w:pStyle w:val="140"/>
              <w:spacing w:before="95"/>
              <w:ind w:left="29"/>
              <w:rPr>
                <w:rFonts w:ascii="Times New Roman" w:hAnsi="Times New Roman" w:cs="Times New Roman" w:eastAsiaTheme="majorEastAsia"/>
                <w:sz w:val="21"/>
                <w:szCs w:val="21"/>
              </w:rPr>
            </w:pPr>
            <w:r>
              <w:rPr>
                <w:rFonts w:hint="eastAsia" w:ascii="Times New Roman" w:hAnsi="Times New Roman" w:cs="Times New Roman" w:eastAsiaTheme="majorEastAsia"/>
                <w:sz w:val="21"/>
                <w:szCs w:val="21"/>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84" w:type="pct"/>
            <w:vMerge w:val="continue"/>
            <w:vAlign w:val="center"/>
          </w:tcPr>
          <w:p>
            <w:pPr>
              <w:widowControl/>
              <w:jc w:val="center"/>
              <w:rPr>
                <w:rFonts w:cs="Times New Roman" w:eastAsiaTheme="majorEastAsia"/>
                <w:sz w:val="21"/>
              </w:rPr>
            </w:pPr>
          </w:p>
        </w:tc>
        <w:tc>
          <w:tcPr>
            <w:tcW w:w="446" w:type="pct"/>
            <w:vMerge w:val="continue"/>
            <w:vAlign w:val="center"/>
          </w:tcPr>
          <w:p>
            <w:pPr>
              <w:widowControl/>
              <w:jc w:val="center"/>
              <w:rPr>
                <w:rFonts w:cs="Times New Roman" w:eastAsiaTheme="majorEastAsia"/>
                <w:sz w:val="21"/>
              </w:rPr>
            </w:pPr>
          </w:p>
        </w:tc>
        <w:tc>
          <w:tcPr>
            <w:tcW w:w="706" w:type="pct"/>
            <w:vAlign w:val="center"/>
          </w:tcPr>
          <w:p>
            <w:pPr>
              <w:pStyle w:val="140"/>
              <w:ind w:left="22"/>
              <w:rPr>
                <w:rFonts w:ascii="Times New Roman" w:hAnsi="Times New Roman" w:cs="Times New Roman" w:eastAsiaTheme="majorEastAsia"/>
                <w:sz w:val="21"/>
                <w:szCs w:val="21"/>
              </w:rPr>
            </w:pPr>
            <w:r>
              <w:rPr>
                <w:rFonts w:ascii="Times New Roman" w:hAnsi="Times New Roman" w:cs="Times New Roman" w:eastAsiaTheme="majorEastAsia"/>
                <w:sz w:val="21"/>
                <w:szCs w:val="21"/>
              </w:rPr>
              <w:t>总氮</w:t>
            </w:r>
          </w:p>
        </w:tc>
        <w:tc>
          <w:tcPr>
            <w:tcW w:w="1918" w:type="pct"/>
            <w:vMerge w:val="continue"/>
            <w:vAlign w:val="center"/>
          </w:tcPr>
          <w:p>
            <w:pPr>
              <w:widowControl/>
              <w:jc w:val="center"/>
              <w:rPr>
                <w:rFonts w:cs="Times New Roman" w:eastAsiaTheme="majorEastAsia"/>
                <w:sz w:val="21"/>
              </w:rPr>
            </w:pPr>
          </w:p>
        </w:tc>
        <w:tc>
          <w:tcPr>
            <w:tcW w:w="1745" w:type="pct"/>
            <w:vAlign w:val="center"/>
          </w:tcPr>
          <w:p>
            <w:pPr>
              <w:spacing w:before="95"/>
              <w:ind w:left="29"/>
              <w:jc w:val="center"/>
              <w:rPr>
                <w:rFonts w:cs="Times New Roman" w:eastAsiaTheme="majorEastAsia"/>
                <w:sz w:val="21"/>
              </w:rPr>
            </w:pPr>
            <w:r>
              <w:rPr>
                <w:rFonts w:cs="Times New Roman" w:eastAsiaTheme="majorEastAsia"/>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84" w:type="pct"/>
            <w:vMerge w:val="continue"/>
            <w:vAlign w:val="center"/>
          </w:tcPr>
          <w:p>
            <w:pPr>
              <w:widowControl/>
              <w:jc w:val="center"/>
              <w:rPr>
                <w:rFonts w:cs="Times New Roman" w:eastAsiaTheme="majorEastAsia"/>
                <w:sz w:val="21"/>
              </w:rPr>
            </w:pPr>
          </w:p>
        </w:tc>
        <w:tc>
          <w:tcPr>
            <w:tcW w:w="446" w:type="pct"/>
            <w:vMerge w:val="continue"/>
            <w:vAlign w:val="center"/>
          </w:tcPr>
          <w:p>
            <w:pPr>
              <w:widowControl/>
              <w:jc w:val="center"/>
              <w:rPr>
                <w:rFonts w:cs="Times New Roman" w:eastAsiaTheme="majorEastAsia"/>
                <w:sz w:val="21"/>
              </w:rPr>
            </w:pPr>
          </w:p>
        </w:tc>
        <w:tc>
          <w:tcPr>
            <w:tcW w:w="706" w:type="pct"/>
            <w:vAlign w:val="center"/>
          </w:tcPr>
          <w:p>
            <w:pPr>
              <w:pStyle w:val="140"/>
              <w:ind w:left="22"/>
              <w:rPr>
                <w:rFonts w:ascii="Times New Roman" w:hAnsi="Times New Roman" w:cs="Times New Roman" w:eastAsiaTheme="majorEastAsia"/>
                <w:sz w:val="21"/>
                <w:szCs w:val="21"/>
              </w:rPr>
            </w:pPr>
            <w:r>
              <w:rPr>
                <w:rFonts w:ascii="Times New Roman" w:hAnsi="Times New Roman" w:cs="Times New Roman" w:eastAsiaTheme="majorEastAsia"/>
                <w:sz w:val="21"/>
                <w:szCs w:val="21"/>
              </w:rPr>
              <w:t>总磷</w:t>
            </w:r>
          </w:p>
        </w:tc>
        <w:tc>
          <w:tcPr>
            <w:tcW w:w="1918" w:type="pct"/>
            <w:vMerge w:val="continue"/>
            <w:vAlign w:val="center"/>
          </w:tcPr>
          <w:p>
            <w:pPr>
              <w:widowControl/>
              <w:jc w:val="center"/>
              <w:rPr>
                <w:rFonts w:cs="Times New Roman" w:eastAsiaTheme="majorEastAsia"/>
                <w:sz w:val="21"/>
              </w:rPr>
            </w:pPr>
          </w:p>
        </w:tc>
        <w:tc>
          <w:tcPr>
            <w:tcW w:w="1745" w:type="pct"/>
            <w:vAlign w:val="center"/>
          </w:tcPr>
          <w:p>
            <w:pPr>
              <w:spacing w:before="95"/>
              <w:ind w:left="29"/>
              <w:jc w:val="center"/>
              <w:rPr>
                <w:rFonts w:cs="Times New Roman" w:eastAsiaTheme="majorEastAsia"/>
                <w:sz w:val="21"/>
              </w:rPr>
            </w:pPr>
            <w:r>
              <w:rPr>
                <w:rFonts w:cs="Times New Roman" w:eastAsiaTheme="majorEastAsia"/>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84" w:type="pct"/>
            <w:vMerge w:val="continue"/>
            <w:vAlign w:val="center"/>
          </w:tcPr>
          <w:p>
            <w:pPr>
              <w:widowControl/>
              <w:jc w:val="center"/>
              <w:rPr>
                <w:rFonts w:cs="Times New Roman" w:eastAsiaTheme="majorEastAsia"/>
                <w:sz w:val="21"/>
              </w:rPr>
            </w:pPr>
          </w:p>
        </w:tc>
        <w:tc>
          <w:tcPr>
            <w:tcW w:w="446" w:type="pct"/>
            <w:vMerge w:val="continue"/>
            <w:vAlign w:val="center"/>
          </w:tcPr>
          <w:p>
            <w:pPr>
              <w:widowControl/>
              <w:jc w:val="center"/>
              <w:rPr>
                <w:rFonts w:cs="Times New Roman" w:eastAsiaTheme="majorEastAsia"/>
                <w:sz w:val="21"/>
              </w:rPr>
            </w:pPr>
          </w:p>
        </w:tc>
        <w:tc>
          <w:tcPr>
            <w:tcW w:w="706" w:type="pct"/>
            <w:vAlign w:val="center"/>
          </w:tcPr>
          <w:p>
            <w:pPr>
              <w:pStyle w:val="140"/>
              <w:ind w:left="22"/>
              <w:rPr>
                <w:rFonts w:ascii="Times New Roman" w:hAnsi="Times New Roman" w:cs="Times New Roman" w:eastAsiaTheme="majorEastAsia"/>
                <w:sz w:val="21"/>
                <w:szCs w:val="21"/>
              </w:rPr>
            </w:pPr>
            <w:r>
              <w:rPr>
                <w:rFonts w:ascii="Times New Roman" w:hAnsi="Times New Roman" w:cs="Times New Roman" w:eastAsiaTheme="majorEastAsia"/>
                <w:sz w:val="21"/>
                <w:szCs w:val="21"/>
              </w:rPr>
              <w:t>阴离子表面活性剂</w:t>
            </w:r>
          </w:p>
        </w:tc>
        <w:tc>
          <w:tcPr>
            <w:tcW w:w="1918" w:type="pct"/>
            <w:vMerge w:val="continue"/>
            <w:vAlign w:val="center"/>
          </w:tcPr>
          <w:p>
            <w:pPr>
              <w:widowControl/>
              <w:jc w:val="center"/>
              <w:rPr>
                <w:rFonts w:cs="Times New Roman" w:eastAsiaTheme="majorEastAsia"/>
                <w:sz w:val="21"/>
              </w:rPr>
            </w:pPr>
          </w:p>
        </w:tc>
        <w:tc>
          <w:tcPr>
            <w:tcW w:w="1745" w:type="pct"/>
            <w:vAlign w:val="center"/>
          </w:tcPr>
          <w:p>
            <w:pPr>
              <w:pStyle w:val="140"/>
              <w:spacing w:before="95"/>
              <w:ind w:left="29"/>
              <w:rPr>
                <w:rFonts w:ascii="Times New Roman" w:hAnsi="Times New Roman" w:cs="Times New Roman" w:eastAsiaTheme="majorEastAsia"/>
                <w:sz w:val="21"/>
                <w:szCs w:val="21"/>
              </w:rPr>
            </w:pPr>
            <w:r>
              <w:rPr>
                <w:rFonts w:hint="eastAsia" w:ascii="Times New Roman" w:hAnsi="Times New Roman" w:cs="Times New Roman" w:eastAsiaTheme="majorEastAsia"/>
                <w:sz w:val="21"/>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84" w:type="pct"/>
            <w:vMerge w:val="continue"/>
            <w:vAlign w:val="center"/>
          </w:tcPr>
          <w:p>
            <w:pPr>
              <w:widowControl/>
              <w:jc w:val="center"/>
              <w:rPr>
                <w:rFonts w:cs="Times New Roman" w:eastAsiaTheme="majorEastAsia"/>
                <w:sz w:val="21"/>
              </w:rPr>
            </w:pPr>
          </w:p>
        </w:tc>
        <w:tc>
          <w:tcPr>
            <w:tcW w:w="446" w:type="pct"/>
            <w:vMerge w:val="continue"/>
            <w:vAlign w:val="center"/>
          </w:tcPr>
          <w:p>
            <w:pPr>
              <w:widowControl/>
              <w:jc w:val="center"/>
              <w:rPr>
                <w:rFonts w:cs="Times New Roman" w:eastAsiaTheme="majorEastAsia"/>
                <w:sz w:val="21"/>
              </w:rPr>
            </w:pPr>
          </w:p>
        </w:tc>
        <w:tc>
          <w:tcPr>
            <w:tcW w:w="706" w:type="pct"/>
            <w:vAlign w:val="center"/>
          </w:tcPr>
          <w:p>
            <w:pPr>
              <w:pStyle w:val="140"/>
              <w:ind w:left="22"/>
              <w:rPr>
                <w:rFonts w:ascii="Times New Roman" w:hAnsi="Times New Roman" w:cs="Times New Roman" w:eastAsiaTheme="majorEastAsia"/>
                <w:sz w:val="21"/>
                <w:szCs w:val="21"/>
              </w:rPr>
            </w:pPr>
            <w:r>
              <w:rPr>
                <w:rFonts w:ascii="Times New Roman" w:hAnsi="Times New Roman" w:cs="Times New Roman" w:eastAsiaTheme="majorEastAsia"/>
                <w:sz w:val="21"/>
                <w:szCs w:val="21"/>
              </w:rPr>
              <w:t>总余氯</w:t>
            </w:r>
          </w:p>
        </w:tc>
        <w:tc>
          <w:tcPr>
            <w:tcW w:w="1918" w:type="pct"/>
            <w:vMerge w:val="continue"/>
            <w:vAlign w:val="center"/>
          </w:tcPr>
          <w:p>
            <w:pPr>
              <w:widowControl/>
              <w:jc w:val="center"/>
              <w:rPr>
                <w:rFonts w:cs="Times New Roman" w:eastAsiaTheme="majorEastAsia"/>
                <w:sz w:val="21"/>
              </w:rPr>
            </w:pPr>
          </w:p>
        </w:tc>
        <w:tc>
          <w:tcPr>
            <w:tcW w:w="1745" w:type="pct"/>
            <w:vAlign w:val="center"/>
          </w:tcPr>
          <w:p>
            <w:pPr>
              <w:pStyle w:val="140"/>
              <w:spacing w:before="95"/>
              <w:ind w:left="29"/>
              <w:rPr>
                <w:rFonts w:ascii="Times New Roman" w:hAnsi="Times New Roman" w:cs="Times New Roman" w:eastAsiaTheme="majorEastAsia"/>
                <w:sz w:val="21"/>
                <w:szCs w:val="21"/>
              </w:rPr>
            </w:pPr>
            <w:r>
              <w:rPr>
                <w:rFonts w:hint="eastAsia" w:ascii="Times New Roman" w:hAnsi="Times New Roman" w:cs="Times New Roman" w:eastAsiaTheme="majorEastAsia"/>
                <w:sz w:val="21"/>
                <w:szCs w:val="21"/>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84" w:type="pct"/>
            <w:vMerge w:val="continue"/>
            <w:vAlign w:val="center"/>
          </w:tcPr>
          <w:p>
            <w:pPr>
              <w:widowControl/>
              <w:jc w:val="center"/>
              <w:rPr>
                <w:rFonts w:cs="Times New Roman" w:eastAsiaTheme="majorEastAsia"/>
                <w:sz w:val="21"/>
              </w:rPr>
            </w:pPr>
          </w:p>
        </w:tc>
        <w:tc>
          <w:tcPr>
            <w:tcW w:w="446" w:type="pct"/>
            <w:vMerge w:val="continue"/>
            <w:vAlign w:val="center"/>
          </w:tcPr>
          <w:p>
            <w:pPr>
              <w:widowControl/>
              <w:jc w:val="center"/>
              <w:rPr>
                <w:rFonts w:cs="Times New Roman" w:eastAsiaTheme="majorEastAsia"/>
                <w:sz w:val="21"/>
              </w:rPr>
            </w:pPr>
          </w:p>
        </w:tc>
        <w:tc>
          <w:tcPr>
            <w:tcW w:w="706" w:type="pct"/>
            <w:vAlign w:val="center"/>
          </w:tcPr>
          <w:p>
            <w:pPr>
              <w:pStyle w:val="140"/>
              <w:ind w:left="22"/>
              <w:rPr>
                <w:rFonts w:ascii="Times New Roman" w:hAnsi="Times New Roman" w:cs="Times New Roman" w:eastAsiaTheme="majorEastAsia"/>
                <w:sz w:val="21"/>
                <w:szCs w:val="21"/>
              </w:rPr>
            </w:pPr>
            <w:r>
              <w:rPr>
                <w:rFonts w:ascii="Times New Roman" w:hAnsi="Times New Roman" w:cs="Times New Roman" w:eastAsiaTheme="majorEastAsia"/>
                <w:sz w:val="21"/>
                <w:szCs w:val="21"/>
              </w:rPr>
              <w:t>总氰化物</w:t>
            </w:r>
          </w:p>
        </w:tc>
        <w:tc>
          <w:tcPr>
            <w:tcW w:w="1918" w:type="pct"/>
            <w:vMerge w:val="continue"/>
            <w:vAlign w:val="center"/>
          </w:tcPr>
          <w:p>
            <w:pPr>
              <w:widowControl/>
              <w:jc w:val="center"/>
              <w:rPr>
                <w:rFonts w:cs="Times New Roman" w:eastAsiaTheme="majorEastAsia"/>
                <w:sz w:val="21"/>
              </w:rPr>
            </w:pPr>
          </w:p>
        </w:tc>
        <w:tc>
          <w:tcPr>
            <w:tcW w:w="1745" w:type="pct"/>
            <w:vAlign w:val="center"/>
          </w:tcPr>
          <w:p>
            <w:pPr>
              <w:pStyle w:val="140"/>
              <w:spacing w:before="95"/>
              <w:ind w:left="29"/>
              <w:rPr>
                <w:rFonts w:ascii="Times New Roman" w:hAnsi="Times New Roman" w:cs="Times New Roman" w:eastAsiaTheme="majorEastAsia"/>
                <w:sz w:val="21"/>
                <w:szCs w:val="21"/>
              </w:rPr>
            </w:pPr>
            <w:r>
              <w:rPr>
                <w:rFonts w:hint="eastAsia" w:ascii="Times New Roman" w:hAnsi="Times New Roman" w:cs="Times New Roman" w:eastAsiaTheme="majorEastAsia"/>
                <w:sz w:val="21"/>
                <w:szCs w:val="21"/>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84" w:type="pct"/>
            <w:vMerge w:val="restart"/>
            <w:vAlign w:val="center"/>
          </w:tcPr>
          <w:p>
            <w:pPr>
              <w:widowControl/>
              <w:jc w:val="center"/>
              <w:rPr>
                <w:rFonts w:cs="Times New Roman" w:eastAsiaTheme="majorEastAsia"/>
                <w:sz w:val="21"/>
              </w:rPr>
            </w:pPr>
            <w:r>
              <w:rPr>
                <w:rFonts w:hint="eastAsia" w:cs="Times New Roman" w:eastAsiaTheme="majorEastAsia"/>
                <w:sz w:val="21"/>
              </w:rPr>
              <w:t>2</w:t>
            </w:r>
          </w:p>
        </w:tc>
        <w:tc>
          <w:tcPr>
            <w:tcW w:w="446" w:type="pct"/>
            <w:vMerge w:val="restart"/>
            <w:vAlign w:val="center"/>
          </w:tcPr>
          <w:p>
            <w:pPr>
              <w:widowControl/>
              <w:jc w:val="center"/>
              <w:rPr>
                <w:rFonts w:cs="Times New Roman" w:eastAsiaTheme="majorEastAsia"/>
                <w:sz w:val="21"/>
              </w:rPr>
            </w:pPr>
            <w:r>
              <w:rPr>
                <w:rFonts w:cs="Times New Roman" w:eastAsiaTheme="majorEastAsia"/>
                <w:sz w:val="21"/>
              </w:rPr>
              <w:t>DW00</w:t>
            </w:r>
            <w:r>
              <w:rPr>
                <w:rFonts w:hint="eastAsia" w:cs="Times New Roman" w:eastAsiaTheme="majorEastAsia"/>
                <w:sz w:val="21"/>
              </w:rPr>
              <w:t>2</w:t>
            </w:r>
          </w:p>
        </w:tc>
        <w:tc>
          <w:tcPr>
            <w:tcW w:w="706" w:type="pct"/>
            <w:vAlign w:val="center"/>
          </w:tcPr>
          <w:p>
            <w:pPr>
              <w:pStyle w:val="140"/>
              <w:ind w:left="22"/>
              <w:rPr>
                <w:rFonts w:ascii="Times New Roman" w:hAnsi="Times New Roman" w:cs="Times New Roman" w:eastAsiaTheme="majorEastAsia"/>
                <w:sz w:val="21"/>
                <w:szCs w:val="21"/>
              </w:rPr>
            </w:pPr>
            <w:r>
              <w:rPr>
                <w:rFonts w:ascii="Times New Roman" w:hAnsi="Times New Roman" w:cs="Times New Roman" w:eastAsiaTheme="majorEastAsia"/>
                <w:sz w:val="21"/>
                <w:szCs w:val="21"/>
              </w:rPr>
              <w:t>COD</w:t>
            </w:r>
            <w:r>
              <w:rPr>
                <w:rFonts w:ascii="Times New Roman" w:hAnsi="Times New Roman" w:cs="Times New Roman" w:eastAsiaTheme="majorEastAsia"/>
                <w:sz w:val="21"/>
                <w:szCs w:val="21"/>
                <w:vertAlign w:val="subscript"/>
              </w:rPr>
              <w:t>cr</w:t>
            </w:r>
          </w:p>
        </w:tc>
        <w:tc>
          <w:tcPr>
            <w:tcW w:w="1918" w:type="pct"/>
            <w:vMerge w:val="restart"/>
            <w:vAlign w:val="center"/>
          </w:tcPr>
          <w:p>
            <w:pPr>
              <w:pStyle w:val="140"/>
              <w:ind w:left="22"/>
              <w:rPr>
                <w:rFonts w:cs="Times New Roman" w:eastAsiaTheme="majorEastAsia"/>
                <w:sz w:val="21"/>
              </w:rPr>
            </w:pPr>
            <w:r>
              <w:rPr>
                <w:rFonts w:ascii="Times New Roman" w:hAnsi="Times New Roman" w:cs="Times New Roman" w:eastAsiaTheme="majorEastAsia"/>
                <w:sz w:val="21"/>
                <w:szCs w:val="21"/>
              </w:rPr>
              <w:t>执行《污水综合排放标准》中三级排放标准</w:t>
            </w:r>
          </w:p>
        </w:tc>
        <w:tc>
          <w:tcPr>
            <w:tcW w:w="1745" w:type="pct"/>
            <w:vAlign w:val="center"/>
          </w:tcPr>
          <w:p>
            <w:pPr>
              <w:pStyle w:val="140"/>
              <w:spacing w:before="95"/>
              <w:ind w:left="29"/>
              <w:rPr>
                <w:rFonts w:ascii="Times New Roman" w:hAnsi="Times New Roman" w:cs="Times New Roman" w:eastAsiaTheme="majorEastAsia"/>
                <w:sz w:val="21"/>
                <w:szCs w:val="21"/>
              </w:rPr>
            </w:pPr>
            <w:r>
              <w:rPr>
                <w:rFonts w:hint="eastAsia" w:ascii="Times New Roman" w:hAnsi="Times New Roman" w:cs="Times New Roman" w:eastAsiaTheme="majorEastAsia"/>
                <w:sz w:val="21"/>
                <w:szCs w:val="21"/>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84" w:type="pct"/>
            <w:vMerge w:val="continue"/>
            <w:vAlign w:val="center"/>
          </w:tcPr>
          <w:p>
            <w:pPr>
              <w:widowControl/>
              <w:jc w:val="center"/>
              <w:rPr>
                <w:rFonts w:cs="Times New Roman" w:eastAsiaTheme="majorEastAsia"/>
                <w:sz w:val="21"/>
              </w:rPr>
            </w:pPr>
          </w:p>
        </w:tc>
        <w:tc>
          <w:tcPr>
            <w:tcW w:w="446" w:type="pct"/>
            <w:vMerge w:val="continue"/>
            <w:vAlign w:val="center"/>
          </w:tcPr>
          <w:p>
            <w:pPr>
              <w:widowControl/>
              <w:jc w:val="center"/>
              <w:rPr>
                <w:rFonts w:cs="Times New Roman" w:eastAsiaTheme="majorEastAsia"/>
                <w:sz w:val="21"/>
              </w:rPr>
            </w:pPr>
          </w:p>
        </w:tc>
        <w:tc>
          <w:tcPr>
            <w:tcW w:w="706" w:type="pct"/>
            <w:vAlign w:val="center"/>
          </w:tcPr>
          <w:p>
            <w:pPr>
              <w:pStyle w:val="140"/>
              <w:ind w:left="22"/>
              <w:rPr>
                <w:rFonts w:ascii="Times New Roman" w:hAnsi="Times New Roman" w:cs="Times New Roman" w:eastAsiaTheme="majorEastAsia"/>
                <w:sz w:val="21"/>
                <w:szCs w:val="21"/>
              </w:rPr>
            </w:pPr>
            <w:r>
              <w:rPr>
                <w:rFonts w:ascii="Times New Roman" w:hAnsi="Times New Roman" w:cs="Times New Roman" w:eastAsiaTheme="majorEastAsia"/>
                <w:sz w:val="21"/>
                <w:szCs w:val="21"/>
              </w:rPr>
              <w:t>氨氮</w:t>
            </w:r>
          </w:p>
        </w:tc>
        <w:tc>
          <w:tcPr>
            <w:tcW w:w="1918" w:type="pct"/>
            <w:vMerge w:val="continue"/>
            <w:vAlign w:val="center"/>
          </w:tcPr>
          <w:p>
            <w:pPr>
              <w:widowControl/>
              <w:jc w:val="center"/>
              <w:rPr>
                <w:rFonts w:cs="Times New Roman" w:eastAsiaTheme="majorEastAsia"/>
                <w:sz w:val="21"/>
              </w:rPr>
            </w:pPr>
          </w:p>
        </w:tc>
        <w:tc>
          <w:tcPr>
            <w:tcW w:w="1745" w:type="pct"/>
            <w:vAlign w:val="center"/>
          </w:tcPr>
          <w:p>
            <w:pPr>
              <w:pStyle w:val="140"/>
              <w:spacing w:before="95"/>
              <w:ind w:left="29"/>
              <w:rPr>
                <w:rFonts w:ascii="Times New Roman" w:hAnsi="Times New Roman" w:cs="Times New Roman" w:eastAsiaTheme="majorEastAsia"/>
                <w:sz w:val="21"/>
                <w:szCs w:val="21"/>
              </w:rPr>
            </w:pPr>
            <w:r>
              <w:rPr>
                <w:rFonts w:hint="eastAsia" w:ascii="Times New Roman" w:hAnsi="Times New Roman" w:cs="Times New Roman" w:eastAsiaTheme="majorEastAsia"/>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84" w:type="pct"/>
            <w:vMerge w:val="continue"/>
            <w:vAlign w:val="center"/>
          </w:tcPr>
          <w:p>
            <w:pPr>
              <w:widowControl/>
              <w:jc w:val="center"/>
              <w:rPr>
                <w:rFonts w:cs="Times New Roman" w:eastAsiaTheme="majorEastAsia"/>
                <w:sz w:val="21"/>
              </w:rPr>
            </w:pPr>
          </w:p>
        </w:tc>
        <w:tc>
          <w:tcPr>
            <w:tcW w:w="446" w:type="pct"/>
            <w:vMerge w:val="continue"/>
            <w:vAlign w:val="center"/>
          </w:tcPr>
          <w:p>
            <w:pPr>
              <w:widowControl/>
              <w:jc w:val="center"/>
              <w:rPr>
                <w:rFonts w:cs="Times New Roman" w:eastAsiaTheme="majorEastAsia"/>
                <w:sz w:val="21"/>
              </w:rPr>
            </w:pPr>
          </w:p>
        </w:tc>
        <w:tc>
          <w:tcPr>
            <w:tcW w:w="706" w:type="pct"/>
            <w:vAlign w:val="center"/>
          </w:tcPr>
          <w:p>
            <w:pPr>
              <w:pStyle w:val="140"/>
              <w:ind w:left="22"/>
              <w:rPr>
                <w:rFonts w:ascii="Times New Roman" w:hAnsi="Times New Roman" w:cs="Times New Roman" w:eastAsiaTheme="majorEastAsia"/>
                <w:sz w:val="21"/>
                <w:szCs w:val="21"/>
              </w:rPr>
            </w:pPr>
            <w:r>
              <w:rPr>
                <w:rFonts w:ascii="Times New Roman" w:hAnsi="Times New Roman" w:cs="Times New Roman" w:eastAsiaTheme="majorEastAsia"/>
                <w:sz w:val="21"/>
                <w:szCs w:val="21"/>
              </w:rPr>
              <w:t>SS</w:t>
            </w:r>
          </w:p>
        </w:tc>
        <w:tc>
          <w:tcPr>
            <w:tcW w:w="1918" w:type="pct"/>
            <w:vMerge w:val="continue"/>
            <w:vAlign w:val="center"/>
          </w:tcPr>
          <w:p>
            <w:pPr>
              <w:widowControl/>
              <w:jc w:val="center"/>
              <w:rPr>
                <w:rFonts w:cs="Times New Roman" w:eastAsiaTheme="majorEastAsia"/>
                <w:sz w:val="21"/>
              </w:rPr>
            </w:pPr>
          </w:p>
        </w:tc>
        <w:tc>
          <w:tcPr>
            <w:tcW w:w="1745" w:type="pct"/>
            <w:vAlign w:val="center"/>
          </w:tcPr>
          <w:p>
            <w:pPr>
              <w:pStyle w:val="140"/>
              <w:spacing w:before="95"/>
              <w:ind w:left="29"/>
              <w:rPr>
                <w:rFonts w:ascii="Times New Roman" w:hAnsi="Times New Roman" w:cs="Times New Roman" w:eastAsiaTheme="majorEastAsia"/>
                <w:sz w:val="21"/>
                <w:szCs w:val="21"/>
              </w:rPr>
            </w:pPr>
            <w:r>
              <w:rPr>
                <w:rFonts w:hint="eastAsia" w:ascii="Times New Roman" w:hAnsi="Times New Roman" w:cs="Times New Roman" w:eastAsiaTheme="majorEastAsia"/>
                <w:sz w:val="21"/>
                <w:szCs w:val="21"/>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84" w:type="pct"/>
            <w:vMerge w:val="continue"/>
            <w:vAlign w:val="center"/>
          </w:tcPr>
          <w:p>
            <w:pPr>
              <w:widowControl/>
              <w:jc w:val="center"/>
              <w:rPr>
                <w:rFonts w:cs="Times New Roman" w:eastAsiaTheme="majorEastAsia"/>
                <w:sz w:val="21"/>
              </w:rPr>
            </w:pPr>
          </w:p>
        </w:tc>
        <w:tc>
          <w:tcPr>
            <w:tcW w:w="446" w:type="pct"/>
            <w:vMerge w:val="continue"/>
            <w:vAlign w:val="center"/>
          </w:tcPr>
          <w:p>
            <w:pPr>
              <w:widowControl/>
              <w:jc w:val="center"/>
              <w:rPr>
                <w:rFonts w:cs="Times New Roman" w:eastAsiaTheme="majorEastAsia"/>
                <w:sz w:val="21"/>
              </w:rPr>
            </w:pPr>
          </w:p>
        </w:tc>
        <w:tc>
          <w:tcPr>
            <w:tcW w:w="706" w:type="pct"/>
            <w:vAlign w:val="center"/>
          </w:tcPr>
          <w:p>
            <w:pPr>
              <w:pStyle w:val="140"/>
              <w:ind w:left="22"/>
              <w:rPr>
                <w:rFonts w:ascii="Times New Roman" w:hAnsi="Times New Roman" w:cs="Times New Roman" w:eastAsiaTheme="majorEastAsia"/>
                <w:sz w:val="21"/>
                <w:szCs w:val="21"/>
              </w:rPr>
            </w:pPr>
            <w:r>
              <w:rPr>
                <w:rFonts w:ascii="Times New Roman" w:hAnsi="Times New Roman" w:cs="Times New Roman" w:eastAsiaTheme="majorEastAsia"/>
                <w:sz w:val="21"/>
                <w:szCs w:val="21"/>
              </w:rPr>
              <w:t>BOD</w:t>
            </w:r>
            <w:r>
              <w:rPr>
                <w:rFonts w:ascii="Times New Roman" w:hAnsi="Times New Roman" w:cs="Times New Roman" w:eastAsiaTheme="majorEastAsia"/>
                <w:sz w:val="21"/>
                <w:szCs w:val="21"/>
                <w:vertAlign w:val="subscript"/>
              </w:rPr>
              <w:t>5</w:t>
            </w:r>
          </w:p>
        </w:tc>
        <w:tc>
          <w:tcPr>
            <w:tcW w:w="1918" w:type="pct"/>
            <w:vMerge w:val="continue"/>
            <w:vAlign w:val="center"/>
          </w:tcPr>
          <w:p>
            <w:pPr>
              <w:widowControl/>
              <w:jc w:val="center"/>
              <w:rPr>
                <w:rFonts w:cs="Times New Roman" w:eastAsiaTheme="majorEastAsia"/>
                <w:sz w:val="21"/>
              </w:rPr>
            </w:pPr>
          </w:p>
        </w:tc>
        <w:tc>
          <w:tcPr>
            <w:tcW w:w="1745" w:type="pct"/>
            <w:vAlign w:val="center"/>
          </w:tcPr>
          <w:p>
            <w:pPr>
              <w:pStyle w:val="140"/>
              <w:spacing w:before="95"/>
              <w:ind w:left="29"/>
              <w:rPr>
                <w:rFonts w:ascii="Times New Roman" w:hAnsi="Times New Roman" w:cs="Times New Roman" w:eastAsiaTheme="majorEastAsia"/>
                <w:sz w:val="21"/>
                <w:szCs w:val="21"/>
              </w:rPr>
            </w:pPr>
            <w:r>
              <w:rPr>
                <w:rFonts w:hint="eastAsia" w:ascii="Times New Roman" w:hAnsi="Times New Roman" w:cs="Times New Roman" w:eastAsiaTheme="majorEastAsia"/>
                <w:sz w:val="21"/>
                <w:szCs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84" w:type="pct"/>
            <w:vMerge w:val="continue"/>
            <w:vAlign w:val="center"/>
          </w:tcPr>
          <w:p>
            <w:pPr>
              <w:widowControl/>
              <w:jc w:val="center"/>
              <w:rPr>
                <w:rFonts w:cs="Times New Roman" w:eastAsiaTheme="majorEastAsia"/>
                <w:sz w:val="21"/>
              </w:rPr>
            </w:pPr>
          </w:p>
        </w:tc>
        <w:tc>
          <w:tcPr>
            <w:tcW w:w="446" w:type="pct"/>
            <w:vMerge w:val="continue"/>
            <w:vAlign w:val="center"/>
          </w:tcPr>
          <w:p>
            <w:pPr>
              <w:widowControl/>
              <w:jc w:val="center"/>
              <w:rPr>
                <w:rFonts w:cs="Times New Roman" w:eastAsiaTheme="majorEastAsia"/>
                <w:sz w:val="21"/>
              </w:rPr>
            </w:pPr>
          </w:p>
        </w:tc>
        <w:tc>
          <w:tcPr>
            <w:tcW w:w="706" w:type="pct"/>
            <w:vAlign w:val="center"/>
          </w:tcPr>
          <w:p>
            <w:pPr>
              <w:pStyle w:val="140"/>
              <w:ind w:left="22"/>
              <w:rPr>
                <w:rFonts w:ascii="Times New Roman" w:hAnsi="Times New Roman" w:cs="Times New Roman" w:eastAsiaTheme="majorEastAsia"/>
                <w:sz w:val="21"/>
                <w:szCs w:val="21"/>
              </w:rPr>
            </w:pPr>
            <w:r>
              <w:rPr>
                <w:rFonts w:ascii="Times New Roman" w:hAnsi="Times New Roman" w:cs="Times New Roman" w:eastAsiaTheme="majorEastAsia"/>
                <w:sz w:val="21"/>
                <w:szCs w:val="21"/>
              </w:rPr>
              <w:t>动植物油</w:t>
            </w:r>
          </w:p>
        </w:tc>
        <w:tc>
          <w:tcPr>
            <w:tcW w:w="1918" w:type="pct"/>
            <w:vMerge w:val="continue"/>
            <w:vAlign w:val="center"/>
          </w:tcPr>
          <w:p>
            <w:pPr>
              <w:widowControl/>
              <w:jc w:val="center"/>
              <w:rPr>
                <w:rFonts w:cs="Times New Roman" w:eastAsiaTheme="majorEastAsia"/>
                <w:sz w:val="21"/>
              </w:rPr>
            </w:pPr>
          </w:p>
        </w:tc>
        <w:tc>
          <w:tcPr>
            <w:tcW w:w="1745" w:type="pct"/>
            <w:vAlign w:val="center"/>
          </w:tcPr>
          <w:p>
            <w:pPr>
              <w:pStyle w:val="140"/>
              <w:spacing w:before="95"/>
              <w:ind w:left="29"/>
              <w:rPr>
                <w:rFonts w:ascii="Times New Roman" w:hAnsi="Times New Roman" w:cs="Times New Roman" w:eastAsiaTheme="majorEastAsia"/>
                <w:sz w:val="21"/>
                <w:szCs w:val="21"/>
              </w:rPr>
            </w:pPr>
            <w:r>
              <w:rPr>
                <w:rFonts w:hint="eastAsia" w:ascii="Times New Roman" w:hAnsi="Times New Roman" w:cs="Times New Roman" w:eastAsiaTheme="majorEastAsia"/>
                <w:sz w:val="21"/>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84" w:type="pct"/>
            <w:vMerge w:val="restart"/>
            <w:vAlign w:val="center"/>
          </w:tcPr>
          <w:p>
            <w:pPr>
              <w:widowControl/>
              <w:jc w:val="center"/>
              <w:rPr>
                <w:rFonts w:cs="Times New Roman" w:eastAsiaTheme="majorEastAsia"/>
                <w:sz w:val="21"/>
              </w:rPr>
            </w:pPr>
            <w:r>
              <w:rPr>
                <w:rFonts w:hint="eastAsia" w:cs="Times New Roman" w:eastAsiaTheme="majorEastAsia"/>
                <w:sz w:val="21"/>
              </w:rPr>
              <w:t>3</w:t>
            </w:r>
          </w:p>
        </w:tc>
        <w:tc>
          <w:tcPr>
            <w:tcW w:w="446" w:type="pct"/>
            <w:vMerge w:val="restart"/>
            <w:vAlign w:val="center"/>
          </w:tcPr>
          <w:p>
            <w:pPr>
              <w:widowControl/>
              <w:jc w:val="center"/>
              <w:rPr>
                <w:rFonts w:cs="Times New Roman" w:eastAsiaTheme="majorEastAsia"/>
                <w:sz w:val="21"/>
              </w:rPr>
            </w:pPr>
            <w:r>
              <w:rPr>
                <w:rFonts w:cs="Times New Roman" w:eastAsiaTheme="majorEastAsia"/>
                <w:sz w:val="21"/>
              </w:rPr>
              <w:t>DW00</w:t>
            </w:r>
            <w:r>
              <w:rPr>
                <w:rFonts w:hint="eastAsia" w:cs="Times New Roman" w:eastAsiaTheme="majorEastAsia"/>
                <w:sz w:val="21"/>
              </w:rPr>
              <w:t>3</w:t>
            </w:r>
          </w:p>
        </w:tc>
        <w:tc>
          <w:tcPr>
            <w:tcW w:w="706" w:type="pct"/>
            <w:vAlign w:val="center"/>
          </w:tcPr>
          <w:p>
            <w:pPr>
              <w:pStyle w:val="140"/>
              <w:ind w:left="22"/>
              <w:rPr>
                <w:rFonts w:ascii="Times New Roman" w:hAnsi="Times New Roman" w:cs="Times New Roman" w:eastAsiaTheme="majorEastAsia"/>
                <w:sz w:val="21"/>
                <w:szCs w:val="21"/>
              </w:rPr>
            </w:pPr>
            <w:r>
              <w:rPr>
                <w:rFonts w:ascii="Times New Roman" w:hAnsi="Times New Roman" w:cs="Times New Roman" w:eastAsiaTheme="majorEastAsia"/>
                <w:sz w:val="21"/>
                <w:szCs w:val="21"/>
              </w:rPr>
              <w:t>COD</w:t>
            </w:r>
            <w:r>
              <w:rPr>
                <w:rFonts w:ascii="Times New Roman" w:hAnsi="Times New Roman" w:cs="Times New Roman" w:eastAsiaTheme="majorEastAsia"/>
                <w:sz w:val="21"/>
                <w:szCs w:val="21"/>
                <w:vertAlign w:val="subscript"/>
              </w:rPr>
              <w:t>cr</w:t>
            </w:r>
          </w:p>
        </w:tc>
        <w:tc>
          <w:tcPr>
            <w:tcW w:w="1918" w:type="pct"/>
            <w:vMerge w:val="continue"/>
            <w:vAlign w:val="center"/>
          </w:tcPr>
          <w:p>
            <w:pPr>
              <w:widowControl/>
              <w:jc w:val="center"/>
              <w:rPr>
                <w:rFonts w:cs="Times New Roman" w:eastAsiaTheme="majorEastAsia"/>
                <w:sz w:val="21"/>
              </w:rPr>
            </w:pPr>
          </w:p>
        </w:tc>
        <w:tc>
          <w:tcPr>
            <w:tcW w:w="1745" w:type="pct"/>
            <w:vAlign w:val="center"/>
          </w:tcPr>
          <w:p>
            <w:pPr>
              <w:pStyle w:val="140"/>
              <w:spacing w:before="95"/>
              <w:ind w:left="29"/>
              <w:rPr>
                <w:rFonts w:ascii="Times New Roman" w:hAnsi="Times New Roman" w:cs="Times New Roman" w:eastAsiaTheme="majorEastAsia"/>
                <w:sz w:val="21"/>
                <w:szCs w:val="21"/>
              </w:rPr>
            </w:pPr>
            <w:r>
              <w:rPr>
                <w:rFonts w:hint="eastAsia" w:ascii="Times New Roman" w:hAnsi="Times New Roman" w:cs="Times New Roman" w:eastAsiaTheme="majorEastAsia"/>
                <w:sz w:val="21"/>
                <w:szCs w:val="21"/>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84" w:type="pct"/>
            <w:vMerge w:val="continue"/>
            <w:vAlign w:val="center"/>
          </w:tcPr>
          <w:p>
            <w:pPr>
              <w:widowControl/>
              <w:jc w:val="center"/>
              <w:rPr>
                <w:rFonts w:cs="Times New Roman" w:eastAsiaTheme="majorEastAsia"/>
                <w:sz w:val="21"/>
              </w:rPr>
            </w:pPr>
          </w:p>
        </w:tc>
        <w:tc>
          <w:tcPr>
            <w:tcW w:w="446" w:type="pct"/>
            <w:vMerge w:val="continue"/>
            <w:vAlign w:val="center"/>
          </w:tcPr>
          <w:p>
            <w:pPr>
              <w:widowControl/>
              <w:jc w:val="center"/>
              <w:rPr>
                <w:rFonts w:cs="Times New Roman" w:eastAsiaTheme="majorEastAsia"/>
                <w:sz w:val="21"/>
              </w:rPr>
            </w:pPr>
          </w:p>
        </w:tc>
        <w:tc>
          <w:tcPr>
            <w:tcW w:w="706" w:type="pct"/>
            <w:vAlign w:val="center"/>
          </w:tcPr>
          <w:p>
            <w:pPr>
              <w:pStyle w:val="140"/>
              <w:ind w:left="22"/>
              <w:rPr>
                <w:rFonts w:ascii="Times New Roman" w:hAnsi="Times New Roman" w:cs="Times New Roman" w:eastAsiaTheme="majorEastAsia"/>
                <w:sz w:val="21"/>
                <w:szCs w:val="21"/>
              </w:rPr>
            </w:pPr>
            <w:r>
              <w:rPr>
                <w:rFonts w:ascii="Times New Roman" w:hAnsi="Times New Roman" w:cs="Times New Roman" w:eastAsiaTheme="majorEastAsia"/>
                <w:sz w:val="21"/>
                <w:szCs w:val="21"/>
              </w:rPr>
              <w:t>氨氮</w:t>
            </w:r>
          </w:p>
        </w:tc>
        <w:tc>
          <w:tcPr>
            <w:tcW w:w="1918" w:type="pct"/>
            <w:vMerge w:val="continue"/>
            <w:vAlign w:val="center"/>
          </w:tcPr>
          <w:p>
            <w:pPr>
              <w:widowControl/>
              <w:jc w:val="center"/>
              <w:rPr>
                <w:rFonts w:cs="Times New Roman" w:eastAsiaTheme="majorEastAsia"/>
                <w:sz w:val="21"/>
              </w:rPr>
            </w:pPr>
          </w:p>
        </w:tc>
        <w:tc>
          <w:tcPr>
            <w:tcW w:w="1745" w:type="pct"/>
            <w:vAlign w:val="center"/>
          </w:tcPr>
          <w:p>
            <w:pPr>
              <w:pStyle w:val="140"/>
              <w:spacing w:before="95"/>
              <w:ind w:left="29"/>
              <w:rPr>
                <w:rFonts w:ascii="Times New Roman" w:hAnsi="Times New Roman" w:cs="Times New Roman" w:eastAsiaTheme="majorEastAsia"/>
                <w:sz w:val="21"/>
                <w:szCs w:val="21"/>
              </w:rPr>
            </w:pPr>
            <w:r>
              <w:rPr>
                <w:rFonts w:hint="eastAsia" w:ascii="Times New Roman" w:hAnsi="Times New Roman" w:cs="Times New Roman" w:eastAsiaTheme="majorEastAsia"/>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84" w:type="pct"/>
            <w:vMerge w:val="continue"/>
            <w:vAlign w:val="center"/>
          </w:tcPr>
          <w:p>
            <w:pPr>
              <w:widowControl/>
              <w:jc w:val="center"/>
              <w:rPr>
                <w:rFonts w:cs="Times New Roman" w:eastAsiaTheme="majorEastAsia"/>
                <w:sz w:val="21"/>
              </w:rPr>
            </w:pPr>
          </w:p>
        </w:tc>
        <w:tc>
          <w:tcPr>
            <w:tcW w:w="446" w:type="pct"/>
            <w:vMerge w:val="continue"/>
            <w:vAlign w:val="center"/>
          </w:tcPr>
          <w:p>
            <w:pPr>
              <w:widowControl/>
              <w:jc w:val="center"/>
              <w:rPr>
                <w:rFonts w:cs="Times New Roman" w:eastAsiaTheme="majorEastAsia"/>
                <w:sz w:val="21"/>
              </w:rPr>
            </w:pPr>
          </w:p>
        </w:tc>
        <w:tc>
          <w:tcPr>
            <w:tcW w:w="706" w:type="pct"/>
            <w:vAlign w:val="center"/>
          </w:tcPr>
          <w:p>
            <w:pPr>
              <w:pStyle w:val="140"/>
              <w:ind w:left="22"/>
              <w:rPr>
                <w:rFonts w:ascii="Times New Roman" w:hAnsi="Times New Roman" w:cs="Times New Roman" w:eastAsiaTheme="majorEastAsia"/>
                <w:sz w:val="21"/>
                <w:szCs w:val="21"/>
              </w:rPr>
            </w:pPr>
            <w:r>
              <w:rPr>
                <w:rFonts w:ascii="Times New Roman" w:hAnsi="Times New Roman" w:cs="Times New Roman" w:eastAsiaTheme="majorEastAsia"/>
                <w:sz w:val="21"/>
                <w:szCs w:val="21"/>
              </w:rPr>
              <w:t>SS</w:t>
            </w:r>
          </w:p>
        </w:tc>
        <w:tc>
          <w:tcPr>
            <w:tcW w:w="1918" w:type="pct"/>
            <w:vMerge w:val="continue"/>
            <w:vAlign w:val="center"/>
          </w:tcPr>
          <w:p>
            <w:pPr>
              <w:widowControl/>
              <w:jc w:val="center"/>
              <w:rPr>
                <w:rFonts w:cs="Times New Roman" w:eastAsiaTheme="majorEastAsia"/>
                <w:sz w:val="21"/>
              </w:rPr>
            </w:pPr>
          </w:p>
        </w:tc>
        <w:tc>
          <w:tcPr>
            <w:tcW w:w="1745" w:type="pct"/>
            <w:vAlign w:val="center"/>
          </w:tcPr>
          <w:p>
            <w:pPr>
              <w:pStyle w:val="140"/>
              <w:spacing w:before="95"/>
              <w:ind w:left="29"/>
              <w:rPr>
                <w:rFonts w:ascii="Times New Roman" w:hAnsi="Times New Roman" w:cs="Times New Roman" w:eastAsiaTheme="majorEastAsia"/>
                <w:sz w:val="21"/>
                <w:szCs w:val="21"/>
              </w:rPr>
            </w:pPr>
            <w:r>
              <w:rPr>
                <w:rFonts w:hint="eastAsia" w:ascii="Times New Roman" w:hAnsi="Times New Roman" w:cs="Times New Roman" w:eastAsiaTheme="majorEastAsia"/>
                <w:sz w:val="21"/>
                <w:szCs w:val="21"/>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84" w:type="pct"/>
            <w:vMerge w:val="continue"/>
            <w:vAlign w:val="center"/>
          </w:tcPr>
          <w:p>
            <w:pPr>
              <w:widowControl/>
              <w:jc w:val="center"/>
              <w:rPr>
                <w:rFonts w:cs="Times New Roman" w:eastAsiaTheme="majorEastAsia"/>
                <w:sz w:val="21"/>
              </w:rPr>
            </w:pPr>
          </w:p>
        </w:tc>
        <w:tc>
          <w:tcPr>
            <w:tcW w:w="446" w:type="pct"/>
            <w:vMerge w:val="continue"/>
            <w:vAlign w:val="center"/>
          </w:tcPr>
          <w:p>
            <w:pPr>
              <w:widowControl/>
              <w:jc w:val="center"/>
              <w:rPr>
                <w:rFonts w:cs="Times New Roman" w:eastAsiaTheme="majorEastAsia"/>
                <w:sz w:val="21"/>
              </w:rPr>
            </w:pPr>
          </w:p>
        </w:tc>
        <w:tc>
          <w:tcPr>
            <w:tcW w:w="706" w:type="pct"/>
            <w:vAlign w:val="center"/>
          </w:tcPr>
          <w:p>
            <w:pPr>
              <w:pStyle w:val="140"/>
              <w:ind w:left="22"/>
              <w:rPr>
                <w:rFonts w:ascii="Times New Roman" w:hAnsi="Times New Roman" w:cs="Times New Roman" w:eastAsiaTheme="majorEastAsia"/>
                <w:sz w:val="21"/>
                <w:szCs w:val="21"/>
              </w:rPr>
            </w:pPr>
            <w:r>
              <w:rPr>
                <w:rFonts w:ascii="Times New Roman" w:hAnsi="Times New Roman" w:cs="Times New Roman" w:eastAsiaTheme="majorEastAsia"/>
                <w:sz w:val="21"/>
                <w:szCs w:val="21"/>
              </w:rPr>
              <w:t>BOD</w:t>
            </w:r>
            <w:r>
              <w:rPr>
                <w:rFonts w:ascii="Times New Roman" w:hAnsi="Times New Roman" w:cs="Times New Roman" w:eastAsiaTheme="majorEastAsia"/>
                <w:sz w:val="21"/>
                <w:szCs w:val="21"/>
                <w:vertAlign w:val="subscript"/>
              </w:rPr>
              <w:t>5</w:t>
            </w:r>
          </w:p>
        </w:tc>
        <w:tc>
          <w:tcPr>
            <w:tcW w:w="1918" w:type="pct"/>
            <w:vMerge w:val="continue"/>
            <w:vAlign w:val="center"/>
          </w:tcPr>
          <w:p>
            <w:pPr>
              <w:widowControl/>
              <w:jc w:val="center"/>
              <w:rPr>
                <w:rFonts w:cs="Times New Roman" w:eastAsiaTheme="majorEastAsia"/>
                <w:sz w:val="21"/>
              </w:rPr>
            </w:pPr>
          </w:p>
        </w:tc>
        <w:tc>
          <w:tcPr>
            <w:tcW w:w="1745" w:type="pct"/>
            <w:vAlign w:val="center"/>
          </w:tcPr>
          <w:p>
            <w:pPr>
              <w:pStyle w:val="140"/>
              <w:spacing w:before="95"/>
              <w:ind w:left="29"/>
              <w:rPr>
                <w:rFonts w:ascii="Times New Roman" w:hAnsi="Times New Roman" w:cs="Times New Roman" w:eastAsiaTheme="majorEastAsia"/>
                <w:sz w:val="21"/>
                <w:szCs w:val="21"/>
              </w:rPr>
            </w:pPr>
            <w:r>
              <w:rPr>
                <w:rFonts w:hint="eastAsia" w:ascii="Times New Roman" w:hAnsi="Times New Roman" w:cs="Times New Roman" w:eastAsiaTheme="majorEastAsia"/>
                <w:sz w:val="21"/>
                <w:szCs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84" w:type="pct"/>
            <w:vMerge w:val="continue"/>
            <w:vAlign w:val="center"/>
          </w:tcPr>
          <w:p>
            <w:pPr>
              <w:widowControl/>
              <w:jc w:val="center"/>
              <w:rPr>
                <w:rFonts w:cs="Times New Roman" w:eastAsiaTheme="majorEastAsia"/>
                <w:sz w:val="21"/>
              </w:rPr>
            </w:pPr>
          </w:p>
        </w:tc>
        <w:tc>
          <w:tcPr>
            <w:tcW w:w="446" w:type="pct"/>
            <w:vMerge w:val="continue"/>
            <w:vAlign w:val="center"/>
          </w:tcPr>
          <w:p>
            <w:pPr>
              <w:widowControl/>
              <w:jc w:val="center"/>
              <w:rPr>
                <w:rFonts w:cs="Times New Roman" w:eastAsiaTheme="majorEastAsia"/>
                <w:sz w:val="21"/>
              </w:rPr>
            </w:pPr>
          </w:p>
        </w:tc>
        <w:tc>
          <w:tcPr>
            <w:tcW w:w="706" w:type="pct"/>
            <w:vAlign w:val="center"/>
          </w:tcPr>
          <w:p>
            <w:pPr>
              <w:pStyle w:val="140"/>
              <w:ind w:left="22"/>
              <w:rPr>
                <w:rFonts w:ascii="Times New Roman" w:hAnsi="Times New Roman" w:cs="Times New Roman" w:eastAsiaTheme="majorEastAsia"/>
                <w:sz w:val="21"/>
                <w:szCs w:val="21"/>
              </w:rPr>
            </w:pPr>
            <w:r>
              <w:rPr>
                <w:rFonts w:ascii="Times New Roman" w:hAnsi="Times New Roman" w:cs="Times New Roman" w:eastAsiaTheme="majorEastAsia"/>
                <w:sz w:val="21"/>
                <w:szCs w:val="21"/>
              </w:rPr>
              <w:t>动植物油</w:t>
            </w:r>
          </w:p>
        </w:tc>
        <w:tc>
          <w:tcPr>
            <w:tcW w:w="1918" w:type="pct"/>
            <w:vMerge w:val="continue"/>
            <w:vAlign w:val="center"/>
          </w:tcPr>
          <w:p>
            <w:pPr>
              <w:widowControl/>
              <w:jc w:val="center"/>
              <w:rPr>
                <w:rFonts w:cs="Times New Roman" w:eastAsiaTheme="majorEastAsia"/>
                <w:sz w:val="21"/>
              </w:rPr>
            </w:pPr>
          </w:p>
        </w:tc>
        <w:tc>
          <w:tcPr>
            <w:tcW w:w="1745" w:type="pct"/>
            <w:vAlign w:val="center"/>
          </w:tcPr>
          <w:p>
            <w:pPr>
              <w:pStyle w:val="140"/>
              <w:spacing w:before="95"/>
              <w:ind w:left="29"/>
              <w:rPr>
                <w:rFonts w:ascii="Times New Roman" w:hAnsi="Times New Roman" w:cs="Times New Roman" w:eastAsiaTheme="majorEastAsia"/>
                <w:sz w:val="21"/>
                <w:szCs w:val="21"/>
              </w:rPr>
            </w:pPr>
            <w:r>
              <w:rPr>
                <w:rFonts w:hint="eastAsia" w:ascii="Times New Roman" w:hAnsi="Times New Roman" w:cs="Times New Roman" w:eastAsiaTheme="majorEastAsia"/>
                <w:sz w:val="21"/>
                <w:szCs w:val="21"/>
              </w:rPr>
              <w:t>10</w:t>
            </w:r>
          </w:p>
        </w:tc>
      </w:tr>
    </w:tbl>
    <w:p>
      <w:pPr>
        <w:pStyle w:val="14"/>
        <w:spacing w:line="240" w:lineRule="auto"/>
        <w:rPr>
          <w:rFonts w:cs="Times New Roman"/>
          <w:szCs w:val="24"/>
        </w:rPr>
      </w:pPr>
      <w:r>
        <w:rPr>
          <w:rFonts w:cs="Times New Roman"/>
          <w:szCs w:val="24"/>
        </w:rPr>
        <w:t>表</w:t>
      </w:r>
      <w:r>
        <w:rPr>
          <w:rFonts w:cs="Times New Roman"/>
          <w:szCs w:val="24"/>
        </w:rPr>
        <w:fldChar w:fldCharType="begin"/>
      </w:r>
      <w:r>
        <w:rPr>
          <w:rFonts w:cs="Times New Roman"/>
          <w:szCs w:val="24"/>
        </w:rPr>
        <w:instrText xml:space="preserve"> STYLEREF 2 \s </w:instrText>
      </w:r>
      <w:r>
        <w:rPr>
          <w:rFonts w:cs="Times New Roman"/>
          <w:szCs w:val="24"/>
        </w:rPr>
        <w:fldChar w:fldCharType="separate"/>
      </w:r>
      <w:r>
        <w:rPr>
          <w:rFonts w:cs="Times New Roman"/>
          <w:szCs w:val="24"/>
        </w:rPr>
        <w:t>5.2</w:t>
      </w:r>
      <w:r>
        <w:rPr>
          <w:rFonts w:cs="Times New Roman"/>
          <w:szCs w:val="24"/>
        </w:rPr>
        <w:fldChar w:fldCharType="end"/>
      </w:r>
      <w:r>
        <w:rPr>
          <w:rFonts w:cs="Times New Roman"/>
          <w:szCs w:val="24"/>
        </w:rPr>
        <w:noBreakHyphen/>
      </w:r>
      <w:r>
        <w:rPr>
          <w:rFonts w:cs="Times New Roman"/>
          <w:szCs w:val="24"/>
        </w:rPr>
        <w:fldChar w:fldCharType="begin"/>
      </w:r>
      <w:r>
        <w:rPr>
          <w:rFonts w:cs="Times New Roman"/>
          <w:szCs w:val="24"/>
        </w:rPr>
        <w:instrText xml:space="preserve"> SEQ 表 \* ARABIC \s 2 </w:instrText>
      </w:r>
      <w:r>
        <w:rPr>
          <w:rFonts w:cs="Times New Roman"/>
          <w:szCs w:val="24"/>
        </w:rPr>
        <w:fldChar w:fldCharType="separate"/>
      </w:r>
      <w:r>
        <w:rPr>
          <w:rFonts w:cs="Times New Roman"/>
          <w:szCs w:val="24"/>
        </w:rPr>
        <w:t>7</w:t>
      </w:r>
      <w:r>
        <w:rPr>
          <w:rFonts w:cs="Times New Roman"/>
          <w:szCs w:val="24"/>
        </w:rPr>
        <w:fldChar w:fldCharType="end"/>
      </w:r>
      <w:r>
        <w:rPr>
          <w:rFonts w:hint="eastAsia" w:cs="Times New Roman"/>
          <w:szCs w:val="24"/>
        </w:rPr>
        <w:t>废水污染物排放信息表</w:t>
      </w:r>
    </w:p>
    <w:tbl>
      <w:tblPr>
        <w:tblStyle w:val="3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40"/>
        <w:gridCol w:w="712"/>
        <w:gridCol w:w="1586"/>
        <w:gridCol w:w="1748"/>
        <w:gridCol w:w="1991"/>
        <w:gridCol w:w="694"/>
        <w:gridCol w:w="941"/>
        <w:gridCol w:w="560"/>
        <w:gridCol w:w="618"/>
        <w:gridCol w:w="2423"/>
        <w:gridCol w:w="29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3" w:hRule="atLeast"/>
        </w:trPr>
        <w:tc>
          <w:tcPr>
            <w:tcW w:w="0" w:type="auto"/>
            <w:vMerge w:val="restart"/>
            <w:vAlign w:val="center"/>
          </w:tcPr>
          <w:p>
            <w:pPr>
              <w:pStyle w:val="140"/>
              <w:spacing w:before="132"/>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序号</w:t>
            </w:r>
          </w:p>
        </w:tc>
        <w:tc>
          <w:tcPr>
            <w:tcW w:w="0" w:type="auto"/>
            <w:vMerge w:val="restart"/>
            <w:vAlign w:val="center"/>
          </w:tcPr>
          <w:p>
            <w:pPr>
              <w:pStyle w:val="140"/>
              <w:spacing w:before="132"/>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排放口编号</w:t>
            </w:r>
          </w:p>
        </w:tc>
        <w:tc>
          <w:tcPr>
            <w:tcW w:w="0" w:type="auto"/>
            <w:gridSpan w:val="2"/>
            <w:vAlign w:val="center"/>
          </w:tcPr>
          <w:p>
            <w:pPr>
              <w:pStyle w:val="140"/>
              <w:spacing w:before="93"/>
              <w:ind w:left="984"/>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排放口地理坐标</w:t>
            </w:r>
          </w:p>
        </w:tc>
        <w:tc>
          <w:tcPr>
            <w:tcW w:w="0" w:type="auto"/>
            <w:vMerge w:val="restart"/>
            <w:vAlign w:val="center"/>
          </w:tcPr>
          <w:p>
            <w:pPr>
              <w:pStyle w:val="140"/>
              <w:ind w:left="191"/>
              <w:rPr>
                <w:rFonts w:ascii="Times New Roman" w:hAnsi="Times New Roman" w:cs="Times New Roman" w:eastAsiaTheme="minorEastAsia"/>
                <w:sz w:val="21"/>
                <w:szCs w:val="21"/>
              </w:rPr>
            </w:pPr>
            <w:r>
              <w:rPr>
                <w:rFonts w:ascii="Times New Roman" w:hAnsi="Times New Roman" w:cs="Times New Roman" w:eastAsiaTheme="minorEastAsia"/>
                <w:sz w:val="21"/>
                <w:szCs w:val="21"/>
              </w:rPr>
              <w:t>废水排放量/（</w:t>
            </w:r>
            <w:r>
              <w:rPr>
                <w:rFonts w:ascii="Times New Roman" w:hAnsi="Times New Roman" w:cs="Times New Roman" w:eastAsiaTheme="minorEastAsia"/>
                <w:spacing w:val="52"/>
                <w:sz w:val="21"/>
                <w:szCs w:val="21"/>
              </w:rPr>
              <w:t>万</w:t>
            </w:r>
            <w:r>
              <w:rPr>
                <w:rFonts w:ascii="Times New Roman" w:hAnsi="Times New Roman" w:cs="Times New Roman" w:eastAsiaTheme="minorEastAsia"/>
                <w:sz w:val="21"/>
                <w:szCs w:val="21"/>
              </w:rPr>
              <w:t>t/a）</w:t>
            </w:r>
          </w:p>
        </w:tc>
        <w:tc>
          <w:tcPr>
            <w:tcW w:w="0" w:type="auto"/>
            <w:vMerge w:val="restart"/>
            <w:vAlign w:val="center"/>
          </w:tcPr>
          <w:p>
            <w:pPr>
              <w:pStyle w:val="140"/>
              <w:spacing w:before="140"/>
              <w:ind w:left="203" w:right="170"/>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排放去向</w:t>
            </w:r>
          </w:p>
        </w:tc>
        <w:tc>
          <w:tcPr>
            <w:tcW w:w="0" w:type="auto"/>
            <w:vMerge w:val="restart"/>
            <w:vAlign w:val="center"/>
          </w:tcPr>
          <w:p>
            <w:pPr>
              <w:pStyle w:val="140"/>
              <w:spacing w:before="140"/>
              <w:ind w:left="203" w:right="176"/>
              <w:rPr>
                <w:rFonts w:ascii="Times New Roman" w:hAnsi="Times New Roman" w:cs="Times New Roman" w:eastAsiaTheme="minorEastAsia"/>
                <w:sz w:val="21"/>
                <w:szCs w:val="21"/>
              </w:rPr>
            </w:pPr>
            <w:r>
              <w:rPr>
                <w:rFonts w:ascii="Times New Roman" w:hAnsi="Times New Roman" w:cs="Times New Roman" w:eastAsiaTheme="minorEastAsia"/>
                <w:sz w:val="21"/>
                <w:szCs w:val="21"/>
              </w:rPr>
              <w:t>排放规律</w:t>
            </w:r>
          </w:p>
        </w:tc>
        <w:tc>
          <w:tcPr>
            <w:tcW w:w="0" w:type="auto"/>
            <w:vMerge w:val="restart"/>
            <w:vAlign w:val="center"/>
          </w:tcPr>
          <w:p>
            <w:pPr>
              <w:pStyle w:val="140"/>
              <w:ind w:left="132" w:right="107"/>
              <w:rPr>
                <w:rFonts w:ascii="Times New Roman" w:hAnsi="Times New Roman" w:cs="Times New Roman" w:eastAsiaTheme="minorEastAsia"/>
                <w:sz w:val="21"/>
                <w:szCs w:val="21"/>
              </w:rPr>
            </w:pPr>
            <w:r>
              <w:rPr>
                <w:rFonts w:ascii="Times New Roman" w:hAnsi="Times New Roman" w:cs="Times New Roman" w:eastAsiaTheme="minorEastAsia"/>
                <w:sz w:val="21"/>
                <w:szCs w:val="21"/>
              </w:rPr>
              <w:t>间歇排放时段</w:t>
            </w:r>
          </w:p>
        </w:tc>
        <w:tc>
          <w:tcPr>
            <w:tcW w:w="0" w:type="auto"/>
            <w:gridSpan w:val="3"/>
            <w:vAlign w:val="center"/>
          </w:tcPr>
          <w:p>
            <w:pPr>
              <w:pStyle w:val="140"/>
              <w:spacing w:before="93"/>
              <w:ind w:left="1127"/>
              <w:rPr>
                <w:rFonts w:ascii="Times New Roman" w:hAnsi="Times New Roman" w:cs="Times New Roman" w:eastAsiaTheme="minorEastAsia"/>
                <w:sz w:val="21"/>
                <w:szCs w:val="21"/>
              </w:rPr>
            </w:pPr>
            <w:r>
              <w:rPr>
                <w:rFonts w:ascii="Times New Roman" w:hAnsi="Times New Roman" w:cs="Times New Roman" w:eastAsiaTheme="minorEastAsia"/>
                <w:sz w:val="21"/>
                <w:szCs w:val="21"/>
              </w:rPr>
              <w:t>受纳污水处理厂信息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0" w:type="auto"/>
            <w:vMerge w:val="continue"/>
            <w:vAlign w:val="center"/>
          </w:tcPr>
          <w:p>
            <w:pPr>
              <w:widowControl/>
              <w:jc w:val="center"/>
              <w:rPr>
                <w:rFonts w:cs="Times New Roman"/>
                <w:sz w:val="21"/>
              </w:rPr>
            </w:pPr>
          </w:p>
        </w:tc>
        <w:tc>
          <w:tcPr>
            <w:tcW w:w="0" w:type="auto"/>
            <w:vMerge w:val="continue"/>
            <w:vAlign w:val="center"/>
          </w:tcPr>
          <w:p>
            <w:pPr>
              <w:widowControl/>
              <w:jc w:val="center"/>
              <w:rPr>
                <w:rFonts w:cs="Times New Roman"/>
                <w:sz w:val="21"/>
              </w:rPr>
            </w:pPr>
          </w:p>
        </w:tc>
        <w:tc>
          <w:tcPr>
            <w:tcW w:w="0" w:type="auto"/>
            <w:vAlign w:val="center"/>
          </w:tcPr>
          <w:p>
            <w:pPr>
              <w:pStyle w:val="140"/>
              <w:spacing w:before="156"/>
              <w:ind w:left="239" w:right="208"/>
              <w:rPr>
                <w:rFonts w:ascii="Times New Roman" w:hAnsi="Times New Roman" w:cs="Times New Roman" w:eastAsiaTheme="minorEastAsia"/>
                <w:sz w:val="21"/>
                <w:szCs w:val="21"/>
              </w:rPr>
            </w:pPr>
            <w:r>
              <w:rPr>
                <w:rFonts w:ascii="Times New Roman" w:hAnsi="Times New Roman" w:cs="Times New Roman" w:eastAsiaTheme="minorEastAsia"/>
                <w:sz w:val="21"/>
                <w:szCs w:val="21"/>
              </w:rPr>
              <w:t>经度</w:t>
            </w:r>
          </w:p>
        </w:tc>
        <w:tc>
          <w:tcPr>
            <w:tcW w:w="0" w:type="auto"/>
            <w:vAlign w:val="center"/>
          </w:tcPr>
          <w:p>
            <w:pPr>
              <w:pStyle w:val="140"/>
              <w:spacing w:before="156"/>
              <w:ind w:left="360" w:right="330"/>
              <w:rPr>
                <w:rFonts w:ascii="Times New Roman" w:hAnsi="Times New Roman" w:cs="Times New Roman" w:eastAsiaTheme="minorEastAsia"/>
                <w:sz w:val="21"/>
                <w:szCs w:val="21"/>
              </w:rPr>
            </w:pPr>
            <w:r>
              <w:rPr>
                <w:rFonts w:ascii="Times New Roman" w:hAnsi="Times New Roman" w:cs="Times New Roman" w:eastAsiaTheme="minorEastAsia"/>
                <w:sz w:val="21"/>
                <w:szCs w:val="21"/>
              </w:rPr>
              <w:t>纬度</w:t>
            </w:r>
          </w:p>
        </w:tc>
        <w:tc>
          <w:tcPr>
            <w:tcW w:w="0" w:type="auto"/>
            <w:vMerge w:val="continue"/>
            <w:vAlign w:val="center"/>
          </w:tcPr>
          <w:p>
            <w:pPr>
              <w:widowControl/>
              <w:jc w:val="center"/>
              <w:rPr>
                <w:rFonts w:cs="Times New Roman"/>
                <w:sz w:val="21"/>
              </w:rPr>
            </w:pPr>
          </w:p>
        </w:tc>
        <w:tc>
          <w:tcPr>
            <w:tcW w:w="0" w:type="auto"/>
            <w:vMerge w:val="continue"/>
            <w:vAlign w:val="center"/>
          </w:tcPr>
          <w:p>
            <w:pPr>
              <w:widowControl/>
              <w:jc w:val="center"/>
              <w:rPr>
                <w:rFonts w:cs="Times New Roman"/>
                <w:sz w:val="21"/>
              </w:rPr>
            </w:pPr>
          </w:p>
        </w:tc>
        <w:tc>
          <w:tcPr>
            <w:tcW w:w="0" w:type="auto"/>
            <w:vMerge w:val="continue"/>
            <w:vAlign w:val="center"/>
          </w:tcPr>
          <w:p>
            <w:pPr>
              <w:widowControl/>
              <w:jc w:val="center"/>
              <w:rPr>
                <w:rFonts w:cs="Times New Roman"/>
                <w:sz w:val="21"/>
              </w:rPr>
            </w:pPr>
          </w:p>
        </w:tc>
        <w:tc>
          <w:tcPr>
            <w:tcW w:w="0" w:type="auto"/>
            <w:vMerge w:val="continue"/>
            <w:vAlign w:val="center"/>
          </w:tcPr>
          <w:p>
            <w:pPr>
              <w:widowControl/>
              <w:jc w:val="center"/>
              <w:rPr>
                <w:rFonts w:cs="Times New Roman"/>
                <w:sz w:val="21"/>
              </w:rPr>
            </w:pPr>
          </w:p>
        </w:tc>
        <w:tc>
          <w:tcPr>
            <w:tcW w:w="0" w:type="auto"/>
            <w:vAlign w:val="center"/>
          </w:tcPr>
          <w:p>
            <w:pPr>
              <w:pStyle w:val="140"/>
              <w:ind w:left="191"/>
              <w:rPr>
                <w:rFonts w:ascii="Times New Roman" w:hAnsi="Times New Roman" w:cs="Times New Roman" w:eastAsiaTheme="minorEastAsia"/>
                <w:sz w:val="21"/>
                <w:szCs w:val="21"/>
              </w:rPr>
            </w:pPr>
            <w:r>
              <w:rPr>
                <w:rFonts w:ascii="Times New Roman" w:hAnsi="Times New Roman" w:cs="Times New Roman" w:eastAsiaTheme="minorEastAsia"/>
                <w:sz w:val="21"/>
                <w:szCs w:val="21"/>
              </w:rPr>
              <w:t>名称</w:t>
            </w:r>
          </w:p>
        </w:tc>
        <w:tc>
          <w:tcPr>
            <w:tcW w:w="0" w:type="auto"/>
            <w:vAlign w:val="center"/>
          </w:tcPr>
          <w:p>
            <w:pPr>
              <w:pStyle w:val="140"/>
              <w:ind w:left="191"/>
              <w:rPr>
                <w:rFonts w:ascii="Times New Roman" w:hAnsi="Times New Roman" w:cs="Times New Roman" w:eastAsiaTheme="minorEastAsia"/>
                <w:sz w:val="21"/>
                <w:szCs w:val="21"/>
              </w:rPr>
            </w:pPr>
            <w:r>
              <w:rPr>
                <w:rFonts w:ascii="Times New Roman" w:hAnsi="Times New Roman" w:cs="Times New Roman" w:eastAsiaTheme="minorEastAsia"/>
                <w:sz w:val="21"/>
                <w:szCs w:val="21"/>
              </w:rPr>
              <w:t>污染物种类</w:t>
            </w:r>
          </w:p>
        </w:tc>
        <w:tc>
          <w:tcPr>
            <w:tcW w:w="0" w:type="auto"/>
            <w:vAlign w:val="center"/>
          </w:tcPr>
          <w:p>
            <w:pPr>
              <w:pStyle w:val="140"/>
              <w:ind w:left="191" w:right="172"/>
              <w:rPr>
                <w:rFonts w:ascii="Times New Roman" w:hAnsi="Times New Roman" w:cs="Times New Roman" w:eastAsiaTheme="minorEastAsia"/>
                <w:sz w:val="21"/>
                <w:szCs w:val="21"/>
              </w:rPr>
            </w:pPr>
            <w:r>
              <w:rPr>
                <w:rFonts w:ascii="Times New Roman" w:hAnsi="Times New Roman" w:cs="Times New Roman" w:eastAsiaTheme="minorEastAsia"/>
                <w:sz w:val="21"/>
                <w:szCs w:val="21"/>
              </w:rPr>
              <w:t>国家或地方污染物排放</w:t>
            </w:r>
            <w:r>
              <w:rPr>
                <w:rFonts w:hint="eastAsia" w:ascii="Times New Roman" w:hAnsi="Times New Roman" w:cs="Times New Roman" w:eastAsiaTheme="minorEastAsia"/>
                <w:sz w:val="21"/>
                <w:szCs w:val="21"/>
              </w:rPr>
              <w:t>标准限值</w:t>
            </w:r>
            <w:r>
              <w:rPr>
                <w:rFonts w:ascii="Times New Roman" w:hAnsi="Times New Roman" w:cs="Times New Roman" w:eastAsiaTheme="minorEastAsia"/>
                <w:sz w:val="21"/>
                <w:szCs w:val="21"/>
              </w:rPr>
              <w:t>/</w:t>
            </w:r>
          </w:p>
          <w:p>
            <w:pPr>
              <w:pStyle w:val="140"/>
              <w:spacing w:line="248" w:lineRule="exact"/>
              <w:ind w:left="191" w:right="172"/>
              <w:rPr>
                <w:rFonts w:ascii="Times New Roman" w:hAnsi="Times New Roman" w:cs="Times New Roman" w:eastAsiaTheme="minorEastAsia"/>
                <w:sz w:val="21"/>
                <w:szCs w:val="21"/>
              </w:rPr>
            </w:pPr>
            <w:r>
              <w:rPr>
                <w:rFonts w:ascii="Times New Roman" w:hAnsi="Times New Roman" w:cs="Times New Roman" w:eastAsiaTheme="minorEastAsia"/>
                <w:sz w:val="21"/>
                <w:szCs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0" w:type="auto"/>
            <w:vAlign w:val="center"/>
          </w:tcPr>
          <w:p>
            <w:pPr>
              <w:pStyle w:val="140"/>
              <w:ind w:left="22"/>
              <w:rPr>
                <w:rFonts w:ascii="Times New Roman" w:hAnsi="Times New Roman" w:cs="Times New Roman" w:eastAsiaTheme="minorEastAsia"/>
                <w:sz w:val="21"/>
                <w:szCs w:val="21"/>
              </w:rPr>
            </w:pPr>
            <w:r>
              <w:rPr>
                <w:rFonts w:ascii="Times New Roman" w:hAnsi="Times New Roman" w:cs="Times New Roman" w:eastAsiaTheme="minorEastAsia"/>
                <w:sz w:val="21"/>
                <w:szCs w:val="21"/>
              </w:rPr>
              <w:t>1</w:t>
            </w:r>
          </w:p>
        </w:tc>
        <w:tc>
          <w:tcPr>
            <w:tcW w:w="0" w:type="auto"/>
            <w:vAlign w:val="center"/>
          </w:tcPr>
          <w:p>
            <w:pPr>
              <w:pStyle w:val="14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DW001</w:t>
            </w:r>
          </w:p>
        </w:tc>
        <w:tc>
          <w:tcPr>
            <w:tcW w:w="0" w:type="auto"/>
            <w:vAlign w:val="center"/>
          </w:tcPr>
          <w:p>
            <w:pPr>
              <w:pStyle w:val="140"/>
              <w:ind w:left="239" w:right="211"/>
              <w:rPr>
                <w:rFonts w:ascii="Times New Roman" w:hAnsi="Times New Roman" w:cs="Times New Roman" w:eastAsiaTheme="minorEastAsia"/>
                <w:sz w:val="21"/>
                <w:szCs w:val="21"/>
              </w:rPr>
            </w:pPr>
            <w:r>
              <w:rPr>
                <w:rFonts w:ascii="Times New Roman" w:hAnsi="Times New Roman" w:cs="Times New Roman" w:eastAsiaTheme="minorEastAsia"/>
                <w:sz w:val="21"/>
                <w:szCs w:val="21"/>
              </w:rPr>
              <w:t>E113.14062</w:t>
            </w:r>
          </w:p>
        </w:tc>
        <w:tc>
          <w:tcPr>
            <w:tcW w:w="0" w:type="auto"/>
            <w:vAlign w:val="center"/>
          </w:tcPr>
          <w:p>
            <w:pPr>
              <w:pStyle w:val="140"/>
              <w:ind w:left="360" w:right="333"/>
              <w:rPr>
                <w:rFonts w:ascii="Times New Roman" w:hAnsi="Times New Roman" w:cs="Times New Roman" w:eastAsiaTheme="minorEastAsia"/>
                <w:sz w:val="21"/>
                <w:szCs w:val="21"/>
              </w:rPr>
            </w:pPr>
            <w:r>
              <w:rPr>
                <w:rFonts w:ascii="Times New Roman" w:hAnsi="Times New Roman" w:cs="Times New Roman" w:eastAsiaTheme="minorEastAsia"/>
                <w:sz w:val="21"/>
                <w:szCs w:val="21"/>
              </w:rPr>
              <w:t>N29.38159</w:t>
            </w:r>
          </w:p>
        </w:tc>
        <w:tc>
          <w:tcPr>
            <w:tcW w:w="0" w:type="auto"/>
            <w:vAlign w:val="center"/>
          </w:tcPr>
          <w:p>
            <w:pPr>
              <w:pStyle w:val="140"/>
              <w:ind w:left="351"/>
              <w:rPr>
                <w:rFonts w:ascii="Times New Roman" w:hAnsi="Times New Roman" w:cs="Times New Roman" w:eastAsiaTheme="minorEastAsia"/>
                <w:sz w:val="21"/>
                <w:szCs w:val="21"/>
              </w:rPr>
            </w:pPr>
            <w:r>
              <w:rPr>
                <w:rFonts w:hint="eastAsia" w:ascii="Times New Roman" w:hAnsi="Times New Roman" w:cs="Times New Roman"/>
                <w:color w:val="000000" w:themeColor="text1"/>
                <w:sz w:val="21"/>
              </w:rPr>
              <w:t>119755.405</w:t>
            </w:r>
            <w:r>
              <w:rPr>
                <w:rFonts w:ascii="Times New Roman" w:hAnsi="Times New Roman" w:cs="Times New Roman"/>
                <w:color w:val="000000" w:themeColor="text1"/>
                <w:sz w:val="21"/>
              </w:rPr>
              <w:t>m</w:t>
            </w:r>
            <w:r>
              <w:rPr>
                <w:rFonts w:ascii="Times New Roman" w:hAnsi="Times New Roman" w:cs="Times New Roman"/>
                <w:color w:val="000000" w:themeColor="text1"/>
                <w:sz w:val="21"/>
                <w:vertAlign w:val="superscript"/>
              </w:rPr>
              <w:t>3</w:t>
            </w:r>
            <w:r>
              <w:rPr>
                <w:rFonts w:ascii="Times New Roman" w:hAnsi="Times New Roman" w:cs="Times New Roman"/>
                <w:color w:val="000000" w:themeColor="text1"/>
                <w:sz w:val="21"/>
              </w:rPr>
              <w:t>/a（</w:t>
            </w:r>
            <w:r>
              <w:rPr>
                <w:rFonts w:hint="eastAsia" w:ascii="Times New Roman" w:hAnsi="Times New Roman" w:cs="Times New Roman"/>
                <w:color w:val="000000" w:themeColor="text1"/>
                <w:sz w:val="21"/>
              </w:rPr>
              <w:t>328.097</w:t>
            </w:r>
            <w:r>
              <w:rPr>
                <w:rFonts w:ascii="Times New Roman" w:hAnsi="Times New Roman" w:cs="Times New Roman"/>
                <w:color w:val="000000" w:themeColor="text1"/>
                <w:sz w:val="21"/>
              </w:rPr>
              <w:t>m</w:t>
            </w:r>
            <w:r>
              <w:rPr>
                <w:rFonts w:ascii="Times New Roman" w:hAnsi="Times New Roman" w:cs="Times New Roman"/>
                <w:color w:val="000000" w:themeColor="text1"/>
                <w:sz w:val="21"/>
                <w:vertAlign w:val="superscript"/>
              </w:rPr>
              <w:t>3</w:t>
            </w:r>
            <w:r>
              <w:rPr>
                <w:rFonts w:ascii="Times New Roman" w:hAnsi="Times New Roman" w:cs="Times New Roman"/>
                <w:color w:val="000000" w:themeColor="text1"/>
                <w:sz w:val="21"/>
              </w:rPr>
              <w:t>/d）</w:t>
            </w:r>
          </w:p>
        </w:tc>
        <w:tc>
          <w:tcPr>
            <w:tcW w:w="0" w:type="auto"/>
            <w:vAlign w:val="center"/>
          </w:tcPr>
          <w:p>
            <w:pPr>
              <w:pStyle w:val="140"/>
              <w:spacing w:before="140"/>
              <w:ind w:left="203" w:right="170"/>
              <w:rPr>
                <w:rFonts w:ascii="Times New Roman" w:hAnsi="Times New Roman" w:cs="Times New Roman" w:eastAsiaTheme="minorEastAsia"/>
                <w:sz w:val="21"/>
                <w:szCs w:val="21"/>
              </w:rPr>
            </w:pPr>
            <w:r>
              <w:rPr>
                <w:rFonts w:ascii="Times New Roman" w:hAnsi="Times New Roman" w:cs="Times New Roman" w:eastAsiaTheme="minorEastAsia"/>
                <w:sz w:val="21"/>
                <w:szCs w:val="21"/>
              </w:rPr>
              <w:t>市政污水管网</w:t>
            </w:r>
          </w:p>
        </w:tc>
        <w:tc>
          <w:tcPr>
            <w:tcW w:w="941" w:type="dxa"/>
            <w:vAlign w:val="center"/>
          </w:tcPr>
          <w:p>
            <w:pPr>
              <w:pStyle w:val="140"/>
              <w:ind w:left="119" w:right="76"/>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连续排放，流量稳定</w:t>
            </w:r>
          </w:p>
        </w:tc>
        <w:tc>
          <w:tcPr>
            <w:tcW w:w="0" w:type="auto"/>
            <w:vAlign w:val="center"/>
          </w:tcPr>
          <w:p>
            <w:pPr>
              <w:pStyle w:val="140"/>
              <w:ind w:left="22"/>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0" w:type="auto"/>
            <w:vMerge w:val="restart"/>
            <w:vAlign w:val="center"/>
          </w:tcPr>
          <w:p>
            <w:pPr>
              <w:pStyle w:val="140"/>
              <w:spacing w:before="3" w:line="270" w:lineRule="atLeast"/>
              <w:ind w:left="159" w:right="137"/>
              <w:rPr>
                <w:rFonts w:ascii="Times New Roman" w:hAnsi="Times New Roman" w:cs="Times New Roman" w:eastAsiaTheme="minorEastAsia"/>
                <w:sz w:val="21"/>
                <w:szCs w:val="21"/>
              </w:rPr>
            </w:pPr>
            <w:r>
              <w:rPr>
                <w:rFonts w:hint="eastAsia" w:ascii="Times New Roman" w:hAnsi="Times New Roman" w:cs="Times New Roman" w:eastAsiaTheme="minorEastAsia"/>
                <w:spacing w:val="-6"/>
                <w:sz w:val="21"/>
                <w:szCs w:val="21"/>
              </w:rPr>
              <w:t>马壕污水处理厂</w:t>
            </w:r>
          </w:p>
        </w:tc>
        <w:tc>
          <w:tcPr>
            <w:tcW w:w="0" w:type="auto"/>
            <w:vAlign w:val="center"/>
          </w:tcPr>
          <w:p>
            <w:pPr>
              <w:pStyle w:val="140"/>
              <w:spacing w:before="1" w:line="249" w:lineRule="exact"/>
              <w:ind w:left="440" w:right="422"/>
              <w:rPr>
                <w:rFonts w:ascii="Times New Roman" w:hAnsi="Times New Roman" w:cs="Times New Roman" w:eastAsiaTheme="minorEastAsia"/>
                <w:sz w:val="21"/>
                <w:szCs w:val="21"/>
              </w:rPr>
            </w:pPr>
            <w:r>
              <w:rPr>
                <w:rFonts w:ascii="Times New Roman" w:hAnsi="Times New Roman" w:cs="Times New Roman" w:eastAsiaTheme="minorEastAsia"/>
                <w:sz w:val="21"/>
                <w:szCs w:val="21"/>
              </w:rPr>
              <w:t>COD</w:t>
            </w:r>
            <w:r>
              <w:rPr>
                <w:rFonts w:ascii="Times New Roman" w:hAnsi="Times New Roman" w:cs="Times New Roman" w:eastAsiaTheme="minorEastAsia"/>
                <w:sz w:val="21"/>
                <w:szCs w:val="21"/>
                <w:vertAlign w:val="subscript"/>
              </w:rPr>
              <w:t>Cr</w:t>
            </w:r>
            <w:r>
              <w:rPr>
                <w:rFonts w:hint="eastAsia" w:ascii="Times New Roman" w:hAnsi="Times New Roman" w:cs="Times New Roman" w:eastAsiaTheme="minorEastAsia"/>
                <w:sz w:val="21"/>
                <w:szCs w:val="21"/>
              </w:rPr>
              <w:t>、BOD</w:t>
            </w:r>
            <w:r>
              <w:rPr>
                <w:rFonts w:hint="eastAsia" w:ascii="Times New Roman" w:hAnsi="Times New Roman" w:cs="Times New Roman" w:eastAsiaTheme="minorEastAsia"/>
                <w:sz w:val="21"/>
                <w:szCs w:val="21"/>
                <w:vertAlign w:val="subscript"/>
              </w:rPr>
              <w:t>5</w:t>
            </w:r>
            <w:r>
              <w:rPr>
                <w:rFonts w:hint="eastAsia" w:ascii="Times New Roman" w:hAnsi="Times New Roman" w:cs="Times New Roman" w:eastAsiaTheme="minorEastAsia"/>
                <w:sz w:val="21"/>
                <w:szCs w:val="21"/>
              </w:rPr>
              <w:t>、</w:t>
            </w:r>
            <w:r>
              <w:rPr>
                <w:rFonts w:hint="eastAsia" w:ascii="Times New Roman" w:hAnsi="Times New Roman" w:cs="Times New Roman" w:eastAsiaTheme="minorEastAsia"/>
                <w:sz w:val="24"/>
                <w:szCs w:val="24"/>
              </w:rPr>
              <w:t>SS、</w:t>
            </w:r>
            <w:r>
              <w:rPr>
                <w:rFonts w:cs="Times New Roman"/>
                <w:sz w:val="21"/>
              </w:rPr>
              <w:t>氨氮</w:t>
            </w:r>
            <w:r>
              <w:rPr>
                <w:rFonts w:hint="eastAsia" w:cs="Times New Roman"/>
                <w:sz w:val="21"/>
              </w:rPr>
              <w:t>、</w:t>
            </w:r>
            <w:r>
              <w:rPr>
                <w:rFonts w:cs="Times New Roman"/>
                <w:sz w:val="21"/>
              </w:rPr>
              <w:t>粪大肠杆菌</w:t>
            </w:r>
            <w:r>
              <w:rPr>
                <w:rFonts w:hint="eastAsia" w:cs="Times New Roman"/>
                <w:sz w:val="21"/>
              </w:rPr>
              <w:t>、</w:t>
            </w:r>
            <w:r>
              <w:rPr>
                <w:rFonts w:cs="Times New Roman"/>
                <w:sz w:val="21"/>
              </w:rPr>
              <w:t>总氮</w:t>
            </w:r>
            <w:r>
              <w:rPr>
                <w:rFonts w:hint="eastAsia" w:cs="Times New Roman"/>
                <w:sz w:val="21"/>
              </w:rPr>
              <w:t>、总磷、</w:t>
            </w:r>
            <w:r>
              <w:rPr>
                <w:rFonts w:cs="Times New Roman"/>
                <w:sz w:val="21"/>
              </w:rPr>
              <w:t>阴离子表面活性剂</w:t>
            </w:r>
            <w:r>
              <w:rPr>
                <w:rFonts w:hint="eastAsia" w:cs="Times New Roman"/>
                <w:sz w:val="21"/>
              </w:rPr>
              <w:t>、总余氯、</w:t>
            </w:r>
            <w:r>
              <w:rPr>
                <w:rFonts w:cs="Times New Roman"/>
                <w:color w:val="000000" w:themeColor="text1"/>
                <w:sz w:val="21"/>
              </w:rPr>
              <w:t>总氰化物</w:t>
            </w:r>
          </w:p>
        </w:tc>
        <w:tc>
          <w:tcPr>
            <w:tcW w:w="0" w:type="auto"/>
            <w:vMerge w:val="restart"/>
            <w:vAlign w:val="center"/>
          </w:tcPr>
          <w:p>
            <w:pPr>
              <w:pStyle w:val="140"/>
              <w:spacing w:before="3" w:line="270" w:lineRule="atLeast"/>
              <w:ind w:left="109" w:right="83" w:hanging="8"/>
              <w:rPr>
                <w:rFonts w:ascii="Times New Roman" w:hAnsi="Times New Roman" w:cs="Times New Roman" w:eastAsiaTheme="minorEastAsia"/>
                <w:b/>
                <w:bCs/>
                <w:sz w:val="21"/>
                <w:szCs w:val="21"/>
              </w:rPr>
            </w:pPr>
            <w:r>
              <w:rPr>
                <w:rFonts w:hint="eastAsia" w:ascii="Times New Roman" w:hAnsi="Times New Roman" w:cs="Times New Roman" w:eastAsiaTheme="minorEastAsia"/>
                <w:spacing w:val="25"/>
                <w:sz w:val="21"/>
                <w:szCs w:val="21"/>
              </w:rPr>
              <w:t>一</w:t>
            </w:r>
            <w:r>
              <w:rPr>
                <w:rFonts w:ascii="Times New Roman" w:hAnsi="Times New Roman" w:cs="Times New Roman" w:eastAsiaTheme="minorEastAsia"/>
                <w:spacing w:val="25"/>
                <w:sz w:val="21"/>
                <w:szCs w:val="21"/>
              </w:rPr>
              <w:t xml:space="preserve">级 </w:t>
            </w:r>
            <w:r>
              <w:rPr>
                <w:rFonts w:ascii="Times New Roman" w:hAnsi="Times New Roman" w:cs="Times New Roman" w:eastAsiaTheme="minorEastAsia"/>
                <w:spacing w:val="-3"/>
                <w:sz w:val="21"/>
                <w:szCs w:val="21"/>
              </w:rPr>
              <w:t>A： </w:t>
            </w:r>
            <w:r>
              <w:rPr>
                <w:rFonts w:ascii="Times New Roman" w:hAnsi="Times New Roman" w:cs="Times New Roman" w:eastAsiaTheme="minorEastAsia"/>
                <w:spacing w:val="-2"/>
                <w:sz w:val="21"/>
                <w:szCs w:val="21"/>
              </w:rPr>
              <w:t>COD≤50mg/L</w:t>
            </w:r>
            <w:r>
              <w:rPr>
                <w:rFonts w:ascii="Times New Roman" w:hAnsi="Times New Roman" w:cs="Times New Roman" w:eastAsiaTheme="minorEastAsia"/>
                <w:spacing w:val="-107"/>
                <w:sz w:val="21"/>
                <w:szCs w:val="21"/>
              </w:rPr>
              <w:t>，氨</w:t>
            </w:r>
            <w:r>
              <w:rPr>
                <w:rFonts w:ascii="Times New Roman" w:hAnsi="Times New Roman" w:cs="Times New Roman" w:eastAsiaTheme="minorEastAsia"/>
                <w:spacing w:val="-80"/>
                <w:sz w:val="21"/>
                <w:szCs w:val="21"/>
              </w:rPr>
              <w:t> </w:t>
            </w:r>
            <w:r>
              <w:rPr>
                <w:rFonts w:ascii="Times New Roman" w:hAnsi="Times New Roman" w:cs="Times New Roman" w:eastAsiaTheme="minorEastAsia"/>
                <w:spacing w:val="-204"/>
                <w:sz w:val="21"/>
                <w:szCs w:val="21"/>
              </w:rPr>
              <w:t>氮</w:t>
            </w:r>
            <w:r>
              <w:rPr>
                <w:rFonts w:ascii="Times New Roman" w:hAnsi="Times New Roman" w:cs="Times New Roman" w:eastAsiaTheme="minorEastAsia"/>
                <w:sz w:val="21"/>
                <w:szCs w:val="21"/>
              </w:rPr>
              <w:t>≤5mg/L</w:t>
            </w:r>
            <w:r>
              <w:rPr>
                <w:rFonts w:hint="eastAsia" w:ascii="Times New Roman" w:hAnsi="Times New Roman" w:cs="Times New Roman" w:eastAsiaTheme="minorEastAsia"/>
                <w:sz w:val="21"/>
                <w:szCs w:val="21"/>
              </w:rPr>
              <w:t>、SS</w:t>
            </w:r>
            <w:r>
              <w:rPr>
                <w:rFonts w:ascii="Times New Roman" w:hAnsi="Times New Roman" w:cs="Times New Roman" w:eastAsiaTheme="minorEastAsia"/>
                <w:spacing w:val="-2"/>
                <w:sz w:val="21"/>
                <w:szCs w:val="21"/>
              </w:rPr>
              <w:t>≤</w:t>
            </w:r>
            <w:r>
              <w:rPr>
                <w:rFonts w:hint="eastAsia" w:ascii="Times New Roman" w:hAnsi="Times New Roman" w:cs="Times New Roman" w:eastAsiaTheme="minorEastAsia"/>
                <w:spacing w:val="-2"/>
                <w:sz w:val="21"/>
                <w:szCs w:val="21"/>
              </w:rPr>
              <w:t>10</w:t>
            </w:r>
            <w:r>
              <w:rPr>
                <w:rFonts w:ascii="Times New Roman" w:hAnsi="Times New Roman" w:cs="Times New Roman" w:eastAsiaTheme="minorEastAsia"/>
                <w:spacing w:val="-2"/>
                <w:sz w:val="21"/>
                <w:szCs w:val="21"/>
              </w:rPr>
              <w:t>mg/L</w:t>
            </w:r>
            <w:r>
              <w:rPr>
                <w:rFonts w:hint="eastAsia" w:ascii="Times New Roman" w:hAnsi="Times New Roman" w:cs="Times New Roman" w:eastAsiaTheme="minorEastAsia"/>
                <w:b/>
                <w:bCs/>
                <w:spacing w:val="-2"/>
                <w:sz w:val="21"/>
                <w:szCs w:val="21"/>
              </w:rPr>
              <w:t>、</w:t>
            </w:r>
            <w:r>
              <w:rPr>
                <w:sz w:val="21"/>
              </w:rPr>
              <w:t>氨氮</w:t>
            </w:r>
            <w:r>
              <w:rPr>
                <w:rFonts w:ascii="Times New Roman" w:hAnsi="Times New Roman" w:cs="Times New Roman" w:eastAsiaTheme="minorEastAsia"/>
                <w:spacing w:val="-2"/>
                <w:sz w:val="21"/>
                <w:szCs w:val="21"/>
              </w:rPr>
              <w:t>≤</w:t>
            </w:r>
            <w:r>
              <w:rPr>
                <w:rFonts w:hint="eastAsia" w:ascii="Times New Roman" w:hAnsi="Times New Roman" w:cs="Times New Roman" w:eastAsiaTheme="minorEastAsia"/>
                <w:spacing w:val="-2"/>
                <w:sz w:val="21"/>
                <w:szCs w:val="21"/>
              </w:rPr>
              <w:t>5</w:t>
            </w:r>
            <w:r>
              <w:rPr>
                <w:rFonts w:ascii="Times New Roman" w:hAnsi="Times New Roman" w:cs="Times New Roman" w:eastAsiaTheme="minorEastAsia"/>
                <w:spacing w:val="-2"/>
                <w:sz w:val="21"/>
                <w:szCs w:val="21"/>
              </w:rPr>
              <w:t>mg/L</w:t>
            </w:r>
            <w:r>
              <w:rPr>
                <w:rFonts w:hint="eastAsia" w:ascii="Times New Roman" w:hAnsi="Times New Roman" w:cs="Times New Roman" w:eastAsiaTheme="minorEastAsia"/>
                <w:spacing w:val="-2"/>
                <w:sz w:val="21"/>
                <w:szCs w:val="21"/>
              </w:rPr>
              <w:t>、总磷</w:t>
            </w:r>
            <w:r>
              <w:rPr>
                <w:rFonts w:ascii="Times New Roman" w:hAnsi="Times New Roman" w:cs="Times New Roman" w:eastAsiaTheme="minorEastAsia"/>
                <w:spacing w:val="-2"/>
                <w:sz w:val="21"/>
                <w:szCs w:val="21"/>
              </w:rPr>
              <w:t>≤</w:t>
            </w:r>
            <w:r>
              <w:rPr>
                <w:rFonts w:hint="eastAsia" w:ascii="Times New Roman" w:hAnsi="Times New Roman" w:cs="Times New Roman" w:eastAsiaTheme="minorEastAsia"/>
                <w:spacing w:val="-2"/>
                <w:sz w:val="21"/>
                <w:szCs w:val="21"/>
              </w:rPr>
              <w:t>0.5</w:t>
            </w:r>
            <w:r>
              <w:rPr>
                <w:rFonts w:ascii="Times New Roman" w:hAnsi="Times New Roman" w:cs="Times New Roman" w:eastAsiaTheme="minorEastAsia"/>
                <w:spacing w:val="-2"/>
                <w:sz w:val="21"/>
                <w:szCs w:val="21"/>
              </w:rPr>
              <w:t>mg/L</w:t>
            </w:r>
            <w:r>
              <w:rPr>
                <w:rFonts w:hint="eastAsia" w:ascii="Times New Roman" w:hAnsi="Times New Roman" w:cs="Times New Roman" w:eastAsiaTheme="minorEastAsia"/>
                <w:spacing w:val="-2"/>
                <w:sz w:val="21"/>
                <w:szCs w:val="21"/>
              </w:rPr>
              <w:t>、</w:t>
            </w:r>
            <w:r>
              <w:rPr>
                <w:sz w:val="21"/>
              </w:rPr>
              <w:t>动植物油</w:t>
            </w:r>
            <w:r>
              <w:rPr>
                <w:rFonts w:ascii="Times New Roman" w:hAnsi="Times New Roman" w:cs="Times New Roman" w:eastAsiaTheme="minorEastAsia"/>
                <w:spacing w:val="-2"/>
                <w:sz w:val="21"/>
                <w:szCs w:val="21"/>
              </w:rPr>
              <w:t>≤</w:t>
            </w:r>
            <w:r>
              <w:rPr>
                <w:rFonts w:hint="eastAsia" w:ascii="Times New Roman" w:hAnsi="Times New Roman" w:cs="Times New Roman" w:eastAsiaTheme="minorEastAsia"/>
                <w:spacing w:val="-2"/>
                <w:sz w:val="21"/>
                <w:szCs w:val="21"/>
              </w:rPr>
              <w:t>1</w:t>
            </w:r>
            <w:r>
              <w:rPr>
                <w:rFonts w:ascii="Times New Roman" w:hAnsi="Times New Roman" w:cs="Times New Roman" w:eastAsiaTheme="minorEastAsia"/>
                <w:spacing w:val="-2"/>
                <w:sz w:val="21"/>
                <w:szCs w:val="21"/>
              </w:rPr>
              <w:t>mg/L</w:t>
            </w:r>
            <w:r>
              <w:rPr>
                <w:rFonts w:hint="eastAsia" w:ascii="Times New Roman" w:hAnsi="Times New Roman" w:cs="Times New Roman" w:eastAsiaTheme="minorEastAsia"/>
                <w:spacing w:val="-2"/>
                <w:sz w:val="21"/>
                <w:szCs w:val="21"/>
              </w:rPr>
              <w:t>、</w:t>
            </w:r>
            <w:r>
              <w:rPr>
                <w:sz w:val="21"/>
              </w:rPr>
              <w:t>石油类</w:t>
            </w:r>
            <w:r>
              <w:rPr>
                <w:rFonts w:ascii="Times New Roman" w:hAnsi="Times New Roman" w:cs="Times New Roman" w:eastAsiaTheme="minorEastAsia"/>
                <w:spacing w:val="-2"/>
                <w:sz w:val="21"/>
                <w:szCs w:val="21"/>
              </w:rPr>
              <w:t>≤</w:t>
            </w:r>
            <w:r>
              <w:rPr>
                <w:rFonts w:hint="eastAsia" w:ascii="Times New Roman" w:hAnsi="Times New Roman" w:cs="Times New Roman" w:eastAsiaTheme="minorEastAsia"/>
                <w:spacing w:val="-2"/>
                <w:sz w:val="21"/>
                <w:szCs w:val="21"/>
              </w:rPr>
              <w:t>1</w:t>
            </w:r>
            <w:r>
              <w:rPr>
                <w:rFonts w:ascii="Times New Roman" w:hAnsi="Times New Roman" w:cs="Times New Roman" w:eastAsiaTheme="minorEastAsia"/>
                <w:spacing w:val="-2"/>
                <w:sz w:val="21"/>
                <w:szCs w:val="21"/>
              </w:rPr>
              <w:t>mg/L</w:t>
            </w:r>
            <w:r>
              <w:rPr>
                <w:rFonts w:hint="eastAsia" w:ascii="Times New Roman" w:hAnsi="Times New Roman" w:cs="Times New Roman" w:eastAsiaTheme="minorEastAsia"/>
                <w:spacing w:val="-2"/>
                <w:sz w:val="21"/>
                <w:szCs w:val="21"/>
              </w:rPr>
              <w:t>、</w:t>
            </w:r>
            <w:r>
              <w:rPr>
                <w:sz w:val="21"/>
              </w:rPr>
              <w:t>粪大肠菌群数</w:t>
            </w:r>
            <w:r>
              <w:rPr>
                <w:rFonts w:hint="eastAsia"/>
                <w:sz w:val="21"/>
              </w:rPr>
              <w:t>（个/L）</w:t>
            </w:r>
            <w:r>
              <w:rPr>
                <w:rFonts w:ascii="Times New Roman" w:hAnsi="Times New Roman" w:cs="Times New Roman" w:eastAsiaTheme="minorEastAsia"/>
                <w:spacing w:val="-2"/>
                <w:sz w:val="21"/>
                <w:szCs w:val="21"/>
              </w:rPr>
              <w:t>≤1000</w:t>
            </w:r>
            <w:r>
              <w:rPr>
                <w:rFonts w:hint="eastAsia"/>
                <w:sz w:val="21"/>
              </w:rPr>
              <w:t>个/L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0" w:type="auto"/>
            <w:vAlign w:val="center"/>
          </w:tcPr>
          <w:p>
            <w:pPr>
              <w:pStyle w:val="140"/>
              <w:ind w:left="22"/>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2</w:t>
            </w:r>
          </w:p>
        </w:tc>
        <w:tc>
          <w:tcPr>
            <w:tcW w:w="0" w:type="auto"/>
            <w:vAlign w:val="center"/>
          </w:tcPr>
          <w:p>
            <w:pPr>
              <w:rPr>
                <w:rFonts w:cs="Times New Roman"/>
                <w:sz w:val="21"/>
              </w:rPr>
            </w:pPr>
            <w:r>
              <w:rPr>
                <w:rFonts w:cs="Times New Roman"/>
                <w:sz w:val="21"/>
              </w:rPr>
              <w:t>DW00</w:t>
            </w:r>
            <w:r>
              <w:rPr>
                <w:rFonts w:hint="eastAsia" w:cs="Times New Roman"/>
                <w:sz w:val="21"/>
              </w:rPr>
              <w:t>2</w:t>
            </w:r>
          </w:p>
        </w:tc>
        <w:tc>
          <w:tcPr>
            <w:tcW w:w="1586" w:type="dxa"/>
            <w:vAlign w:val="center"/>
          </w:tcPr>
          <w:p>
            <w:pPr>
              <w:pStyle w:val="140"/>
              <w:ind w:left="239" w:right="211"/>
              <w:rPr>
                <w:rFonts w:ascii="Times New Roman" w:hAnsi="Times New Roman" w:cs="Times New Roman" w:eastAsiaTheme="minorEastAsia"/>
                <w:sz w:val="21"/>
                <w:szCs w:val="21"/>
              </w:rPr>
            </w:pPr>
            <w:r>
              <w:rPr>
                <w:rFonts w:ascii="Times New Roman" w:hAnsi="Times New Roman" w:cs="Times New Roman" w:eastAsiaTheme="minorEastAsia"/>
                <w:sz w:val="21"/>
                <w:szCs w:val="21"/>
              </w:rPr>
              <w:t>E113.13907</w:t>
            </w:r>
          </w:p>
        </w:tc>
        <w:tc>
          <w:tcPr>
            <w:tcW w:w="1748" w:type="dxa"/>
            <w:vAlign w:val="center"/>
          </w:tcPr>
          <w:p>
            <w:pPr>
              <w:pStyle w:val="140"/>
              <w:ind w:left="360" w:right="333"/>
              <w:rPr>
                <w:rFonts w:ascii="Times New Roman" w:hAnsi="Times New Roman" w:cs="Times New Roman" w:eastAsiaTheme="minorEastAsia"/>
                <w:sz w:val="21"/>
                <w:szCs w:val="21"/>
              </w:rPr>
            </w:pPr>
            <w:r>
              <w:rPr>
                <w:rFonts w:ascii="Times New Roman" w:hAnsi="Times New Roman" w:cs="Times New Roman" w:eastAsiaTheme="minorEastAsia"/>
                <w:sz w:val="21"/>
                <w:szCs w:val="21"/>
              </w:rPr>
              <w:t>N29.38122</w:t>
            </w:r>
          </w:p>
        </w:tc>
        <w:tc>
          <w:tcPr>
            <w:tcW w:w="0" w:type="auto"/>
            <w:vAlign w:val="center"/>
          </w:tcPr>
          <w:p>
            <w:pPr>
              <w:pStyle w:val="140"/>
              <w:ind w:left="351"/>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4343.5</w:t>
            </w:r>
            <w:r>
              <w:rPr>
                <w:rFonts w:ascii="Times New Roman" w:hAnsi="Times New Roman" w:cs="Times New Roman"/>
                <w:color w:val="000000" w:themeColor="text1"/>
                <w:sz w:val="21"/>
              </w:rPr>
              <w:t>m</w:t>
            </w:r>
            <w:r>
              <w:rPr>
                <w:rFonts w:ascii="Times New Roman" w:hAnsi="Times New Roman" w:cs="Times New Roman"/>
                <w:color w:val="000000" w:themeColor="text1"/>
                <w:sz w:val="21"/>
                <w:vertAlign w:val="superscript"/>
              </w:rPr>
              <w:t>3</w:t>
            </w:r>
            <w:r>
              <w:rPr>
                <w:rFonts w:ascii="Times New Roman" w:hAnsi="Times New Roman" w:cs="Times New Roman"/>
                <w:color w:val="000000" w:themeColor="text1"/>
                <w:sz w:val="21"/>
              </w:rPr>
              <w:t>/a</w:t>
            </w:r>
            <w:r>
              <w:rPr>
                <w:rFonts w:hint="eastAsia" w:ascii="Times New Roman" w:hAnsi="Times New Roman" w:cs="Times New Roman"/>
                <w:color w:val="000000" w:themeColor="text1"/>
                <w:sz w:val="21"/>
              </w:rPr>
              <w:t>（</w:t>
            </w:r>
            <w:r>
              <w:rPr>
                <w:rFonts w:hint="eastAsia" w:ascii="Times New Roman" w:hAnsi="Times New Roman" w:cs="Times New Roman" w:eastAsiaTheme="minorEastAsia"/>
                <w:sz w:val="21"/>
                <w:szCs w:val="21"/>
              </w:rPr>
              <w:t>11.9m</w:t>
            </w:r>
            <w:r>
              <w:rPr>
                <w:rFonts w:hint="eastAsia" w:ascii="Times New Roman" w:hAnsi="Times New Roman" w:cs="Times New Roman" w:eastAsiaTheme="minorEastAsia"/>
                <w:sz w:val="21"/>
                <w:szCs w:val="21"/>
                <w:vertAlign w:val="superscript"/>
              </w:rPr>
              <w:t>3</w:t>
            </w:r>
            <w:r>
              <w:rPr>
                <w:rFonts w:hint="eastAsia" w:ascii="Times New Roman" w:hAnsi="Times New Roman" w:cs="Times New Roman" w:eastAsiaTheme="minorEastAsia"/>
                <w:sz w:val="21"/>
                <w:szCs w:val="21"/>
              </w:rPr>
              <w:t>/d</w:t>
            </w:r>
            <w:r>
              <w:rPr>
                <w:rFonts w:hint="eastAsia" w:ascii="Times New Roman" w:hAnsi="Times New Roman" w:cs="Times New Roman"/>
                <w:color w:val="000000" w:themeColor="text1"/>
                <w:sz w:val="21"/>
              </w:rPr>
              <w:t>）</w:t>
            </w:r>
          </w:p>
        </w:tc>
        <w:tc>
          <w:tcPr>
            <w:tcW w:w="0" w:type="auto"/>
            <w:vAlign w:val="center"/>
          </w:tcPr>
          <w:p>
            <w:pPr>
              <w:spacing w:before="140"/>
              <w:ind w:left="203" w:right="170"/>
              <w:jc w:val="center"/>
              <w:rPr>
                <w:rFonts w:cs="Times New Roman"/>
                <w:sz w:val="21"/>
              </w:rPr>
            </w:pPr>
            <w:r>
              <w:rPr>
                <w:rFonts w:cs="Times New Roman"/>
                <w:sz w:val="21"/>
              </w:rPr>
              <w:t>市政污水管网</w:t>
            </w:r>
          </w:p>
        </w:tc>
        <w:tc>
          <w:tcPr>
            <w:tcW w:w="941" w:type="dxa"/>
            <w:vAlign w:val="center"/>
          </w:tcPr>
          <w:p>
            <w:pPr>
              <w:pStyle w:val="140"/>
              <w:ind w:right="52"/>
              <w:rPr>
                <w:rFonts w:ascii="Times New Roman" w:hAnsi="Times New Roman" w:cs="Times New Roman" w:eastAsiaTheme="minorEastAsia"/>
                <w:spacing w:val="-12"/>
                <w:sz w:val="21"/>
                <w:szCs w:val="21"/>
              </w:rPr>
            </w:pPr>
            <w:r>
              <w:rPr>
                <w:rFonts w:hint="eastAsia" w:ascii="Times New Roman" w:hAnsi="Times New Roman" w:cs="Times New Roman" w:eastAsiaTheme="minorEastAsia"/>
                <w:sz w:val="21"/>
                <w:szCs w:val="21"/>
              </w:rPr>
              <w:t>连续排放，流量稳定</w:t>
            </w:r>
          </w:p>
        </w:tc>
        <w:tc>
          <w:tcPr>
            <w:tcW w:w="0" w:type="auto"/>
            <w:vAlign w:val="center"/>
          </w:tcPr>
          <w:p>
            <w:pPr>
              <w:ind w:left="22"/>
              <w:jc w:val="center"/>
              <w:rPr>
                <w:rFonts w:cs="Times New Roman"/>
                <w:sz w:val="21"/>
              </w:rPr>
            </w:pPr>
            <w:r>
              <w:rPr>
                <w:rFonts w:cs="Times New Roman"/>
                <w:sz w:val="21"/>
              </w:rPr>
              <w:t>/</w:t>
            </w:r>
          </w:p>
        </w:tc>
        <w:tc>
          <w:tcPr>
            <w:tcW w:w="0" w:type="auto"/>
            <w:vMerge w:val="continue"/>
            <w:vAlign w:val="center"/>
          </w:tcPr>
          <w:p>
            <w:pPr>
              <w:pStyle w:val="140"/>
              <w:spacing w:before="3" w:line="270" w:lineRule="atLeast"/>
              <w:ind w:left="159" w:right="137"/>
              <w:rPr>
                <w:rFonts w:ascii="Times New Roman" w:hAnsi="Times New Roman" w:cs="Times New Roman" w:eastAsiaTheme="minorEastAsia"/>
                <w:spacing w:val="-6"/>
                <w:sz w:val="21"/>
                <w:szCs w:val="21"/>
              </w:rPr>
            </w:pPr>
          </w:p>
        </w:tc>
        <w:tc>
          <w:tcPr>
            <w:tcW w:w="0" w:type="auto"/>
            <w:vAlign w:val="center"/>
          </w:tcPr>
          <w:p>
            <w:pPr>
              <w:pStyle w:val="140"/>
              <w:spacing w:before="1" w:line="249" w:lineRule="exact"/>
              <w:ind w:right="422"/>
              <w:rPr>
                <w:rFonts w:ascii="Times New Roman" w:hAnsi="Times New Roman" w:cs="Times New Roman" w:eastAsiaTheme="minorEastAsia"/>
                <w:sz w:val="21"/>
                <w:szCs w:val="21"/>
              </w:rPr>
            </w:pPr>
            <w:r>
              <w:rPr>
                <w:rFonts w:ascii="Times New Roman" w:hAnsi="Times New Roman" w:cs="Times New Roman" w:eastAsiaTheme="minorEastAsia"/>
                <w:sz w:val="21"/>
                <w:szCs w:val="21"/>
              </w:rPr>
              <w:t>COD</w:t>
            </w:r>
            <w:r>
              <w:rPr>
                <w:rFonts w:hint="eastAsia" w:ascii="Times New Roman" w:hAnsi="Times New Roman" w:cs="Times New Roman" w:eastAsiaTheme="minorEastAsia"/>
                <w:sz w:val="21"/>
                <w:szCs w:val="21"/>
              </w:rPr>
              <w:t>cr</w:t>
            </w:r>
            <w:r>
              <w:rPr>
                <w:rFonts w:ascii="Times New Roman" w:hAnsi="Times New Roman" w:cs="Times New Roman" w:eastAsiaTheme="minorEastAsia"/>
                <w:sz w:val="21"/>
                <w:szCs w:val="21"/>
              </w:rPr>
              <w:t>、BOD5、SS、氨氮、动植物油</w:t>
            </w:r>
          </w:p>
        </w:tc>
        <w:tc>
          <w:tcPr>
            <w:tcW w:w="0" w:type="auto"/>
            <w:vMerge w:val="continue"/>
            <w:vAlign w:val="center"/>
          </w:tcPr>
          <w:p>
            <w:pPr>
              <w:pStyle w:val="140"/>
              <w:spacing w:before="3" w:line="270" w:lineRule="atLeast"/>
              <w:ind w:left="109" w:right="83" w:hanging="8"/>
              <w:rPr>
                <w:rFonts w:ascii="Times New Roman" w:hAnsi="Times New Roman" w:cs="Times New Roman" w:eastAsiaTheme="minorEastAsia"/>
                <w:spacing w:val="25"/>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0" w:type="auto"/>
            <w:vAlign w:val="center"/>
          </w:tcPr>
          <w:p>
            <w:pPr>
              <w:pStyle w:val="140"/>
              <w:ind w:left="22"/>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3</w:t>
            </w:r>
          </w:p>
        </w:tc>
        <w:tc>
          <w:tcPr>
            <w:tcW w:w="0" w:type="auto"/>
            <w:vAlign w:val="center"/>
          </w:tcPr>
          <w:p>
            <w:pPr>
              <w:rPr>
                <w:rFonts w:cs="Times New Roman"/>
                <w:sz w:val="21"/>
              </w:rPr>
            </w:pPr>
            <w:r>
              <w:rPr>
                <w:rFonts w:cs="Times New Roman"/>
                <w:sz w:val="21"/>
              </w:rPr>
              <w:t>DW00</w:t>
            </w:r>
            <w:r>
              <w:rPr>
                <w:rFonts w:hint="eastAsia" w:cs="Times New Roman"/>
                <w:sz w:val="21"/>
              </w:rPr>
              <w:t>3</w:t>
            </w:r>
          </w:p>
        </w:tc>
        <w:tc>
          <w:tcPr>
            <w:tcW w:w="1586" w:type="dxa"/>
            <w:vAlign w:val="center"/>
          </w:tcPr>
          <w:p>
            <w:pPr>
              <w:pStyle w:val="140"/>
              <w:ind w:left="239" w:right="211"/>
              <w:rPr>
                <w:rFonts w:ascii="Times New Roman" w:hAnsi="Times New Roman" w:cs="Times New Roman" w:eastAsiaTheme="minorEastAsia"/>
                <w:sz w:val="21"/>
                <w:szCs w:val="21"/>
              </w:rPr>
            </w:pPr>
            <w:r>
              <w:rPr>
                <w:rFonts w:ascii="Times New Roman" w:hAnsi="Times New Roman" w:cs="Times New Roman" w:eastAsiaTheme="minorEastAsia"/>
                <w:sz w:val="21"/>
                <w:szCs w:val="21"/>
              </w:rPr>
              <w:t>E113.14110</w:t>
            </w:r>
          </w:p>
        </w:tc>
        <w:tc>
          <w:tcPr>
            <w:tcW w:w="1748" w:type="dxa"/>
            <w:vAlign w:val="center"/>
          </w:tcPr>
          <w:p>
            <w:pPr>
              <w:pStyle w:val="140"/>
              <w:ind w:left="360" w:right="333"/>
              <w:rPr>
                <w:rFonts w:ascii="Times New Roman" w:hAnsi="Times New Roman" w:cs="Times New Roman" w:eastAsiaTheme="minorEastAsia"/>
                <w:sz w:val="21"/>
                <w:szCs w:val="21"/>
              </w:rPr>
            </w:pPr>
            <w:r>
              <w:rPr>
                <w:rFonts w:ascii="Times New Roman" w:hAnsi="Times New Roman" w:cs="Times New Roman" w:eastAsiaTheme="minorEastAsia"/>
                <w:sz w:val="21"/>
                <w:szCs w:val="21"/>
              </w:rPr>
              <w:t>N29.38133</w:t>
            </w:r>
          </w:p>
        </w:tc>
        <w:tc>
          <w:tcPr>
            <w:tcW w:w="0" w:type="auto"/>
            <w:vAlign w:val="center"/>
          </w:tcPr>
          <w:p>
            <w:pPr>
              <w:pStyle w:val="140"/>
              <w:ind w:left="351"/>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4343.5</w:t>
            </w:r>
            <w:r>
              <w:rPr>
                <w:rFonts w:ascii="Times New Roman" w:hAnsi="Times New Roman" w:cs="Times New Roman"/>
                <w:color w:val="000000" w:themeColor="text1"/>
                <w:sz w:val="21"/>
              </w:rPr>
              <w:t>m</w:t>
            </w:r>
            <w:r>
              <w:rPr>
                <w:rFonts w:ascii="Times New Roman" w:hAnsi="Times New Roman" w:cs="Times New Roman"/>
                <w:color w:val="000000" w:themeColor="text1"/>
                <w:sz w:val="21"/>
                <w:vertAlign w:val="superscript"/>
              </w:rPr>
              <w:t>3</w:t>
            </w:r>
            <w:r>
              <w:rPr>
                <w:rFonts w:ascii="Times New Roman" w:hAnsi="Times New Roman" w:cs="Times New Roman"/>
                <w:color w:val="000000" w:themeColor="text1"/>
                <w:sz w:val="21"/>
              </w:rPr>
              <w:t>/a</w:t>
            </w:r>
            <w:r>
              <w:rPr>
                <w:rFonts w:hint="eastAsia" w:ascii="Times New Roman" w:hAnsi="Times New Roman" w:cs="Times New Roman"/>
                <w:color w:val="000000" w:themeColor="text1"/>
                <w:sz w:val="21"/>
              </w:rPr>
              <w:t>（</w:t>
            </w:r>
            <w:r>
              <w:rPr>
                <w:rFonts w:hint="eastAsia" w:ascii="Times New Roman" w:hAnsi="Times New Roman" w:cs="Times New Roman" w:eastAsiaTheme="minorEastAsia"/>
                <w:sz w:val="21"/>
                <w:szCs w:val="21"/>
              </w:rPr>
              <w:t>11.9m</w:t>
            </w:r>
            <w:r>
              <w:rPr>
                <w:rFonts w:hint="eastAsia" w:ascii="Times New Roman" w:hAnsi="Times New Roman" w:cs="Times New Roman" w:eastAsiaTheme="minorEastAsia"/>
                <w:sz w:val="21"/>
                <w:szCs w:val="21"/>
                <w:vertAlign w:val="superscript"/>
              </w:rPr>
              <w:t>3</w:t>
            </w:r>
            <w:r>
              <w:rPr>
                <w:rFonts w:hint="eastAsia" w:ascii="Times New Roman" w:hAnsi="Times New Roman" w:cs="Times New Roman" w:eastAsiaTheme="minorEastAsia"/>
                <w:sz w:val="21"/>
                <w:szCs w:val="21"/>
              </w:rPr>
              <w:t>/d</w:t>
            </w:r>
            <w:r>
              <w:rPr>
                <w:rFonts w:hint="eastAsia" w:ascii="Times New Roman" w:hAnsi="Times New Roman" w:cs="Times New Roman"/>
                <w:color w:val="000000" w:themeColor="text1"/>
                <w:sz w:val="21"/>
              </w:rPr>
              <w:t>）</w:t>
            </w:r>
          </w:p>
        </w:tc>
        <w:tc>
          <w:tcPr>
            <w:tcW w:w="0" w:type="auto"/>
            <w:vAlign w:val="center"/>
          </w:tcPr>
          <w:p>
            <w:pPr>
              <w:spacing w:before="140"/>
              <w:ind w:left="203" w:right="170"/>
              <w:jc w:val="center"/>
              <w:rPr>
                <w:rFonts w:cs="Times New Roman"/>
                <w:sz w:val="21"/>
              </w:rPr>
            </w:pPr>
            <w:r>
              <w:rPr>
                <w:rFonts w:cs="Times New Roman"/>
                <w:sz w:val="21"/>
              </w:rPr>
              <w:t>市政污水管网</w:t>
            </w:r>
          </w:p>
        </w:tc>
        <w:tc>
          <w:tcPr>
            <w:tcW w:w="941" w:type="dxa"/>
            <w:vAlign w:val="center"/>
          </w:tcPr>
          <w:p>
            <w:pPr>
              <w:pStyle w:val="140"/>
              <w:ind w:right="52"/>
              <w:rPr>
                <w:rFonts w:ascii="Times New Roman" w:hAnsi="Times New Roman" w:cs="Times New Roman" w:eastAsiaTheme="minorEastAsia"/>
                <w:spacing w:val="-12"/>
                <w:sz w:val="21"/>
                <w:szCs w:val="21"/>
              </w:rPr>
            </w:pPr>
            <w:r>
              <w:rPr>
                <w:rFonts w:hint="eastAsia" w:ascii="Times New Roman" w:hAnsi="Times New Roman" w:cs="Times New Roman" w:eastAsiaTheme="minorEastAsia"/>
                <w:sz w:val="21"/>
                <w:szCs w:val="21"/>
              </w:rPr>
              <w:t>间接排放，不稳定有周期性</w:t>
            </w:r>
          </w:p>
        </w:tc>
        <w:tc>
          <w:tcPr>
            <w:tcW w:w="0" w:type="auto"/>
            <w:vAlign w:val="center"/>
          </w:tcPr>
          <w:p>
            <w:pPr>
              <w:ind w:left="22"/>
              <w:jc w:val="center"/>
              <w:rPr>
                <w:rFonts w:cs="Times New Roman"/>
                <w:sz w:val="21"/>
              </w:rPr>
            </w:pPr>
            <w:r>
              <w:rPr>
                <w:rFonts w:cs="Times New Roman"/>
                <w:sz w:val="21"/>
              </w:rPr>
              <w:t>/</w:t>
            </w:r>
          </w:p>
        </w:tc>
        <w:tc>
          <w:tcPr>
            <w:tcW w:w="0" w:type="auto"/>
            <w:vMerge w:val="continue"/>
            <w:vAlign w:val="center"/>
          </w:tcPr>
          <w:p>
            <w:pPr>
              <w:pStyle w:val="140"/>
              <w:spacing w:before="3" w:line="270" w:lineRule="atLeast"/>
              <w:ind w:left="159" w:right="137"/>
              <w:rPr>
                <w:rFonts w:ascii="Times New Roman" w:hAnsi="Times New Roman" w:cs="Times New Roman" w:eastAsiaTheme="minorEastAsia"/>
                <w:spacing w:val="-6"/>
                <w:sz w:val="21"/>
                <w:szCs w:val="21"/>
              </w:rPr>
            </w:pPr>
          </w:p>
        </w:tc>
        <w:tc>
          <w:tcPr>
            <w:tcW w:w="0" w:type="auto"/>
            <w:vAlign w:val="center"/>
          </w:tcPr>
          <w:p>
            <w:pPr>
              <w:pStyle w:val="140"/>
              <w:spacing w:before="1" w:line="249" w:lineRule="exact"/>
              <w:ind w:right="422"/>
              <w:rPr>
                <w:rFonts w:ascii="Times New Roman" w:hAnsi="Times New Roman" w:cs="Times New Roman" w:eastAsiaTheme="minorEastAsia"/>
                <w:sz w:val="21"/>
                <w:szCs w:val="21"/>
              </w:rPr>
            </w:pPr>
            <w:r>
              <w:rPr>
                <w:rFonts w:ascii="Times New Roman" w:hAnsi="Times New Roman" w:cs="Times New Roman" w:eastAsiaTheme="minorEastAsia"/>
                <w:spacing w:val="-6"/>
                <w:sz w:val="21"/>
                <w:szCs w:val="21"/>
              </w:rPr>
              <w:t>COD</w:t>
            </w:r>
            <w:r>
              <w:rPr>
                <w:rFonts w:hint="eastAsia" w:ascii="Times New Roman" w:hAnsi="Times New Roman" w:cs="Times New Roman" w:eastAsiaTheme="minorEastAsia"/>
                <w:spacing w:val="-6"/>
                <w:sz w:val="21"/>
                <w:szCs w:val="21"/>
              </w:rPr>
              <w:t>cr</w:t>
            </w:r>
            <w:r>
              <w:rPr>
                <w:rFonts w:ascii="Times New Roman" w:hAnsi="Times New Roman" w:cs="Times New Roman" w:eastAsiaTheme="minorEastAsia"/>
                <w:spacing w:val="-6"/>
                <w:sz w:val="21"/>
                <w:szCs w:val="21"/>
              </w:rPr>
              <w:t>、BOD</w:t>
            </w:r>
            <w:r>
              <w:rPr>
                <w:rFonts w:ascii="Times New Roman" w:hAnsi="Times New Roman" w:cs="Times New Roman" w:eastAsiaTheme="minorEastAsia"/>
                <w:spacing w:val="-6"/>
                <w:sz w:val="21"/>
                <w:szCs w:val="21"/>
                <w:vertAlign w:val="subscript"/>
              </w:rPr>
              <w:t>5</w:t>
            </w:r>
            <w:r>
              <w:rPr>
                <w:rFonts w:ascii="Times New Roman" w:hAnsi="Times New Roman" w:cs="Times New Roman" w:eastAsiaTheme="minorEastAsia"/>
                <w:spacing w:val="-6"/>
                <w:sz w:val="21"/>
                <w:szCs w:val="21"/>
              </w:rPr>
              <w:t>、SS、氨氮、动植物油</w:t>
            </w:r>
          </w:p>
        </w:tc>
        <w:tc>
          <w:tcPr>
            <w:tcW w:w="0" w:type="auto"/>
            <w:vMerge w:val="continue"/>
            <w:vAlign w:val="center"/>
          </w:tcPr>
          <w:p>
            <w:pPr>
              <w:pStyle w:val="140"/>
              <w:spacing w:before="3" w:line="270" w:lineRule="atLeast"/>
              <w:ind w:left="109" w:right="83" w:hanging="8"/>
              <w:rPr>
                <w:rFonts w:ascii="Times New Roman" w:hAnsi="Times New Roman" w:cs="Times New Roman" w:eastAsiaTheme="minorEastAsia"/>
                <w:spacing w:val="25"/>
                <w:sz w:val="21"/>
                <w:szCs w:val="21"/>
              </w:rPr>
            </w:pPr>
          </w:p>
        </w:tc>
      </w:tr>
    </w:tbl>
    <w:p>
      <w:pPr>
        <w:pStyle w:val="14"/>
        <w:adjustRightInd w:val="0"/>
        <w:snapToGrid w:val="0"/>
        <w:spacing w:line="240" w:lineRule="auto"/>
        <w:rPr>
          <w:rFonts w:cs="Times New Roman"/>
          <w:szCs w:val="24"/>
        </w:rPr>
      </w:pPr>
    </w:p>
    <w:p>
      <w:pPr>
        <w:pStyle w:val="14"/>
        <w:spacing w:line="240" w:lineRule="auto"/>
        <w:rPr>
          <w:rFonts w:cs="Times New Roman"/>
          <w:szCs w:val="24"/>
        </w:rPr>
      </w:pPr>
      <w:r>
        <w:rPr>
          <w:rFonts w:cs="Times New Roman"/>
          <w:szCs w:val="24"/>
        </w:rPr>
        <w:t>表</w:t>
      </w:r>
      <w:r>
        <w:rPr>
          <w:rFonts w:cs="Times New Roman"/>
          <w:szCs w:val="24"/>
        </w:rPr>
        <w:fldChar w:fldCharType="begin"/>
      </w:r>
      <w:r>
        <w:rPr>
          <w:rFonts w:cs="Times New Roman"/>
          <w:szCs w:val="24"/>
        </w:rPr>
        <w:instrText xml:space="preserve"> STYLEREF 2 \s </w:instrText>
      </w:r>
      <w:r>
        <w:rPr>
          <w:rFonts w:cs="Times New Roman"/>
          <w:szCs w:val="24"/>
        </w:rPr>
        <w:fldChar w:fldCharType="separate"/>
      </w:r>
      <w:r>
        <w:rPr>
          <w:rFonts w:cs="Times New Roman"/>
          <w:szCs w:val="24"/>
        </w:rPr>
        <w:t>5.2</w:t>
      </w:r>
      <w:r>
        <w:rPr>
          <w:rFonts w:cs="Times New Roman"/>
          <w:szCs w:val="24"/>
        </w:rPr>
        <w:fldChar w:fldCharType="end"/>
      </w:r>
      <w:r>
        <w:rPr>
          <w:rFonts w:cs="Times New Roman"/>
          <w:szCs w:val="24"/>
        </w:rPr>
        <w:noBreakHyphen/>
      </w:r>
      <w:r>
        <w:rPr>
          <w:rFonts w:cs="Times New Roman"/>
          <w:szCs w:val="24"/>
        </w:rPr>
        <w:fldChar w:fldCharType="begin"/>
      </w:r>
      <w:r>
        <w:rPr>
          <w:rFonts w:cs="Times New Roman"/>
          <w:szCs w:val="24"/>
        </w:rPr>
        <w:instrText xml:space="preserve"> SEQ 表 \* ARABIC \s 2 </w:instrText>
      </w:r>
      <w:r>
        <w:rPr>
          <w:rFonts w:cs="Times New Roman"/>
          <w:szCs w:val="24"/>
        </w:rPr>
        <w:fldChar w:fldCharType="separate"/>
      </w:r>
      <w:r>
        <w:rPr>
          <w:rFonts w:cs="Times New Roman"/>
          <w:szCs w:val="24"/>
        </w:rPr>
        <w:t>8</w:t>
      </w:r>
      <w:r>
        <w:rPr>
          <w:rFonts w:cs="Times New Roman"/>
          <w:szCs w:val="24"/>
        </w:rPr>
        <w:fldChar w:fldCharType="end"/>
      </w:r>
      <w:r>
        <w:rPr>
          <w:rFonts w:hint="eastAsia" w:cs="Times New Roman"/>
          <w:szCs w:val="24"/>
        </w:rPr>
        <w:t xml:space="preserve">  废水污染物排放信息表</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0"/>
        <w:gridCol w:w="2037"/>
        <w:gridCol w:w="2852"/>
        <w:gridCol w:w="2313"/>
        <w:gridCol w:w="4136"/>
        <w:gridCol w:w="2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pct"/>
            <w:vAlign w:val="center"/>
          </w:tcPr>
          <w:p>
            <w:pPr>
              <w:widowControl/>
              <w:adjustRightInd w:val="0"/>
              <w:snapToGrid w:val="0"/>
              <w:jc w:val="center"/>
              <w:rPr>
                <w:rFonts w:cs="Times New Roman"/>
                <w:color w:val="000000" w:themeColor="text1"/>
                <w:kern w:val="0"/>
                <w:sz w:val="21"/>
              </w:rPr>
            </w:pPr>
            <w:r>
              <w:rPr>
                <w:rFonts w:cs="Times New Roman"/>
                <w:color w:val="000000" w:themeColor="text1"/>
                <w:kern w:val="0"/>
                <w:sz w:val="21"/>
              </w:rPr>
              <w:t>序号</w:t>
            </w:r>
          </w:p>
        </w:tc>
        <w:tc>
          <w:tcPr>
            <w:tcW w:w="695" w:type="pct"/>
            <w:vAlign w:val="center"/>
          </w:tcPr>
          <w:p>
            <w:pPr>
              <w:widowControl/>
              <w:adjustRightInd w:val="0"/>
              <w:snapToGrid w:val="0"/>
              <w:jc w:val="center"/>
              <w:rPr>
                <w:rFonts w:cs="Times New Roman"/>
                <w:color w:val="000000" w:themeColor="text1"/>
                <w:kern w:val="0"/>
                <w:sz w:val="21"/>
              </w:rPr>
            </w:pPr>
            <w:r>
              <w:rPr>
                <w:rFonts w:cs="Times New Roman"/>
                <w:color w:val="000000" w:themeColor="text1"/>
                <w:kern w:val="0"/>
                <w:sz w:val="21"/>
              </w:rPr>
              <w:t>排放口编号</w:t>
            </w:r>
          </w:p>
        </w:tc>
        <w:tc>
          <w:tcPr>
            <w:tcW w:w="973" w:type="pct"/>
            <w:vAlign w:val="center"/>
          </w:tcPr>
          <w:p>
            <w:pPr>
              <w:pStyle w:val="140"/>
              <w:adjustRightInd w:val="0"/>
              <w:snapToGrid w:val="0"/>
              <w:spacing w:before="93"/>
              <w:rPr>
                <w:rFonts w:ascii="Times New Roman" w:hAnsi="Times New Roman" w:cs="Times New Roman" w:eastAsiaTheme="majorEastAsia"/>
                <w:sz w:val="21"/>
                <w:szCs w:val="21"/>
              </w:rPr>
            </w:pPr>
            <w:r>
              <w:rPr>
                <w:rFonts w:ascii="Times New Roman" w:hAnsi="Times New Roman" w:cs="Times New Roman" w:eastAsiaTheme="majorEastAsia"/>
                <w:sz w:val="21"/>
                <w:szCs w:val="21"/>
              </w:rPr>
              <w:t>污染物种类</w:t>
            </w:r>
          </w:p>
        </w:tc>
        <w:tc>
          <w:tcPr>
            <w:tcW w:w="789" w:type="pct"/>
            <w:vAlign w:val="center"/>
          </w:tcPr>
          <w:p>
            <w:pPr>
              <w:pStyle w:val="140"/>
              <w:adjustRightInd w:val="0"/>
              <w:snapToGrid w:val="0"/>
              <w:spacing w:before="93"/>
              <w:rPr>
                <w:rFonts w:ascii="Times New Roman" w:hAnsi="Times New Roman" w:cs="Times New Roman" w:eastAsiaTheme="majorEastAsia"/>
                <w:sz w:val="21"/>
                <w:szCs w:val="21"/>
              </w:rPr>
            </w:pPr>
            <w:r>
              <w:rPr>
                <w:rFonts w:ascii="Times New Roman" w:hAnsi="Times New Roman" w:cs="Times New Roman" w:eastAsiaTheme="majorEastAsia"/>
                <w:sz w:val="21"/>
                <w:szCs w:val="21"/>
              </w:rPr>
              <w:t>排放浓度/（mg/L）</w:t>
            </w:r>
          </w:p>
        </w:tc>
        <w:tc>
          <w:tcPr>
            <w:tcW w:w="1411" w:type="pct"/>
            <w:vAlign w:val="center"/>
          </w:tcPr>
          <w:p>
            <w:pPr>
              <w:pStyle w:val="140"/>
              <w:adjustRightInd w:val="0"/>
              <w:snapToGrid w:val="0"/>
              <w:spacing w:before="93"/>
              <w:rPr>
                <w:rFonts w:ascii="Times New Roman" w:hAnsi="Times New Roman" w:cs="Times New Roman" w:eastAsiaTheme="majorEastAsia"/>
                <w:sz w:val="21"/>
                <w:szCs w:val="21"/>
              </w:rPr>
            </w:pPr>
            <w:r>
              <w:rPr>
                <w:rFonts w:ascii="Times New Roman" w:hAnsi="Times New Roman" w:cs="Times New Roman" w:eastAsiaTheme="majorEastAsia"/>
                <w:sz w:val="21"/>
                <w:szCs w:val="21"/>
              </w:rPr>
              <w:t>日排放量/（t/d）</w:t>
            </w:r>
          </w:p>
        </w:tc>
        <w:tc>
          <w:tcPr>
            <w:tcW w:w="692" w:type="pct"/>
            <w:vAlign w:val="center"/>
          </w:tcPr>
          <w:p>
            <w:pPr>
              <w:pStyle w:val="140"/>
              <w:adjustRightInd w:val="0"/>
              <w:snapToGrid w:val="0"/>
              <w:spacing w:before="93"/>
              <w:rPr>
                <w:rFonts w:ascii="Times New Roman" w:hAnsi="Times New Roman" w:cs="Times New Roman" w:eastAsiaTheme="majorEastAsia"/>
                <w:sz w:val="21"/>
                <w:szCs w:val="21"/>
              </w:rPr>
            </w:pPr>
            <w:r>
              <w:rPr>
                <w:rFonts w:ascii="Times New Roman" w:hAnsi="Times New Roman" w:cs="Times New Roman" w:eastAsiaTheme="majorEastAsia"/>
                <w:sz w:val="21"/>
                <w:szCs w:val="21"/>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pct"/>
            <w:vMerge w:val="restart"/>
            <w:vAlign w:val="center"/>
          </w:tcPr>
          <w:p>
            <w:pPr>
              <w:widowControl/>
              <w:adjustRightInd w:val="0"/>
              <w:snapToGrid w:val="0"/>
              <w:jc w:val="center"/>
              <w:rPr>
                <w:rFonts w:cs="Times New Roman"/>
                <w:color w:val="000000" w:themeColor="text1"/>
                <w:kern w:val="0"/>
                <w:sz w:val="21"/>
              </w:rPr>
            </w:pPr>
            <w:r>
              <w:rPr>
                <w:rFonts w:cs="Times New Roman"/>
                <w:color w:val="000000" w:themeColor="text1"/>
                <w:kern w:val="0"/>
                <w:sz w:val="21"/>
              </w:rPr>
              <w:t>1</w:t>
            </w:r>
          </w:p>
        </w:tc>
        <w:tc>
          <w:tcPr>
            <w:tcW w:w="695" w:type="pct"/>
            <w:vMerge w:val="restart"/>
            <w:vAlign w:val="center"/>
          </w:tcPr>
          <w:p>
            <w:pPr>
              <w:widowControl/>
              <w:adjustRightInd w:val="0"/>
              <w:snapToGrid w:val="0"/>
              <w:jc w:val="center"/>
              <w:rPr>
                <w:rFonts w:cs="Times New Roman"/>
                <w:color w:val="000000" w:themeColor="text1"/>
                <w:kern w:val="0"/>
                <w:sz w:val="21"/>
              </w:rPr>
            </w:pPr>
            <w:r>
              <w:rPr>
                <w:rFonts w:cs="Times New Roman"/>
                <w:color w:val="000000" w:themeColor="text1"/>
                <w:kern w:val="0"/>
                <w:sz w:val="21"/>
              </w:rPr>
              <w:t>DW001</w:t>
            </w:r>
          </w:p>
        </w:tc>
        <w:tc>
          <w:tcPr>
            <w:tcW w:w="973" w:type="pct"/>
            <w:vAlign w:val="center"/>
          </w:tcPr>
          <w:p>
            <w:pPr>
              <w:pStyle w:val="140"/>
              <w:adjustRightInd w:val="0"/>
              <w:snapToGrid w:val="0"/>
              <w:spacing w:before="93"/>
              <w:rPr>
                <w:rFonts w:ascii="Times New Roman" w:hAnsi="Times New Roman" w:cs="Times New Roman" w:eastAsiaTheme="majorEastAsia"/>
                <w:sz w:val="21"/>
                <w:szCs w:val="21"/>
              </w:rPr>
            </w:pPr>
            <w:r>
              <w:rPr>
                <w:rFonts w:ascii="Times New Roman" w:hAnsi="Times New Roman" w:cs="Times New Roman" w:eastAsiaTheme="majorEastAsia"/>
                <w:sz w:val="21"/>
                <w:szCs w:val="21"/>
              </w:rPr>
              <w:t>COD</w:t>
            </w:r>
          </w:p>
        </w:tc>
        <w:tc>
          <w:tcPr>
            <w:tcW w:w="789" w:type="pct"/>
            <w:vAlign w:val="center"/>
          </w:tcPr>
          <w:p>
            <w:pPr>
              <w:pStyle w:val="140"/>
              <w:adjustRightInd w:val="0"/>
              <w:snapToGrid w:val="0"/>
              <w:spacing w:before="93"/>
              <w:rPr>
                <w:rFonts w:ascii="Times New Roman" w:hAnsi="Times New Roman" w:cs="Times New Roman" w:eastAsiaTheme="majorEastAsia"/>
                <w:sz w:val="21"/>
                <w:szCs w:val="21"/>
              </w:rPr>
            </w:pPr>
            <w:r>
              <w:rPr>
                <w:rFonts w:ascii="Times New Roman" w:hAnsi="Times New Roman" w:cs="Times New Roman" w:eastAsiaTheme="majorEastAsia"/>
                <w:sz w:val="21"/>
                <w:szCs w:val="21"/>
              </w:rPr>
              <w:t>162mg/L</w:t>
            </w:r>
          </w:p>
        </w:tc>
        <w:tc>
          <w:tcPr>
            <w:tcW w:w="1411" w:type="pct"/>
            <w:vAlign w:val="center"/>
          </w:tcPr>
          <w:p>
            <w:pPr>
              <w:pStyle w:val="140"/>
              <w:adjustRightInd w:val="0"/>
              <w:snapToGrid w:val="0"/>
              <w:spacing w:before="99"/>
              <w:ind w:left="1085" w:right="1051"/>
              <w:rPr>
                <w:rFonts w:ascii="Times New Roman" w:hAnsi="Times New Roman" w:cs="Times New Roman"/>
                <w:sz w:val="21"/>
                <w:szCs w:val="21"/>
              </w:rPr>
            </w:pPr>
            <w:r>
              <w:rPr>
                <w:rFonts w:ascii="Times New Roman" w:hAnsi="Times New Roman" w:cs="Times New Roman"/>
                <w:sz w:val="21"/>
                <w:szCs w:val="21"/>
              </w:rPr>
              <w:t>0.053</w:t>
            </w:r>
            <w:r>
              <w:rPr>
                <w:rFonts w:ascii="Times New Roman" w:hAnsi="Times New Roman" w:cs="Times New Roman"/>
                <w:color w:val="000000" w:themeColor="text1"/>
                <w:sz w:val="21"/>
              </w:rPr>
              <w:t>t/a</w:t>
            </w:r>
          </w:p>
        </w:tc>
        <w:tc>
          <w:tcPr>
            <w:tcW w:w="692" w:type="pct"/>
            <w:vAlign w:val="center"/>
          </w:tcPr>
          <w:p>
            <w:pPr>
              <w:adjustRightInd w:val="0"/>
              <w:snapToGrid w:val="0"/>
              <w:jc w:val="center"/>
              <w:rPr>
                <w:rFonts w:cs="Times New Roman"/>
                <w:sz w:val="21"/>
              </w:rPr>
            </w:pPr>
            <w:r>
              <w:rPr>
                <w:rFonts w:eastAsia="宋体" w:cs="Times New Roman"/>
                <w:color w:val="000000" w:themeColor="text1"/>
                <w:sz w:val="21"/>
              </w:rPr>
              <w:t>19.</w:t>
            </w:r>
            <w:r>
              <w:rPr>
                <w:rFonts w:hint="eastAsia" w:eastAsia="宋体" w:cs="Times New Roman"/>
                <w:color w:val="000000" w:themeColor="text1"/>
                <w:sz w:val="21"/>
              </w:rPr>
              <w:t>4</w:t>
            </w:r>
            <w:r>
              <w:rPr>
                <w:rFonts w:eastAsia="宋体" w:cs="Times New Roman"/>
                <w:color w:val="000000" w:themeColor="text1"/>
                <w:sz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pct"/>
            <w:vMerge w:val="continue"/>
            <w:vAlign w:val="center"/>
          </w:tcPr>
          <w:p>
            <w:pPr>
              <w:widowControl/>
              <w:adjustRightInd w:val="0"/>
              <w:snapToGrid w:val="0"/>
              <w:jc w:val="center"/>
              <w:rPr>
                <w:rFonts w:cs="Times New Roman"/>
                <w:color w:val="000000" w:themeColor="text1"/>
                <w:kern w:val="0"/>
                <w:sz w:val="21"/>
              </w:rPr>
            </w:pPr>
          </w:p>
        </w:tc>
        <w:tc>
          <w:tcPr>
            <w:tcW w:w="695" w:type="pct"/>
            <w:vMerge w:val="continue"/>
            <w:vAlign w:val="center"/>
          </w:tcPr>
          <w:p>
            <w:pPr>
              <w:widowControl/>
              <w:adjustRightInd w:val="0"/>
              <w:snapToGrid w:val="0"/>
              <w:jc w:val="center"/>
              <w:rPr>
                <w:rFonts w:cs="Times New Roman"/>
                <w:color w:val="000000" w:themeColor="text1"/>
                <w:kern w:val="0"/>
                <w:sz w:val="21"/>
              </w:rPr>
            </w:pPr>
          </w:p>
        </w:tc>
        <w:tc>
          <w:tcPr>
            <w:tcW w:w="973" w:type="pct"/>
            <w:vAlign w:val="center"/>
          </w:tcPr>
          <w:p>
            <w:pPr>
              <w:pStyle w:val="140"/>
              <w:adjustRightInd w:val="0"/>
              <w:snapToGrid w:val="0"/>
              <w:spacing w:before="93"/>
              <w:rPr>
                <w:rFonts w:ascii="Times New Roman" w:hAnsi="Times New Roman" w:cs="Times New Roman" w:eastAsiaTheme="majorEastAsia"/>
                <w:sz w:val="21"/>
                <w:szCs w:val="21"/>
              </w:rPr>
            </w:pPr>
            <w:r>
              <w:rPr>
                <w:rFonts w:ascii="Times New Roman" w:hAnsi="Times New Roman" w:cs="Times New Roman" w:eastAsiaTheme="majorEastAsia"/>
                <w:sz w:val="21"/>
                <w:szCs w:val="21"/>
              </w:rPr>
              <w:t>BOD</w:t>
            </w:r>
            <w:r>
              <w:rPr>
                <w:rFonts w:ascii="Times New Roman" w:hAnsi="Times New Roman" w:cs="Times New Roman" w:eastAsiaTheme="majorEastAsia"/>
                <w:sz w:val="21"/>
                <w:szCs w:val="21"/>
                <w:vertAlign w:val="subscript"/>
              </w:rPr>
              <w:t>5</w:t>
            </w:r>
          </w:p>
        </w:tc>
        <w:tc>
          <w:tcPr>
            <w:tcW w:w="789" w:type="pct"/>
            <w:vAlign w:val="center"/>
          </w:tcPr>
          <w:p>
            <w:pPr>
              <w:pStyle w:val="140"/>
              <w:adjustRightInd w:val="0"/>
              <w:snapToGrid w:val="0"/>
              <w:spacing w:before="93"/>
              <w:rPr>
                <w:rFonts w:ascii="Times New Roman" w:hAnsi="Times New Roman" w:cs="Times New Roman" w:eastAsiaTheme="majorEastAsia"/>
                <w:sz w:val="21"/>
                <w:szCs w:val="21"/>
              </w:rPr>
            </w:pPr>
            <w:r>
              <w:rPr>
                <w:rFonts w:ascii="Times New Roman" w:hAnsi="Times New Roman" w:cs="Times New Roman" w:eastAsiaTheme="majorEastAsia"/>
                <w:sz w:val="21"/>
                <w:szCs w:val="21"/>
              </w:rPr>
              <w:t>49.5mg/L</w:t>
            </w:r>
          </w:p>
        </w:tc>
        <w:tc>
          <w:tcPr>
            <w:tcW w:w="1411" w:type="pct"/>
            <w:vAlign w:val="center"/>
          </w:tcPr>
          <w:p>
            <w:pPr>
              <w:pStyle w:val="140"/>
              <w:adjustRightInd w:val="0"/>
              <w:snapToGrid w:val="0"/>
              <w:spacing w:before="99"/>
              <w:ind w:left="1085" w:right="1051"/>
              <w:rPr>
                <w:rFonts w:ascii="Times New Roman" w:hAnsi="Times New Roman" w:cs="Times New Roman"/>
                <w:sz w:val="21"/>
                <w:szCs w:val="21"/>
              </w:rPr>
            </w:pPr>
            <w:r>
              <w:rPr>
                <w:rFonts w:ascii="Times New Roman" w:hAnsi="Times New Roman" w:cs="Times New Roman"/>
                <w:sz w:val="21"/>
                <w:szCs w:val="21"/>
              </w:rPr>
              <w:t>0.016</w:t>
            </w:r>
            <w:r>
              <w:rPr>
                <w:rFonts w:ascii="Times New Roman" w:hAnsi="Times New Roman" w:cs="Times New Roman"/>
                <w:color w:val="000000" w:themeColor="text1"/>
                <w:sz w:val="21"/>
              </w:rPr>
              <w:t>t/a</w:t>
            </w:r>
          </w:p>
        </w:tc>
        <w:tc>
          <w:tcPr>
            <w:tcW w:w="692" w:type="pct"/>
            <w:vAlign w:val="center"/>
          </w:tcPr>
          <w:p>
            <w:pPr>
              <w:adjustRightInd w:val="0"/>
              <w:snapToGrid w:val="0"/>
              <w:jc w:val="center"/>
              <w:rPr>
                <w:rFonts w:cs="Times New Roman"/>
                <w:sz w:val="21"/>
              </w:rPr>
            </w:pPr>
            <w:r>
              <w:rPr>
                <w:rFonts w:eastAsia="宋体" w:cs="Times New Roman"/>
                <w:color w:val="000000" w:themeColor="text1"/>
                <w:sz w:val="21"/>
              </w:rPr>
              <w:t>5.9</w:t>
            </w:r>
            <w:r>
              <w:rPr>
                <w:rFonts w:hint="eastAsia" w:eastAsia="宋体" w:cs="Times New Roman"/>
                <w:color w:val="000000" w:themeColor="text1"/>
                <w:sz w:val="21"/>
              </w:rPr>
              <w:t>3</w:t>
            </w:r>
            <w:r>
              <w:rPr>
                <w:rFonts w:eastAsia="宋体" w:cs="Times New Roman"/>
                <w:color w:val="000000" w:themeColor="text1"/>
                <w:sz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pct"/>
            <w:vMerge w:val="continue"/>
            <w:vAlign w:val="center"/>
          </w:tcPr>
          <w:p>
            <w:pPr>
              <w:widowControl/>
              <w:adjustRightInd w:val="0"/>
              <w:snapToGrid w:val="0"/>
              <w:jc w:val="center"/>
              <w:rPr>
                <w:rFonts w:cs="Times New Roman"/>
                <w:color w:val="000000" w:themeColor="text1"/>
                <w:kern w:val="0"/>
                <w:sz w:val="21"/>
              </w:rPr>
            </w:pPr>
          </w:p>
        </w:tc>
        <w:tc>
          <w:tcPr>
            <w:tcW w:w="695" w:type="pct"/>
            <w:vMerge w:val="continue"/>
            <w:vAlign w:val="center"/>
          </w:tcPr>
          <w:p>
            <w:pPr>
              <w:widowControl/>
              <w:adjustRightInd w:val="0"/>
              <w:snapToGrid w:val="0"/>
              <w:jc w:val="center"/>
              <w:rPr>
                <w:rFonts w:cs="Times New Roman"/>
                <w:color w:val="000000" w:themeColor="text1"/>
                <w:kern w:val="0"/>
                <w:sz w:val="21"/>
              </w:rPr>
            </w:pPr>
          </w:p>
        </w:tc>
        <w:tc>
          <w:tcPr>
            <w:tcW w:w="973" w:type="pct"/>
            <w:vAlign w:val="center"/>
          </w:tcPr>
          <w:p>
            <w:pPr>
              <w:pStyle w:val="140"/>
              <w:adjustRightInd w:val="0"/>
              <w:snapToGrid w:val="0"/>
              <w:spacing w:before="93"/>
              <w:rPr>
                <w:rFonts w:ascii="Times New Roman" w:hAnsi="Times New Roman" w:cs="Times New Roman" w:eastAsiaTheme="majorEastAsia"/>
                <w:sz w:val="21"/>
                <w:szCs w:val="21"/>
              </w:rPr>
            </w:pPr>
            <w:r>
              <w:rPr>
                <w:rFonts w:ascii="Times New Roman" w:hAnsi="Times New Roman" w:cs="Times New Roman" w:eastAsiaTheme="majorEastAsia"/>
                <w:sz w:val="21"/>
                <w:szCs w:val="21"/>
              </w:rPr>
              <w:t>SS</w:t>
            </w:r>
          </w:p>
        </w:tc>
        <w:tc>
          <w:tcPr>
            <w:tcW w:w="789" w:type="pct"/>
            <w:vAlign w:val="center"/>
          </w:tcPr>
          <w:p>
            <w:pPr>
              <w:pStyle w:val="140"/>
              <w:adjustRightInd w:val="0"/>
              <w:snapToGrid w:val="0"/>
              <w:spacing w:before="93"/>
              <w:rPr>
                <w:rFonts w:ascii="Times New Roman" w:hAnsi="Times New Roman" w:cs="Times New Roman" w:eastAsiaTheme="majorEastAsia"/>
                <w:sz w:val="21"/>
                <w:szCs w:val="21"/>
              </w:rPr>
            </w:pPr>
            <w:r>
              <w:rPr>
                <w:rFonts w:ascii="Times New Roman" w:hAnsi="Times New Roman" w:cs="Times New Roman" w:eastAsiaTheme="majorEastAsia"/>
                <w:sz w:val="21"/>
                <w:szCs w:val="21"/>
              </w:rPr>
              <w:t>40mg/L</w:t>
            </w:r>
          </w:p>
        </w:tc>
        <w:tc>
          <w:tcPr>
            <w:tcW w:w="1411" w:type="pct"/>
            <w:vAlign w:val="center"/>
          </w:tcPr>
          <w:p>
            <w:pPr>
              <w:pStyle w:val="140"/>
              <w:adjustRightInd w:val="0"/>
              <w:snapToGrid w:val="0"/>
              <w:spacing w:before="102"/>
              <w:ind w:left="1085" w:right="1051"/>
              <w:rPr>
                <w:rFonts w:ascii="Times New Roman" w:hAnsi="Times New Roman" w:cs="Times New Roman"/>
                <w:sz w:val="21"/>
                <w:szCs w:val="21"/>
              </w:rPr>
            </w:pPr>
            <w:r>
              <w:rPr>
                <w:rFonts w:ascii="Times New Roman" w:hAnsi="Times New Roman" w:cs="Times New Roman"/>
                <w:sz w:val="21"/>
                <w:szCs w:val="21"/>
              </w:rPr>
              <w:t>0.013</w:t>
            </w:r>
            <w:r>
              <w:rPr>
                <w:rFonts w:ascii="Times New Roman" w:hAnsi="Times New Roman" w:cs="Times New Roman"/>
                <w:color w:val="000000" w:themeColor="text1"/>
                <w:sz w:val="21"/>
              </w:rPr>
              <w:t>t/a</w:t>
            </w:r>
          </w:p>
        </w:tc>
        <w:tc>
          <w:tcPr>
            <w:tcW w:w="692" w:type="pct"/>
            <w:vAlign w:val="center"/>
          </w:tcPr>
          <w:p>
            <w:pPr>
              <w:adjustRightInd w:val="0"/>
              <w:snapToGrid w:val="0"/>
              <w:jc w:val="center"/>
              <w:rPr>
                <w:rFonts w:cs="Times New Roman"/>
                <w:sz w:val="21"/>
              </w:rPr>
            </w:pPr>
            <w:r>
              <w:rPr>
                <w:rFonts w:eastAsia="宋体" w:cs="Times New Roman"/>
                <w:color w:val="000000" w:themeColor="text1"/>
                <w:sz w:val="21"/>
              </w:rPr>
              <w:t>4.8t/a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pct"/>
            <w:vMerge w:val="continue"/>
            <w:vAlign w:val="center"/>
          </w:tcPr>
          <w:p>
            <w:pPr>
              <w:widowControl/>
              <w:adjustRightInd w:val="0"/>
              <w:snapToGrid w:val="0"/>
              <w:jc w:val="center"/>
              <w:rPr>
                <w:rFonts w:cs="Times New Roman"/>
                <w:color w:val="000000" w:themeColor="text1"/>
                <w:kern w:val="0"/>
                <w:sz w:val="21"/>
              </w:rPr>
            </w:pPr>
          </w:p>
        </w:tc>
        <w:tc>
          <w:tcPr>
            <w:tcW w:w="695" w:type="pct"/>
            <w:vMerge w:val="continue"/>
            <w:vAlign w:val="center"/>
          </w:tcPr>
          <w:p>
            <w:pPr>
              <w:widowControl/>
              <w:adjustRightInd w:val="0"/>
              <w:snapToGrid w:val="0"/>
              <w:jc w:val="center"/>
              <w:rPr>
                <w:rFonts w:cs="Times New Roman"/>
                <w:color w:val="000000" w:themeColor="text1"/>
                <w:kern w:val="0"/>
                <w:sz w:val="21"/>
              </w:rPr>
            </w:pPr>
          </w:p>
        </w:tc>
        <w:tc>
          <w:tcPr>
            <w:tcW w:w="973" w:type="pct"/>
            <w:vAlign w:val="center"/>
          </w:tcPr>
          <w:p>
            <w:pPr>
              <w:pStyle w:val="140"/>
              <w:adjustRightInd w:val="0"/>
              <w:snapToGrid w:val="0"/>
              <w:spacing w:before="93"/>
              <w:rPr>
                <w:rFonts w:ascii="Times New Roman" w:hAnsi="Times New Roman" w:cs="Times New Roman" w:eastAsiaTheme="majorEastAsia"/>
                <w:sz w:val="21"/>
                <w:szCs w:val="21"/>
              </w:rPr>
            </w:pPr>
            <w:r>
              <w:rPr>
                <w:rFonts w:ascii="Times New Roman" w:hAnsi="Times New Roman" w:cs="Times New Roman" w:eastAsiaTheme="majorEastAsia"/>
                <w:sz w:val="21"/>
                <w:szCs w:val="21"/>
              </w:rPr>
              <w:t>氨氮</w:t>
            </w:r>
          </w:p>
        </w:tc>
        <w:tc>
          <w:tcPr>
            <w:tcW w:w="789" w:type="pct"/>
            <w:vAlign w:val="center"/>
          </w:tcPr>
          <w:p>
            <w:pPr>
              <w:pStyle w:val="140"/>
              <w:adjustRightInd w:val="0"/>
              <w:snapToGrid w:val="0"/>
              <w:spacing w:before="93"/>
              <w:rPr>
                <w:rFonts w:ascii="Times New Roman" w:hAnsi="Times New Roman" w:cs="Times New Roman" w:eastAsiaTheme="majorEastAsia"/>
                <w:sz w:val="21"/>
                <w:szCs w:val="21"/>
              </w:rPr>
            </w:pPr>
            <w:r>
              <w:rPr>
                <w:rFonts w:ascii="Times New Roman" w:hAnsi="Times New Roman" w:cs="Times New Roman" w:eastAsiaTheme="majorEastAsia"/>
                <w:sz w:val="21"/>
                <w:szCs w:val="21"/>
              </w:rPr>
              <w:t>14.4mg/L</w:t>
            </w:r>
          </w:p>
        </w:tc>
        <w:tc>
          <w:tcPr>
            <w:tcW w:w="1411" w:type="pct"/>
            <w:vAlign w:val="center"/>
          </w:tcPr>
          <w:p>
            <w:pPr>
              <w:pStyle w:val="140"/>
              <w:adjustRightInd w:val="0"/>
              <w:snapToGrid w:val="0"/>
              <w:spacing w:before="10"/>
              <w:ind w:left="1086" w:right="1051"/>
              <w:rPr>
                <w:rFonts w:ascii="Times New Roman" w:hAnsi="Times New Roman" w:cs="Times New Roman"/>
                <w:sz w:val="21"/>
                <w:szCs w:val="21"/>
              </w:rPr>
            </w:pPr>
            <w:r>
              <w:rPr>
                <w:rFonts w:ascii="Times New Roman" w:hAnsi="Times New Roman" w:cs="Times New Roman"/>
                <w:sz w:val="21"/>
                <w:szCs w:val="21"/>
              </w:rPr>
              <w:t>0.0047</w:t>
            </w:r>
            <w:r>
              <w:rPr>
                <w:rFonts w:ascii="Times New Roman" w:hAnsi="Times New Roman" w:cs="Times New Roman"/>
                <w:color w:val="000000" w:themeColor="text1"/>
                <w:sz w:val="21"/>
              </w:rPr>
              <w:t>t/a</w:t>
            </w:r>
          </w:p>
        </w:tc>
        <w:tc>
          <w:tcPr>
            <w:tcW w:w="692" w:type="pct"/>
            <w:vAlign w:val="center"/>
          </w:tcPr>
          <w:p>
            <w:pPr>
              <w:adjustRightInd w:val="0"/>
              <w:snapToGrid w:val="0"/>
              <w:jc w:val="center"/>
              <w:rPr>
                <w:rFonts w:cs="Times New Roman"/>
                <w:sz w:val="21"/>
              </w:rPr>
            </w:pPr>
            <w:r>
              <w:rPr>
                <w:rFonts w:eastAsia="宋体" w:cs="Times New Roman"/>
                <w:color w:val="000000" w:themeColor="text1"/>
                <w:sz w:val="21"/>
              </w:rPr>
              <w:t>1.72t/a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pct"/>
            <w:vMerge w:val="continue"/>
            <w:vAlign w:val="center"/>
          </w:tcPr>
          <w:p>
            <w:pPr>
              <w:widowControl/>
              <w:adjustRightInd w:val="0"/>
              <w:snapToGrid w:val="0"/>
              <w:jc w:val="center"/>
              <w:rPr>
                <w:rFonts w:cs="Times New Roman"/>
                <w:color w:val="000000" w:themeColor="text1"/>
                <w:kern w:val="0"/>
                <w:sz w:val="21"/>
              </w:rPr>
            </w:pPr>
          </w:p>
        </w:tc>
        <w:tc>
          <w:tcPr>
            <w:tcW w:w="695" w:type="pct"/>
            <w:vMerge w:val="continue"/>
            <w:vAlign w:val="center"/>
          </w:tcPr>
          <w:p>
            <w:pPr>
              <w:widowControl/>
              <w:adjustRightInd w:val="0"/>
              <w:snapToGrid w:val="0"/>
              <w:jc w:val="center"/>
              <w:rPr>
                <w:rFonts w:cs="Times New Roman"/>
                <w:color w:val="000000" w:themeColor="text1"/>
                <w:kern w:val="0"/>
                <w:sz w:val="21"/>
              </w:rPr>
            </w:pPr>
          </w:p>
        </w:tc>
        <w:tc>
          <w:tcPr>
            <w:tcW w:w="973" w:type="pct"/>
            <w:vAlign w:val="center"/>
          </w:tcPr>
          <w:p>
            <w:pPr>
              <w:pStyle w:val="140"/>
              <w:adjustRightInd w:val="0"/>
              <w:snapToGrid w:val="0"/>
              <w:spacing w:before="93"/>
              <w:rPr>
                <w:rFonts w:ascii="Times New Roman" w:hAnsi="Times New Roman" w:cs="Times New Roman" w:eastAsiaTheme="majorEastAsia"/>
                <w:sz w:val="21"/>
                <w:szCs w:val="21"/>
              </w:rPr>
            </w:pPr>
            <w:r>
              <w:rPr>
                <w:rFonts w:ascii="Times New Roman" w:hAnsi="Times New Roman" w:cs="Times New Roman" w:eastAsiaTheme="majorEastAsia"/>
                <w:sz w:val="21"/>
                <w:szCs w:val="21"/>
              </w:rPr>
              <w:t>粪大肠杆菌</w:t>
            </w:r>
          </w:p>
        </w:tc>
        <w:tc>
          <w:tcPr>
            <w:tcW w:w="789" w:type="pct"/>
            <w:vAlign w:val="center"/>
          </w:tcPr>
          <w:p>
            <w:pPr>
              <w:pStyle w:val="140"/>
              <w:adjustRightInd w:val="0"/>
              <w:snapToGrid w:val="0"/>
              <w:spacing w:before="93"/>
              <w:rPr>
                <w:rFonts w:ascii="Times New Roman" w:hAnsi="Times New Roman" w:cs="Times New Roman" w:eastAsiaTheme="majorEastAsia"/>
                <w:sz w:val="21"/>
                <w:szCs w:val="21"/>
              </w:rPr>
            </w:pPr>
            <w:r>
              <w:rPr>
                <w:rFonts w:ascii="Times New Roman" w:hAnsi="Times New Roman" w:cs="Times New Roman" w:eastAsiaTheme="majorEastAsia"/>
                <w:sz w:val="21"/>
                <w:szCs w:val="21"/>
              </w:rPr>
              <w:t>4700个/L</w:t>
            </w:r>
          </w:p>
        </w:tc>
        <w:tc>
          <w:tcPr>
            <w:tcW w:w="1411" w:type="pct"/>
            <w:vAlign w:val="center"/>
          </w:tcPr>
          <w:p>
            <w:pPr>
              <w:pStyle w:val="140"/>
              <w:adjustRightInd w:val="0"/>
              <w:snapToGrid w:val="0"/>
              <w:spacing w:before="99"/>
              <w:ind w:left="1085" w:right="1051"/>
              <w:rPr>
                <w:rFonts w:ascii="Times New Roman" w:hAnsi="Times New Roman" w:cs="Times New Roman"/>
                <w:sz w:val="21"/>
                <w:szCs w:val="21"/>
              </w:rPr>
            </w:pPr>
            <w:r>
              <w:rPr>
                <w:rFonts w:ascii="Times New Roman" w:hAnsi="Times New Roman" w:cs="Times New Roman"/>
                <w:sz w:val="21"/>
                <w:szCs w:val="21"/>
              </w:rPr>
              <w:t>1.53个/L</w:t>
            </w:r>
          </w:p>
        </w:tc>
        <w:tc>
          <w:tcPr>
            <w:tcW w:w="692" w:type="pct"/>
            <w:vAlign w:val="center"/>
          </w:tcPr>
          <w:p>
            <w:pPr>
              <w:adjustRightInd w:val="0"/>
              <w:snapToGrid w:val="0"/>
              <w:jc w:val="center"/>
              <w:rPr>
                <w:rFonts w:cs="Times New Roman"/>
                <w:sz w:val="21"/>
              </w:rPr>
            </w:pPr>
            <w:r>
              <w:rPr>
                <w:rFonts w:eastAsia="宋体" w:cs="Times New Roman"/>
                <w:color w:val="000000" w:themeColor="text1"/>
                <w:sz w:val="21"/>
              </w:rPr>
              <w:t>561.</w:t>
            </w:r>
            <w:r>
              <w:rPr>
                <w:rFonts w:hint="eastAsia" w:eastAsia="宋体" w:cs="Times New Roman"/>
                <w:color w:val="000000" w:themeColor="text1"/>
                <w:sz w:val="21"/>
              </w:rPr>
              <w:t>8</w:t>
            </w:r>
            <w:r>
              <w:rPr>
                <w:rFonts w:cs="Times New Roman"/>
                <w:color w:val="000000" w:themeColor="text1"/>
                <w:szCs w:val="24"/>
              </w:rPr>
              <w:t>个/L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pct"/>
            <w:vMerge w:val="continue"/>
            <w:vAlign w:val="center"/>
          </w:tcPr>
          <w:p>
            <w:pPr>
              <w:widowControl/>
              <w:adjustRightInd w:val="0"/>
              <w:snapToGrid w:val="0"/>
              <w:jc w:val="center"/>
              <w:rPr>
                <w:rFonts w:cs="Times New Roman"/>
                <w:color w:val="000000" w:themeColor="text1"/>
                <w:kern w:val="0"/>
                <w:sz w:val="21"/>
              </w:rPr>
            </w:pPr>
          </w:p>
        </w:tc>
        <w:tc>
          <w:tcPr>
            <w:tcW w:w="695" w:type="pct"/>
            <w:vMerge w:val="continue"/>
            <w:vAlign w:val="center"/>
          </w:tcPr>
          <w:p>
            <w:pPr>
              <w:widowControl/>
              <w:adjustRightInd w:val="0"/>
              <w:snapToGrid w:val="0"/>
              <w:jc w:val="center"/>
              <w:rPr>
                <w:rFonts w:cs="Times New Roman"/>
                <w:color w:val="000000" w:themeColor="text1"/>
                <w:kern w:val="0"/>
                <w:sz w:val="21"/>
              </w:rPr>
            </w:pPr>
          </w:p>
        </w:tc>
        <w:tc>
          <w:tcPr>
            <w:tcW w:w="973" w:type="pct"/>
            <w:vAlign w:val="center"/>
          </w:tcPr>
          <w:p>
            <w:pPr>
              <w:pStyle w:val="140"/>
              <w:adjustRightInd w:val="0"/>
              <w:snapToGrid w:val="0"/>
              <w:spacing w:before="93"/>
              <w:rPr>
                <w:rFonts w:ascii="Times New Roman" w:hAnsi="Times New Roman" w:cs="Times New Roman" w:eastAsiaTheme="majorEastAsia"/>
                <w:sz w:val="21"/>
                <w:szCs w:val="21"/>
              </w:rPr>
            </w:pPr>
            <w:r>
              <w:rPr>
                <w:rFonts w:ascii="Times New Roman" w:hAnsi="Times New Roman" w:cs="Times New Roman" w:eastAsiaTheme="majorEastAsia"/>
                <w:sz w:val="21"/>
                <w:szCs w:val="21"/>
              </w:rPr>
              <w:t>总氮</w:t>
            </w:r>
          </w:p>
        </w:tc>
        <w:tc>
          <w:tcPr>
            <w:tcW w:w="789" w:type="pct"/>
            <w:vAlign w:val="center"/>
          </w:tcPr>
          <w:p>
            <w:pPr>
              <w:pStyle w:val="140"/>
              <w:adjustRightInd w:val="0"/>
              <w:snapToGrid w:val="0"/>
              <w:spacing w:before="93"/>
              <w:rPr>
                <w:rFonts w:ascii="Times New Roman" w:hAnsi="Times New Roman" w:cs="Times New Roman" w:eastAsiaTheme="majorEastAsia"/>
                <w:sz w:val="21"/>
                <w:szCs w:val="21"/>
              </w:rPr>
            </w:pPr>
            <w:r>
              <w:rPr>
                <w:rFonts w:ascii="Times New Roman" w:hAnsi="Times New Roman" w:cs="Times New Roman" w:eastAsiaTheme="majorEastAsia"/>
                <w:sz w:val="21"/>
                <w:szCs w:val="21"/>
              </w:rPr>
              <w:t>25.3mg/L</w:t>
            </w:r>
          </w:p>
        </w:tc>
        <w:tc>
          <w:tcPr>
            <w:tcW w:w="1411" w:type="pct"/>
            <w:vAlign w:val="center"/>
          </w:tcPr>
          <w:p>
            <w:pPr>
              <w:pStyle w:val="140"/>
              <w:adjustRightInd w:val="0"/>
              <w:snapToGrid w:val="0"/>
              <w:spacing w:before="99"/>
              <w:ind w:left="1085" w:right="1051"/>
              <w:rPr>
                <w:rFonts w:ascii="Times New Roman" w:hAnsi="Times New Roman" w:cs="Times New Roman"/>
                <w:sz w:val="21"/>
                <w:szCs w:val="21"/>
              </w:rPr>
            </w:pPr>
            <w:r>
              <w:rPr>
                <w:rFonts w:ascii="Times New Roman" w:hAnsi="Times New Roman" w:cs="Times New Roman"/>
                <w:sz w:val="21"/>
                <w:szCs w:val="21"/>
              </w:rPr>
              <w:t>0.0083</w:t>
            </w:r>
            <w:r>
              <w:rPr>
                <w:rFonts w:ascii="Times New Roman" w:hAnsi="Times New Roman" w:cs="Times New Roman"/>
                <w:color w:val="000000" w:themeColor="text1"/>
                <w:sz w:val="21"/>
              </w:rPr>
              <w:t>t/a</w:t>
            </w:r>
          </w:p>
        </w:tc>
        <w:tc>
          <w:tcPr>
            <w:tcW w:w="692" w:type="pct"/>
            <w:vAlign w:val="center"/>
          </w:tcPr>
          <w:p>
            <w:pPr>
              <w:adjustRightInd w:val="0"/>
              <w:snapToGrid w:val="0"/>
              <w:jc w:val="center"/>
              <w:rPr>
                <w:rFonts w:cs="Times New Roman"/>
                <w:sz w:val="21"/>
              </w:rPr>
            </w:pPr>
            <w:r>
              <w:rPr>
                <w:rFonts w:eastAsia="宋体" w:cs="Times New Roman"/>
                <w:color w:val="000000" w:themeColor="text1"/>
                <w:sz w:val="21"/>
              </w:rPr>
              <w:t>3.02t/a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pct"/>
            <w:vMerge w:val="continue"/>
            <w:vAlign w:val="center"/>
          </w:tcPr>
          <w:p>
            <w:pPr>
              <w:widowControl/>
              <w:adjustRightInd w:val="0"/>
              <w:snapToGrid w:val="0"/>
              <w:jc w:val="center"/>
              <w:rPr>
                <w:rFonts w:cs="Times New Roman"/>
                <w:color w:val="000000" w:themeColor="text1"/>
                <w:kern w:val="0"/>
                <w:sz w:val="21"/>
              </w:rPr>
            </w:pPr>
          </w:p>
        </w:tc>
        <w:tc>
          <w:tcPr>
            <w:tcW w:w="695" w:type="pct"/>
            <w:vMerge w:val="continue"/>
            <w:vAlign w:val="center"/>
          </w:tcPr>
          <w:p>
            <w:pPr>
              <w:widowControl/>
              <w:adjustRightInd w:val="0"/>
              <w:snapToGrid w:val="0"/>
              <w:jc w:val="center"/>
              <w:rPr>
                <w:rFonts w:cs="Times New Roman"/>
                <w:color w:val="000000" w:themeColor="text1"/>
                <w:kern w:val="0"/>
                <w:sz w:val="21"/>
              </w:rPr>
            </w:pPr>
          </w:p>
        </w:tc>
        <w:tc>
          <w:tcPr>
            <w:tcW w:w="973" w:type="pct"/>
            <w:vAlign w:val="center"/>
          </w:tcPr>
          <w:p>
            <w:pPr>
              <w:pStyle w:val="140"/>
              <w:adjustRightInd w:val="0"/>
              <w:snapToGrid w:val="0"/>
              <w:spacing w:before="93"/>
              <w:rPr>
                <w:rFonts w:ascii="Times New Roman" w:hAnsi="Times New Roman" w:cs="Times New Roman" w:eastAsiaTheme="majorEastAsia"/>
                <w:sz w:val="21"/>
                <w:szCs w:val="21"/>
              </w:rPr>
            </w:pPr>
            <w:r>
              <w:rPr>
                <w:rFonts w:ascii="Times New Roman" w:hAnsi="Times New Roman" w:cs="Times New Roman" w:eastAsiaTheme="majorEastAsia"/>
                <w:sz w:val="21"/>
                <w:szCs w:val="21"/>
              </w:rPr>
              <w:t>总磷</w:t>
            </w:r>
          </w:p>
        </w:tc>
        <w:tc>
          <w:tcPr>
            <w:tcW w:w="789" w:type="pct"/>
            <w:vAlign w:val="center"/>
          </w:tcPr>
          <w:p>
            <w:pPr>
              <w:pStyle w:val="140"/>
              <w:adjustRightInd w:val="0"/>
              <w:snapToGrid w:val="0"/>
              <w:spacing w:before="93"/>
              <w:rPr>
                <w:rFonts w:ascii="Times New Roman" w:hAnsi="Times New Roman" w:cs="Times New Roman" w:eastAsiaTheme="majorEastAsia"/>
                <w:sz w:val="21"/>
                <w:szCs w:val="21"/>
              </w:rPr>
            </w:pPr>
            <w:r>
              <w:rPr>
                <w:rFonts w:ascii="Times New Roman" w:hAnsi="Times New Roman" w:cs="Times New Roman" w:eastAsiaTheme="majorEastAsia"/>
                <w:sz w:val="21"/>
                <w:szCs w:val="21"/>
              </w:rPr>
              <w:t>1.2mg/L</w:t>
            </w:r>
          </w:p>
        </w:tc>
        <w:tc>
          <w:tcPr>
            <w:tcW w:w="1411" w:type="pct"/>
            <w:vAlign w:val="center"/>
          </w:tcPr>
          <w:p>
            <w:pPr>
              <w:pStyle w:val="140"/>
              <w:adjustRightInd w:val="0"/>
              <w:snapToGrid w:val="0"/>
              <w:spacing w:before="99"/>
              <w:ind w:left="1085" w:right="1051"/>
              <w:rPr>
                <w:rFonts w:ascii="Times New Roman" w:hAnsi="Times New Roman" w:cs="Times New Roman"/>
                <w:sz w:val="21"/>
                <w:szCs w:val="21"/>
              </w:rPr>
            </w:pPr>
            <w:r>
              <w:rPr>
                <w:rFonts w:ascii="Times New Roman" w:hAnsi="Times New Roman" w:cs="Times New Roman"/>
                <w:sz w:val="21"/>
                <w:szCs w:val="21"/>
              </w:rPr>
              <w:t>0.86</w:t>
            </w:r>
            <w:r>
              <w:rPr>
                <w:rFonts w:ascii="Times New Roman" w:hAnsi="Times New Roman" w:cs="Times New Roman"/>
                <w:color w:val="000000" w:themeColor="text1"/>
                <w:sz w:val="21"/>
              </w:rPr>
              <w:t>t/a</w:t>
            </w:r>
          </w:p>
        </w:tc>
        <w:tc>
          <w:tcPr>
            <w:tcW w:w="692" w:type="pct"/>
            <w:vAlign w:val="center"/>
          </w:tcPr>
          <w:p>
            <w:pPr>
              <w:adjustRightInd w:val="0"/>
              <w:snapToGrid w:val="0"/>
              <w:jc w:val="center"/>
              <w:rPr>
                <w:rFonts w:cs="Times New Roman"/>
                <w:sz w:val="21"/>
              </w:rPr>
            </w:pPr>
            <w:r>
              <w:rPr>
                <w:rFonts w:eastAsia="宋体" w:cs="Times New Roman"/>
                <w:color w:val="000000" w:themeColor="text1"/>
                <w:sz w:val="21"/>
              </w:rPr>
              <w:t>0.14t/a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pct"/>
            <w:vMerge w:val="continue"/>
            <w:vAlign w:val="center"/>
          </w:tcPr>
          <w:p>
            <w:pPr>
              <w:widowControl/>
              <w:adjustRightInd w:val="0"/>
              <w:snapToGrid w:val="0"/>
              <w:jc w:val="center"/>
              <w:rPr>
                <w:rFonts w:cs="Times New Roman"/>
                <w:color w:val="000000" w:themeColor="text1"/>
                <w:kern w:val="0"/>
                <w:sz w:val="21"/>
              </w:rPr>
            </w:pPr>
          </w:p>
        </w:tc>
        <w:tc>
          <w:tcPr>
            <w:tcW w:w="695" w:type="pct"/>
            <w:vMerge w:val="continue"/>
            <w:vAlign w:val="center"/>
          </w:tcPr>
          <w:p>
            <w:pPr>
              <w:widowControl/>
              <w:adjustRightInd w:val="0"/>
              <w:snapToGrid w:val="0"/>
              <w:jc w:val="center"/>
              <w:rPr>
                <w:rFonts w:cs="Times New Roman"/>
                <w:color w:val="000000" w:themeColor="text1"/>
                <w:kern w:val="0"/>
                <w:sz w:val="21"/>
              </w:rPr>
            </w:pPr>
          </w:p>
        </w:tc>
        <w:tc>
          <w:tcPr>
            <w:tcW w:w="973" w:type="pct"/>
            <w:vAlign w:val="center"/>
          </w:tcPr>
          <w:p>
            <w:pPr>
              <w:pStyle w:val="140"/>
              <w:adjustRightInd w:val="0"/>
              <w:snapToGrid w:val="0"/>
              <w:spacing w:before="93"/>
              <w:rPr>
                <w:rFonts w:ascii="Times New Roman" w:hAnsi="Times New Roman" w:cs="Times New Roman" w:eastAsiaTheme="majorEastAsia"/>
                <w:sz w:val="21"/>
                <w:szCs w:val="21"/>
              </w:rPr>
            </w:pPr>
            <w:r>
              <w:rPr>
                <w:rFonts w:ascii="Times New Roman" w:hAnsi="Times New Roman" w:cs="Times New Roman" w:eastAsiaTheme="majorEastAsia"/>
                <w:sz w:val="21"/>
                <w:szCs w:val="21"/>
              </w:rPr>
              <w:t>阴离子表面活性剂</w:t>
            </w:r>
          </w:p>
        </w:tc>
        <w:tc>
          <w:tcPr>
            <w:tcW w:w="789" w:type="pct"/>
            <w:vAlign w:val="center"/>
          </w:tcPr>
          <w:p>
            <w:pPr>
              <w:pStyle w:val="140"/>
              <w:adjustRightInd w:val="0"/>
              <w:snapToGrid w:val="0"/>
              <w:spacing w:before="93"/>
              <w:rPr>
                <w:rFonts w:ascii="Times New Roman" w:hAnsi="Times New Roman" w:cs="Times New Roman" w:eastAsiaTheme="majorEastAsia"/>
                <w:sz w:val="21"/>
                <w:szCs w:val="21"/>
              </w:rPr>
            </w:pPr>
            <w:r>
              <w:rPr>
                <w:rFonts w:ascii="Times New Roman" w:hAnsi="Times New Roman" w:cs="Times New Roman" w:eastAsiaTheme="majorEastAsia"/>
                <w:sz w:val="21"/>
                <w:szCs w:val="21"/>
              </w:rPr>
              <w:t>0.2mg/L</w:t>
            </w:r>
          </w:p>
        </w:tc>
        <w:tc>
          <w:tcPr>
            <w:tcW w:w="1411" w:type="pct"/>
            <w:vAlign w:val="center"/>
          </w:tcPr>
          <w:p>
            <w:pPr>
              <w:pStyle w:val="140"/>
              <w:adjustRightInd w:val="0"/>
              <w:snapToGrid w:val="0"/>
              <w:spacing w:before="99"/>
              <w:ind w:left="1085" w:right="1051"/>
              <w:rPr>
                <w:rFonts w:ascii="Times New Roman" w:hAnsi="Times New Roman" w:cs="Times New Roman"/>
                <w:sz w:val="21"/>
                <w:szCs w:val="21"/>
              </w:rPr>
            </w:pPr>
            <w:r>
              <w:rPr>
                <w:rFonts w:ascii="Times New Roman" w:hAnsi="Times New Roman" w:cs="Times New Roman"/>
                <w:sz w:val="21"/>
                <w:szCs w:val="21"/>
              </w:rPr>
              <w:t>0.000065</w:t>
            </w:r>
            <w:r>
              <w:rPr>
                <w:rFonts w:ascii="Times New Roman" w:hAnsi="Times New Roman" w:cs="Times New Roman"/>
                <w:color w:val="000000" w:themeColor="text1"/>
                <w:sz w:val="21"/>
              </w:rPr>
              <w:t>t/a</w:t>
            </w:r>
          </w:p>
        </w:tc>
        <w:tc>
          <w:tcPr>
            <w:tcW w:w="692" w:type="pct"/>
            <w:vAlign w:val="center"/>
          </w:tcPr>
          <w:p>
            <w:pPr>
              <w:adjustRightInd w:val="0"/>
              <w:snapToGrid w:val="0"/>
              <w:jc w:val="center"/>
              <w:rPr>
                <w:rFonts w:cs="Times New Roman"/>
                <w:sz w:val="21"/>
              </w:rPr>
            </w:pPr>
            <w:r>
              <w:rPr>
                <w:rFonts w:eastAsia="宋体" w:cs="Times New Roman"/>
                <w:color w:val="000000" w:themeColor="text1"/>
                <w:sz w:val="21"/>
              </w:rPr>
              <w:t>0.024t/a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pct"/>
            <w:vMerge w:val="continue"/>
            <w:vAlign w:val="center"/>
          </w:tcPr>
          <w:p>
            <w:pPr>
              <w:widowControl/>
              <w:adjustRightInd w:val="0"/>
              <w:snapToGrid w:val="0"/>
              <w:jc w:val="center"/>
              <w:rPr>
                <w:rFonts w:cs="Times New Roman"/>
                <w:color w:val="000000" w:themeColor="text1"/>
                <w:kern w:val="0"/>
                <w:sz w:val="21"/>
              </w:rPr>
            </w:pPr>
          </w:p>
        </w:tc>
        <w:tc>
          <w:tcPr>
            <w:tcW w:w="695" w:type="pct"/>
            <w:vMerge w:val="continue"/>
            <w:vAlign w:val="center"/>
          </w:tcPr>
          <w:p>
            <w:pPr>
              <w:widowControl/>
              <w:adjustRightInd w:val="0"/>
              <w:snapToGrid w:val="0"/>
              <w:jc w:val="center"/>
              <w:rPr>
                <w:rFonts w:cs="Times New Roman"/>
                <w:color w:val="000000" w:themeColor="text1"/>
                <w:kern w:val="0"/>
                <w:sz w:val="21"/>
              </w:rPr>
            </w:pPr>
          </w:p>
        </w:tc>
        <w:tc>
          <w:tcPr>
            <w:tcW w:w="973" w:type="pct"/>
            <w:vAlign w:val="center"/>
          </w:tcPr>
          <w:p>
            <w:pPr>
              <w:pStyle w:val="140"/>
              <w:adjustRightInd w:val="0"/>
              <w:snapToGrid w:val="0"/>
              <w:spacing w:before="93"/>
              <w:rPr>
                <w:rFonts w:ascii="Times New Roman" w:hAnsi="Times New Roman" w:cs="Times New Roman" w:eastAsiaTheme="majorEastAsia"/>
                <w:sz w:val="21"/>
                <w:szCs w:val="21"/>
              </w:rPr>
            </w:pPr>
            <w:r>
              <w:rPr>
                <w:rFonts w:ascii="Times New Roman" w:hAnsi="Times New Roman" w:cs="Times New Roman" w:eastAsiaTheme="majorEastAsia"/>
                <w:sz w:val="21"/>
                <w:szCs w:val="21"/>
              </w:rPr>
              <w:t>总余氯</w:t>
            </w:r>
          </w:p>
        </w:tc>
        <w:tc>
          <w:tcPr>
            <w:tcW w:w="789" w:type="pct"/>
            <w:vAlign w:val="center"/>
          </w:tcPr>
          <w:p>
            <w:pPr>
              <w:pStyle w:val="140"/>
              <w:adjustRightInd w:val="0"/>
              <w:snapToGrid w:val="0"/>
              <w:spacing w:before="93"/>
              <w:rPr>
                <w:rFonts w:ascii="Times New Roman" w:hAnsi="Times New Roman" w:cs="Times New Roman" w:eastAsiaTheme="majorEastAsia"/>
                <w:sz w:val="21"/>
                <w:szCs w:val="21"/>
              </w:rPr>
            </w:pPr>
            <w:r>
              <w:rPr>
                <w:rFonts w:ascii="Times New Roman" w:hAnsi="Times New Roman" w:cs="Times New Roman" w:eastAsiaTheme="majorEastAsia"/>
                <w:sz w:val="21"/>
                <w:szCs w:val="21"/>
              </w:rPr>
              <w:t>0.04mg/L</w:t>
            </w:r>
          </w:p>
        </w:tc>
        <w:tc>
          <w:tcPr>
            <w:tcW w:w="1411" w:type="pct"/>
            <w:vAlign w:val="center"/>
          </w:tcPr>
          <w:p>
            <w:pPr>
              <w:pStyle w:val="140"/>
              <w:adjustRightInd w:val="0"/>
              <w:snapToGrid w:val="0"/>
              <w:spacing w:before="99"/>
              <w:ind w:left="1085" w:right="1051"/>
              <w:rPr>
                <w:rFonts w:ascii="Times New Roman" w:hAnsi="Times New Roman" w:cs="Times New Roman"/>
                <w:sz w:val="21"/>
                <w:szCs w:val="21"/>
              </w:rPr>
            </w:pPr>
            <w:r>
              <w:rPr>
                <w:rFonts w:ascii="Times New Roman" w:hAnsi="Times New Roman" w:cs="Times New Roman"/>
                <w:sz w:val="21"/>
                <w:szCs w:val="21"/>
              </w:rPr>
              <w:t>0.000013</w:t>
            </w:r>
            <w:r>
              <w:rPr>
                <w:rFonts w:ascii="Times New Roman" w:hAnsi="Times New Roman" w:cs="Times New Roman"/>
                <w:color w:val="000000" w:themeColor="text1"/>
                <w:sz w:val="21"/>
              </w:rPr>
              <w:t>t/a</w:t>
            </w:r>
          </w:p>
        </w:tc>
        <w:tc>
          <w:tcPr>
            <w:tcW w:w="692" w:type="pct"/>
            <w:vAlign w:val="center"/>
          </w:tcPr>
          <w:p>
            <w:pPr>
              <w:adjustRightInd w:val="0"/>
              <w:snapToGrid w:val="0"/>
              <w:jc w:val="center"/>
              <w:rPr>
                <w:rFonts w:cs="Times New Roman"/>
                <w:sz w:val="21"/>
              </w:rPr>
            </w:pPr>
            <w:r>
              <w:rPr>
                <w:rFonts w:eastAsia="宋体" w:cs="Times New Roman"/>
                <w:color w:val="000000" w:themeColor="text1"/>
                <w:sz w:val="21"/>
              </w:rPr>
              <w:t>0.005t/a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pct"/>
            <w:vMerge w:val="continue"/>
            <w:vAlign w:val="center"/>
          </w:tcPr>
          <w:p>
            <w:pPr>
              <w:widowControl/>
              <w:adjustRightInd w:val="0"/>
              <w:snapToGrid w:val="0"/>
              <w:jc w:val="center"/>
              <w:rPr>
                <w:rFonts w:cs="Times New Roman"/>
                <w:color w:val="000000" w:themeColor="text1"/>
                <w:kern w:val="0"/>
                <w:sz w:val="21"/>
              </w:rPr>
            </w:pPr>
          </w:p>
        </w:tc>
        <w:tc>
          <w:tcPr>
            <w:tcW w:w="695" w:type="pct"/>
            <w:vMerge w:val="continue"/>
            <w:vAlign w:val="center"/>
          </w:tcPr>
          <w:p>
            <w:pPr>
              <w:widowControl/>
              <w:adjustRightInd w:val="0"/>
              <w:snapToGrid w:val="0"/>
              <w:jc w:val="center"/>
              <w:rPr>
                <w:rFonts w:cs="Times New Roman"/>
                <w:color w:val="000000" w:themeColor="text1"/>
                <w:kern w:val="0"/>
                <w:sz w:val="21"/>
              </w:rPr>
            </w:pPr>
          </w:p>
        </w:tc>
        <w:tc>
          <w:tcPr>
            <w:tcW w:w="973" w:type="pct"/>
            <w:vAlign w:val="center"/>
          </w:tcPr>
          <w:p>
            <w:pPr>
              <w:pStyle w:val="140"/>
              <w:adjustRightInd w:val="0"/>
              <w:snapToGrid w:val="0"/>
              <w:spacing w:before="93"/>
              <w:rPr>
                <w:rFonts w:ascii="Times New Roman" w:hAnsi="Times New Roman" w:cs="Times New Roman" w:eastAsiaTheme="majorEastAsia"/>
                <w:sz w:val="21"/>
                <w:szCs w:val="21"/>
              </w:rPr>
            </w:pPr>
            <w:r>
              <w:rPr>
                <w:rFonts w:ascii="Times New Roman" w:hAnsi="Times New Roman" w:cs="Times New Roman" w:eastAsiaTheme="majorEastAsia"/>
                <w:sz w:val="21"/>
                <w:szCs w:val="21"/>
              </w:rPr>
              <w:t>总氰化物</w:t>
            </w:r>
          </w:p>
        </w:tc>
        <w:tc>
          <w:tcPr>
            <w:tcW w:w="789" w:type="pct"/>
            <w:vAlign w:val="center"/>
          </w:tcPr>
          <w:p>
            <w:pPr>
              <w:pStyle w:val="140"/>
              <w:adjustRightInd w:val="0"/>
              <w:snapToGrid w:val="0"/>
              <w:spacing w:before="93"/>
              <w:rPr>
                <w:rFonts w:ascii="Times New Roman" w:hAnsi="Times New Roman" w:cs="Times New Roman" w:eastAsiaTheme="majorEastAsia"/>
                <w:sz w:val="21"/>
                <w:szCs w:val="21"/>
              </w:rPr>
            </w:pPr>
            <w:r>
              <w:rPr>
                <w:rFonts w:ascii="Times New Roman" w:hAnsi="Times New Roman" w:cs="Times New Roman" w:eastAsiaTheme="majorEastAsia"/>
                <w:sz w:val="21"/>
                <w:szCs w:val="21"/>
              </w:rPr>
              <w:t>0.001L</w:t>
            </w:r>
          </w:p>
        </w:tc>
        <w:tc>
          <w:tcPr>
            <w:tcW w:w="1411" w:type="pct"/>
            <w:vAlign w:val="center"/>
          </w:tcPr>
          <w:p>
            <w:pPr>
              <w:pStyle w:val="140"/>
              <w:adjustRightInd w:val="0"/>
              <w:snapToGrid w:val="0"/>
              <w:spacing w:before="99"/>
              <w:ind w:left="1085" w:right="1051"/>
              <w:rPr>
                <w:rFonts w:ascii="Times New Roman" w:hAnsi="Times New Roman" w:cs="Times New Roman"/>
                <w:sz w:val="21"/>
                <w:szCs w:val="21"/>
              </w:rPr>
            </w:pPr>
            <w:r>
              <w:rPr>
                <w:rFonts w:ascii="Times New Roman" w:hAnsi="Times New Roman" w:cs="Times New Roman"/>
                <w:sz w:val="21"/>
                <w:szCs w:val="21"/>
              </w:rPr>
              <w:t>0.00000027</w:t>
            </w:r>
            <w:r>
              <w:rPr>
                <w:rFonts w:ascii="Times New Roman" w:hAnsi="Times New Roman" w:cs="Times New Roman"/>
                <w:color w:val="000000" w:themeColor="text1"/>
                <w:sz w:val="21"/>
              </w:rPr>
              <w:t>t/a</w:t>
            </w:r>
          </w:p>
        </w:tc>
        <w:tc>
          <w:tcPr>
            <w:tcW w:w="692" w:type="pct"/>
            <w:vAlign w:val="center"/>
          </w:tcPr>
          <w:p>
            <w:pPr>
              <w:adjustRightInd w:val="0"/>
              <w:snapToGrid w:val="0"/>
              <w:jc w:val="center"/>
              <w:rPr>
                <w:rFonts w:cs="Times New Roman"/>
                <w:sz w:val="21"/>
              </w:rPr>
            </w:pPr>
            <w:r>
              <w:rPr>
                <w:rFonts w:eastAsia="宋体" w:cs="Times New Roman"/>
                <w:color w:val="000000" w:themeColor="text1"/>
                <w:sz w:val="21"/>
              </w:rPr>
              <w:t>0.0001t/a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pct"/>
            <w:vMerge w:val="restart"/>
            <w:vAlign w:val="center"/>
          </w:tcPr>
          <w:p>
            <w:pPr>
              <w:widowControl/>
              <w:adjustRightInd w:val="0"/>
              <w:snapToGrid w:val="0"/>
              <w:jc w:val="center"/>
              <w:rPr>
                <w:rFonts w:cs="Times New Roman"/>
                <w:color w:val="000000" w:themeColor="text1"/>
                <w:kern w:val="0"/>
                <w:sz w:val="21"/>
              </w:rPr>
            </w:pPr>
            <w:r>
              <w:rPr>
                <w:rFonts w:cs="Times New Roman"/>
                <w:color w:val="000000" w:themeColor="text1"/>
                <w:kern w:val="0"/>
                <w:sz w:val="21"/>
              </w:rPr>
              <w:t>2</w:t>
            </w:r>
          </w:p>
        </w:tc>
        <w:tc>
          <w:tcPr>
            <w:tcW w:w="695" w:type="pct"/>
            <w:vMerge w:val="restart"/>
            <w:vAlign w:val="center"/>
          </w:tcPr>
          <w:p>
            <w:pPr>
              <w:widowControl/>
              <w:adjustRightInd w:val="0"/>
              <w:snapToGrid w:val="0"/>
              <w:jc w:val="center"/>
              <w:rPr>
                <w:rFonts w:cs="Times New Roman"/>
                <w:color w:val="000000" w:themeColor="text1"/>
                <w:kern w:val="0"/>
                <w:sz w:val="21"/>
              </w:rPr>
            </w:pPr>
            <w:r>
              <w:rPr>
                <w:rFonts w:cs="Times New Roman"/>
                <w:color w:val="000000" w:themeColor="text1"/>
                <w:kern w:val="0"/>
                <w:sz w:val="21"/>
              </w:rPr>
              <w:t>DW002</w:t>
            </w:r>
          </w:p>
        </w:tc>
        <w:tc>
          <w:tcPr>
            <w:tcW w:w="973" w:type="pct"/>
            <w:vAlign w:val="center"/>
          </w:tcPr>
          <w:p>
            <w:pPr>
              <w:pStyle w:val="140"/>
              <w:adjustRightInd w:val="0"/>
              <w:snapToGrid w:val="0"/>
              <w:spacing w:before="93"/>
              <w:rPr>
                <w:rFonts w:ascii="Times New Roman" w:hAnsi="Times New Roman" w:cs="Times New Roman" w:eastAsiaTheme="majorEastAsia"/>
                <w:sz w:val="21"/>
                <w:szCs w:val="21"/>
              </w:rPr>
            </w:pPr>
            <w:r>
              <w:rPr>
                <w:rFonts w:ascii="Times New Roman" w:hAnsi="Times New Roman" w:cs="Times New Roman" w:eastAsiaTheme="majorEastAsia"/>
                <w:sz w:val="21"/>
                <w:szCs w:val="21"/>
              </w:rPr>
              <w:t>CODcr</w:t>
            </w:r>
          </w:p>
        </w:tc>
        <w:tc>
          <w:tcPr>
            <w:tcW w:w="789" w:type="pct"/>
            <w:vAlign w:val="center"/>
          </w:tcPr>
          <w:p>
            <w:pPr>
              <w:pStyle w:val="140"/>
              <w:adjustRightInd w:val="0"/>
              <w:snapToGrid w:val="0"/>
              <w:spacing w:before="93"/>
              <w:rPr>
                <w:rFonts w:ascii="Times New Roman" w:hAnsi="Times New Roman" w:cs="Times New Roman" w:eastAsiaTheme="majorEastAsia"/>
                <w:sz w:val="21"/>
                <w:szCs w:val="21"/>
              </w:rPr>
            </w:pPr>
            <w:r>
              <w:rPr>
                <w:rFonts w:ascii="Times New Roman" w:hAnsi="Times New Roman" w:cs="Times New Roman" w:eastAsiaTheme="majorEastAsia"/>
                <w:sz w:val="21"/>
                <w:szCs w:val="21"/>
              </w:rPr>
              <w:t>250mg/L</w:t>
            </w:r>
          </w:p>
        </w:tc>
        <w:tc>
          <w:tcPr>
            <w:tcW w:w="1411" w:type="pct"/>
            <w:vAlign w:val="center"/>
          </w:tcPr>
          <w:p>
            <w:pPr>
              <w:pStyle w:val="140"/>
              <w:adjustRightInd w:val="0"/>
              <w:snapToGrid w:val="0"/>
              <w:spacing w:before="99"/>
              <w:ind w:left="1085" w:right="1051"/>
              <w:rPr>
                <w:rFonts w:ascii="Times New Roman" w:hAnsi="Times New Roman" w:cs="Times New Roman"/>
                <w:sz w:val="21"/>
                <w:szCs w:val="21"/>
              </w:rPr>
            </w:pPr>
            <w:r>
              <w:rPr>
                <w:rFonts w:hint="eastAsia" w:ascii="Times New Roman" w:hAnsi="Times New Roman" w:cs="Times New Roman"/>
                <w:sz w:val="21"/>
                <w:szCs w:val="21"/>
              </w:rPr>
              <w:t>0.0029</w:t>
            </w:r>
            <w:r>
              <w:rPr>
                <w:rFonts w:ascii="Times New Roman" w:hAnsi="Times New Roman" w:cs="Times New Roman"/>
                <w:color w:val="000000" w:themeColor="text1"/>
                <w:sz w:val="21"/>
              </w:rPr>
              <w:t>t/a</w:t>
            </w:r>
          </w:p>
        </w:tc>
        <w:tc>
          <w:tcPr>
            <w:tcW w:w="692" w:type="pct"/>
            <w:vAlign w:val="center"/>
          </w:tcPr>
          <w:p>
            <w:pPr>
              <w:adjustRightInd w:val="0"/>
              <w:snapToGrid w:val="0"/>
              <w:jc w:val="center"/>
              <w:rPr>
                <w:rFonts w:eastAsia="宋体" w:cs="Times New Roman"/>
                <w:color w:val="000000" w:themeColor="text1"/>
                <w:sz w:val="21"/>
              </w:rPr>
            </w:pPr>
            <w:r>
              <w:rPr>
                <w:rFonts w:eastAsia="宋体" w:cs="Times New Roman"/>
                <w:color w:val="000000" w:themeColor="text1"/>
                <w:sz w:val="21"/>
              </w:rPr>
              <w:t>1.085t/a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pct"/>
            <w:vMerge w:val="continue"/>
            <w:vAlign w:val="center"/>
          </w:tcPr>
          <w:p>
            <w:pPr>
              <w:widowControl/>
              <w:adjustRightInd w:val="0"/>
              <w:snapToGrid w:val="0"/>
              <w:jc w:val="center"/>
              <w:rPr>
                <w:rFonts w:cs="Times New Roman"/>
                <w:color w:val="000000" w:themeColor="text1"/>
                <w:kern w:val="0"/>
                <w:sz w:val="21"/>
              </w:rPr>
            </w:pPr>
          </w:p>
        </w:tc>
        <w:tc>
          <w:tcPr>
            <w:tcW w:w="695" w:type="pct"/>
            <w:vMerge w:val="continue"/>
            <w:vAlign w:val="center"/>
          </w:tcPr>
          <w:p>
            <w:pPr>
              <w:widowControl/>
              <w:adjustRightInd w:val="0"/>
              <w:snapToGrid w:val="0"/>
              <w:jc w:val="center"/>
              <w:rPr>
                <w:rFonts w:cs="Times New Roman"/>
                <w:color w:val="000000" w:themeColor="text1"/>
                <w:kern w:val="0"/>
                <w:sz w:val="21"/>
              </w:rPr>
            </w:pPr>
          </w:p>
        </w:tc>
        <w:tc>
          <w:tcPr>
            <w:tcW w:w="973" w:type="pct"/>
            <w:vAlign w:val="center"/>
          </w:tcPr>
          <w:p>
            <w:pPr>
              <w:pStyle w:val="140"/>
              <w:adjustRightInd w:val="0"/>
              <w:snapToGrid w:val="0"/>
              <w:spacing w:before="93"/>
              <w:rPr>
                <w:rFonts w:ascii="Times New Roman" w:hAnsi="Times New Roman" w:cs="Times New Roman" w:eastAsiaTheme="majorEastAsia"/>
                <w:sz w:val="21"/>
                <w:szCs w:val="21"/>
              </w:rPr>
            </w:pPr>
            <w:r>
              <w:rPr>
                <w:rFonts w:ascii="Times New Roman" w:hAnsi="Times New Roman" w:cs="Times New Roman" w:eastAsiaTheme="majorEastAsia"/>
                <w:sz w:val="21"/>
                <w:szCs w:val="21"/>
              </w:rPr>
              <w:t>氨氮</w:t>
            </w:r>
          </w:p>
        </w:tc>
        <w:tc>
          <w:tcPr>
            <w:tcW w:w="789" w:type="pct"/>
            <w:vAlign w:val="center"/>
          </w:tcPr>
          <w:p>
            <w:pPr>
              <w:pStyle w:val="140"/>
              <w:adjustRightInd w:val="0"/>
              <w:snapToGrid w:val="0"/>
              <w:spacing w:before="93"/>
              <w:rPr>
                <w:rFonts w:ascii="Times New Roman" w:hAnsi="Times New Roman" w:cs="Times New Roman" w:eastAsiaTheme="majorEastAsia"/>
                <w:sz w:val="21"/>
                <w:szCs w:val="21"/>
              </w:rPr>
            </w:pPr>
            <w:r>
              <w:rPr>
                <w:rFonts w:ascii="Times New Roman" w:hAnsi="Times New Roman" w:cs="Times New Roman" w:eastAsiaTheme="majorEastAsia"/>
                <w:sz w:val="21"/>
                <w:szCs w:val="21"/>
              </w:rPr>
              <w:t>20mg/L</w:t>
            </w:r>
          </w:p>
        </w:tc>
        <w:tc>
          <w:tcPr>
            <w:tcW w:w="1411" w:type="pct"/>
            <w:vAlign w:val="center"/>
          </w:tcPr>
          <w:p>
            <w:pPr>
              <w:pStyle w:val="140"/>
              <w:adjustRightInd w:val="0"/>
              <w:snapToGrid w:val="0"/>
              <w:spacing w:before="99"/>
              <w:ind w:left="1085" w:right="1051"/>
              <w:rPr>
                <w:rFonts w:ascii="Times New Roman" w:hAnsi="Times New Roman" w:cs="Times New Roman"/>
                <w:sz w:val="21"/>
                <w:szCs w:val="21"/>
              </w:rPr>
            </w:pPr>
            <w:r>
              <w:rPr>
                <w:rFonts w:hint="eastAsia" w:ascii="Times New Roman" w:hAnsi="Times New Roman" w:cs="Times New Roman"/>
                <w:sz w:val="21"/>
                <w:szCs w:val="21"/>
              </w:rPr>
              <w:t>0.00023</w:t>
            </w:r>
            <w:r>
              <w:rPr>
                <w:rFonts w:ascii="Times New Roman" w:hAnsi="Times New Roman" w:cs="Times New Roman"/>
                <w:color w:val="000000" w:themeColor="text1"/>
                <w:sz w:val="21"/>
              </w:rPr>
              <w:t>t/a</w:t>
            </w:r>
          </w:p>
        </w:tc>
        <w:tc>
          <w:tcPr>
            <w:tcW w:w="692" w:type="pct"/>
            <w:vAlign w:val="center"/>
          </w:tcPr>
          <w:p>
            <w:pPr>
              <w:adjustRightInd w:val="0"/>
              <w:snapToGrid w:val="0"/>
              <w:jc w:val="center"/>
              <w:rPr>
                <w:rFonts w:eastAsia="宋体" w:cs="Times New Roman"/>
                <w:color w:val="000000" w:themeColor="text1"/>
                <w:sz w:val="21"/>
              </w:rPr>
            </w:pPr>
            <w:r>
              <w:rPr>
                <w:rFonts w:eastAsia="宋体" w:cs="Times New Roman"/>
                <w:color w:val="000000" w:themeColor="text1"/>
                <w:sz w:val="21"/>
              </w:rPr>
              <w:t>0.085t/a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pct"/>
            <w:vMerge w:val="continue"/>
            <w:vAlign w:val="center"/>
          </w:tcPr>
          <w:p>
            <w:pPr>
              <w:widowControl/>
              <w:adjustRightInd w:val="0"/>
              <w:snapToGrid w:val="0"/>
              <w:jc w:val="center"/>
              <w:rPr>
                <w:rFonts w:cs="Times New Roman"/>
                <w:color w:val="000000" w:themeColor="text1"/>
                <w:kern w:val="0"/>
                <w:sz w:val="21"/>
              </w:rPr>
            </w:pPr>
          </w:p>
        </w:tc>
        <w:tc>
          <w:tcPr>
            <w:tcW w:w="695" w:type="pct"/>
            <w:vMerge w:val="continue"/>
            <w:vAlign w:val="center"/>
          </w:tcPr>
          <w:p>
            <w:pPr>
              <w:widowControl/>
              <w:adjustRightInd w:val="0"/>
              <w:snapToGrid w:val="0"/>
              <w:jc w:val="center"/>
              <w:rPr>
                <w:rFonts w:cs="Times New Roman"/>
                <w:color w:val="000000" w:themeColor="text1"/>
                <w:kern w:val="0"/>
                <w:sz w:val="21"/>
              </w:rPr>
            </w:pPr>
          </w:p>
        </w:tc>
        <w:tc>
          <w:tcPr>
            <w:tcW w:w="973" w:type="pct"/>
            <w:vAlign w:val="center"/>
          </w:tcPr>
          <w:p>
            <w:pPr>
              <w:pStyle w:val="140"/>
              <w:adjustRightInd w:val="0"/>
              <w:snapToGrid w:val="0"/>
              <w:spacing w:before="93"/>
              <w:rPr>
                <w:rFonts w:ascii="Times New Roman" w:hAnsi="Times New Roman" w:cs="Times New Roman" w:eastAsiaTheme="majorEastAsia"/>
                <w:sz w:val="21"/>
                <w:szCs w:val="21"/>
              </w:rPr>
            </w:pPr>
            <w:r>
              <w:rPr>
                <w:rFonts w:ascii="Times New Roman" w:hAnsi="Times New Roman" w:cs="Times New Roman" w:eastAsiaTheme="majorEastAsia"/>
                <w:sz w:val="21"/>
                <w:szCs w:val="21"/>
              </w:rPr>
              <w:t>SS</w:t>
            </w:r>
          </w:p>
        </w:tc>
        <w:tc>
          <w:tcPr>
            <w:tcW w:w="789" w:type="pct"/>
            <w:vAlign w:val="center"/>
          </w:tcPr>
          <w:p>
            <w:pPr>
              <w:pStyle w:val="140"/>
              <w:adjustRightInd w:val="0"/>
              <w:snapToGrid w:val="0"/>
              <w:spacing w:before="93"/>
              <w:rPr>
                <w:rFonts w:ascii="Times New Roman" w:hAnsi="Times New Roman" w:cs="Times New Roman" w:eastAsiaTheme="majorEastAsia"/>
                <w:sz w:val="21"/>
                <w:szCs w:val="21"/>
              </w:rPr>
            </w:pPr>
            <w:r>
              <w:rPr>
                <w:rFonts w:ascii="Times New Roman" w:hAnsi="Times New Roman" w:cs="Times New Roman" w:eastAsiaTheme="majorEastAsia"/>
                <w:sz w:val="21"/>
                <w:szCs w:val="21"/>
              </w:rPr>
              <w:t>100mg/L</w:t>
            </w:r>
          </w:p>
        </w:tc>
        <w:tc>
          <w:tcPr>
            <w:tcW w:w="1411" w:type="pct"/>
            <w:vAlign w:val="center"/>
          </w:tcPr>
          <w:p>
            <w:pPr>
              <w:pStyle w:val="140"/>
              <w:adjustRightInd w:val="0"/>
              <w:snapToGrid w:val="0"/>
              <w:spacing w:before="99"/>
              <w:ind w:left="1085" w:right="1051"/>
              <w:rPr>
                <w:rFonts w:ascii="Times New Roman" w:hAnsi="Times New Roman" w:cs="Times New Roman"/>
                <w:sz w:val="21"/>
                <w:szCs w:val="21"/>
              </w:rPr>
            </w:pPr>
            <w:r>
              <w:rPr>
                <w:rFonts w:hint="eastAsia" w:ascii="Times New Roman" w:hAnsi="Times New Roman" w:cs="Times New Roman"/>
                <w:sz w:val="21"/>
                <w:szCs w:val="21"/>
              </w:rPr>
              <w:t>0.00119</w:t>
            </w:r>
            <w:r>
              <w:rPr>
                <w:rFonts w:ascii="Times New Roman" w:hAnsi="Times New Roman" w:cs="Times New Roman"/>
                <w:color w:val="000000" w:themeColor="text1"/>
                <w:sz w:val="21"/>
              </w:rPr>
              <w:t>t/a</w:t>
            </w:r>
          </w:p>
        </w:tc>
        <w:tc>
          <w:tcPr>
            <w:tcW w:w="692" w:type="pct"/>
            <w:vAlign w:val="center"/>
          </w:tcPr>
          <w:p>
            <w:pPr>
              <w:adjustRightInd w:val="0"/>
              <w:snapToGrid w:val="0"/>
              <w:jc w:val="center"/>
              <w:rPr>
                <w:rFonts w:eastAsia="宋体" w:cs="Times New Roman"/>
                <w:color w:val="000000" w:themeColor="text1"/>
                <w:sz w:val="21"/>
              </w:rPr>
            </w:pPr>
            <w:r>
              <w:rPr>
                <w:rFonts w:eastAsia="宋体" w:cs="Times New Roman"/>
                <w:color w:val="000000" w:themeColor="text1"/>
                <w:sz w:val="21"/>
              </w:rPr>
              <w:t>0.435t/a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pct"/>
            <w:vMerge w:val="continue"/>
            <w:vAlign w:val="center"/>
          </w:tcPr>
          <w:p>
            <w:pPr>
              <w:widowControl/>
              <w:adjustRightInd w:val="0"/>
              <w:snapToGrid w:val="0"/>
              <w:jc w:val="center"/>
              <w:rPr>
                <w:rFonts w:cs="Times New Roman"/>
                <w:color w:val="000000" w:themeColor="text1"/>
                <w:kern w:val="0"/>
                <w:sz w:val="21"/>
              </w:rPr>
            </w:pPr>
          </w:p>
        </w:tc>
        <w:tc>
          <w:tcPr>
            <w:tcW w:w="695" w:type="pct"/>
            <w:vMerge w:val="continue"/>
            <w:vAlign w:val="center"/>
          </w:tcPr>
          <w:p>
            <w:pPr>
              <w:widowControl/>
              <w:adjustRightInd w:val="0"/>
              <w:snapToGrid w:val="0"/>
              <w:jc w:val="center"/>
              <w:rPr>
                <w:rFonts w:cs="Times New Roman"/>
                <w:color w:val="000000" w:themeColor="text1"/>
                <w:kern w:val="0"/>
                <w:sz w:val="21"/>
              </w:rPr>
            </w:pPr>
          </w:p>
        </w:tc>
        <w:tc>
          <w:tcPr>
            <w:tcW w:w="973" w:type="pct"/>
            <w:vAlign w:val="center"/>
          </w:tcPr>
          <w:p>
            <w:pPr>
              <w:pStyle w:val="140"/>
              <w:adjustRightInd w:val="0"/>
              <w:snapToGrid w:val="0"/>
              <w:spacing w:before="93"/>
              <w:rPr>
                <w:rFonts w:ascii="Times New Roman" w:hAnsi="Times New Roman" w:cs="Times New Roman" w:eastAsiaTheme="majorEastAsia"/>
                <w:sz w:val="21"/>
                <w:szCs w:val="21"/>
              </w:rPr>
            </w:pPr>
            <w:r>
              <w:rPr>
                <w:rFonts w:ascii="Times New Roman" w:hAnsi="Times New Roman" w:cs="Times New Roman" w:eastAsiaTheme="majorEastAsia"/>
                <w:sz w:val="21"/>
                <w:szCs w:val="21"/>
              </w:rPr>
              <w:t>BOD</w:t>
            </w:r>
            <w:r>
              <w:rPr>
                <w:rFonts w:ascii="Times New Roman" w:hAnsi="Times New Roman" w:cs="Times New Roman" w:eastAsiaTheme="majorEastAsia"/>
                <w:sz w:val="21"/>
                <w:szCs w:val="21"/>
                <w:vertAlign w:val="subscript"/>
              </w:rPr>
              <w:t>5</w:t>
            </w:r>
          </w:p>
        </w:tc>
        <w:tc>
          <w:tcPr>
            <w:tcW w:w="789" w:type="pct"/>
            <w:vAlign w:val="center"/>
          </w:tcPr>
          <w:p>
            <w:pPr>
              <w:pStyle w:val="140"/>
              <w:adjustRightInd w:val="0"/>
              <w:snapToGrid w:val="0"/>
              <w:spacing w:before="93"/>
              <w:rPr>
                <w:rFonts w:ascii="Times New Roman" w:hAnsi="Times New Roman" w:cs="Times New Roman" w:eastAsiaTheme="majorEastAsia"/>
                <w:sz w:val="21"/>
                <w:szCs w:val="21"/>
              </w:rPr>
            </w:pPr>
            <w:r>
              <w:rPr>
                <w:rFonts w:ascii="Times New Roman" w:hAnsi="Times New Roman" w:cs="Times New Roman" w:eastAsiaTheme="majorEastAsia"/>
                <w:sz w:val="21"/>
                <w:szCs w:val="21"/>
              </w:rPr>
              <w:t>120mg/L</w:t>
            </w:r>
          </w:p>
        </w:tc>
        <w:tc>
          <w:tcPr>
            <w:tcW w:w="1411" w:type="pct"/>
            <w:vAlign w:val="center"/>
          </w:tcPr>
          <w:p>
            <w:pPr>
              <w:pStyle w:val="140"/>
              <w:adjustRightInd w:val="0"/>
              <w:snapToGrid w:val="0"/>
              <w:spacing w:before="99"/>
              <w:ind w:left="1085" w:right="1051"/>
              <w:rPr>
                <w:rFonts w:ascii="Times New Roman" w:hAnsi="Times New Roman" w:cs="Times New Roman"/>
                <w:sz w:val="21"/>
                <w:szCs w:val="21"/>
              </w:rPr>
            </w:pPr>
            <w:r>
              <w:rPr>
                <w:rFonts w:hint="eastAsia" w:ascii="Times New Roman" w:hAnsi="Times New Roman" w:cs="Times New Roman"/>
                <w:sz w:val="21"/>
                <w:szCs w:val="21"/>
              </w:rPr>
              <w:t>0.0014</w:t>
            </w:r>
            <w:r>
              <w:rPr>
                <w:rFonts w:ascii="Times New Roman" w:hAnsi="Times New Roman" w:cs="Times New Roman"/>
                <w:color w:val="000000" w:themeColor="text1"/>
                <w:sz w:val="21"/>
              </w:rPr>
              <w:t>t/a</w:t>
            </w:r>
          </w:p>
        </w:tc>
        <w:tc>
          <w:tcPr>
            <w:tcW w:w="692" w:type="pct"/>
            <w:vAlign w:val="center"/>
          </w:tcPr>
          <w:p>
            <w:pPr>
              <w:adjustRightInd w:val="0"/>
              <w:snapToGrid w:val="0"/>
              <w:jc w:val="center"/>
              <w:rPr>
                <w:rFonts w:eastAsia="宋体" w:cs="Times New Roman"/>
                <w:color w:val="000000" w:themeColor="text1"/>
                <w:sz w:val="21"/>
              </w:rPr>
            </w:pPr>
            <w:r>
              <w:rPr>
                <w:rFonts w:eastAsia="宋体" w:cs="Times New Roman"/>
                <w:color w:val="000000" w:themeColor="text1"/>
                <w:sz w:val="21"/>
              </w:rPr>
              <w:t>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pct"/>
            <w:vMerge w:val="continue"/>
            <w:vAlign w:val="center"/>
          </w:tcPr>
          <w:p>
            <w:pPr>
              <w:widowControl/>
              <w:adjustRightInd w:val="0"/>
              <w:snapToGrid w:val="0"/>
              <w:jc w:val="center"/>
              <w:rPr>
                <w:rFonts w:cs="Times New Roman"/>
                <w:color w:val="000000" w:themeColor="text1"/>
                <w:kern w:val="0"/>
                <w:sz w:val="21"/>
              </w:rPr>
            </w:pPr>
          </w:p>
        </w:tc>
        <w:tc>
          <w:tcPr>
            <w:tcW w:w="695" w:type="pct"/>
            <w:vMerge w:val="continue"/>
            <w:vAlign w:val="center"/>
          </w:tcPr>
          <w:p>
            <w:pPr>
              <w:widowControl/>
              <w:adjustRightInd w:val="0"/>
              <w:snapToGrid w:val="0"/>
              <w:jc w:val="center"/>
              <w:rPr>
                <w:rFonts w:cs="Times New Roman"/>
                <w:color w:val="000000" w:themeColor="text1"/>
                <w:kern w:val="0"/>
                <w:sz w:val="21"/>
              </w:rPr>
            </w:pPr>
          </w:p>
        </w:tc>
        <w:tc>
          <w:tcPr>
            <w:tcW w:w="973" w:type="pct"/>
            <w:vAlign w:val="center"/>
          </w:tcPr>
          <w:p>
            <w:pPr>
              <w:pStyle w:val="140"/>
              <w:adjustRightInd w:val="0"/>
              <w:snapToGrid w:val="0"/>
              <w:spacing w:before="93"/>
              <w:rPr>
                <w:rFonts w:ascii="Times New Roman" w:hAnsi="Times New Roman" w:cs="Times New Roman" w:eastAsiaTheme="majorEastAsia"/>
                <w:sz w:val="21"/>
                <w:szCs w:val="21"/>
              </w:rPr>
            </w:pPr>
            <w:r>
              <w:rPr>
                <w:rFonts w:ascii="Times New Roman" w:hAnsi="Times New Roman" w:cs="Times New Roman" w:eastAsiaTheme="majorEastAsia"/>
                <w:sz w:val="21"/>
                <w:szCs w:val="21"/>
              </w:rPr>
              <w:t>动植物油</w:t>
            </w:r>
          </w:p>
        </w:tc>
        <w:tc>
          <w:tcPr>
            <w:tcW w:w="789" w:type="pct"/>
            <w:vAlign w:val="center"/>
          </w:tcPr>
          <w:p>
            <w:pPr>
              <w:pStyle w:val="140"/>
              <w:adjustRightInd w:val="0"/>
              <w:snapToGrid w:val="0"/>
              <w:spacing w:before="93"/>
              <w:rPr>
                <w:rFonts w:ascii="Times New Roman" w:hAnsi="Times New Roman" w:cs="Times New Roman" w:eastAsiaTheme="majorEastAsia"/>
                <w:sz w:val="21"/>
                <w:szCs w:val="21"/>
              </w:rPr>
            </w:pPr>
            <w:r>
              <w:rPr>
                <w:rFonts w:ascii="Times New Roman" w:hAnsi="Times New Roman" w:cs="Times New Roman" w:eastAsiaTheme="majorEastAsia"/>
                <w:sz w:val="21"/>
                <w:szCs w:val="21"/>
              </w:rPr>
              <w:t>10mg/L</w:t>
            </w:r>
          </w:p>
        </w:tc>
        <w:tc>
          <w:tcPr>
            <w:tcW w:w="1411" w:type="pct"/>
            <w:vAlign w:val="center"/>
          </w:tcPr>
          <w:p>
            <w:pPr>
              <w:pStyle w:val="140"/>
              <w:adjustRightInd w:val="0"/>
              <w:snapToGrid w:val="0"/>
              <w:spacing w:before="99"/>
              <w:ind w:left="1085" w:right="1051"/>
              <w:rPr>
                <w:rFonts w:ascii="Times New Roman" w:hAnsi="Times New Roman" w:cs="Times New Roman"/>
                <w:sz w:val="21"/>
                <w:szCs w:val="21"/>
              </w:rPr>
            </w:pPr>
            <w:r>
              <w:rPr>
                <w:rFonts w:hint="eastAsia" w:ascii="Times New Roman" w:hAnsi="Times New Roman" w:cs="Times New Roman"/>
                <w:sz w:val="21"/>
                <w:szCs w:val="21"/>
              </w:rPr>
              <w:t>0.0001</w:t>
            </w:r>
            <w:r>
              <w:rPr>
                <w:rFonts w:ascii="Times New Roman" w:hAnsi="Times New Roman" w:cs="Times New Roman"/>
                <w:color w:val="000000" w:themeColor="text1"/>
                <w:sz w:val="21"/>
              </w:rPr>
              <w:t>t/a</w:t>
            </w:r>
          </w:p>
        </w:tc>
        <w:tc>
          <w:tcPr>
            <w:tcW w:w="692" w:type="pct"/>
            <w:vAlign w:val="center"/>
          </w:tcPr>
          <w:p>
            <w:pPr>
              <w:adjustRightInd w:val="0"/>
              <w:snapToGrid w:val="0"/>
              <w:jc w:val="center"/>
              <w:rPr>
                <w:rFonts w:eastAsia="宋体" w:cs="Times New Roman"/>
                <w:color w:val="000000" w:themeColor="text1"/>
                <w:sz w:val="21"/>
              </w:rPr>
            </w:pPr>
            <w:r>
              <w:rPr>
                <w:rFonts w:eastAsia="宋体" w:cs="Times New Roman"/>
                <w:color w:val="000000" w:themeColor="text1"/>
                <w:sz w:val="21"/>
              </w:rPr>
              <w:t>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pct"/>
            <w:vMerge w:val="restart"/>
            <w:vAlign w:val="center"/>
          </w:tcPr>
          <w:p>
            <w:pPr>
              <w:widowControl/>
              <w:adjustRightInd w:val="0"/>
              <w:snapToGrid w:val="0"/>
              <w:jc w:val="center"/>
              <w:rPr>
                <w:rFonts w:cs="Times New Roman"/>
                <w:color w:val="000000" w:themeColor="text1"/>
                <w:kern w:val="0"/>
                <w:sz w:val="21"/>
              </w:rPr>
            </w:pPr>
            <w:r>
              <w:rPr>
                <w:rFonts w:cs="Times New Roman"/>
                <w:color w:val="000000" w:themeColor="text1"/>
                <w:kern w:val="0"/>
                <w:sz w:val="21"/>
              </w:rPr>
              <w:t>3</w:t>
            </w:r>
          </w:p>
        </w:tc>
        <w:tc>
          <w:tcPr>
            <w:tcW w:w="695" w:type="pct"/>
            <w:vMerge w:val="restart"/>
            <w:vAlign w:val="center"/>
          </w:tcPr>
          <w:p>
            <w:pPr>
              <w:widowControl/>
              <w:adjustRightInd w:val="0"/>
              <w:snapToGrid w:val="0"/>
              <w:jc w:val="center"/>
              <w:rPr>
                <w:rFonts w:cs="Times New Roman"/>
                <w:color w:val="000000" w:themeColor="text1"/>
                <w:kern w:val="0"/>
                <w:sz w:val="21"/>
              </w:rPr>
            </w:pPr>
            <w:r>
              <w:rPr>
                <w:rFonts w:cs="Times New Roman"/>
                <w:color w:val="000000" w:themeColor="text1"/>
                <w:kern w:val="0"/>
                <w:sz w:val="21"/>
              </w:rPr>
              <w:t>DW003</w:t>
            </w:r>
          </w:p>
        </w:tc>
        <w:tc>
          <w:tcPr>
            <w:tcW w:w="973" w:type="pct"/>
            <w:vAlign w:val="center"/>
          </w:tcPr>
          <w:p>
            <w:pPr>
              <w:pStyle w:val="140"/>
              <w:adjustRightInd w:val="0"/>
              <w:snapToGrid w:val="0"/>
              <w:spacing w:before="93"/>
              <w:rPr>
                <w:rFonts w:ascii="Times New Roman" w:hAnsi="Times New Roman" w:cs="Times New Roman" w:eastAsiaTheme="majorEastAsia"/>
                <w:sz w:val="21"/>
                <w:szCs w:val="21"/>
              </w:rPr>
            </w:pPr>
            <w:r>
              <w:rPr>
                <w:rFonts w:ascii="Times New Roman" w:hAnsi="Times New Roman" w:cs="Times New Roman" w:eastAsiaTheme="majorEastAsia"/>
                <w:sz w:val="21"/>
                <w:szCs w:val="21"/>
              </w:rPr>
              <w:t>CODcr</w:t>
            </w:r>
          </w:p>
        </w:tc>
        <w:tc>
          <w:tcPr>
            <w:tcW w:w="789" w:type="pct"/>
            <w:vAlign w:val="center"/>
          </w:tcPr>
          <w:p>
            <w:pPr>
              <w:pStyle w:val="140"/>
              <w:adjustRightInd w:val="0"/>
              <w:snapToGrid w:val="0"/>
              <w:spacing w:before="93"/>
              <w:rPr>
                <w:rFonts w:ascii="Times New Roman" w:hAnsi="Times New Roman" w:cs="Times New Roman" w:eastAsiaTheme="majorEastAsia"/>
                <w:sz w:val="21"/>
                <w:szCs w:val="21"/>
              </w:rPr>
            </w:pPr>
            <w:r>
              <w:rPr>
                <w:rFonts w:ascii="Times New Roman" w:hAnsi="Times New Roman" w:cs="Times New Roman" w:eastAsiaTheme="majorEastAsia"/>
                <w:sz w:val="21"/>
                <w:szCs w:val="21"/>
              </w:rPr>
              <w:t>250mg/L</w:t>
            </w:r>
          </w:p>
        </w:tc>
        <w:tc>
          <w:tcPr>
            <w:tcW w:w="1411" w:type="pct"/>
            <w:vAlign w:val="center"/>
          </w:tcPr>
          <w:p>
            <w:pPr>
              <w:pStyle w:val="140"/>
              <w:adjustRightInd w:val="0"/>
              <w:snapToGrid w:val="0"/>
              <w:spacing w:before="99"/>
              <w:ind w:left="1085" w:right="1051"/>
              <w:rPr>
                <w:rFonts w:ascii="Times New Roman" w:hAnsi="Times New Roman" w:cs="Times New Roman"/>
                <w:sz w:val="21"/>
                <w:szCs w:val="21"/>
              </w:rPr>
            </w:pPr>
            <w:r>
              <w:rPr>
                <w:rFonts w:hint="eastAsia" w:ascii="Times New Roman" w:hAnsi="Times New Roman" w:cs="Times New Roman"/>
                <w:sz w:val="21"/>
                <w:szCs w:val="21"/>
              </w:rPr>
              <w:t>0.0029</w:t>
            </w:r>
            <w:r>
              <w:rPr>
                <w:rFonts w:ascii="Times New Roman" w:hAnsi="Times New Roman" w:cs="Times New Roman"/>
                <w:color w:val="000000" w:themeColor="text1"/>
                <w:sz w:val="21"/>
              </w:rPr>
              <w:t>t/a</w:t>
            </w:r>
          </w:p>
        </w:tc>
        <w:tc>
          <w:tcPr>
            <w:tcW w:w="692" w:type="pct"/>
            <w:vAlign w:val="center"/>
          </w:tcPr>
          <w:p>
            <w:pPr>
              <w:adjustRightInd w:val="0"/>
              <w:snapToGrid w:val="0"/>
              <w:jc w:val="center"/>
              <w:rPr>
                <w:rFonts w:eastAsia="宋体" w:cs="Times New Roman"/>
                <w:color w:val="000000" w:themeColor="text1"/>
                <w:sz w:val="21"/>
              </w:rPr>
            </w:pPr>
            <w:r>
              <w:rPr>
                <w:rFonts w:eastAsia="宋体" w:cs="Times New Roman"/>
                <w:color w:val="000000" w:themeColor="text1"/>
                <w:sz w:val="21"/>
              </w:rPr>
              <w:t>1.085t/a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pct"/>
            <w:vMerge w:val="continue"/>
            <w:vAlign w:val="center"/>
          </w:tcPr>
          <w:p>
            <w:pPr>
              <w:pStyle w:val="14"/>
              <w:rPr>
                <w:rFonts w:cs="Times New Roman"/>
                <w:szCs w:val="24"/>
              </w:rPr>
            </w:pPr>
          </w:p>
        </w:tc>
        <w:tc>
          <w:tcPr>
            <w:tcW w:w="695" w:type="pct"/>
            <w:vMerge w:val="continue"/>
            <w:vAlign w:val="center"/>
          </w:tcPr>
          <w:p>
            <w:pPr>
              <w:pStyle w:val="14"/>
              <w:rPr>
                <w:rFonts w:cs="Times New Roman"/>
                <w:szCs w:val="24"/>
              </w:rPr>
            </w:pPr>
          </w:p>
        </w:tc>
        <w:tc>
          <w:tcPr>
            <w:tcW w:w="973" w:type="pct"/>
            <w:vAlign w:val="center"/>
          </w:tcPr>
          <w:p>
            <w:pPr>
              <w:pStyle w:val="140"/>
              <w:adjustRightInd w:val="0"/>
              <w:snapToGrid w:val="0"/>
              <w:spacing w:before="93"/>
              <w:rPr>
                <w:rFonts w:ascii="Times New Roman" w:hAnsi="Times New Roman" w:cs="Times New Roman" w:eastAsiaTheme="majorEastAsia"/>
                <w:sz w:val="21"/>
                <w:szCs w:val="21"/>
              </w:rPr>
            </w:pPr>
            <w:r>
              <w:rPr>
                <w:rFonts w:ascii="Times New Roman" w:hAnsi="Times New Roman" w:cs="Times New Roman" w:eastAsiaTheme="majorEastAsia"/>
                <w:sz w:val="21"/>
                <w:szCs w:val="21"/>
              </w:rPr>
              <w:t>氨氮</w:t>
            </w:r>
          </w:p>
        </w:tc>
        <w:tc>
          <w:tcPr>
            <w:tcW w:w="789" w:type="pct"/>
            <w:vAlign w:val="center"/>
          </w:tcPr>
          <w:p>
            <w:pPr>
              <w:pStyle w:val="140"/>
              <w:adjustRightInd w:val="0"/>
              <w:snapToGrid w:val="0"/>
              <w:spacing w:before="93"/>
              <w:rPr>
                <w:rFonts w:ascii="Times New Roman" w:hAnsi="Times New Roman" w:cs="Times New Roman" w:eastAsiaTheme="majorEastAsia"/>
                <w:sz w:val="21"/>
                <w:szCs w:val="21"/>
              </w:rPr>
            </w:pPr>
            <w:r>
              <w:rPr>
                <w:rFonts w:ascii="Times New Roman" w:hAnsi="Times New Roman" w:cs="Times New Roman" w:eastAsiaTheme="majorEastAsia"/>
                <w:sz w:val="21"/>
                <w:szCs w:val="21"/>
              </w:rPr>
              <w:t>20mg/L</w:t>
            </w:r>
          </w:p>
        </w:tc>
        <w:tc>
          <w:tcPr>
            <w:tcW w:w="1411" w:type="pct"/>
            <w:vAlign w:val="center"/>
          </w:tcPr>
          <w:p>
            <w:pPr>
              <w:pStyle w:val="140"/>
              <w:adjustRightInd w:val="0"/>
              <w:snapToGrid w:val="0"/>
              <w:spacing w:before="99"/>
              <w:ind w:left="1085" w:right="1051"/>
              <w:rPr>
                <w:rFonts w:ascii="Times New Roman" w:hAnsi="Times New Roman" w:cs="Times New Roman"/>
                <w:sz w:val="21"/>
                <w:szCs w:val="21"/>
              </w:rPr>
            </w:pPr>
            <w:r>
              <w:rPr>
                <w:rFonts w:hint="eastAsia" w:ascii="Times New Roman" w:hAnsi="Times New Roman" w:cs="Times New Roman"/>
                <w:sz w:val="21"/>
                <w:szCs w:val="21"/>
              </w:rPr>
              <w:t>0.00023</w:t>
            </w:r>
            <w:r>
              <w:rPr>
                <w:rFonts w:ascii="Times New Roman" w:hAnsi="Times New Roman" w:cs="Times New Roman"/>
                <w:color w:val="000000" w:themeColor="text1"/>
                <w:sz w:val="21"/>
              </w:rPr>
              <w:t>t/a</w:t>
            </w:r>
          </w:p>
        </w:tc>
        <w:tc>
          <w:tcPr>
            <w:tcW w:w="692" w:type="pct"/>
            <w:vAlign w:val="center"/>
          </w:tcPr>
          <w:p>
            <w:pPr>
              <w:adjustRightInd w:val="0"/>
              <w:snapToGrid w:val="0"/>
              <w:jc w:val="center"/>
              <w:rPr>
                <w:rFonts w:eastAsia="宋体" w:cs="Times New Roman"/>
                <w:color w:val="000000" w:themeColor="text1"/>
                <w:sz w:val="21"/>
              </w:rPr>
            </w:pPr>
            <w:r>
              <w:rPr>
                <w:rFonts w:eastAsia="宋体" w:cs="Times New Roman"/>
                <w:color w:val="000000" w:themeColor="text1"/>
                <w:sz w:val="21"/>
              </w:rPr>
              <w:t>0.085t/a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pct"/>
            <w:vMerge w:val="continue"/>
            <w:vAlign w:val="center"/>
          </w:tcPr>
          <w:p>
            <w:pPr>
              <w:pStyle w:val="14"/>
              <w:rPr>
                <w:rFonts w:cs="Times New Roman"/>
                <w:szCs w:val="24"/>
              </w:rPr>
            </w:pPr>
          </w:p>
        </w:tc>
        <w:tc>
          <w:tcPr>
            <w:tcW w:w="695" w:type="pct"/>
            <w:vMerge w:val="continue"/>
            <w:vAlign w:val="center"/>
          </w:tcPr>
          <w:p>
            <w:pPr>
              <w:pStyle w:val="14"/>
              <w:rPr>
                <w:rFonts w:cs="Times New Roman"/>
                <w:szCs w:val="24"/>
              </w:rPr>
            </w:pPr>
          </w:p>
        </w:tc>
        <w:tc>
          <w:tcPr>
            <w:tcW w:w="973" w:type="pct"/>
            <w:vAlign w:val="center"/>
          </w:tcPr>
          <w:p>
            <w:pPr>
              <w:pStyle w:val="140"/>
              <w:adjustRightInd w:val="0"/>
              <w:snapToGrid w:val="0"/>
              <w:spacing w:before="93"/>
              <w:rPr>
                <w:rFonts w:ascii="Times New Roman" w:hAnsi="Times New Roman" w:cs="Times New Roman" w:eastAsiaTheme="majorEastAsia"/>
                <w:sz w:val="21"/>
                <w:szCs w:val="21"/>
              </w:rPr>
            </w:pPr>
            <w:r>
              <w:rPr>
                <w:rFonts w:ascii="Times New Roman" w:hAnsi="Times New Roman" w:cs="Times New Roman" w:eastAsiaTheme="majorEastAsia"/>
                <w:sz w:val="21"/>
                <w:szCs w:val="21"/>
              </w:rPr>
              <w:t>SS</w:t>
            </w:r>
          </w:p>
        </w:tc>
        <w:tc>
          <w:tcPr>
            <w:tcW w:w="789" w:type="pct"/>
            <w:vAlign w:val="center"/>
          </w:tcPr>
          <w:p>
            <w:pPr>
              <w:pStyle w:val="140"/>
              <w:adjustRightInd w:val="0"/>
              <w:snapToGrid w:val="0"/>
              <w:spacing w:before="93"/>
              <w:rPr>
                <w:rFonts w:ascii="Times New Roman" w:hAnsi="Times New Roman" w:cs="Times New Roman" w:eastAsiaTheme="majorEastAsia"/>
                <w:sz w:val="21"/>
                <w:szCs w:val="21"/>
              </w:rPr>
            </w:pPr>
            <w:r>
              <w:rPr>
                <w:rFonts w:ascii="Times New Roman" w:hAnsi="Times New Roman" w:cs="Times New Roman" w:eastAsiaTheme="majorEastAsia"/>
                <w:sz w:val="21"/>
                <w:szCs w:val="21"/>
              </w:rPr>
              <w:t>100mg/L</w:t>
            </w:r>
          </w:p>
        </w:tc>
        <w:tc>
          <w:tcPr>
            <w:tcW w:w="1411" w:type="pct"/>
            <w:vAlign w:val="center"/>
          </w:tcPr>
          <w:p>
            <w:pPr>
              <w:pStyle w:val="140"/>
              <w:adjustRightInd w:val="0"/>
              <w:snapToGrid w:val="0"/>
              <w:spacing w:before="99"/>
              <w:ind w:left="1085" w:right="1051"/>
              <w:rPr>
                <w:rFonts w:ascii="Times New Roman" w:hAnsi="Times New Roman" w:cs="Times New Roman"/>
                <w:b/>
                <w:bCs/>
                <w:sz w:val="21"/>
                <w:szCs w:val="21"/>
              </w:rPr>
            </w:pPr>
            <w:r>
              <w:rPr>
                <w:rFonts w:hint="eastAsia" w:ascii="Times New Roman" w:hAnsi="Times New Roman" w:cs="Times New Roman"/>
                <w:sz w:val="21"/>
                <w:szCs w:val="21"/>
              </w:rPr>
              <w:t>0.00119</w:t>
            </w:r>
            <w:r>
              <w:rPr>
                <w:rFonts w:ascii="Times New Roman" w:hAnsi="Times New Roman" w:cs="Times New Roman"/>
                <w:color w:val="000000" w:themeColor="text1"/>
                <w:sz w:val="21"/>
              </w:rPr>
              <w:t>t/a</w:t>
            </w:r>
          </w:p>
        </w:tc>
        <w:tc>
          <w:tcPr>
            <w:tcW w:w="692" w:type="pct"/>
            <w:vAlign w:val="center"/>
          </w:tcPr>
          <w:p>
            <w:pPr>
              <w:adjustRightInd w:val="0"/>
              <w:snapToGrid w:val="0"/>
              <w:jc w:val="center"/>
              <w:rPr>
                <w:rFonts w:eastAsia="宋体" w:cs="Times New Roman"/>
                <w:color w:val="000000" w:themeColor="text1"/>
                <w:sz w:val="21"/>
              </w:rPr>
            </w:pPr>
            <w:r>
              <w:rPr>
                <w:rFonts w:eastAsia="宋体" w:cs="Times New Roman"/>
                <w:color w:val="000000" w:themeColor="text1"/>
                <w:sz w:val="21"/>
              </w:rPr>
              <w:t>0.435t/a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440" w:type="pct"/>
            <w:vMerge w:val="continue"/>
            <w:vAlign w:val="center"/>
          </w:tcPr>
          <w:p>
            <w:pPr>
              <w:pStyle w:val="14"/>
              <w:rPr>
                <w:rFonts w:cs="Times New Roman"/>
                <w:szCs w:val="24"/>
              </w:rPr>
            </w:pPr>
          </w:p>
        </w:tc>
        <w:tc>
          <w:tcPr>
            <w:tcW w:w="695" w:type="pct"/>
            <w:vMerge w:val="continue"/>
            <w:vAlign w:val="center"/>
          </w:tcPr>
          <w:p>
            <w:pPr>
              <w:pStyle w:val="14"/>
              <w:rPr>
                <w:rFonts w:cs="Times New Roman"/>
                <w:szCs w:val="24"/>
              </w:rPr>
            </w:pPr>
          </w:p>
        </w:tc>
        <w:tc>
          <w:tcPr>
            <w:tcW w:w="973" w:type="pct"/>
            <w:vAlign w:val="center"/>
          </w:tcPr>
          <w:p>
            <w:pPr>
              <w:pStyle w:val="140"/>
              <w:adjustRightInd w:val="0"/>
              <w:snapToGrid w:val="0"/>
              <w:spacing w:before="93"/>
              <w:rPr>
                <w:rFonts w:ascii="Times New Roman" w:hAnsi="Times New Roman" w:cs="Times New Roman" w:eastAsiaTheme="majorEastAsia"/>
                <w:sz w:val="21"/>
                <w:szCs w:val="21"/>
              </w:rPr>
            </w:pPr>
            <w:r>
              <w:rPr>
                <w:rFonts w:ascii="Times New Roman" w:hAnsi="Times New Roman" w:cs="Times New Roman" w:eastAsiaTheme="majorEastAsia"/>
                <w:sz w:val="21"/>
                <w:szCs w:val="21"/>
              </w:rPr>
              <w:t>BOD</w:t>
            </w:r>
            <w:r>
              <w:rPr>
                <w:rFonts w:ascii="Times New Roman" w:hAnsi="Times New Roman" w:cs="Times New Roman" w:eastAsiaTheme="majorEastAsia"/>
                <w:sz w:val="21"/>
                <w:szCs w:val="21"/>
                <w:vertAlign w:val="subscript"/>
              </w:rPr>
              <w:t>5</w:t>
            </w:r>
          </w:p>
        </w:tc>
        <w:tc>
          <w:tcPr>
            <w:tcW w:w="789" w:type="pct"/>
            <w:vAlign w:val="center"/>
          </w:tcPr>
          <w:p>
            <w:pPr>
              <w:pStyle w:val="140"/>
              <w:adjustRightInd w:val="0"/>
              <w:snapToGrid w:val="0"/>
              <w:spacing w:before="93"/>
              <w:rPr>
                <w:rFonts w:ascii="Times New Roman" w:hAnsi="Times New Roman" w:cs="Times New Roman" w:eastAsiaTheme="majorEastAsia"/>
                <w:sz w:val="21"/>
                <w:szCs w:val="21"/>
              </w:rPr>
            </w:pPr>
            <w:r>
              <w:rPr>
                <w:rFonts w:ascii="Times New Roman" w:hAnsi="Times New Roman" w:cs="Times New Roman" w:eastAsiaTheme="majorEastAsia"/>
                <w:sz w:val="21"/>
                <w:szCs w:val="21"/>
              </w:rPr>
              <w:t>120mg/L</w:t>
            </w:r>
          </w:p>
        </w:tc>
        <w:tc>
          <w:tcPr>
            <w:tcW w:w="1411" w:type="pct"/>
            <w:vAlign w:val="center"/>
          </w:tcPr>
          <w:p>
            <w:pPr>
              <w:pStyle w:val="140"/>
              <w:adjustRightInd w:val="0"/>
              <w:snapToGrid w:val="0"/>
              <w:spacing w:before="99"/>
              <w:ind w:left="1085" w:right="1051"/>
              <w:rPr>
                <w:rFonts w:ascii="Times New Roman" w:hAnsi="Times New Roman" w:cs="Times New Roman"/>
                <w:sz w:val="21"/>
                <w:szCs w:val="21"/>
              </w:rPr>
            </w:pPr>
            <w:r>
              <w:rPr>
                <w:rFonts w:hint="eastAsia" w:ascii="Times New Roman" w:hAnsi="Times New Roman" w:cs="Times New Roman"/>
                <w:sz w:val="21"/>
                <w:szCs w:val="21"/>
              </w:rPr>
              <w:t>0.0014</w:t>
            </w:r>
            <w:r>
              <w:rPr>
                <w:rFonts w:ascii="Times New Roman" w:hAnsi="Times New Roman" w:cs="Times New Roman"/>
                <w:color w:val="000000" w:themeColor="text1"/>
                <w:sz w:val="21"/>
              </w:rPr>
              <w:t>t/a</w:t>
            </w:r>
          </w:p>
        </w:tc>
        <w:tc>
          <w:tcPr>
            <w:tcW w:w="692" w:type="pct"/>
            <w:vAlign w:val="center"/>
          </w:tcPr>
          <w:p>
            <w:pPr>
              <w:adjustRightInd w:val="0"/>
              <w:snapToGrid w:val="0"/>
              <w:jc w:val="center"/>
              <w:rPr>
                <w:rFonts w:eastAsia="宋体" w:cs="Times New Roman"/>
                <w:color w:val="000000" w:themeColor="text1"/>
                <w:sz w:val="21"/>
              </w:rPr>
            </w:pPr>
            <w:r>
              <w:rPr>
                <w:rFonts w:eastAsia="宋体" w:cs="Times New Roman"/>
                <w:color w:val="000000" w:themeColor="text1"/>
                <w:sz w:val="21"/>
              </w:rPr>
              <w:t>0.52t/a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pct"/>
            <w:vMerge w:val="continue"/>
            <w:vAlign w:val="center"/>
          </w:tcPr>
          <w:p>
            <w:pPr>
              <w:pStyle w:val="14"/>
              <w:rPr>
                <w:rFonts w:cs="Times New Roman"/>
                <w:szCs w:val="24"/>
              </w:rPr>
            </w:pPr>
          </w:p>
        </w:tc>
        <w:tc>
          <w:tcPr>
            <w:tcW w:w="695" w:type="pct"/>
            <w:vMerge w:val="continue"/>
            <w:vAlign w:val="center"/>
          </w:tcPr>
          <w:p>
            <w:pPr>
              <w:pStyle w:val="14"/>
              <w:rPr>
                <w:rFonts w:cs="Times New Roman"/>
                <w:szCs w:val="24"/>
              </w:rPr>
            </w:pPr>
          </w:p>
        </w:tc>
        <w:tc>
          <w:tcPr>
            <w:tcW w:w="973" w:type="pct"/>
            <w:vAlign w:val="center"/>
          </w:tcPr>
          <w:p>
            <w:pPr>
              <w:pStyle w:val="140"/>
              <w:adjustRightInd w:val="0"/>
              <w:snapToGrid w:val="0"/>
              <w:spacing w:before="93"/>
              <w:rPr>
                <w:rFonts w:ascii="Times New Roman" w:hAnsi="Times New Roman" w:cs="Times New Roman" w:eastAsiaTheme="majorEastAsia"/>
                <w:sz w:val="21"/>
                <w:szCs w:val="21"/>
              </w:rPr>
            </w:pPr>
            <w:r>
              <w:rPr>
                <w:rFonts w:ascii="Times New Roman" w:hAnsi="Times New Roman" w:cs="Times New Roman" w:eastAsiaTheme="majorEastAsia"/>
                <w:sz w:val="21"/>
                <w:szCs w:val="21"/>
              </w:rPr>
              <w:t>动植物油</w:t>
            </w:r>
          </w:p>
        </w:tc>
        <w:tc>
          <w:tcPr>
            <w:tcW w:w="789" w:type="pct"/>
            <w:vAlign w:val="center"/>
          </w:tcPr>
          <w:p>
            <w:pPr>
              <w:adjustRightInd w:val="0"/>
              <w:snapToGrid w:val="0"/>
              <w:jc w:val="center"/>
              <w:rPr>
                <w:rFonts w:eastAsia="宋体" w:cs="Times New Roman"/>
                <w:color w:val="000000" w:themeColor="text1"/>
                <w:sz w:val="21"/>
              </w:rPr>
            </w:pPr>
            <w:r>
              <w:rPr>
                <w:rFonts w:cs="Times New Roman"/>
                <w:color w:val="000000" w:themeColor="text1"/>
                <w:sz w:val="21"/>
              </w:rPr>
              <w:t>10mg/L</w:t>
            </w:r>
          </w:p>
        </w:tc>
        <w:tc>
          <w:tcPr>
            <w:tcW w:w="1411" w:type="pct"/>
            <w:vAlign w:val="center"/>
          </w:tcPr>
          <w:p>
            <w:pPr>
              <w:pStyle w:val="140"/>
              <w:adjustRightInd w:val="0"/>
              <w:snapToGrid w:val="0"/>
              <w:spacing w:before="99"/>
              <w:ind w:left="1085" w:right="1051"/>
              <w:rPr>
                <w:rFonts w:ascii="Times New Roman" w:hAnsi="Times New Roman" w:cs="Times New Roman"/>
                <w:sz w:val="21"/>
                <w:szCs w:val="21"/>
              </w:rPr>
            </w:pPr>
            <w:r>
              <w:rPr>
                <w:rFonts w:hint="eastAsia" w:ascii="Times New Roman" w:hAnsi="Times New Roman" w:cs="Times New Roman"/>
                <w:sz w:val="21"/>
                <w:szCs w:val="21"/>
              </w:rPr>
              <w:t>0.0001</w:t>
            </w:r>
            <w:r>
              <w:rPr>
                <w:rFonts w:ascii="Times New Roman" w:hAnsi="Times New Roman" w:cs="Times New Roman"/>
                <w:color w:val="000000" w:themeColor="text1"/>
                <w:sz w:val="21"/>
              </w:rPr>
              <w:t>t/a</w:t>
            </w:r>
          </w:p>
        </w:tc>
        <w:tc>
          <w:tcPr>
            <w:tcW w:w="692" w:type="pct"/>
            <w:vAlign w:val="center"/>
          </w:tcPr>
          <w:p>
            <w:pPr>
              <w:adjustRightInd w:val="0"/>
              <w:snapToGrid w:val="0"/>
              <w:jc w:val="center"/>
              <w:rPr>
                <w:rFonts w:eastAsia="宋体" w:cs="Times New Roman"/>
                <w:color w:val="000000" w:themeColor="text1"/>
                <w:sz w:val="21"/>
              </w:rPr>
            </w:pPr>
            <w:r>
              <w:rPr>
                <w:rFonts w:eastAsia="宋体" w:cs="Times New Roman"/>
                <w:color w:val="000000" w:themeColor="text1"/>
                <w:sz w:val="21"/>
              </w:rPr>
              <w:t>0.045t/a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pct"/>
            <w:gridSpan w:val="2"/>
            <w:vMerge w:val="restart"/>
            <w:vAlign w:val="center"/>
          </w:tcPr>
          <w:p>
            <w:pPr>
              <w:pStyle w:val="14"/>
              <w:rPr>
                <w:rFonts w:cs="Times New Roman"/>
                <w:szCs w:val="24"/>
              </w:rPr>
            </w:pPr>
            <w:r>
              <w:rPr>
                <w:rFonts w:cs="Times New Roman"/>
                <w:sz w:val="21"/>
                <w:szCs w:val="21"/>
              </w:rPr>
              <w:t>全厂排放口合计</w:t>
            </w:r>
          </w:p>
        </w:tc>
        <w:tc>
          <w:tcPr>
            <w:tcW w:w="1762" w:type="pct"/>
            <w:gridSpan w:val="2"/>
            <w:vAlign w:val="center"/>
          </w:tcPr>
          <w:p>
            <w:pPr>
              <w:adjustRightInd w:val="0"/>
              <w:snapToGrid w:val="0"/>
              <w:jc w:val="center"/>
              <w:rPr>
                <w:rFonts w:cs="Times New Roman"/>
                <w:sz w:val="21"/>
              </w:rPr>
            </w:pPr>
            <w:r>
              <w:rPr>
                <w:rFonts w:cs="Times New Roman"/>
                <w:sz w:val="21"/>
              </w:rPr>
              <w:t>COD</w:t>
            </w:r>
          </w:p>
        </w:tc>
        <w:tc>
          <w:tcPr>
            <w:tcW w:w="2103" w:type="pct"/>
            <w:gridSpan w:val="2"/>
            <w:vAlign w:val="center"/>
          </w:tcPr>
          <w:p>
            <w:pPr>
              <w:adjustRightInd w:val="0"/>
              <w:snapToGrid w:val="0"/>
              <w:jc w:val="center"/>
              <w:rPr>
                <w:rFonts w:cs="Times New Roman"/>
                <w:sz w:val="21"/>
              </w:rPr>
            </w:pPr>
            <w:r>
              <w:rPr>
                <w:rFonts w:eastAsia="宋体" w:cs="Times New Roman"/>
                <w:color w:val="000000" w:themeColor="text1"/>
                <w:sz w:val="21"/>
              </w:rPr>
              <w:t>21.5</w:t>
            </w:r>
            <w:r>
              <w:rPr>
                <w:rFonts w:hint="eastAsia" w:eastAsia="宋体" w:cs="Times New Roman"/>
                <w:color w:val="000000" w:themeColor="text1"/>
                <w:sz w:val="21"/>
              </w:rPr>
              <w:t>7t/a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pct"/>
            <w:gridSpan w:val="2"/>
            <w:vMerge w:val="continue"/>
            <w:vAlign w:val="center"/>
          </w:tcPr>
          <w:p>
            <w:pPr>
              <w:pStyle w:val="14"/>
              <w:rPr>
                <w:rFonts w:cs="Times New Roman"/>
                <w:szCs w:val="24"/>
              </w:rPr>
            </w:pPr>
          </w:p>
        </w:tc>
        <w:tc>
          <w:tcPr>
            <w:tcW w:w="1762" w:type="pct"/>
            <w:gridSpan w:val="2"/>
            <w:vAlign w:val="center"/>
          </w:tcPr>
          <w:p>
            <w:pPr>
              <w:adjustRightInd w:val="0"/>
              <w:snapToGrid w:val="0"/>
              <w:jc w:val="center"/>
              <w:rPr>
                <w:rFonts w:cs="Times New Roman"/>
                <w:sz w:val="21"/>
              </w:rPr>
            </w:pPr>
            <w:r>
              <w:rPr>
                <w:rFonts w:cs="Times New Roman"/>
                <w:sz w:val="21"/>
              </w:rPr>
              <w:t>BOD</w:t>
            </w:r>
            <w:r>
              <w:rPr>
                <w:rFonts w:cs="Times New Roman"/>
                <w:sz w:val="21"/>
                <w:vertAlign w:val="subscript"/>
              </w:rPr>
              <w:t>5</w:t>
            </w:r>
          </w:p>
        </w:tc>
        <w:tc>
          <w:tcPr>
            <w:tcW w:w="2103" w:type="pct"/>
            <w:gridSpan w:val="2"/>
            <w:vAlign w:val="center"/>
          </w:tcPr>
          <w:p>
            <w:pPr>
              <w:adjustRightInd w:val="0"/>
              <w:snapToGrid w:val="0"/>
              <w:jc w:val="center"/>
              <w:rPr>
                <w:rFonts w:cs="Times New Roman"/>
                <w:sz w:val="21"/>
              </w:rPr>
            </w:pPr>
            <w:r>
              <w:rPr>
                <w:rFonts w:hint="eastAsia" w:eastAsia="宋体" w:cs="Times New Roman"/>
                <w:color w:val="000000" w:themeColor="text1"/>
                <w:sz w:val="21"/>
              </w:rPr>
              <w:t>6.97t/a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pct"/>
            <w:gridSpan w:val="2"/>
            <w:vMerge w:val="continue"/>
            <w:vAlign w:val="center"/>
          </w:tcPr>
          <w:p>
            <w:pPr>
              <w:pStyle w:val="14"/>
              <w:rPr>
                <w:rFonts w:cs="Times New Roman"/>
                <w:szCs w:val="24"/>
              </w:rPr>
            </w:pPr>
          </w:p>
        </w:tc>
        <w:tc>
          <w:tcPr>
            <w:tcW w:w="1762" w:type="pct"/>
            <w:gridSpan w:val="2"/>
            <w:vAlign w:val="center"/>
          </w:tcPr>
          <w:p>
            <w:pPr>
              <w:adjustRightInd w:val="0"/>
              <w:snapToGrid w:val="0"/>
              <w:jc w:val="center"/>
              <w:rPr>
                <w:rFonts w:cs="Times New Roman"/>
                <w:sz w:val="21"/>
              </w:rPr>
            </w:pPr>
            <w:r>
              <w:rPr>
                <w:rFonts w:cs="Times New Roman"/>
                <w:sz w:val="21"/>
              </w:rPr>
              <w:t>SS</w:t>
            </w:r>
          </w:p>
        </w:tc>
        <w:tc>
          <w:tcPr>
            <w:tcW w:w="2103" w:type="pct"/>
            <w:gridSpan w:val="2"/>
            <w:vAlign w:val="center"/>
          </w:tcPr>
          <w:p>
            <w:pPr>
              <w:adjustRightInd w:val="0"/>
              <w:snapToGrid w:val="0"/>
              <w:jc w:val="center"/>
              <w:rPr>
                <w:rFonts w:cs="Times New Roman"/>
                <w:sz w:val="21"/>
              </w:rPr>
            </w:pPr>
            <w:r>
              <w:rPr>
                <w:rFonts w:eastAsia="宋体" w:cs="Times New Roman"/>
                <w:color w:val="000000" w:themeColor="text1"/>
                <w:sz w:val="21"/>
              </w:rPr>
              <w:t>5.67</w:t>
            </w:r>
            <w:r>
              <w:rPr>
                <w:rFonts w:hint="eastAsia" w:eastAsia="宋体" w:cs="Times New Roman"/>
                <w:color w:val="000000" w:themeColor="text1"/>
                <w:sz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pct"/>
            <w:gridSpan w:val="2"/>
            <w:vMerge w:val="continue"/>
            <w:vAlign w:val="center"/>
          </w:tcPr>
          <w:p>
            <w:pPr>
              <w:pStyle w:val="14"/>
              <w:rPr>
                <w:rFonts w:cs="Times New Roman"/>
                <w:szCs w:val="24"/>
              </w:rPr>
            </w:pPr>
          </w:p>
        </w:tc>
        <w:tc>
          <w:tcPr>
            <w:tcW w:w="1762" w:type="pct"/>
            <w:gridSpan w:val="2"/>
            <w:vAlign w:val="center"/>
          </w:tcPr>
          <w:p>
            <w:pPr>
              <w:adjustRightInd w:val="0"/>
              <w:snapToGrid w:val="0"/>
              <w:jc w:val="center"/>
              <w:rPr>
                <w:rFonts w:cs="Times New Roman"/>
                <w:sz w:val="21"/>
              </w:rPr>
            </w:pPr>
            <w:r>
              <w:rPr>
                <w:rFonts w:cs="Times New Roman"/>
                <w:sz w:val="21"/>
              </w:rPr>
              <w:t>氨氮</w:t>
            </w:r>
          </w:p>
        </w:tc>
        <w:tc>
          <w:tcPr>
            <w:tcW w:w="2103" w:type="pct"/>
            <w:gridSpan w:val="2"/>
            <w:vAlign w:val="center"/>
          </w:tcPr>
          <w:p>
            <w:pPr>
              <w:adjustRightInd w:val="0"/>
              <w:snapToGrid w:val="0"/>
              <w:jc w:val="center"/>
              <w:rPr>
                <w:rFonts w:cs="Times New Roman"/>
                <w:sz w:val="21"/>
              </w:rPr>
            </w:pPr>
            <w:r>
              <w:rPr>
                <w:rFonts w:eastAsia="宋体" w:cs="Times New Roman"/>
                <w:color w:val="000000" w:themeColor="text1"/>
                <w:sz w:val="21"/>
              </w:rPr>
              <w:t>1.89</w:t>
            </w:r>
            <w:r>
              <w:rPr>
                <w:rFonts w:hint="eastAsia" w:eastAsia="宋体" w:cs="Times New Roman"/>
                <w:color w:val="000000" w:themeColor="text1"/>
                <w:sz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pct"/>
            <w:gridSpan w:val="2"/>
            <w:vMerge w:val="continue"/>
            <w:vAlign w:val="center"/>
          </w:tcPr>
          <w:p>
            <w:pPr>
              <w:pStyle w:val="14"/>
              <w:rPr>
                <w:rFonts w:cs="Times New Roman"/>
                <w:szCs w:val="24"/>
              </w:rPr>
            </w:pPr>
          </w:p>
        </w:tc>
        <w:tc>
          <w:tcPr>
            <w:tcW w:w="1762" w:type="pct"/>
            <w:gridSpan w:val="2"/>
            <w:vAlign w:val="center"/>
          </w:tcPr>
          <w:p>
            <w:pPr>
              <w:adjustRightInd w:val="0"/>
              <w:snapToGrid w:val="0"/>
              <w:jc w:val="center"/>
              <w:rPr>
                <w:rFonts w:cs="Times New Roman"/>
                <w:sz w:val="21"/>
              </w:rPr>
            </w:pPr>
            <w:r>
              <w:rPr>
                <w:rFonts w:cs="Times New Roman"/>
                <w:color w:val="000000" w:themeColor="text1"/>
                <w:sz w:val="21"/>
              </w:rPr>
              <w:t>粪大肠杆菌</w:t>
            </w:r>
          </w:p>
        </w:tc>
        <w:tc>
          <w:tcPr>
            <w:tcW w:w="2103" w:type="pct"/>
            <w:gridSpan w:val="2"/>
            <w:vAlign w:val="center"/>
          </w:tcPr>
          <w:p>
            <w:pPr>
              <w:adjustRightInd w:val="0"/>
              <w:snapToGrid w:val="0"/>
              <w:jc w:val="center"/>
              <w:rPr>
                <w:rFonts w:cs="Times New Roman"/>
                <w:sz w:val="21"/>
              </w:rPr>
            </w:pPr>
            <w:r>
              <w:rPr>
                <w:rFonts w:eastAsia="宋体" w:cs="Times New Roman"/>
                <w:color w:val="000000" w:themeColor="text1"/>
                <w:sz w:val="21"/>
              </w:rPr>
              <w:t>561.75</w:t>
            </w:r>
            <w:r>
              <w:rPr>
                <w:rFonts w:cs="Times New Roman"/>
                <w:color w:val="000000" w:themeColor="text1"/>
                <w:sz w:val="21"/>
              </w:rPr>
              <w:t>个/L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pct"/>
            <w:gridSpan w:val="2"/>
            <w:vMerge w:val="continue"/>
            <w:vAlign w:val="center"/>
          </w:tcPr>
          <w:p>
            <w:pPr>
              <w:pStyle w:val="14"/>
              <w:rPr>
                <w:rFonts w:cs="Times New Roman"/>
                <w:szCs w:val="24"/>
              </w:rPr>
            </w:pPr>
          </w:p>
        </w:tc>
        <w:tc>
          <w:tcPr>
            <w:tcW w:w="1762" w:type="pct"/>
            <w:gridSpan w:val="2"/>
            <w:vAlign w:val="center"/>
          </w:tcPr>
          <w:p>
            <w:pPr>
              <w:adjustRightInd w:val="0"/>
              <w:snapToGrid w:val="0"/>
              <w:jc w:val="center"/>
              <w:rPr>
                <w:rFonts w:cs="Times New Roman"/>
                <w:sz w:val="21"/>
              </w:rPr>
            </w:pPr>
            <w:r>
              <w:rPr>
                <w:rFonts w:cs="Times New Roman"/>
                <w:color w:val="000000" w:themeColor="text1"/>
                <w:sz w:val="21"/>
              </w:rPr>
              <w:t>总氮</w:t>
            </w:r>
          </w:p>
        </w:tc>
        <w:tc>
          <w:tcPr>
            <w:tcW w:w="2103" w:type="pct"/>
            <w:gridSpan w:val="2"/>
            <w:vAlign w:val="center"/>
          </w:tcPr>
          <w:p>
            <w:pPr>
              <w:adjustRightInd w:val="0"/>
              <w:snapToGrid w:val="0"/>
              <w:jc w:val="center"/>
              <w:rPr>
                <w:rFonts w:cs="Times New Roman"/>
                <w:sz w:val="21"/>
              </w:rPr>
            </w:pPr>
            <w:r>
              <w:rPr>
                <w:rFonts w:eastAsia="宋体" w:cs="Times New Roman"/>
                <w:color w:val="000000" w:themeColor="text1"/>
                <w:sz w:val="21"/>
              </w:rPr>
              <w:t>3.02</w:t>
            </w:r>
            <w:r>
              <w:rPr>
                <w:rFonts w:hint="eastAsia" w:eastAsia="宋体" w:cs="Times New Roman"/>
                <w:color w:val="000000" w:themeColor="text1"/>
                <w:sz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pct"/>
            <w:gridSpan w:val="2"/>
            <w:vMerge w:val="continue"/>
            <w:vAlign w:val="center"/>
          </w:tcPr>
          <w:p>
            <w:pPr>
              <w:pStyle w:val="14"/>
              <w:rPr>
                <w:rFonts w:cs="Times New Roman"/>
                <w:szCs w:val="24"/>
              </w:rPr>
            </w:pPr>
          </w:p>
        </w:tc>
        <w:tc>
          <w:tcPr>
            <w:tcW w:w="1762" w:type="pct"/>
            <w:gridSpan w:val="2"/>
            <w:vAlign w:val="center"/>
          </w:tcPr>
          <w:p>
            <w:pPr>
              <w:adjustRightInd w:val="0"/>
              <w:snapToGrid w:val="0"/>
              <w:jc w:val="center"/>
              <w:rPr>
                <w:rFonts w:cs="Times New Roman"/>
                <w:sz w:val="21"/>
              </w:rPr>
            </w:pPr>
            <w:r>
              <w:rPr>
                <w:rFonts w:cs="Times New Roman"/>
                <w:color w:val="000000" w:themeColor="text1"/>
                <w:sz w:val="21"/>
              </w:rPr>
              <w:t>总磷</w:t>
            </w:r>
          </w:p>
        </w:tc>
        <w:tc>
          <w:tcPr>
            <w:tcW w:w="2103" w:type="pct"/>
            <w:gridSpan w:val="2"/>
            <w:vAlign w:val="center"/>
          </w:tcPr>
          <w:p>
            <w:pPr>
              <w:adjustRightInd w:val="0"/>
              <w:snapToGrid w:val="0"/>
              <w:jc w:val="center"/>
              <w:rPr>
                <w:rFonts w:cs="Times New Roman"/>
                <w:sz w:val="21"/>
              </w:rPr>
            </w:pPr>
            <w:r>
              <w:rPr>
                <w:rFonts w:eastAsia="宋体" w:cs="Times New Roman"/>
                <w:color w:val="000000" w:themeColor="text1"/>
                <w:sz w:val="21"/>
              </w:rPr>
              <w:t>0.14</w:t>
            </w:r>
            <w:r>
              <w:rPr>
                <w:rFonts w:hint="eastAsia" w:eastAsia="宋体" w:cs="Times New Roman"/>
                <w:color w:val="000000" w:themeColor="text1"/>
                <w:sz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pct"/>
            <w:gridSpan w:val="2"/>
            <w:vMerge w:val="continue"/>
            <w:vAlign w:val="center"/>
          </w:tcPr>
          <w:p>
            <w:pPr>
              <w:pStyle w:val="14"/>
              <w:rPr>
                <w:rFonts w:cs="Times New Roman"/>
                <w:szCs w:val="24"/>
              </w:rPr>
            </w:pPr>
          </w:p>
        </w:tc>
        <w:tc>
          <w:tcPr>
            <w:tcW w:w="1762" w:type="pct"/>
            <w:gridSpan w:val="2"/>
            <w:vAlign w:val="center"/>
          </w:tcPr>
          <w:p>
            <w:pPr>
              <w:adjustRightInd w:val="0"/>
              <w:snapToGrid w:val="0"/>
              <w:jc w:val="center"/>
              <w:rPr>
                <w:rFonts w:cs="Times New Roman"/>
                <w:sz w:val="21"/>
              </w:rPr>
            </w:pPr>
            <w:r>
              <w:rPr>
                <w:rFonts w:cs="Times New Roman"/>
                <w:color w:val="000000" w:themeColor="text1"/>
                <w:sz w:val="21"/>
              </w:rPr>
              <w:t>阴离子表面活性剂</w:t>
            </w:r>
          </w:p>
        </w:tc>
        <w:tc>
          <w:tcPr>
            <w:tcW w:w="2103" w:type="pct"/>
            <w:gridSpan w:val="2"/>
            <w:vAlign w:val="center"/>
          </w:tcPr>
          <w:p>
            <w:pPr>
              <w:adjustRightInd w:val="0"/>
              <w:snapToGrid w:val="0"/>
              <w:jc w:val="center"/>
              <w:rPr>
                <w:rFonts w:cs="Times New Roman"/>
                <w:sz w:val="21"/>
              </w:rPr>
            </w:pPr>
            <w:r>
              <w:rPr>
                <w:rFonts w:eastAsia="宋体" w:cs="Times New Roman"/>
                <w:color w:val="000000" w:themeColor="text1"/>
                <w:sz w:val="21"/>
              </w:rPr>
              <w:t>0.024</w:t>
            </w:r>
            <w:r>
              <w:rPr>
                <w:rFonts w:hint="eastAsia" w:eastAsia="宋体" w:cs="Times New Roman"/>
                <w:color w:val="000000" w:themeColor="text1"/>
                <w:sz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pct"/>
            <w:gridSpan w:val="2"/>
            <w:vMerge w:val="continue"/>
            <w:vAlign w:val="center"/>
          </w:tcPr>
          <w:p>
            <w:pPr>
              <w:pStyle w:val="14"/>
              <w:rPr>
                <w:rFonts w:cs="Times New Roman"/>
                <w:szCs w:val="24"/>
              </w:rPr>
            </w:pPr>
          </w:p>
        </w:tc>
        <w:tc>
          <w:tcPr>
            <w:tcW w:w="1762" w:type="pct"/>
            <w:gridSpan w:val="2"/>
            <w:vAlign w:val="center"/>
          </w:tcPr>
          <w:p>
            <w:pPr>
              <w:adjustRightInd w:val="0"/>
              <w:snapToGrid w:val="0"/>
              <w:jc w:val="center"/>
              <w:rPr>
                <w:rFonts w:cs="Times New Roman"/>
                <w:b/>
                <w:bCs/>
                <w:sz w:val="21"/>
              </w:rPr>
            </w:pPr>
            <w:r>
              <w:rPr>
                <w:rFonts w:cs="Times New Roman"/>
                <w:color w:val="000000" w:themeColor="text1"/>
                <w:sz w:val="21"/>
              </w:rPr>
              <w:t>总余氯</w:t>
            </w:r>
          </w:p>
        </w:tc>
        <w:tc>
          <w:tcPr>
            <w:tcW w:w="2103" w:type="pct"/>
            <w:gridSpan w:val="2"/>
            <w:vAlign w:val="center"/>
          </w:tcPr>
          <w:p>
            <w:pPr>
              <w:adjustRightInd w:val="0"/>
              <w:snapToGrid w:val="0"/>
              <w:jc w:val="center"/>
              <w:rPr>
                <w:rFonts w:cs="Times New Roman"/>
                <w:b/>
                <w:bCs/>
                <w:sz w:val="21"/>
              </w:rPr>
            </w:pPr>
            <w:r>
              <w:rPr>
                <w:rFonts w:eastAsia="宋体" w:cs="Times New Roman"/>
                <w:color w:val="000000" w:themeColor="text1"/>
                <w:sz w:val="21"/>
              </w:rPr>
              <w:t>0.005</w:t>
            </w:r>
            <w:r>
              <w:rPr>
                <w:rFonts w:hint="eastAsia" w:eastAsia="宋体" w:cs="Times New Roman"/>
                <w:color w:val="000000" w:themeColor="text1"/>
                <w:sz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pct"/>
            <w:gridSpan w:val="2"/>
            <w:vMerge w:val="continue"/>
            <w:vAlign w:val="center"/>
          </w:tcPr>
          <w:p>
            <w:pPr>
              <w:pStyle w:val="14"/>
              <w:rPr>
                <w:rFonts w:cs="Times New Roman"/>
                <w:szCs w:val="24"/>
              </w:rPr>
            </w:pPr>
          </w:p>
        </w:tc>
        <w:tc>
          <w:tcPr>
            <w:tcW w:w="1762" w:type="pct"/>
            <w:gridSpan w:val="2"/>
            <w:vAlign w:val="center"/>
          </w:tcPr>
          <w:p>
            <w:pPr>
              <w:adjustRightInd w:val="0"/>
              <w:snapToGrid w:val="0"/>
              <w:jc w:val="center"/>
              <w:rPr>
                <w:rFonts w:cs="Times New Roman"/>
                <w:sz w:val="21"/>
              </w:rPr>
            </w:pPr>
            <w:r>
              <w:rPr>
                <w:rFonts w:cs="Times New Roman"/>
                <w:color w:val="000000" w:themeColor="text1"/>
                <w:sz w:val="21"/>
              </w:rPr>
              <w:t>总氰化物</w:t>
            </w:r>
          </w:p>
        </w:tc>
        <w:tc>
          <w:tcPr>
            <w:tcW w:w="2103" w:type="pct"/>
            <w:gridSpan w:val="2"/>
            <w:vAlign w:val="center"/>
          </w:tcPr>
          <w:p>
            <w:pPr>
              <w:adjustRightInd w:val="0"/>
              <w:snapToGrid w:val="0"/>
              <w:jc w:val="center"/>
              <w:rPr>
                <w:rFonts w:cs="Times New Roman"/>
                <w:sz w:val="21"/>
              </w:rPr>
            </w:pPr>
            <w:r>
              <w:rPr>
                <w:rFonts w:eastAsia="宋体" w:cs="Times New Roman"/>
                <w:color w:val="000000" w:themeColor="text1"/>
                <w:sz w:val="21"/>
              </w:rPr>
              <w:t>0.0001</w:t>
            </w:r>
            <w:r>
              <w:rPr>
                <w:rFonts w:hint="eastAsia" w:eastAsia="宋体" w:cs="Times New Roman"/>
                <w:color w:val="000000" w:themeColor="text1"/>
                <w:sz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pct"/>
            <w:gridSpan w:val="2"/>
            <w:vMerge w:val="continue"/>
            <w:vAlign w:val="center"/>
          </w:tcPr>
          <w:p>
            <w:pPr>
              <w:pStyle w:val="14"/>
              <w:rPr>
                <w:rFonts w:cs="Times New Roman"/>
                <w:szCs w:val="24"/>
              </w:rPr>
            </w:pPr>
          </w:p>
        </w:tc>
        <w:tc>
          <w:tcPr>
            <w:tcW w:w="1762" w:type="pct"/>
            <w:gridSpan w:val="2"/>
            <w:vAlign w:val="center"/>
          </w:tcPr>
          <w:p>
            <w:pPr>
              <w:adjustRightInd w:val="0"/>
              <w:snapToGrid w:val="0"/>
              <w:jc w:val="center"/>
              <w:rPr>
                <w:rFonts w:eastAsia="宋体" w:cs="Times New Roman"/>
                <w:color w:val="000000" w:themeColor="text1"/>
                <w:sz w:val="21"/>
              </w:rPr>
            </w:pPr>
            <w:r>
              <w:rPr>
                <w:rFonts w:cs="Times New Roman"/>
                <w:color w:val="000000" w:themeColor="text1"/>
                <w:sz w:val="21"/>
              </w:rPr>
              <w:t>动植物油</w:t>
            </w:r>
          </w:p>
        </w:tc>
        <w:tc>
          <w:tcPr>
            <w:tcW w:w="2103" w:type="pct"/>
            <w:gridSpan w:val="2"/>
            <w:vAlign w:val="center"/>
          </w:tcPr>
          <w:p>
            <w:pPr>
              <w:adjustRightInd w:val="0"/>
              <w:snapToGrid w:val="0"/>
              <w:jc w:val="center"/>
              <w:rPr>
                <w:rFonts w:eastAsia="宋体" w:cs="Times New Roman"/>
                <w:color w:val="000000" w:themeColor="text1"/>
                <w:sz w:val="21"/>
              </w:rPr>
            </w:pPr>
            <w:r>
              <w:rPr>
                <w:rFonts w:cs="Times New Roman"/>
                <w:color w:val="000000" w:themeColor="text1"/>
                <w:sz w:val="21"/>
              </w:rPr>
              <w:t>0.09t/a</w:t>
            </w:r>
          </w:p>
        </w:tc>
      </w:tr>
    </w:tbl>
    <w:p>
      <w:pPr>
        <w:pStyle w:val="14"/>
        <w:rPr>
          <w:rFonts w:cs="Times New Roman"/>
          <w:szCs w:val="24"/>
        </w:rPr>
        <w:sectPr>
          <w:pgSz w:w="16838" w:h="11911" w:orient="landscape"/>
          <w:pgMar w:top="1519" w:right="1060" w:bottom="958" w:left="1338" w:header="720" w:footer="720" w:gutter="0"/>
          <w:cols w:space="0" w:num="1"/>
        </w:sectPr>
      </w:pPr>
    </w:p>
    <w:p>
      <w:pPr>
        <w:pStyle w:val="5"/>
      </w:pPr>
      <w:r>
        <w:rPr>
          <w:rFonts w:hint="eastAsia"/>
        </w:rPr>
        <w:t>大气环境影响分析</w:t>
      </w:r>
    </w:p>
    <w:p>
      <w:pPr>
        <w:pStyle w:val="14"/>
        <w:ind w:firstLine="480" w:firstLineChars="200"/>
        <w:jc w:val="both"/>
        <w:rPr>
          <w:b w:val="0"/>
        </w:rPr>
      </w:pPr>
      <w:r>
        <w:rPr>
          <w:b w:val="0"/>
        </w:rPr>
        <w:t>本项目废气主要包括食堂油烟</w:t>
      </w:r>
      <w:r>
        <w:rPr>
          <w:rFonts w:hint="eastAsia"/>
          <w:b w:val="0"/>
        </w:rPr>
        <w:t>、</w:t>
      </w:r>
      <w:r>
        <w:rPr>
          <w:b w:val="0"/>
        </w:rPr>
        <w:t>停车场汽车尾气</w:t>
      </w:r>
      <w:r>
        <w:rPr>
          <w:rFonts w:hint="eastAsia"/>
          <w:b w:val="0"/>
        </w:rPr>
        <w:t>、</w:t>
      </w:r>
      <w:r>
        <w:rPr>
          <w:b w:val="0"/>
        </w:rPr>
        <w:t>燃气锅炉废气</w:t>
      </w:r>
      <w:r>
        <w:rPr>
          <w:rFonts w:hint="eastAsia"/>
          <w:b w:val="0"/>
        </w:rPr>
        <w:t>、</w:t>
      </w:r>
      <w:r>
        <w:rPr>
          <w:b w:val="0"/>
        </w:rPr>
        <w:t>备用柴油发电机尾气和污水处理站恶臭及垃圾站恶臭</w:t>
      </w:r>
      <w:r>
        <w:rPr>
          <w:rFonts w:hint="eastAsia"/>
          <w:b w:val="0"/>
        </w:rPr>
        <w:t>。</w:t>
      </w:r>
    </w:p>
    <w:p>
      <w:pPr>
        <w:pStyle w:val="6"/>
      </w:pPr>
      <w:r>
        <w:rPr>
          <w:rFonts w:hint="eastAsia"/>
        </w:rPr>
        <w:t>评价等级判定</w:t>
      </w:r>
    </w:p>
    <w:p>
      <w:pPr>
        <w:autoSpaceDE w:val="0"/>
        <w:autoSpaceDN w:val="0"/>
        <w:adjustRightInd w:val="0"/>
        <w:snapToGrid w:val="0"/>
        <w:spacing w:line="360" w:lineRule="auto"/>
        <w:ind w:firstLine="480"/>
        <w:rPr>
          <w:rFonts w:cs="Times New Roman"/>
          <w:color w:val="000000" w:themeColor="text1"/>
        </w:rPr>
      </w:pPr>
      <w:r>
        <w:rPr>
          <w:rFonts w:cs="Times New Roman"/>
          <w:color w:val="000000" w:themeColor="text1"/>
          <w:kern w:val="0"/>
        </w:rPr>
        <w:t>按照《环境影响评价技术导则—大气环境》（HJ2.2-2018）中相关规定，评价等级采用AERSCREEN估算模式进行计算，分别计算项目排放主要污染物的最大地面空气浓度占标率。根据工程分析结果，计算污染物的最大地面浓度占标率P</w:t>
      </w:r>
      <w:r>
        <w:rPr>
          <w:rFonts w:cs="Times New Roman"/>
          <w:color w:val="000000" w:themeColor="text1"/>
          <w:kern w:val="0"/>
          <w:vertAlign w:val="subscript"/>
        </w:rPr>
        <w:t>i</w:t>
      </w:r>
      <w:r>
        <w:rPr>
          <w:rFonts w:cs="Times New Roman"/>
          <w:color w:val="000000" w:themeColor="text1"/>
          <w:kern w:val="0"/>
        </w:rPr>
        <w:t>（第i个污染物），及第i个污染物的地面浓度达到标准限值10%时所对应的最远距离D</w:t>
      </w:r>
      <w:r>
        <w:rPr>
          <w:rFonts w:cs="Times New Roman"/>
          <w:color w:val="000000" w:themeColor="text1"/>
          <w:kern w:val="0"/>
          <w:vertAlign w:val="subscript"/>
        </w:rPr>
        <w:t>10</w:t>
      </w:r>
      <w:r>
        <w:rPr>
          <w:rFonts w:cs="Times New Roman"/>
          <w:color w:val="000000" w:themeColor="text1"/>
          <w:kern w:val="0"/>
        </w:rPr>
        <w:t>%。其中P</w:t>
      </w:r>
      <w:r>
        <w:rPr>
          <w:rFonts w:cs="Times New Roman"/>
          <w:color w:val="000000" w:themeColor="text1"/>
          <w:kern w:val="0"/>
          <w:vertAlign w:val="subscript"/>
        </w:rPr>
        <w:t>i</w:t>
      </w:r>
      <w:r>
        <w:rPr>
          <w:rFonts w:cs="Times New Roman"/>
          <w:color w:val="000000" w:themeColor="text1"/>
          <w:kern w:val="0"/>
        </w:rPr>
        <w:t>定义为：</w:t>
      </w:r>
    </w:p>
    <w:p>
      <w:pPr>
        <w:pStyle w:val="82"/>
        <w:spacing w:before="0" w:line="360" w:lineRule="auto"/>
        <w:ind w:firstLine="480"/>
        <w:jc w:val="center"/>
        <w:rPr>
          <w:rFonts w:ascii="Times New Roman" w:hAnsi="Times New Roman" w:cs="Times New Roman"/>
          <w:color w:val="FF0000"/>
        </w:rPr>
      </w:pPr>
      <w:r>
        <w:rPr>
          <w:rFonts w:ascii="Times New Roman" w:hAnsi="Times New Roman" w:cs="Times New Roman"/>
          <w:color w:val="FF0000"/>
          <w:position w:val="-30"/>
        </w:rPr>
        <w:object>
          <v:shape id="_x0000_i1031" o:spt="75" type="#_x0000_t75" style="height:33.85pt;width:79.4pt;" o:ole="t" filled="f" o:preferrelative="t" stroked="f" coordsize="21600,21600">
            <v:path/>
            <v:fill on="f" focussize="0,0"/>
            <v:stroke on="f" joinstyle="miter"/>
            <v:imagedata r:id="rId11" o:title=""/>
            <o:lock v:ext="edit" aspectratio="t"/>
            <w10:wrap type="none"/>
            <w10:anchorlock/>
          </v:shape>
          <o:OLEObject Type="Embed" ProgID="Equation.3" ShapeID="_x0000_i1031" DrawAspect="Content" ObjectID="_1468075730" r:id="rId20">
            <o:LockedField>false</o:LockedField>
          </o:OLEObject>
        </w:object>
      </w:r>
    </w:p>
    <w:p>
      <w:pPr>
        <w:pStyle w:val="82"/>
        <w:spacing w:before="0" w:line="360" w:lineRule="auto"/>
        <w:ind w:firstLine="480"/>
        <w:rPr>
          <w:rFonts w:ascii="Times New Roman" w:hAnsi="Times New Roman" w:cs="Times New Roman"/>
          <w:color w:val="000000" w:themeColor="text1"/>
        </w:rPr>
      </w:pPr>
      <w:r>
        <w:rPr>
          <w:rFonts w:ascii="Times New Roman" w:hAnsi="Times New Roman" w:cs="Times New Roman"/>
          <w:color w:val="000000" w:themeColor="text1"/>
        </w:rPr>
        <w:t>式中：P</w:t>
      </w:r>
      <w:r>
        <w:rPr>
          <w:rFonts w:ascii="Times New Roman" w:hAnsi="Times New Roman" w:cs="Times New Roman"/>
          <w:color w:val="000000" w:themeColor="text1"/>
          <w:vertAlign w:val="subscript"/>
        </w:rPr>
        <w:t>i</w:t>
      </w:r>
      <w:r>
        <w:rPr>
          <w:rFonts w:ascii="Times New Roman" w:hAnsi="Times New Roman" w:cs="Times New Roman"/>
          <w:color w:val="000000" w:themeColor="text1"/>
        </w:rPr>
        <w:t>——第i个污染物的最大地面浓度占标率，%；</w:t>
      </w:r>
    </w:p>
    <w:p>
      <w:pPr>
        <w:pStyle w:val="82"/>
        <w:spacing w:before="0" w:line="360" w:lineRule="auto"/>
        <w:ind w:left="2" w:firstLine="480"/>
        <w:rPr>
          <w:rFonts w:ascii="Times New Roman" w:hAnsi="Times New Roman" w:cs="Times New Roman"/>
          <w:color w:val="000000" w:themeColor="text1"/>
        </w:rPr>
      </w:pPr>
      <w:r>
        <w:rPr>
          <w:rFonts w:ascii="Times New Roman" w:hAnsi="Times New Roman" w:cs="Times New Roman"/>
          <w:color w:val="000000" w:themeColor="text1"/>
        </w:rPr>
        <w:t xml:space="preserve">      C</w:t>
      </w:r>
      <w:r>
        <w:rPr>
          <w:rFonts w:ascii="Times New Roman" w:hAnsi="Times New Roman" w:cs="Times New Roman"/>
          <w:color w:val="000000" w:themeColor="text1"/>
          <w:vertAlign w:val="subscript"/>
        </w:rPr>
        <w:t>i</w:t>
      </w:r>
      <w:r>
        <w:rPr>
          <w:rFonts w:ascii="Times New Roman" w:hAnsi="Times New Roman" w:cs="Times New Roman"/>
          <w:color w:val="000000" w:themeColor="text1"/>
        </w:rPr>
        <w:t>——采用估算模式计算出的第i个污染物的最大地面浓度，mg/m</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w:t>
      </w:r>
    </w:p>
    <w:p>
      <w:pPr>
        <w:adjustRightInd w:val="0"/>
        <w:snapToGrid w:val="0"/>
        <w:spacing w:line="360" w:lineRule="auto"/>
        <w:ind w:firstLine="480"/>
        <w:rPr>
          <w:rFonts w:cs="Times New Roman"/>
          <w:color w:val="000000" w:themeColor="text1"/>
        </w:rPr>
      </w:pPr>
      <w:r>
        <w:rPr>
          <w:rFonts w:cs="Times New Roman"/>
          <w:color w:val="000000" w:themeColor="text1"/>
        </w:rPr>
        <w:t xml:space="preserve">      C</w:t>
      </w:r>
      <w:r>
        <w:rPr>
          <w:rFonts w:cs="Times New Roman"/>
          <w:color w:val="000000" w:themeColor="text1"/>
          <w:vertAlign w:val="subscript"/>
        </w:rPr>
        <w:t>0i</w:t>
      </w:r>
      <w:r>
        <w:rPr>
          <w:rFonts w:cs="Times New Roman"/>
          <w:color w:val="000000" w:themeColor="text1"/>
        </w:rPr>
        <w:t>——</w:t>
      </w:r>
      <w:r>
        <w:rPr>
          <w:rFonts w:cs="Times New Roman"/>
          <w:color w:val="000000" w:themeColor="text1"/>
          <w:kern w:val="0"/>
          <w:szCs w:val="20"/>
        </w:rPr>
        <w:t>第i个污染物的环境空气质量标准</w:t>
      </w:r>
      <w:r>
        <w:rPr>
          <w:rFonts w:cs="Times New Roman"/>
          <w:color w:val="000000" w:themeColor="text1"/>
        </w:rPr>
        <w:t>，mg/m</w:t>
      </w:r>
      <w:r>
        <w:rPr>
          <w:rFonts w:cs="Times New Roman"/>
          <w:color w:val="000000" w:themeColor="text1"/>
          <w:vertAlign w:val="superscript"/>
        </w:rPr>
        <w:t>3</w:t>
      </w:r>
      <w:r>
        <w:rPr>
          <w:rFonts w:cs="Times New Roman"/>
          <w:color w:val="000000" w:themeColor="text1"/>
        </w:rPr>
        <w:t xml:space="preserve">，对于无小时浓度限值的污染物，可取日平均浓度限制的三倍值，对该标准未包含的污染物。 </w:t>
      </w:r>
    </w:p>
    <w:p>
      <w:pPr>
        <w:autoSpaceDE w:val="0"/>
        <w:autoSpaceDN w:val="0"/>
        <w:adjustRightInd w:val="0"/>
        <w:snapToGrid w:val="0"/>
        <w:spacing w:line="360" w:lineRule="auto"/>
        <w:ind w:firstLine="480"/>
        <w:rPr>
          <w:rFonts w:eastAsia="宋体" w:cs="Times New Roman"/>
          <w:color w:val="000000" w:themeColor="text1"/>
          <w:kern w:val="0"/>
          <w:szCs w:val="24"/>
        </w:rPr>
      </w:pPr>
      <w:r>
        <w:rPr>
          <w:rFonts w:eastAsia="宋体" w:cs="Times New Roman"/>
          <w:color w:val="000000" w:themeColor="text1"/>
          <w:kern w:val="0"/>
          <w:szCs w:val="24"/>
        </w:rPr>
        <w:t>项目营运期间产生的废气主要为</w:t>
      </w:r>
      <w:r>
        <w:rPr>
          <w:rFonts w:hint="eastAsia"/>
          <w:color w:val="000000" w:themeColor="text1"/>
        </w:rPr>
        <w:t>食堂油烟、汽车尾气、锅炉燃烧废气、发电机燃烧废气、污水处理站恶臭及垃圾站恶臭气体</w:t>
      </w:r>
      <w:r>
        <w:rPr>
          <w:rFonts w:eastAsia="宋体" w:cs="Times New Roman"/>
          <w:color w:val="000000" w:themeColor="text1"/>
          <w:kern w:val="0"/>
          <w:szCs w:val="24"/>
        </w:rPr>
        <w:t>，主要大气污染物的最大落地浓度</w:t>
      </w:r>
      <w:r>
        <w:rPr>
          <w:rFonts w:hint="eastAsia" w:eastAsia="宋体" w:cs="Times New Roman"/>
          <w:color w:val="000000" w:themeColor="text1"/>
          <w:kern w:val="0"/>
          <w:szCs w:val="24"/>
        </w:rPr>
        <w:t>和</w:t>
      </w:r>
      <w:r>
        <w:rPr>
          <w:rFonts w:eastAsia="宋体" w:cs="Times New Roman"/>
          <w:color w:val="000000" w:themeColor="text1"/>
          <w:kern w:val="0"/>
          <w:szCs w:val="24"/>
        </w:rPr>
        <w:t>占标率见</w:t>
      </w:r>
      <w:r>
        <w:rPr>
          <w:rFonts w:hint="eastAsia" w:eastAsia="宋体" w:cs="Times New Roman"/>
          <w:color w:val="000000" w:themeColor="text1"/>
          <w:kern w:val="0"/>
          <w:szCs w:val="24"/>
        </w:rPr>
        <w:t>1.7-3</w:t>
      </w:r>
      <w:r>
        <w:rPr>
          <w:rFonts w:eastAsia="宋体" w:cs="Times New Roman"/>
          <w:color w:val="000000" w:themeColor="text1"/>
          <w:kern w:val="0"/>
          <w:szCs w:val="24"/>
        </w:rPr>
        <w:t>，再根据表1.7-1，确定大气环境影响评价等级为二级。</w:t>
      </w:r>
      <w:r>
        <w:rPr>
          <w:rFonts w:cs="Times New Roman"/>
          <w:color w:val="000000" w:themeColor="text1"/>
          <w:kern w:val="0"/>
        </w:rPr>
        <w:t>估算模式计算参数表见表1.7-2。</w:t>
      </w:r>
    </w:p>
    <w:p>
      <w:pPr>
        <w:pStyle w:val="14"/>
        <w:spacing w:line="240" w:lineRule="auto"/>
        <w:rPr>
          <w:rFonts w:cs="Times New Roman"/>
          <w:color w:val="000000" w:themeColor="text1"/>
        </w:rPr>
      </w:pPr>
      <w:r>
        <w:rPr>
          <w:rFonts w:cs="Times New Roman"/>
          <w:color w:val="000000" w:themeColor="text1"/>
          <w:kern w:val="0"/>
          <w:szCs w:val="24"/>
        </w:rPr>
        <w:t>表</w:t>
      </w:r>
      <w:r>
        <w:rPr>
          <w:rFonts w:cs="Times New Roman"/>
          <w:color w:val="000000" w:themeColor="text1"/>
          <w:kern w:val="0"/>
          <w:szCs w:val="24"/>
        </w:rPr>
        <w:fldChar w:fldCharType="begin"/>
      </w:r>
      <w:r>
        <w:rPr>
          <w:rFonts w:cs="Times New Roman"/>
          <w:color w:val="000000" w:themeColor="text1"/>
          <w:kern w:val="0"/>
          <w:szCs w:val="24"/>
        </w:rPr>
        <w:instrText xml:space="preserve"> STYLEREF 2 \s </w:instrText>
      </w:r>
      <w:r>
        <w:rPr>
          <w:rFonts w:cs="Times New Roman"/>
          <w:color w:val="000000" w:themeColor="text1"/>
          <w:kern w:val="0"/>
          <w:szCs w:val="24"/>
        </w:rPr>
        <w:fldChar w:fldCharType="separate"/>
      </w:r>
      <w:r>
        <w:rPr>
          <w:rFonts w:cs="Times New Roman"/>
          <w:color w:val="000000" w:themeColor="text1"/>
          <w:kern w:val="0"/>
          <w:szCs w:val="24"/>
        </w:rPr>
        <w:t>5.2</w:t>
      </w:r>
      <w:r>
        <w:rPr>
          <w:rFonts w:cs="Times New Roman"/>
          <w:color w:val="000000" w:themeColor="text1"/>
          <w:kern w:val="0"/>
          <w:szCs w:val="24"/>
        </w:rPr>
        <w:fldChar w:fldCharType="end"/>
      </w:r>
      <w:r>
        <w:rPr>
          <w:rFonts w:cs="Times New Roman"/>
          <w:color w:val="000000" w:themeColor="text1"/>
          <w:kern w:val="0"/>
          <w:szCs w:val="24"/>
        </w:rPr>
        <w:noBreakHyphen/>
      </w:r>
      <w:r>
        <w:rPr>
          <w:rFonts w:cs="Times New Roman"/>
          <w:color w:val="000000" w:themeColor="text1"/>
          <w:kern w:val="0"/>
          <w:szCs w:val="24"/>
        </w:rPr>
        <w:fldChar w:fldCharType="begin"/>
      </w:r>
      <w:r>
        <w:rPr>
          <w:rFonts w:cs="Times New Roman"/>
          <w:color w:val="000000" w:themeColor="text1"/>
          <w:kern w:val="0"/>
          <w:szCs w:val="24"/>
        </w:rPr>
        <w:instrText xml:space="preserve"> SEQ 表 \* ARABIC \s 2 </w:instrText>
      </w:r>
      <w:r>
        <w:rPr>
          <w:rFonts w:cs="Times New Roman"/>
          <w:color w:val="000000" w:themeColor="text1"/>
          <w:kern w:val="0"/>
          <w:szCs w:val="24"/>
        </w:rPr>
        <w:fldChar w:fldCharType="separate"/>
      </w:r>
      <w:r>
        <w:rPr>
          <w:rFonts w:cs="Times New Roman"/>
          <w:color w:val="000000" w:themeColor="text1"/>
          <w:kern w:val="0"/>
          <w:szCs w:val="24"/>
        </w:rPr>
        <w:t>9</w:t>
      </w:r>
      <w:r>
        <w:rPr>
          <w:rFonts w:cs="Times New Roman"/>
          <w:color w:val="000000" w:themeColor="text1"/>
          <w:kern w:val="0"/>
          <w:szCs w:val="24"/>
        </w:rPr>
        <w:fldChar w:fldCharType="end"/>
      </w:r>
      <w:r>
        <w:rPr>
          <w:rFonts w:cs="Times New Roman"/>
          <w:bCs/>
          <w:color w:val="000000" w:themeColor="text1"/>
        </w:rPr>
        <w:t>大气环境影响评价工作等级</w:t>
      </w:r>
    </w:p>
    <w:tbl>
      <w:tblPr>
        <w:tblStyle w:val="40"/>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1"/>
        <w:gridCol w:w="4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评价工作等级</w:t>
            </w:r>
          </w:p>
        </w:tc>
        <w:tc>
          <w:tcPr>
            <w:tcW w:w="4621" w:type="dxa"/>
            <w:vAlign w:val="center"/>
          </w:tcPr>
          <w:p>
            <w:pPr>
              <w:jc w:val="center"/>
              <w:rPr>
                <w:rFonts w:eastAsia="宋体" w:cs="Times New Roman"/>
                <w:color w:val="000000" w:themeColor="text1"/>
                <w:kern w:val="0"/>
                <w:sz w:val="21"/>
              </w:rPr>
            </w:pPr>
            <w:r>
              <w:rPr>
                <w:rFonts w:eastAsia="宋体" w:cs="Times New Roman"/>
                <w:color w:val="000000" w:themeColor="text1"/>
                <w:kern w:val="0"/>
                <w:sz w:val="21"/>
              </w:rPr>
              <w:t>评价工作等级评价工作分级判据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vAlign w:val="center"/>
          </w:tcPr>
          <w:p>
            <w:pPr>
              <w:pStyle w:val="14"/>
              <w:spacing w:line="240" w:lineRule="auto"/>
              <w:rPr>
                <w:rFonts w:cs="Times New Roman"/>
                <w:b w:val="0"/>
                <w:color w:val="000000" w:themeColor="text1"/>
                <w:kern w:val="0"/>
                <w:sz w:val="21"/>
                <w:szCs w:val="21"/>
              </w:rPr>
            </w:pPr>
            <w:r>
              <w:rPr>
                <w:rFonts w:cs="Times New Roman"/>
                <w:b w:val="0"/>
                <w:color w:val="000000" w:themeColor="text1"/>
                <w:kern w:val="0"/>
                <w:sz w:val="21"/>
                <w:szCs w:val="21"/>
              </w:rPr>
              <w:t>一级</w:t>
            </w:r>
          </w:p>
        </w:tc>
        <w:tc>
          <w:tcPr>
            <w:tcW w:w="4621" w:type="dxa"/>
            <w:vAlign w:val="center"/>
          </w:tcPr>
          <w:p>
            <w:pPr>
              <w:pStyle w:val="14"/>
              <w:spacing w:line="240" w:lineRule="auto"/>
              <w:rPr>
                <w:rFonts w:cs="Times New Roman"/>
                <w:b w:val="0"/>
                <w:color w:val="000000" w:themeColor="text1"/>
                <w:kern w:val="0"/>
                <w:sz w:val="21"/>
                <w:szCs w:val="21"/>
              </w:rPr>
            </w:pPr>
            <w:r>
              <w:rPr>
                <w:rFonts w:cs="Times New Roman"/>
                <w:b w:val="0"/>
                <w:color w:val="000000" w:themeColor="text1"/>
                <w:kern w:val="0"/>
                <w:sz w:val="21"/>
                <w:szCs w:val="21"/>
              </w:rPr>
              <w:t>Pmax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vAlign w:val="center"/>
          </w:tcPr>
          <w:p>
            <w:pPr>
              <w:pStyle w:val="14"/>
              <w:spacing w:line="240" w:lineRule="auto"/>
              <w:rPr>
                <w:rFonts w:cs="Times New Roman"/>
                <w:b w:val="0"/>
                <w:color w:val="000000" w:themeColor="text1"/>
                <w:kern w:val="0"/>
                <w:sz w:val="21"/>
                <w:szCs w:val="21"/>
              </w:rPr>
            </w:pPr>
            <w:r>
              <w:rPr>
                <w:rFonts w:cs="Times New Roman"/>
                <w:b w:val="0"/>
                <w:color w:val="000000" w:themeColor="text1"/>
                <w:kern w:val="0"/>
                <w:sz w:val="21"/>
                <w:szCs w:val="21"/>
              </w:rPr>
              <w:t>二级</w:t>
            </w:r>
          </w:p>
        </w:tc>
        <w:tc>
          <w:tcPr>
            <w:tcW w:w="4621" w:type="dxa"/>
            <w:vAlign w:val="center"/>
          </w:tcPr>
          <w:p>
            <w:pPr>
              <w:pStyle w:val="14"/>
              <w:spacing w:line="240" w:lineRule="auto"/>
              <w:rPr>
                <w:rFonts w:cs="Times New Roman"/>
                <w:b w:val="0"/>
                <w:color w:val="000000" w:themeColor="text1"/>
                <w:kern w:val="0"/>
                <w:sz w:val="21"/>
                <w:szCs w:val="21"/>
              </w:rPr>
            </w:pPr>
            <w:r>
              <w:rPr>
                <w:rFonts w:cs="Times New Roman"/>
                <w:b w:val="0"/>
                <w:color w:val="000000" w:themeColor="text1"/>
                <w:kern w:val="0"/>
                <w:sz w:val="21"/>
                <w:szCs w:val="21"/>
              </w:rPr>
              <w:t>1% ≤P max</w:t>
            </w:r>
            <w:r>
              <w:rPr>
                <w:rFonts w:hint="eastAsia" w:ascii="宋体" w:hAnsi="宋体" w:cs="Times New Roman"/>
                <w:b w:val="0"/>
                <w:color w:val="000000" w:themeColor="text1"/>
                <w:kern w:val="0"/>
                <w:sz w:val="21"/>
                <w:szCs w:val="21"/>
              </w:rPr>
              <w:t>＜</w:t>
            </w:r>
            <w:r>
              <w:rPr>
                <w:rFonts w:cs="Times New Roman"/>
                <w:b w:val="0"/>
                <w:color w:val="000000" w:themeColor="text1"/>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vAlign w:val="center"/>
          </w:tcPr>
          <w:p>
            <w:pPr>
              <w:pStyle w:val="14"/>
              <w:spacing w:line="240" w:lineRule="auto"/>
              <w:rPr>
                <w:rFonts w:cs="Times New Roman"/>
                <w:b w:val="0"/>
                <w:color w:val="000000" w:themeColor="text1"/>
                <w:kern w:val="0"/>
                <w:sz w:val="21"/>
                <w:szCs w:val="21"/>
              </w:rPr>
            </w:pPr>
            <w:r>
              <w:rPr>
                <w:rFonts w:cs="Times New Roman"/>
                <w:b w:val="0"/>
                <w:color w:val="000000" w:themeColor="text1"/>
                <w:kern w:val="0"/>
                <w:sz w:val="21"/>
                <w:szCs w:val="21"/>
              </w:rPr>
              <w:t>三级</w:t>
            </w:r>
          </w:p>
        </w:tc>
        <w:tc>
          <w:tcPr>
            <w:tcW w:w="4621" w:type="dxa"/>
            <w:vAlign w:val="center"/>
          </w:tcPr>
          <w:p>
            <w:pPr>
              <w:pStyle w:val="14"/>
              <w:spacing w:line="240" w:lineRule="auto"/>
              <w:rPr>
                <w:rFonts w:cs="Times New Roman"/>
                <w:b w:val="0"/>
                <w:color w:val="000000" w:themeColor="text1"/>
                <w:kern w:val="0"/>
                <w:sz w:val="21"/>
                <w:szCs w:val="21"/>
              </w:rPr>
            </w:pPr>
            <w:r>
              <w:rPr>
                <w:rFonts w:cs="Times New Roman"/>
                <w:b w:val="0"/>
                <w:color w:val="000000" w:themeColor="text1"/>
                <w:kern w:val="0"/>
                <w:sz w:val="21"/>
                <w:szCs w:val="21"/>
              </w:rPr>
              <w:t>Pmax＜1%</w:t>
            </w:r>
          </w:p>
        </w:tc>
      </w:tr>
    </w:tbl>
    <w:p>
      <w:pPr>
        <w:pStyle w:val="17"/>
        <w:adjustRightInd w:val="0"/>
        <w:snapToGrid w:val="0"/>
        <w:spacing w:after="0" w:line="360" w:lineRule="auto"/>
        <w:ind w:firstLine="480" w:firstLineChars="200"/>
      </w:pPr>
      <w:r>
        <w:rPr>
          <w:rFonts w:hint="eastAsia"/>
        </w:rPr>
        <w:t>同一项目有多个污染源（两个及以上）时，则按各污染源分别确定评价等级，并取评价等级最高者作为项目的评价等级。</w:t>
      </w:r>
    </w:p>
    <w:p>
      <w:pPr>
        <w:pStyle w:val="17"/>
        <w:adjustRightInd w:val="0"/>
        <w:snapToGrid w:val="0"/>
        <w:spacing w:after="0" w:line="360" w:lineRule="auto"/>
        <w:ind w:firstLine="480" w:firstLineChars="200"/>
      </w:pPr>
      <w:r>
        <w:rPr>
          <w:rFonts w:hint="eastAsia"/>
        </w:rPr>
        <w:t>（1）污染物评价标准</w:t>
      </w:r>
    </w:p>
    <w:p>
      <w:pPr>
        <w:pStyle w:val="17"/>
        <w:adjustRightInd w:val="0"/>
        <w:snapToGrid w:val="0"/>
        <w:spacing w:after="0" w:line="360" w:lineRule="auto"/>
        <w:ind w:firstLine="480" w:firstLineChars="200"/>
      </w:pPr>
      <w:r>
        <w:rPr>
          <w:rFonts w:hint="eastAsia"/>
        </w:rPr>
        <w:t>本项目评价因子和评价标准见下表。</w:t>
      </w:r>
    </w:p>
    <w:p>
      <w:pPr>
        <w:pStyle w:val="14"/>
        <w:spacing w:line="240" w:lineRule="auto"/>
        <w:rPr>
          <w:rFonts w:hAnsi="宋体"/>
          <w:szCs w:val="24"/>
        </w:rPr>
      </w:pPr>
      <w:r>
        <w:rPr>
          <w:rFonts w:hint="eastAsia" w:hAnsi="宋体"/>
          <w:szCs w:val="24"/>
        </w:rPr>
        <w:t>表</w:t>
      </w:r>
      <w:r>
        <w:rPr>
          <w:rFonts w:hAnsi="宋体"/>
          <w:szCs w:val="24"/>
        </w:rPr>
        <w:fldChar w:fldCharType="begin"/>
      </w:r>
      <w:r>
        <w:rPr>
          <w:rFonts w:hAnsi="宋体"/>
          <w:szCs w:val="24"/>
        </w:rPr>
        <w:instrText xml:space="preserve"> </w:instrText>
      </w:r>
      <w:r>
        <w:rPr>
          <w:rFonts w:hint="eastAsia" w:hAnsi="宋体"/>
          <w:szCs w:val="24"/>
        </w:rPr>
        <w:instrText xml:space="preserve">STYLEREF 2 \s</w:instrText>
      </w:r>
      <w:r>
        <w:rPr>
          <w:rFonts w:hAnsi="宋体"/>
          <w:szCs w:val="24"/>
        </w:rPr>
        <w:instrText xml:space="preserve"> </w:instrText>
      </w:r>
      <w:r>
        <w:rPr>
          <w:rFonts w:hAnsi="宋体"/>
          <w:szCs w:val="24"/>
        </w:rPr>
        <w:fldChar w:fldCharType="separate"/>
      </w:r>
      <w:r>
        <w:rPr>
          <w:rFonts w:hAnsi="宋体"/>
          <w:szCs w:val="24"/>
        </w:rPr>
        <w:t>5.2</w:t>
      </w:r>
      <w:r>
        <w:rPr>
          <w:rFonts w:hAnsi="宋体"/>
          <w:szCs w:val="24"/>
        </w:rPr>
        <w:fldChar w:fldCharType="end"/>
      </w:r>
      <w:r>
        <w:rPr>
          <w:rFonts w:hAnsi="宋体"/>
          <w:szCs w:val="24"/>
        </w:rPr>
        <w:noBreakHyphen/>
      </w:r>
      <w:r>
        <w:rPr>
          <w:rFonts w:hAnsi="宋体"/>
          <w:szCs w:val="24"/>
        </w:rPr>
        <w:fldChar w:fldCharType="begin"/>
      </w:r>
      <w:r>
        <w:rPr>
          <w:rFonts w:hAnsi="宋体"/>
          <w:szCs w:val="24"/>
        </w:rPr>
        <w:instrText xml:space="preserve"> </w:instrText>
      </w:r>
      <w:r>
        <w:rPr>
          <w:rFonts w:hint="eastAsia" w:hAnsi="宋体"/>
          <w:szCs w:val="24"/>
        </w:rPr>
        <w:instrText xml:space="preserve">SEQ 表 \* ARABIC \s 2</w:instrText>
      </w:r>
      <w:r>
        <w:rPr>
          <w:rFonts w:hAnsi="宋体"/>
          <w:szCs w:val="24"/>
        </w:rPr>
        <w:instrText xml:space="preserve"> </w:instrText>
      </w:r>
      <w:r>
        <w:rPr>
          <w:rFonts w:hAnsi="宋体"/>
          <w:szCs w:val="24"/>
        </w:rPr>
        <w:fldChar w:fldCharType="separate"/>
      </w:r>
      <w:r>
        <w:rPr>
          <w:rFonts w:hAnsi="宋体"/>
          <w:szCs w:val="24"/>
        </w:rPr>
        <w:t>10</w:t>
      </w:r>
      <w:r>
        <w:rPr>
          <w:rFonts w:hAnsi="宋体"/>
          <w:szCs w:val="24"/>
        </w:rPr>
        <w:fldChar w:fldCharType="end"/>
      </w:r>
      <w:r>
        <w:rPr>
          <w:rFonts w:hint="eastAsia" w:hAnsi="宋体"/>
          <w:szCs w:val="24"/>
        </w:rPr>
        <w:t xml:space="preserve">  评价因子和评价标准</w:t>
      </w:r>
    </w:p>
    <w:tbl>
      <w:tblPr>
        <w:tblStyle w:val="39"/>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704"/>
        <w:gridCol w:w="1845"/>
        <w:gridCol w:w="2129"/>
        <w:gridCol w:w="37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902" w:type="pct"/>
            <w:vAlign w:val="center"/>
          </w:tcPr>
          <w:p>
            <w:pPr>
              <w:pStyle w:val="140"/>
              <w:spacing w:before="29"/>
              <w:ind w:left="152" w:right="143"/>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评价因子</w:t>
            </w:r>
          </w:p>
        </w:tc>
        <w:tc>
          <w:tcPr>
            <w:tcW w:w="977" w:type="pct"/>
            <w:vAlign w:val="center"/>
          </w:tcPr>
          <w:p>
            <w:pPr>
              <w:pStyle w:val="140"/>
              <w:spacing w:before="29"/>
              <w:ind w:left="136" w:right="132"/>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平均时段</w:t>
            </w:r>
          </w:p>
        </w:tc>
        <w:tc>
          <w:tcPr>
            <w:tcW w:w="1127" w:type="pct"/>
            <w:vAlign w:val="center"/>
          </w:tcPr>
          <w:p>
            <w:pPr>
              <w:pStyle w:val="140"/>
              <w:spacing w:before="29"/>
              <w:ind w:left="303" w:right="298"/>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标准值/（μg/m</w:t>
            </w:r>
            <w:r>
              <w:rPr>
                <w:rFonts w:ascii="Times New Roman" w:hAnsi="Times New Roman" w:cs="Times New Roman"/>
                <w:color w:val="000000" w:themeColor="text1"/>
                <w:position w:val="7"/>
                <w:sz w:val="14"/>
                <w:szCs w:val="14"/>
              </w:rPr>
              <w:t>3</w:t>
            </w:r>
            <w:r>
              <w:rPr>
                <w:rFonts w:ascii="Times New Roman" w:hAnsi="Times New Roman" w:cs="Times New Roman"/>
                <w:color w:val="000000" w:themeColor="text1"/>
                <w:sz w:val="21"/>
                <w:szCs w:val="21"/>
              </w:rPr>
              <w:t>）</w:t>
            </w:r>
          </w:p>
        </w:tc>
        <w:tc>
          <w:tcPr>
            <w:tcW w:w="1994" w:type="pct"/>
            <w:vAlign w:val="center"/>
          </w:tcPr>
          <w:p>
            <w:pPr>
              <w:pStyle w:val="140"/>
              <w:spacing w:before="29"/>
              <w:ind w:left="64" w:right="60"/>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标准来源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902" w:type="pct"/>
            <w:vAlign w:val="center"/>
          </w:tcPr>
          <w:p>
            <w:pPr>
              <w:pStyle w:val="140"/>
              <w:spacing w:before="40"/>
              <w:ind w:left="149" w:right="143"/>
              <w:rPr>
                <w:rFonts w:ascii="Times New Roman" w:hAnsi="Times New Roman" w:cs="Times New Roman"/>
                <w:color w:val="000000" w:themeColor="text1"/>
                <w:position w:val="2"/>
                <w:sz w:val="21"/>
                <w:szCs w:val="21"/>
              </w:rPr>
            </w:pPr>
            <w:r>
              <w:rPr>
                <w:rFonts w:ascii="Times New Roman" w:hAnsi="Times New Roman" w:cs="Times New Roman"/>
                <w:color w:val="000000" w:themeColor="text1"/>
                <w:position w:val="2"/>
                <w:sz w:val="21"/>
                <w:szCs w:val="21"/>
              </w:rPr>
              <w:t>SO</w:t>
            </w:r>
            <w:r>
              <w:rPr>
                <w:rFonts w:ascii="Times New Roman" w:hAnsi="Times New Roman" w:cs="Times New Roman"/>
                <w:color w:val="000000" w:themeColor="text1"/>
                <w:position w:val="2"/>
                <w:sz w:val="21"/>
                <w:szCs w:val="21"/>
                <w:vertAlign w:val="subscript"/>
              </w:rPr>
              <w:t>2</w:t>
            </w:r>
          </w:p>
        </w:tc>
        <w:tc>
          <w:tcPr>
            <w:tcW w:w="977" w:type="pct"/>
            <w:vAlign w:val="center"/>
          </w:tcPr>
          <w:p>
            <w:pPr>
              <w:pStyle w:val="140"/>
              <w:spacing w:before="1" w:line="250" w:lineRule="exact"/>
              <w:ind w:left="136" w:right="129"/>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1小时平均</w:t>
            </w:r>
          </w:p>
        </w:tc>
        <w:tc>
          <w:tcPr>
            <w:tcW w:w="1127" w:type="pct"/>
            <w:vAlign w:val="center"/>
          </w:tcPr>
          <w:p>
            <w:pPr>
              <w:pStyle w:val="140"/>
              <w:spacing w:before="7"/>
              <w:ind w:right="293"/>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500</w:t>
            </w:r>
          </w:p>
        </w:tc>
        <w:tc>
          <w:tcPr>
            <w:tcW w:w="1994" w:type="pct"/>
            <w:vMerge w:val="restart"/>
            <w:vAlign w:val="center"/>
          </w:tcPr>
          <w:p>
            <w:pPr>
              <w:pStyle w:val="140"/>
              <w:spacing w:line="242" w:lineRule="auto"/>
              <w:ind w:left="68" w:right="60"/>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《环境空气质量标准》（GB 3095-2012）及其 2018 修改单二级标准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02" w:type="pct"/>
            <w:vAlign w:val="center"/>
          </w:tcPr>
          <w:p>
            <w:pPr>
              <w:pStyle w:val="140"/>
              <w:spacing w:before="40"/>
              <w:ind w:left="149" w:right="143"/>
              <w:rPr>
                <w:rFonts w:ascii="Times New Roman" w:hAnsi="Times New Roman" w:cs="Times New Roman"/>
                <w:color w:val="000000" w:themeColor="text1"/>
                <w:position w:val="2"/>
                <w:sz w:val="21"/>
                <w:szCs w:val="21"/>
              </w:rPr>
            </w:pPr>
            <w:r>
              <w:rPr>
                <w:rFonts w:ascii="Times New Roman" w:hAnsi="Times New Roman" w:cs="Times New Roman"/>
                <w:color w:val="000000" w:themeColor="text1"/>
                <w:position w:val="2"/>
                <w:sz w:val="21"/>
                <w:szCs w:val="21"/>
              </w:rPr>
              <w:t>NO</w:t>
            </w:r>
            <w:r>
              <w:rPr>
                <w:rFonts w:ascii="Times New Roman" w:hAnsi="Times New Roman" w:cs="Times New Roman"/>
                <w:color w:val="000000" w:themeColor="text1"/>
                <w:position w:val="2"/>
                <w:sz w:val="21"/>
                <w:szCs w:val="21"/>
                <w:vertAlign w:val="subscript"/>
              </w:rPr>
              <w:t>2</w:t>
            </w:r>
          </w:p>
        </w:tc>
        <w:tc>
          <w:tcPr>
            <w:tcW w:w="977" w:type="pct"/>
            <w:vAlign w:val="center"/>
          </w:tcPr>
          <w:p>
            <w:pPr>
              <w:pStyle w:val="140"/>
              <w:spacing w:before="1" w:line="252" w:lineRule="exact"/>
              <w:ind w:left="136" w:right="129"/>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1小时平均</w:t>
            </w:r>
          </w:p>
        </w:tc>
        <w:tc>
          <w:tcPr>
            <w:tcW w:w="1127" w:type="pct"/>
            <w:vAlign w:val="center"/>
          </w:tcPr>
          <w:p>
            <w:pPr>
              <w:pStyle w:val="140"/>
              <w:spacing w:before="10"/>
              <w:ind w:right="293"/>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200</w:t>
            </w:r>
          </w:p>
        </w:tc>
        <w:tc>
          <w:tcPr>
            <w:tcW w:w="1994" w:type="pct"/>
            <w:vMerge w:val="continue"/>
            <w:vAlign w:val="center"/>
          </w:tcPr>
          <w:p>
            <w:pPr>
              <w:widowControl/>
              <w:jc w:val="center"/>
              <w:rPr>
                <w:rFonts w:eastAsia="宋体" w:cs="Times New Roman"/>
                <w:color w:val="000000" w:themeColor="text1"/>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902" w:type="pct"/>
            <w:vAlign w:val="center"/>
          </w:tcPr>
          <w:p>
            <w:pPr>
              <w:pStyle w:val="140"/>
              <w:spacing w:before="40"/>
              <w:ind w:left="149" w:right="143"/>
              <w:rPr>
                <w:rFonts w:ascii="Times New Roman" w:hAnsi="Times New Roman" w:cs="Times New Roman"/>
                <w:color w:val="000000" w:themeColor="text1"/>
                <w:position w:val="2"/>
                <w:sz w:val="21"/>
                <w:szCs w:val="21"/>
              </w:rPr>
            </w:pPr>
            <w:r>
              <w:rPr>
                <w:rFonts w:ascii="Times New Roman" w:hAnsi="Times New Roman" w:cs="Times New Roman"/>
                <w:color w:val="000000" w:themeColor="text1"/>
                <w:position w:val="2"/>
                <w:sz w:val="21"/>
                <w:szCs w:val="21"/>
              </w:rPr>
              <w:t>PM</w:t>
            </w:r>
            <w:r>
              <w:rPr>
                <w:rFonts w:ascii="Times New Roman" w:hAnsi="Times New Roman" w:cs="Times New Roman"/>
                <w:color w:val="000000" w:themeColor="text1"/>
                <w:position w:val="2"/>
                <w:sz w:val="21"/>
                <w:szCs w:val="21"/>
                <w:vertAlign w:val="subscript"/>
              </w:rPr>
              <w:t>10</w:t>
            </w:r>
          </w:p>
        </w:tc>
        <w:tc>
          <w:tcPr>
            <w:tcW w:w="977" w:type="pct"/>
            <w:vAlign w:val="center"/>
          </w:tcPr>
          <w:p>
            <w:pPr>
              <w:pStyle w:val="140"/>
              <w:spacing w:before="27"/>
              <w:ind w:left="136" w:right="132"/>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24小时平均</w:t>
            </w:r>
          </w:p>
        </w:tc>
        <w:tc>
          <w:tcPr>
            <w:tcW w:w="1127" w:type="pct"/>
            <w:vAlign w:val="center"/>
          </w:tcPr>
          <w:p>
            <w:pPr>
              <w:pStyle w:val="140"/>
              <w:spacing w:before="36"/>
              <w:ind w:right="293"/>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150</w:t>
            </w:r>
          </w:p>
        </w:tc>
        <w:tc>
          <w:tcPr>
            <w:tcW w:w="1994" w:type="pct"/>
            <w:vMerge w:val="continue"/>
            <w:vAlign w:val="center"/>
          </w:tcPr>
          <w:p>
            <w:pPr>
              <w:widowControl/>
              <w:jc w:val="center"/>
              <w:rPr>
                <w:rFonts w:eastAsia="宋体" w:cs="Times New Roman"/>
                <w:color w:val="000000" w:themeColor="text1"/>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902" w:type="pct"/>
            <w:vAlign w:val="center"/>
          </w:tcPr>
          <w:p>
            <w:pPr>
              <w:pStyle w:val="140"/>
              <w:spacing w:before="40"/>
              <w:ind w:left="149" w:right="143"/>
              <w:rPr>
                <w:rFonts w:ascii="Times New Roman" w:hAnsi="Times New Roman" w:cs="Times New Roman"/>
                <w:color w:val="000000" w:themeColor="text1"/>
                <w:position w:val="2"/>
                <w:sz w:val="21"/>
                <w:szCs w:val="21"/>
              </w:rPr>
            </w:pPr>
            <w:r>
              <w:rPr>
                <w:rFonts w:ascii="Times New Roman" w:hAnsi="Times New Roman" w:cs="Times New Roman"/>
                <w:color w:val="000000" w:themeColor="text1"/>
                <w:position w:val="2"/>
                <w:sz w:val="21"/>
                <w:szCs w:val="21"/>
              </w:rPr>
              <w:t>NH</w:t>
            </w:r>
            <w:r>
              <w:rPr>
                <w:rFonts w:ascii="Times New Roman" w:hAnsi="Times New Roman" w:cs="Times New Roman"/>
                <w:color w:val="000000" w:themeColor="text1"/>
                <w:position w:val="2"/>
                <w:sz w:val="21"/>
                <w:szCs w:val="21"/>
                <w:vertAlign w:val="subscript"/>
              </w:rPr>
              <w:t>3</w:t>
            </w:r>
          </w:p>
        </w:tc>
        <w:tc>
          <w:tcPr>
            <w:tcW w:w="977" w:type="pct"/>
            <w:vAlign w:val="center"/>
          </w:tcPr>
          <w:p>
            <w:pPr>
              <w:pStyle w:val="140"/>
              <w:spacing w:before="40"/>
              <w:ind w:left="149" w:right="132"/>
              <w:rPr>
                <w:rFonts w:ascii="Times New Roman" w:hAnsi="Times New Roman" w:cs="Times New Roman"/>
                <w:color w:val="000000" w:themeColor="text1"/>
                <w:position w:val="2"/>
                <w:sz w:val="21"/>
                <w:szCs w:val="21"/>
              </w:rPr>
            </w:pPr>
            <w:r>
              <w:rPr>
                <w:rFonts w:ascii="Times New Roman" w:hAnsi="Times New Roman" w:cs="Times New Roman"/>
                <w:color w:val="000000" w:themeColor="text1"/>
                <w:position w:val="2"/>
                <w:sz w:val="21"/>
                <w:szCs w:val="21"/>
              </w:rPr>
              <w:t>1h平均</w:t>
            </w:r>
          </w:p>
        </w:tc>
        <w:tc>
          <w:tcPr>
            <w:tcW w:w="1127" w:type="pct"/>
            <w:vAlign w:val="center"/>
          </w:tcPr>
          <w:p>
            <w:pPr>
              <w:pStyle w:val="140"/>
              <w:spacing w:before="40"/>
              <w:ind w:right="293"/>
              <w:rPr>
                <w:rFonts w:ascii="Times New Roman" w:hAnsi="Times New Roman" w:cs="Times New Roman"/>
                <w:color w:val="000000" w:themeColor="text1"/>
                <w:position w:val="2"/>
                <w:sz w:val="21"/>
                <w:szCs w:val="21"/>
              </w:rPr>
            </w:pPr>
            <w:r>
              <w:rPr>
                <w:rFonts w:ascii="Times New Roman" w:hAnsi="Times New Roman" w:cs="Times New Roman"/>
                <w:color w:val="000000" w:themeColor="text1"/>
                <w:position w:val="2"/>
                <w:sz w:val="21"/>
                <w:szCs w:val="21"/>
              </w:rPr>
              <w:t>200</w:t>
            </w:r>
          </w:p>
        </w:tc>
        <w:tc>
          <w:tcPr>
            <w:tcW w:w="1994" w:type="pct"/>
            <w:vMerge w:val="restart"/>
            <w:vAlign w:val="center"/>
          </w:tcPr>
          <w:p>
            <w:pPr>
              <w:pStyle w:val="140"/>
              <w:spacing w:before="30" w:line="288" w:lineRule="auto"/>
              <w:ind w:left="34" w:right="-15" w:hanging="32"/>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《环境影响评价技术导则（大气环境）》（HJ2.2-2018）附录D其他污染物空气质量浓度参考限值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 w:hRule="atLeast"/>
        </w:trPr>
        <w:tc>
          <w:tcPr>
            <w:tcW w:w="902" w:type="pct"/>
            <w:vAlign w:val="center"/>
          </w:tcPr>
          <w:p>
            <w:pPr>
              <w:pStyle w:val="140"/>
              <w:spacing w:before="40"/>
              <w:ind w:left="149" w:right="143"/>
              <w:rPr>
                <w:rFonts w:ascii="Times New Roman" w:hAnsi="Times New Roman" w:cs="Times New Roman"/>
                <w:color w:val="000000" w:themeColor="text1"/>
                <w:position w:val="2"/>
                <w:sz w:val="21"/>
                <w:szCs w:val="21"/>
              </w:rPr>
            </w:pPr>
            <w:r>
              <w:rPr>
                <w:rFonts w:ascii="Times New Roman" w:hAnsi="Times New Roman" w:cs="Times New Roman"/>
                <w:color w:val="000000" w:themeColor="text1"/>
                <w:position w:val="2"/>
                <w:sz w:val="21"/>
                <w:szCs w:val="21"/>
              </w:rPr>
              <w:t>H</w:t>
            </w:r>
            <w:r>
              <w:rPr>
                <w:rFonts w:ascii="Times New Roman" w:hAnsi="Times New Roman" w:cs="Times New Roman"/>
                <w:color w:val="000000" w:themeColor="text1"/>
                <w:position w:val="2"/>
                <w:sz w:val="21"/>
                <w:szCs w:val="21"/>
                <w:vertAlign w:val="subscript"/>
              </w:rPr>
              <w:t>2</w:t>
            </w:r>
            <w:r>
              <w:rPr>
                <w:rFonts w:ascii="Times New Roman" w:hAnsi="Times New Roman" w:cs="Times New Roman"/>
                <w:color w:val="000000" w:themeColor="text1"/>
                <w:position w:val="2"/>
                <w:sz w:val="21"/>
                <w:szCs w:val="21"/>
              </w:rPr>
              <w:t>S</w:t>
            </w:r>
          </w:p>
        </w:tc>
        <w:tc>
          <w:tcPr>
            <w:tcW w:w="977" w:type="pct"/>
            <w:vAlign w:val="center"/>
          </w:tcPr>
          <w:p>
            <w:pPr>
              <w:pStyle w:val="140"/>
              <w:spacing w:before="40"/>
              <w:ind w:left="149" w:right="132"/>
              <w:rPr>
                <w:rFonts w:ascii="Times New Roman" w:hAnsi="Times New Roman" w:cs="Times New Roman"/>
                <w:color w:val="000000" w:themeColor="text1"/>
                <w:position w:val="2"/>
                <w:sz w:val="21"/>
                <w:szCs w:val="21"/>
              </w:rPr>
            </w:pPr>
            <w:r>
              <w:rPr>
                <w:rFonts w:ascii="Times New Roman" w:hAnsi="Times New Roman" w:cs="Times New Roman"/>
                <w:color w:val="000000" w:themeColor="text1"/>
                <w:position w:val="2"/>
                <w:sz w:val="21"/>
                <w:szCs w:val="21"/>
              </w:rPr>
              <w:t>1h平均</w:t>
            </w:r>
          </w:p>
        </w:tc>
        <w:tc>
          <w:tcPr>
            <w:tcW w:w="1127" w:type="pct"/>
            <w:vAlign w:val="center"/>
          </w:tcPr>
          <w:p>
            <w:pPr>
              <w:pStyle w:val="140"/>
              <w:spacing w:before="40"/>
              <w:ind w:right="298"/>
              <w:rPr>
                <w:rFonts w:ascii="Times New Roman" w:hAnsi="Times New Roman" w:cs="Times New Roman"/>
                <w:color w:val="000000" w:themeColor="text1"/>
                <w:position w:val="2"/>
                <w:sz w:val="21"/>
                <w:szCs w:val="21"/>
              </w:rPr>
            </w:pPr>
            <w:r>
              <w:rPr>
                <w:rFonts w:hint="eastAsia" w:ascii="Times New Roman" w:hAnsi="Times New Roman" w:cs="Times New Roman"/>
                <w:color w:val="000000" w:themeColor="text1"/>
                <w:position w:val="2"/>
                <w:sz w:val="21"/>
                <w:szCs w:val="21"/>
              </w:rPr>
              <w:t>10</w:t>
            </w:r>
          </w:p>
        </w:tc>
        <w:tc>
          <w:tcPr>
            <w:tcW w:w="1994" w:type="pct"/>
            <w:vMerge w:val="continue"/>
            <w:vAlign w:val="center"/>
          </w:tcPr>
          <w:p>
            <w:pPr>
              <w:widowControl/>
              <w:jc w:val="center"/>
              <w:rPr>
                <w:rFonts w:eastAsia="宋体" w:cs="Times New Roman"/>
                <w:color w:val="000000" w:themeColor="text1"/>
                <w:sz w:val="21"/>
              </w:rPr>
            </w:pPr>
          </w:p>
        </w:tc>
      </w:tr>
    </w:tbl>
    <w:p>
      <w:pPr>
        <w:pStyle w:val="17"/>
        <w:adjustRightInd w:val="0"/>
        <w:snapToGrid w:val="0"/>
        <w:spacing w:after="0" w:line="360" w:lineRule="auto"/>
        <w:ind w:firstLine="480" w:firstLineChars="200"/>
      </w:pPr>
      <w:r>
        <w:rPr>
          <w:rFonts w:hint="eastAsia"/>
        </w:rPr>
        <w:t>（2）估算模型参数</w:t>
      </w:r>
    </w:p>
    <w:p>
      <w:pPr>
        <w:pStyle w:val="17"/>
        <w:adjustRightInd w:val="0"/>
        <w:snapToGrid w:val="0"/>
        <w:spacing w:after="0" w:line="360" w:lineRule="auto"/>
        <w:ind w:firstLine="480" w:firstLineChars="200"/>
      </w:pPr>
      <w:r>
        <w:rPr>
          <w:rFonts w:hint="eastAsia"/>
        </w:rPr>
        <w:t>本项目估算模型参数见下表所示。</w:t>
      </w:r>
    </w:p>
    <w:p>
      <w:pPr>
        <w:pStyle w:val="14"/>
        <w:spacing w:line="240" w:lineRule="auto"/>
        <w:rPr>
          <w:rFonts w:hAnsi="宋体"/>
          <w:szCs w:val="24"/>
        </w:rPr>
      </w:pPr>
      <w:r>
        <w:rPr>
          <w:rFonts w:hAnsi="宋体"/>
          <w:szCs w:val="24"/>
        </w:rPr>
        <w:t>表</w:t>
      </w:r>
      <w:r>
        <w:rPr>
          <w:rFonts w:hAnsi="宋体"/>
          <w:szCs w:val="24"/>
        </w:rPr>
        <w:fldChar w:fldCharType="begin"/>
      </w:r>
      <w:r>
        <w:rPr>
          <w:rFonts w:hAnsi="宋体"/>
          <w:szCs w:val="24"/>
        </w:rPr>
        <w:instrText xml:space="preserve"> STYLEREF 2 \s </w:instrText>
      </w:r>
      <w:r>
        <w:rPr>
          <w:rFonts w:hAnsi="宋体"/>
          <w:szCs w:val="24"/>
        </w:rPr>
        <w:fldChar w:fldCharType="separate"/>
      </w:r>
      <w:r>
        <w:rPr>
          <w:rFonts w:hAnsi="宋体"/>
          <w:szCs w:val="24"/>
        </w:rPr>
        <w:t>5.2</w:t>
      </w:r>
      <w:r>
        <w:rPr>
          <w:rFonts w:hAnsi="宋体"/>
          <w:szCs w:val="24"/>
        </w:rPr>
        <w:fldChar w:fldCharType="end"/>
      </w:r>
      <w:r>
        <w:rPr>
          <w:rFonts w:hAnsi="宋体"/>
          <w:szCs w:val="24"/>
        </w:rPr>
        <w:noBreakHyphen/>
      </w:r>
      <w:r>
        <w:rPr>
          <w:rFonts w:hAnsi="宋体"/>
          <w:szCs w:val="24"/>
        </w:rPr>
        <w:fldChar w:fldCharType="begin"/>
      </w:r>
      <w:r>
        <w:rPr>
          <w:rFonts w:hAnsi="宋体"/>
          <w:szCs w:val="24"/>
        </w:rPr>
        <w:instrText xml:space="preserve"> SEQ 表 \* ARABIC \s 2 </w:instrText>
      </w:r>
      <w:r>
        <w:rPr>
          <w:rFonts w:hAnsi="宋体"/>
          <w:szCs w:val="24"/>
        </w:rPr>
        <w:fldChar w:fldCharType="separate"/>
      </w:r>
      <w:r>
        <w:rPr>
          <w:rFonts w:hAnsi="宋体"/>
          <w:szCs w:val="24"/>
        </w:rPr>
        <w:t>11</w:t>
      </w:r>
      <w:r>
        <w:rPr>
          <w:rFonts w:hAnsi="宋体"/>
          <w:szCs w:val="24"/>
        </w:rPr>
        <w:fldChar w:fldCharType="end"/>
      </w:r>
      <w:r>
        <w:rPr>
          <w:rFonts w:hint="eastAsia" w:hAnsi="宋体"/>
          <w:szCs w:val="24"/>
        </w:rPr>
        <w:t xml:space="preserve">  估算模式参数表</w:t>
      </w:r>
    </w:p>
    <w:tbl>
      <w:tblPr>
        <w:tblStyle w:val="39"/>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614"/>
        <w:gridCol w:w="3498"/>
        <w:gridCol w:w="33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236" w:type="pct"/>
            <w:gridSpan w:val="2"/>
            <w:vAlign w:val="center"/>
          </w:tcPr>
          <w:p>
            <w:pPr>
              <w:pStyle w:val="140"/>
              <w:spacing w:line="320" w:lineRule="exact"/>
              <w:ind w:left="2321" w:right="1891"/>
              <w:rPr>
                <w:rFonts w:ascii="Times New Roman" w:hAnsi="Times New Roman" w:cs="Times New Roman"/>
                <w:bCs/>
                <w:sz w:val="21"/>
                <w:szCs w:val="21"/>
              </w:rPr>
            </w:pPr>
            <w:r>
              <w:rPr>
                <w:rFonts w:ascii="Times New Roman" w:cs="Times New Roman"/>
                <w:bCs/>
                <w:sz w:val="21"/>
                <w:szCs w:val="21"/>
              </w:rPr>
              <w:t>参数</w:t>
            </w:r>
          </w:p>
        </w:tc>
        <w:tc>
          <w:tcPr>
            <w:tcW w:w="1764" w:type="pct"/>
            <w:vAlign w:val="center"/>
          </w:tcPr>
          <w:p>
            <w:pPr>
              <w:pStyle w:val="140"/>
              <w:spacing w:before="37"/>
              <w:rPr>
                <w:rFonts w:ascii="Times New Roman" w:cs="Times New Roman"/>
                <w:sz w:val="21"/>
                <w:szCs w:val="21"/>
              </w:rPr>
            </w:pPr>
            <w:r>
              <w:rPr>
                <w:rFonts w:ascii="Times New Roman" w:cs="Times New Roman"/>
                <w:sz w:val="21"/>
                <w:szCs w:val="21"/>
              </w:rPr>
              <w:t>取值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1384" w:type="pct"/>
            <w:vMerge w:val="restart"/>
            <w:vAlign w:val="center"/>
          </w:tcPr>
          <w:p>
            <w:pPr>
              <w:pStyle w:val="140"/>
              <w:ind w:firstLine="525" w:firstLineChars="250"/>
              <w:rPr>
                <w:rFonts w:ascii="Times New Roman" w:hAnsi="Times New Roman" w:cs="Times New Roman"/>
                <w:sz w:val="21"/>
                <w:szCs w:val="21"/>
              </w:rPr>
            </w:pPr>
            <w:r>
              <w:rPr>
                <w:rFonts w:ascii="Times New Roman" w:cs="Times New Roman"/>
                <w:sz w:val="21"/>
                <w:szCs w:val="21"/>
              </w:rPr>
              <w:t>城市</w:t>
            </w:r>
            <w:r>
              <w:rPr>
                <w:rFonts w:ascii="Times New Roman" w:hAnsi="Times New Roman" w:cs="Times New Roman"/>
                <w:sz w:val="21"/>
                <w:szCs w:val="21"/>
              </w:rPr>
              <w:t>/</w:t>
            </w:r>
            <w:r>
              <w:rPr>
                <w:rFonts w:ascii="Times New Roman" w:cs="Times New Roman"/>
                <w:sz w:val="21"/>
                <w:szCs w:val="21"/>
              </w:rPr>
              <w:t>农村选项</w:t>
            </w:r>
          </w:p>
        </w:tc>
        <w:tc>
          <w:tcPr>
            <w:tcW w:w="1852" w:type="pct"/>
            <w:vAlign w:val="center"/>
          </w:tcPr>
          <w:p>
            <w:pPr>
              <w:pStyle w:val="140"/>
              <w:spacing w:before="37"/>
              <w:ind w:left="794" w:right="369"/>
              <w:rPr>
                <w:rFonts w:ascii="Times New Roman" w:hAnsi="Times New Roman" w:cs="Times New Roman"/>
                <w:sz w:val="21"/>
                <w:szCs w:val="21"/>
              </w:rPr>
            </w:pPr>
            <w:r>
              <w:rPr>
                <w:rFonts w:ascii="Times New Roman" w:cs="Times New Roman"/>
                <w:sz w:val="21"/>
                <w:szCs w:val="21"/>
              </w:rPr>
              <w:t>城市</w:t>
            </w:r>
            <w:r>
              <w:rPr>
                <w:rFonts w:ascii="Times New Roman" w:hAnsi="Times New Roman" w:cs="Times New Roman"/>
                <w:sz w:val="21"/>
                <w:szCs w:val="21"/>
              </w:rPr>
              <w:t>/</w:t>
            </w:r>
            <w:r>
              <w:rPr>
                <w:rFonts w:ascii="Times New Roman" w:cs="Times New Roman"/>
                <w:sz w:val="21"/>
                <w:szCs w:val="21"/>
              </w:rPr>
              <w:t>农村</w:t>
            </w:r>
          </w:p>
        </w:tc>
        <w:tc>
          <w:tcPr>
            <w:tcW w:w="1764" w:type="pct"/>
            <w:vAlign w:val="center"/>
          </w:tcPr>
          <w:p>
            <w:pPr>
              <w:pStyle w:val="140"/>
              <w:spacing w:before="37"/>
              <w:rPr>
                <w:rFonts w:ascii="Times New Roman" w:cs="Times New Roman"/>
                <w:sz w:val="21"/>
                <w:szCs w:val="21"/>
              </w:rPr>
            </w:pPr>
            <w:r>
              <w:rPr>
                <w:rFonts w:ascii="Times New Roman" w:cs="Times New Roman"/>
                <w:sz w:val="21"/>
                <w:szCs w:val="21"/>
              </w:rPr>
              <w:t>城市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84" w:type="pct"/>
            <w:vMerge w:val="continue"/>
            <w:vAlign w:val="center"/>
          </w:tcPr>
          <w:p>
            <w:pPr>
              <w:widowControl/>
              <w:jc w:val="center"/>
              <w:rPr>
                <w:rFonts w:eastAsia="宋体" w:cs="Times New Roman"/>
                <w:sz w:val="21"/>
              </w:rPr>
            </w:pPr>
          </w:p>
        </w:tc>
        <w:tc>
          <w:tcPr>
            <w:tcW w:w="1852" w:type="pct"/>
            <w:vAlign w:val="center"/>
          </w:tcPr>
          <w:p>
            <w:pPr>
              <w:pStyle w:val="140"/>
              <w:spacing w:before="39"/>
              <w:ind w:left="795" w:right="369"/>
              <w:rPr>
                <w:rFonts w:ascii="Times New Roman" w:hAnsi="Times New Roman" w:cs="Times New Roman"/>
                <w:sz w:val="21"/>
                <w:szCs w:val="21"/>
              </w:rPr>
            </w:pPr>
            <w:r>
              <w:rPr>
                <w:rFonts w:ascii="Times New Roman" w:cs="Times New Roman"/>
                <w:sz w:val="21"/>
                <w:szCs w:val="21"/>
              </w:rPr>
              <w:t>人口数（城市选项时）</w:t>
            </w:r>
          </w:p>
        </w:tc>
        <w:tc>
          <w:tcPr>
            <w:tcW w:w="1764" w:type="pct"/>
            <w:vAlign w:val="center"/>
          </w:tcPr>
          <w:p>
            <w:pPr>
              <w:pStyle w:val="140"/>
              <w:spacing w:before="37"/>
              <w:rPr>
                <w:rFonts w:ascii="Times New Roman" w:cs="Times New Roman"/>
                <w:sz w:val="21"/>
                <w:szCs w:val="21"/>
              </w:rPr>
            </w:pPr>
            <w:r>
              <w:rPr>
                <w:rFonts w:hint="eastAsia" w:ascii="Times New Roman" w:cs="Times New Roman"/>
                <w:sz w:val="21"/>
                <w:szCs w:val="21"/>
              </w:rPr>
              <w:t>73336人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236" w:type="pct"/>
            <w:gridSpan w:val="2"/>
            <w:vAlign w:val="center"/>
          </w:tcPr>
          <w:p>
            <w:pPr>
              <w:pStyle w:val="140"/>
              <w:spacing w:before="37"/>
              <w:ind w:left="2321" w:right="1891"/>
              <w:rPr>
                <w:rFonts w:ascii="Times New Roman" w:hAnsi="Times New Roman" w:cs="Times New Roman"/>
                <w:sz w:val="21"/>
                <w:szCs w:val="21"/>
              </w:rPr>
            </w:pPr>
            <w:r>
              <w:rPr>
                <w:rFonts w:ascii="Times New Roman" w:cs="Times New Roman"/>
                <w:sz w:val="21"/>
                <w:szCs w:val="21"/>
              </w:rPr>
              <w:t>最高环境温度</w:t>
            </w:r>
            <w:r>
              <w:rPr>
                <w:rFonts w:ascii="Times New Roman" w:hAnsi="Times New Roman" w:cs="Times New Roman"/>
                <w:sz w:val="21"/>
                <w:szCs w:val="21"/>
              </w:rPr>
              <w:t>/℃</w:t>
            </w:r>
          </w:p>
        </w:tc>
        <w:tc>
          <w:tcPr>
            <w:tcW w:w="1764" w:type="pct"/>
            <w:vAlign w:val="center"/>
          </w:tcPr>
          <w:p>
            <w:pPr>
              <w:pStyle w:val="140"/>
              <w:spacing w:before="37"/>
              <w:rPr>
                <w:rFonts w:ascii="Times New Roman" w:cs="Times New Roman"/>
                <w:sz w:val="21"/>
                <w:szCs w:val="21"/>
              </w:rPr>
            </w:pPr>
            <w:r>
              <w:rPr>
                <w:rFonts w:ascii="Times New Roman" w:cs="Times New Roman"/>
                <w:sz w:val="21"/>
                <w:szCs w:val="21"/>
              </w:rPr>
              <w:t>38.5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236" w:type="pct"/>
            <w:gridSpan w:val="2"/>
            <w:vAlign w:val="center"/>
          </w:tcPr>
          <w:p>
            <w:pPr>
              <w:pStyle w:val="140"/>
              <w:spacing w:before="37"/>
              <w:ind w:left="2321" w:right="1891"/>
              <w:rPr>
                <w:rFonts w:ascii="Times New Roman" w:hAnsi="Times New Roman" w:cs="Times New Roman"/>
                <w:sz w:val="21"/>
                <w:szCs w:val="21"/>
              </w:rPr>
            </w:pPr>
            <w:r>
              <w:rPr>
                <w:rFonts w:ascii="Times New Roman" w:cs="Times New Roman"/>
                <w:sz w:val="21"/>
                <w:szCs w:val="21"/>
              </w:rPr>
              <w:t>最低环境温度</w:t>
            </w:r>
            <w:r>
              <w:rPr>
                <w:rFonts w:ascii="Times New Roman" w:hAnsi="Times New Roman" w:cs="Times New Roman"/>
                <w:sz w:val="21"/>
                <w:szCs w:val="21"/>
              </w:rPr>
              <w:t>/℃</w:t>
            </w:r>
          </w:p>
        </w:tc>
        <w:tc>
          <w:tcPr>
            <w:tcW w:w="1764" w:type="pct"/>
            <w:vAlign w:val="center"/>
          </w:tcPr>
          <w:p>
            <w:pPr>
              <w:pStyle w:val="140"/>
              <w:spacing w:before="37"/>
              <w:rPr>
                <w:rFonts w:ascii="Times New Roman" w:cs="Times New Roman"/>
                <w:sz w:val="21"/>
                <w:szCs w:val="21"/>
              </w:rPr>
            </w:pPr>
            <w:r>
              <w:rPr>
                <w:rFonts w:hint="eastAsia" w:ascii="Times New Roman" w:cs="Times New Roman"/>
                <w:sz w:val="21"/>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236" w:type="pct"/>
            <w:gridSpan w:val="2"/>
            <w:vAlign w:val="center"/>
          </w:tcPr>
          <w:p>
            <w:pPr>
              <w:pStyle w:val="140"/>
              <w:spacing w:before="37"/>
              <w:ind w:left="2321" w:right="1891"/>
              <w:rPr>
                <w:rFonts w:ascii="Times New Roman" w:hAnsi="Times New Roman" w:cs="Times New Roman"/>
                <w:sz w:val="21"/>
                <w:szCs w:val="21"/>
              </w:rPr>
            </w:pPr>
            <w:r>
              <w:rPr>
                <w:rFonts w:ascii="Times New Roman" w:cs="Times New Roman"/>
                <w:sz w:val="21"/>
                <w:szCs w:val="21"/>
              </w:rPr>
              <w:t>土地利用类型</w:t>
            </w:r>
          </w:p>
        </w:tc>
        <w:tc>
          <w:tcPr>
            <w:tcW w:w="1764" w:type="pct"/>
            <w:vAlign w:val="center"/>
          </w:tcPr>
          <w:p>
            <w:pPr>
              <w:pStyle w:val="140"/>
              <w:spacing w:before="37"/>
              <w:rPr>
                <w:rFonts w:ascii="Times New Roman" w:cs="Times New Roman"/>
                <w:sz w:val="21"/>
                <w:szCs w:val="21"/>
              </w:rPr>
            </w:pPr>
            <w:r>
              <w:rPr>
                <w:rFonts w:hint="eastAsia" w:ascii="Times New Roman" w:cs="Times New Roman"/>
                <w:sz w:val="21"/>
                <w:szCs w:val="21"/>
              </w:rPr>
              <w:t>公共</w:t>
            </w:r>
            <w:r>
              <w:rPr>
                <w:rFonts w:ascii="Times New Roman" w:cs="Times New Roman"/>
                <w:sz w:val="21"/>
                <w:szCs w:val="21"/>
              </w:rPr>
              <w:t>管理与公共服务用地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236" w:type="pct"/>
            <w:gridSpan w:val="2"/>
            <w:vAlign w:val="center"/>
          </w:tcPr>
          <w:p>
            <w:pPr>
              <w:pStyle w:val="140"/>
              <w:spacing w:before="37"/>
              <w:ind w:left="2321" w:right="1891"/>
              <w:rPr>
                <w:rFonts w:ascii="Times New Roman" w:hAnsi="Times New Roman" w:cs="Times New Roman"/>
                <w:sz w:val="21"/>
                <w:szCs w:val="21"/>
              </w:rPr>
            </w:pPr>
            <w:r>
              <w:rPr>
                <w:rFonts w:ascii="Times New Roman" w:cs="Times New Roman"/>
                <w:sz w:val="21"/>
                <w:szCs w:val="21"/>
              </w:rPr>
              <w:t>区域湿度条件</w:t>
            </w:r>
          </w:p>
        </w:tc>
        <w:tc>
          <w:tcPr>
            <w:tcW w:w="1764" w:type="pct"/>
            <w:vAlign w:val="center"/>
          </w:tcPr>
          <w:p>
            <w:pPr>
              <w:pStyle w:val="140"/>
              <w:spacing w:before="37"/>
              <w:rPr>
                <w:rFonts w:ascii="Times New Roman" w:cs="Times New Roman"/>
                <w:sz w:val="21"/>
                <w:szCs w:val="21"/>
              </w:rPr>
            </w:pPr>
            <w:r>
              <w:rPr>
                <w:rFonts w:ascii="Times New Roman" w:cs="Times New Roman"/>
                <w:sz w:val="21"/>
                <w:szCs w:val="21"/>
              </w:rPr>
              <w:t>潮湿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1384" w:type="pct"/>
            <w:vMerge w:val="restart"/>
            <w:vAlign w:val="center"/>
          </w:tcPr>
          <w:p>
            <w:pPr>
              <w:pStyle w:val="140"/>
              <w:spacing w:before="9"/>
              <w:rPr>
                <w:rFonts w:ascii="Times New Roman" w:hAnsi="Times New Roman" w:cs="Times New Roman"/>
                <w:b/>
                <w:bCs/>
                <w:sz w:val="11"/>
                <w:szCs w:val="11"/>
              </w:rPr>
            </w:pPr>
          </w:p>
          <w:p>
            <w:pPr>
              <w:pStyle w:val="140"/>
              <w:ind w:left="818"/>
              <w:rPr>
                <w:rFonts w:ascii="Times New Roman" w:hAnsi="Times New Roman" w:cs="Times New Roman"/>
                <w:sz w:val="21"/>
                <w:szCs w:val="21"/>
              </w:rPr>
            </w:pPr>
            <w:r>
              <w:rPr>
                <w:rFonts w:ascii="Times New Roman" w:cs="Times New Roman"/>
                <w:sz w:val="21"/>
                <w:szCs w:val="21"/>
              </w:rPr>
              <w:t>是否考虑地形</w:t>
            </w:r>
          </w:p>
        </w:tc>
        <w:tc>
          <w:tcPr>
            <w:tcW w:w="1852" w:type="pct"/>
            <w:vAlign w:val="center"/>
          </w:tcPr>
          <w:p>
            <w:pPr>
              <w:pStyle w:val="140"/>
              <w:spacing w:before="37"/>
              <w:ind w:left="795" w:right="367"/>
              <w:rPr>
                <w:rFonts w:ascii="Times New Roman" w:hAnsi="Times New Roman" w:cs="Times New Roman"/>
                <w:sz w:val="21"/>
                <w:szCs w:val="21"/>
              </w:rPr>
            </w:pPr>
            <w:r>
              <w:rPr>
                <w:rFonts w:ascii="Times New Roman" w:cs="Times New Roman"/>
                <w:sz w:val="21"/>
                <w:szCs w:val="21"/>
              </w:rPr>
              <w:t>考虑地形</w:t>
            </w:r>
          </w:p>
        </w:tc>
        <w:tc>
          <w:tcPr>
            <w:tcW w:w="1764" w:type="pct"/>
            <w:vAlign w:val="center"/>
          </w:tcPr>
          <w:p>
            <w:pPr>
              <w:pStyle w:val="140"/>
              <w:spacing w:before="37"/>
              <w:rPr>
                <w:rFonts w:ascii="Times New Roman" w:hAnsi="Times New Roman" w:cs="Times New Roman"/>
                <w:sz w:val="21"/>
                <w:szCs w:val="21"/>
              </w:rPr>
            </w:pPr>
            <w:r>
              <w:rPr>
                <w:rFonts w:ascii="Times New Roman" w:cs="Times New Roman"/>
                <w:sz w:val="21"/>
                <w:szCs w:val="21"/>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84" w:type="pct"/>
            <w:vMerge w:val="continue"/>
            <w:vAlign w:val="center"/>
          </w:tcPr>
          <w:p>
            <w:pPr>
              <w:widowControl/>
              <w:jc w:val="center"/>
              <w:rPr>
                <w:rFonts w:eastAsia="宋体" w:cs="Times New Roman"/>
                <w:sz w:val="21"/>
              </w:rPr>
            </w:pPr>
          </w:p>
        </w:tc>
        <w:tc>
          <w:tcPr>
            <w:tcW w:w="1852" w:type="pct"/>
            <w:vAlign w:val="center"/>
          </w:tcPr>
          <w:p>
            <w:pPr>
              <w:pStyle w:val="140"/>
              <w:spacing w:before="39"/>
              <w:ind w:left="794" w:right="369"/>
              <w:rPr>
                <w:rFonts w:ascii="Times New Roman" w:hAnsi="Times New Roman" w:cs="Times New Roman"/>
                <w:sz w:val="21"/>
                <w:szCs w:val="21"/>
              </w:rPr>
            </w:pPr>
            <w:r>
              <w:rPr>
                <w:rFonts w:ascii="Times New Roman" w:cs="Times New Roman"/>
                <w:sz w:val="21"/>
                <w:szCs w:val="21"/>
              </w:rPr>
              <w:t>地形数据分辨率</w:t>
            </w:r>
          </w:p>
        </w:tc>
        <w:tc>
          <w:tcPr>
            <w:tcW w:w="1764" w:type="pct"/>
            <w:vAlign w:val="center"/>
          </w:tcPr>
          <w:p>
            <w:pPr>
              <w:pStyle w:val="140"/>
              <w:spacing w:before="37"/>
              <w:rPr>
                <w:rFonts w:ascii="Times New Roman" w:cs="Times New Roman"/>
                <w:sz w:val="21"/>
                <w:szCs w:val="21"/>
              </w:rPr>
            </w:pPr>
            <w:r>
              <w:rPr>
                <w:rFonts w:ascii="Times New Roman" w:cs="Times New Roman"/>
                <w:sz w:val="21"/>
                <w:szCs w:val="21"/>
              </w:rPr>
              <w:t>90m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84" w:type="pct"/>
            <w:vMerge w:val="restart"/>
            <w:vAlign w:val="center"/>
          </w:tcPr>
          <w:p>
            <w:pPr>
              <w:pStyle w:val="140"/>
              <w:spacing w:before="3"/>
              <w:rPr>
                <w:rFonts w:ascii="Times New Roman" w:hAnsi="Times New Roman" w:cs="Times New Roman"/>
                <w:b/>
                <w:bCs/>
                <w:sz w:val="12"/>
                <w:szCs w:val="12"/>
              </w:rPr>
            </w:pPr>
          </w:p>
          <w:p>
            <w:pPr>
              <w:pStyle w:val="140"/>
              <w:ind w:left="588" w:right="159"/>
              <w:rPr>
                <w:rFonts w:ascii="Times New Roman" w:hAnsi="Times New Roman" w:cs="Times New Roman"/>
                <w:sz w:val="21"/>
                <w:szCs w:val="21"/>
              </w:rPr>
            </w:pPr>
            <w:r>
              <w:rPr>
                <w:rFonts w:ascii="Times New Roman" w:cs="Times New Roman"/>
                <w:sz w:val="21"/>
                <w:szCs w:val="21"/>
              </w:rPr>
              <w:t>是否考虑海岸线熏</w:t>
            </w:r>
          </w:p>
          <w:p>
            <w:pPr>
              <w:pStyle w:val="140"/>
              <w:spacing w:before="57"/>
              <w:ind w:left="9"/>
              <w:rPr>
                <w:rFonts w:ascii="Times New Roman" w:hAnsi="Times New Roman" w:cs="Times New Roman"/>
                <w:sz w:val="21"/>
                <w:szCs w:val="21"/>
              </w:rPr>
            </w:pPr>
            <w:r>
              <w:rPr>
                <w:rFonts w:ascii="Times New Roman" w:cs="Times New Roman"/>
                <w:sz w:val="21"/>
                <w:szCs w:val="21"/>
              </w:rPr>
              <w:t>烟</w:t>
            </w:r>
          </w:p>
        </w:tc>
        <w:tc>
          <w:tcPr>
            <w:tcW w:w="1852" w:type="pct"/>
            <w:vAlign w:val="center"/>
          </w:tcPr>
          <w:p>
            <w:pPr>
              <w:pStyle w:val="140"/>
              <w:spacing w:before="37"/>
              <w:ind w:left="794" w:right="369"/>
              <w:rPr>
                <w:rFonts w:ascii="Times New Roman" w:hAnsi="Times New Roman" w:cs="Times New Roman"/>
                <w:sz w:val="21"/>
                <w:szCs w:val="21"/>
              </w:rPr>
            </w:pPr>
            <w:r>
              <w:rPr>
                <w:rFonts w:ascii="Times New Roman" w:cs="Times New Roman"/>
                <w:sz w:val="21"/>
                <w:szCs w:val="21"/>
              </w:rPr>
              <w:t>考虑岸线熏烟</w:t>
            </w:r>
          </w:p>
        </w:tc>
        <w:tc>
          <w:tcPr>
            <w:tcW w:w="1764" w:type="pct"/>
            <w:vAlign w:val="center"/>
          </w:tcPr>
          <w:p>
            <w:pPr>
              <w:pStyle w:val="140"/>
              <w:spacing w:before="37"/>
              <w:rPr>
                <w:rFonts w:ascii="Times New Roman" w:cs="Times New Roman"/>
                <w:sz w:val="21"/>
                <w:szCs w:val="21"/>
              </w:rPr>
            </w:pPr>
            <w:r>
              <w:rPr>
                <w:rFonts w:ascii="Times New Roman" w:cs="Times New Roman"/>
                <w:sz w:val="21"/>
                <w:szCs w:val="21"/>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84" w:type="pct"/>
            <w:vMerge w:val="continue"/>
            <w:vAlign w:val="center"/>
          </w:tcPr>
          <w:p>
            <w:pPr>
              <w:widowControl/>
              <w:jc w:val="center"/>
              <w:rPr>
                <w:rFonts w:eastAsia="宋体" w:cs="Times New Roman"/>
                <w:sz w:val="21"/>
              </w:rPr>
            </w:pPr>
          </w:p>
        </w:tc>
        <w:tc>
          <w:tcPr>
            <w:tcW w:w="1852" w:type="pct"/>
            <w:vAlign w:val="center"/>
          </w:tcPr>
          <w:p>
            <w:pPr>
              <w:pStyle w:val="140"/>
              <w:spacing w:before="37"/>
              <w:ind w:left="795" w:right="367"/>
              <w:rPr>
                <w:rFonts w:ascii="Times New Roman" w:hAnsi="Times New Roman" w:cs="Times New Roman"/>
                <w:sz w:val="21"/>
                <w:szCs w:val="21"/>
              </w:rPr>
            </w:pPr>
            <w:r>
              <w:rPr>
                <w:rFonts w:ascii="Times New Roman" w:cs="Times New Roman"/>
                <w:sz w:val="21"/>
                <w:szCs w:val="21"/>
              </w:rPr>
              <w:t>海岸线距离</w:t>
            </w:r>
            <w:r>
              <w:rPr>
                <w:rFonts w:ascii="Times New Roman" w:hAnsi="Times New Roman" w:cs="Times New Roman"/>
                <w:sz w:val="21"/>
                <w:szCs w:val="21"/>
              </w:rPr>
              <w:t>/m</w:t>
            </w:r>
          </w:p>
        </w:tc>
        <w:tc>
          <w:tcPr>
            <w:tcW w:w="1764" w:type="pct"/>
            <w:vAlign w:val="center"/>
          </w:tcPr>
          <w:p>
            <w:pPr>
              <w:pStyle w:val="140"/>
              <w:spacing w:before="37"/>
              <w:rPr>
                <w:rFonts w:ascii="Times New Roman" w:cs="Times New Roman"/>
                <w:sz w:val="21"/>
                <w:szCs w:val="21"/>
              </w:rPr>
            </w:pPr>
            <w:r>
              <w:rPr>
                <w:rFonts w:ascii="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84" w:type="pct"/>
            <w:vMerge w:val="continue"/>
            <w:vAlign w:val="center"/>
          </w:tcPr>
          <w:p>
            <w:pPr>
              <w:widowControl/>
              <w:jc w:val="center"/>
              <w:rPr>
                <w:rFonts w:eastAsia="宋体" w:cs="Times New Roman"/>
                <w:sz w:val="21"/>
              </w:rPr>
            </w:pPr>
          </w:p>
        </w:tc>
        <w:tc>
          <w:tcPr>
            <w:tcW w:w="1852" w:type="pct"/>
            <w:vAlign w:val="center"/>
          </w:tcPr>
          <w:p>
            <w:pPr>
              <w:pStyle w:val="140"/>
              <w:spacing w:before="37"/>
              <w:ind w:left="795" w:right="365"/>
              <w:rPr>
                <w:rFonts w:ascii="Times New Roman" w:hAnsi="Times New Roman" w:cs="Times New Roman"/>
                <w:sz w:val="21"/>
                <w:szCs w:val="21"/>
              </w:rPr>
            </w:pPr>
            <w:r>
              <w:rPr>
                <w:rFonts w:ascii="Times New Roman" w:cs="Times New Roman"/>
                <w:sz w:val="21"/>
                <w:szCs w:val="21"/>
              </w:rPr>
              <w:t>海岸线方向</w:t>
            </w:r>
            <w:r>
              <w:rPr>
                <w:rFonts w:ascii="Times New Roman" w:hAnsi="Times New Roman" w:cs="Times New Roman"/>
                <w:sz w:val="21"/>
                <w:szCs w:val="21"/>
              </w:rPr>
              <w:t>/°</w:t>
            </w:r>
          </w:p>
        </w:tc>
        <w:tc>
          <w:tcPr>
            <w:tcW w:w="1764" w:type="pct"/>
            <w:vAlign w:val="center"/>
          </w:tcPr>
          <w:p>
            <w:pPr>
              <w:pStyle w:val="140"/>
              <w:spacing w:before="37"/>
              <w:rPr>
                <w:rFonts w:ascii="Times New Roman" w:cs="Times New Roman"/>
                <w:sz w:val="21"/>
                <w:szCs w:val="21"/>
              </w:rPr>
            </w:pPr>
            <w:r>
              <w:rPr>
                <w:rFonts w:ascii="Times New Roman" w:cs="Times New Roman"/>
                <w:sz w:val="21"/>
                <w:szCs w:val="21"/>
              </w:rPr>
              <w:t>/</w:t>
            </w:r>
          </w:p>
        </w:tc>
      </w:tr>
    </w:tbl>
    <w:p>
      <w:pPr>
        <w:spacing w:line="360" w:lineRule="auto"/>
        <w:ind w:firstLine="480" w:firstLineChars="200"/>
        <w:jc w:val="left"/>
      </w:pPr>
      <w:r>
        <w:rPr>
          <w:rFonts w:hint="eastAsia"/>
        </w:rPr>
        <w:t>（3）污染源强确定及评价因子选取</w:t>
      </w:r>
    </w:p>
    <w:p>
      <w:pPr>
        <w:spacing w:line="360" w:lineRule="auto"/>
        <w:ind w:firstLine="480" w:firstLineChars="200"/>
        <w:jc w:val="left"/>
      </w:pPr>
      <w:r>
        <w:t>本项目大气污染物主要来源于锅炉房的锅炉废气及污水处理站的臭气。根据项目环境空气污染物排放特点及项目拟建选址附近区域环境空气污染特征，本评价选取颗粒物、氮氧化物、二氧化硫、NH</w:t>
      </w:r>
      <w:r>
        <w:rPr>
          <w:vertAlign w:val="subscript"/>
        </w:rPr>
        <w:t>3</w:t>
      </w:r>
      <w:r>
        <w:t>及H</w:t>
      </w:r>
      <w:r>
        <w:rPr>
          <w:vertAlign w:val="subscript"/>
        </w:rPr>
        <w:t>2</w:t>
      </w:r>
      <w:r>
        <w:t>S作为大气预测因子。</w:t>
      </w:r>
    </w:p>
    <w:p>
      <w:pPr>
        <w:pStyle w:val="14"/>
        <w:spacing w:line="240" w:lineRule="auto"/>
      </w:pPr>
      <w:r>
        <w:rPr>
          <w:rFonts w:hint="eastAsia"/>
        </w:rPr>
        <w:t>表</w:t>
      </w:r>
      <w:r>
        <w:fldChar w:fldCharType="begin"/>
      </w:r>
      <w:r>
        <w:instrText xml:space="preserve"> STYLEREF 2 \s </w:instrText>
      </w:r>
      <w:r>
        <w:fldChar w:fldCharType="separate"/>
      </w:r>
      <w: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12</w:t>
      </w:r>
      <w:r>
        <w:fldChar w:fldCharType="end"/>
      </w:r>
      <w:r>
        <w:rPr>
          <w:rFonts w:hint="eastAsia"/>
        </w:rPr>
        <w:t xml:space="preserve">  主要点源参数一览表</w:t>
      </w:r>
    </w:p>
    <w:tbl>
      <w:tblPr>
        <w:tblStyle w:val="3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73"/>
        <w:gridCol w:w="428"/>
        <w:gridCol w:w="1109"/>
        <w:gridCol w:w="1004"/>
        <w:gridCol w:w="811"/>
        <w:gridCol w:w="511"/>
        <w:gridCol w:w="673"/>
        <w:gridCol w:w="1031"/>
        <w:gridCol w:w="485"/>
        <w:gridCol w:w="636"/>
        <w:gridCol w:w="427"/>
        <w:gridCol w:w="682"/>
        <w:gridCol w:w="690"/>
        <w:gridCol w:w="6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245" w:type="pct"/>
            <w:vMerge w:val="restart"/>
            <w:shd w:val="clear" w:color="auto" w:fill="FFFFFF"/>
            <w:vAlign w:val="center"/>
          </w:tcPr>
          <w:p>
            <w:pPr>
              <w:pStyle w:val="93"/>
              <w:spacing w:before="24" w:after="24" w:line="240" w:lineRule="auto"/>
              <w:rPr>
                <w:rFonts w:ascii="Times New Roman" w:hAnsi="Times New Roman" w:cs="Times New Roman"/>
                <w:color w:val="000000" w:themeColor="text1"/>
                <w:kern w:val="0"/>
              </w:rPr>
            </w:pPr>
            <w:r>
              <w:rPr>
                <w:rFonts w:ascii="Times New Roman" w:hAnsi="Times New Roman" w:cs="Times New Roman"/>
                <w:color w:val="000000" w:themeColor="text1"/>
              </w:rPr>
              <w:t>编号</w:t>
            </w:r>
          </w:p>
        </w:tc>
        <w:tc>
          <w:tcPr>
            <w:tcW w:w="266" w:type="pct"/>
            <w:vMerge w:val="restart"/>
            <w:shd w:val="clear" w:color="auto" w:fill="FFFFFF"/>
            <w:vAlign w:val="center"/>
          </w:tcPr>
          <w:p>
            <w:pPr>
              <w:pStyle w:val="93"/>
              <w:spacing w:before="24" w:after="24" w:line="240" w:lineRule="auto"/>
              <w:rPr>
                <w:rFonts w:ascii="Times New Roman" w:hAnsi="Times New Roman" w:cs="Times New Roman"/>
                <w:color w:val="000000" w:themeColor="text1"/>
                <w:kern w:val="0"/>
              </w:rPr>
            </w:pPr>
            <w:r>
              <w:rPr>
                <w:rFonts w:ascii="Times New Roman" w:hAnsi="Times New Roman" w:cs="Times New Roman"/>
                <w:color w:val="000000" w:themeColor="text1"/>
              </w:rPr>
              <w:t>名称</w:t>
            </w:r>
          </w:p>
        </w:tc>
        <w:tc>
          <w:tcPr>
            <w:tcW w:w="840" w:type="pct"/>
            <w:gridSpan w:val="2"/>
            <w:shd w:val="clear" w:color="auto" w:fill="FFFFFF"/>
            <w:vAlign w:val="center"/>
          </w:tcPr>
          <w:p>
            <w:pPr>
              <w:pStyle w:val="93"/>
              <w:spacing w:before="24" w:after="24" w:line="240" w:lineRule="auto"/>
              <w:rPr>
                <w:rFonts w:ascii="Times New Roman" w:hAnsi="Times New Roman" w:cs="Times New Roman"/>
                <w:color w:val="000000" w:themeColor="text1"/>
                <w:kern w:val="0"/>
              </w:rPr>
            </w:pPr>
            <w:r>
              <w:rPr>
                <w:rFonts w:ascii="Times New Roman" w:hAnsi="Times New Roman" w:cs="Times New Roman"/>
                <w:color w:val="000000" w:themeColor="text1"/>
              </w:rPr>
              <w:t>排气筒底部中心经纬度</w:t>
            </w:r>
          </w:p>
        </w:tc>
        <w:tc>
          <w:tcPr>
            <w:tcW w:w="464" w:type="pct"/>
            <w:vMerge w:val="restart"/>
            <w:shd w:val="clear" w:color="auto" w:fill="FFFFFF"/>
            <w:vAlign w:val="center"/>
          </w:tcPr>
          <w:p>
            <w:pPr>
              <w:pStyle w:val="93"/>
              <w:spacing w:before="24" w:after="24" w:line="240" w:lineRule="auto"/>
              <w:rPr>
                <w:rFonts w:ascii="Times New Roman" w:hAnsi="Times New Roman" w:cs="Times New Roman"/>
                <w:color w:val="000000" w:themeColor="text1"/>
                <w:kern w:val="0"/>
              </w:rPr>
            </w:pPr>
            <w:r>
              <w:rPr>
                <w:rFonts w:ascii="Times New Roman" w:hAnsi="Times New Roman" w:cs="Times New Roman"/>
                <w:color w:val="000000" w:themeColor="text1"/>
              </w:rPr>
              <w:t>排气筒底部海拔高度/m</w:t>
            </w:r>
          </w:p>
        </w:tc>
        <w:tc>
          <w:tcPr>
            <w:tcW w:w="309" w:type="pct"/>
            <w:vMerge w:val="restart"/>
            <w:shd w:val="clear" w:color="auto" w:fill="FFFFFF"/>
            <w:vAlign w:val="center"/>
          </w:tcPr>
          <w:p>
            <w:pPr>
              <w:pStyle w:val="93"/>
              <w:spacing w:before="24" w:after="24" w:line="240" w:lineRule="auto"/>
              <w:rPr>
                <w:rFonts w:ascii="Times New Roman" w:hAnsi="Times New Roman" w:cs="Times New Roman"/>
                <w:color w:val="000000" w:themeColor="text1"/>
                <w:kern w:val="0"/>
              </w:rPr>
            </w:pPr>
            <w:r>
              <w:rPr>
                <w:rFonts w:ascii="Times New Roman" w:hAnsi="Times New Roman" w:cs="Times New Roman"/>
                <w:color w:val="000000" w:themeColor="text1"/>
              </w:rPr>
              <w:t>排气筒高度/m</w:t>
            </w:r>
          </w:p>
        </w:tc>
        <w:tc>
          <w:tcPr>
            <w:tcW w:w="393" w:type="pct"/>
            <w:vMerge w:val="restart"/>
            <w:shd w:val="clear" w:color="auto" w:fill="FFFFFF"/>
            <w:vAlign w:val="center"/>
          </w:tcPr>
          <w:p>
            <w:pPr>
              <w:pStyle w:val="93"/>
              <w:spacing w:before="24" w:after="24" w:line="240" w:lineRule="auto"/>
              <w:rPr>
                <w:rFonts w:ascii="Times New Roman" w:hAnsi="Times New Roman" w:cs="Times New Roman"/>
                <w:color w:val="000000" w:themeColor="text1"/>
                <w:kern w:val="0"/>
              </w:rPr>
            </w:pPr>
            <w:r>
              <w:rPr>
                <w:rFonts w:ascii="Times New Roman" w:hAnsi="Times New Roman" w:cs="Times New Roman"/>
                <w:color w:val="000000" w:themeColor="text1"/>
              </w:rPr>
              <w:t>排气筒出口内径/m</w:t>
            </w:r>
          </w:p>
        </w:tc>
        <w:tc>
          <w:tcPr>
            <w:tcW w:w="524" w:type="pct"/>
            <w:vMerge w:val="restart"/>
            <w:shd w:val="clear" w:color="auto" w:fill="FFFFFF"/>
            <w:vAlign w:val="center"/>
          </w:tcPr>
          <w:p>
            <w:pPr>
              <w:pStyle w:val="93"/>
              <w:spacing w:before="24" w:after="24" w:line="240" w:lineRule="auto"/>
              <w:rPr>
                <w:rFonts w:ascii="Times New Roman" w:hAnsi="Times New Roman" w:cs="Times New Roman"/>
                <w:color w:val="000000" w:themeColor="text1"/>
                <w:kern w:val="0"/>
              </w:rPr>
            </w:pPr>
            <w:r>
              <w:rPr>
                <w:rFonts w:ascii="Times New Roman" w:hAnsi="Times New Roman" w:cs="Times New Roman"/>
                <w:color w:val="000000" w:themeColor="text1"/>
              </w:rPr>
              <w:t>烟气</w:t>
            </w:r>
          </w:p>
          <w:p>
            <w:pPr>
              <w:pStyle w:val="93"/>
              <w:spacing w:before="24" w:after="24" w:line="240" w:lineRule="auto"/>
              <w:rPr>
                <w:rFonts w:ascii="Times New Roman" w:hAnsi="Times New Roman" w:cs="Times New Roman"/>
                <w:color w:val="000000" w:themeColor="text1"/>
                <w:kern w:val="0"/>
              </w:rPr>
            </w:pPr>
            <w:r>
              <w:rPr>
                <w:rFonts w:ascii="Times New Roman" w:hAnsi="Times New Roman" w:cs="Times New Roman"/>
                <w:color w:val="000000" w:themeColor="text1"/>
              </w:rPr>
              <w:t>流量/</w:t>
            </w:r>
            <w:r>
              <w:rPr>
                <w:rFonts w:ascii="Times New Roman" w:cs="Times New Roman"/>
                <w:color w:val="000000" w:themeColor="text1"/>
              </w:rPr>
              <w:t>（</w:t>
            </w:r>
            <w:r>
              <w:rPr>
                <w:rFonts w:ascii="Times New Roman" w:hAnsi="Times New Roman" w:cs="Times New Roman"/>
                <w:color w:val="000000" w:themeColor="text1"/>
              </w:rPr>
              <w:t>m</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/h</w:t>
            </w:r>
            <w:r>
              <w:rPr>
                <w:rFonts w:ascii="Times New Roman" w:cs="Times New Roman"/>
                <w:color w:val="000000" w:themeColor="text1"/>
              </w:rPr>
              <w:t>）</w:t>
            </w:r>
          </w:p>
        </w:tc>
        <w:tc>
          <w:tcPr>
            <w:tcW w:w="286" w:type="pct"/>
            <w:vMerge w:val="restart"/>
            <w:shd w:val="clear" w:color="auto" w:fill="FFFFFF"/>
            <w:vAlign w:val="center"/>
          </w:tcPr>
          <w:p>
            <w:pPr>
              <w:pStyle w:val="93"/>
              <w:spacing w:before="24" w:after="24" w:line="240" w:lineRule="auto"/>
              <w:rPr>
                <w:rFonts w:ascii="Times New Roman" w:hAnsi="Times New Roman" w:cs="Times New Roman"/>
                <w:color w:val="000000" w:themeColor="text1"/>
                <w:kern w:val="0"/>
              </w:rPr>
            </w:pPr>
            <w:r>
              <w:rPr>
                <w:rFonts w:ascii="Times New Roman" w:hAnsi="Times New Roman" w:cs="Times New Roman"/>
                <w:color w:val="000000" w:themeColor="text1"/>
              </w:rPr>
              <w:t>烟气温度/℃</w:t>
            </w:r>
          </w:p>
        </w:tc>
        <w:tc>
          <w:tcPr>
            <w:tcW w:w="368" w:type="pct"/>
            <w:vMerge w:val="restart"/>
            <w:shd w:val="clear" w:color="auto" w:fill="FFFFFF"/>
            <w:vAlign w:val="center"/>
          </w:tcPr>
          <w:p>
            <w:pPr>
              <w:pStyle w:val="93"/>
              <w:spacing w:before="24" w:after="24" w:line="240" w:lineRule="auto"/>
              <w:rPr>
                <w:rFonts w:ascii="Times New Roman" w:hAnsi="Times New Roman" w:cs="Times New Roman"/>
                <w:color w:val="000000" w:themeColor="text1"/>
                <w:kern w:val="0"/>
              </w:rPr>
            </w:pPr>
            <w:r>
              <w:rPr>
                <w:rFonts w:ascii="Times New Roman" w:hAnsi="Times New Roman" w:cs="Times New Roman"/>
                <w:color w:val="000000" w:themeColor="text1"/>
              </w:rPr>
              <w:t>年排放小时数/h</w:t>
            </w:r>
          </w:p>
        </w:tc>
        <w:tc>
          <w:tcPr>
            <w:tcW w:w="229" w:type="pct"/>
            <w:vMerge w:val="restart"/>
            <w:shd w:val="clear" w:color="auto" w:fill="FFFFFF"/>
            <w:vAlign w:val="center"/>
          </w:tcPr>
          <w:p>
            <w:pPr>
              <w:pStyle w:val="93"/>
              <w:spacing w:before="24" w:after="24" w:line="240" w:lineRule="auto"/>
              <w:rPr>
                <w:rFonts w:ascii="Times New Roman" w:hAnsi="Times New Roman" w:cs="Times New Roman"/>
                <w:color w:val="000000" w:themeColor="text1"/>
                <w:kern w:val="0"/>
              </w:rPr>
            </w:pPr>
            <w:r>
              <w:rPr>
                <w:rFonts w:ascii="Times New Roman" w:hAnsi="Times New Roman" w:cs="Times New Roman"/>
                <w:color w:val="000000" w:themeColor="text1"/>
              </w:rPr>
              <w:t>排放工况</w:t>
            </w:r>
          </w:p>
        </w:tc>
        <w:tc>
          <w:tcPr>
            <w:tcW w:w="1076" w:type="pct"/>
            <w:gridSpan w:val="3"/>
            <w:shd w:val="clear" w:color="auto" w:fill="FFFFFF"/>
            <w:vAlign w:val="center"/>
          </w:tcPr>
          <w:p>
            <w:pPr>
              <w:pStyle w:val="93"/>
              <w:spacing w:before="24" w:after="24" w:line="240" w:lineRule="auto"/>
              <w:rPr>
                <w:rFonts w:ascii="Times New Roman" w:hAnsi="Times New Roman" w:cs="Times New Roman"/>
                <w:color w:val="000000" w:themeColor="text1"/>
              </w:rPr>
            </w:pPr>
            <w:r>
              <w:rPr>
                <w:rFonts w:ascii="Times New Roman" w:hAnsi="Times New Roman" w:cs="Times New Roman"/>
                <w:color w:val="000000" w:themeColor="text1"/>
              </w:rPr>
              <w:t>污染物排放速率/(kg/h)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5" w:type="pct"/>
            <w:vMerge w:val="continue"/>
            <w:vAlign w:val="center"/>
          </w:tcPr>
          <w:p>
            <w:pPr>
              <w:widowControl/>
              <w:adjustRightInd w:val="0"/>
              <w:snapToGrid w:val="0"/>
              <w:jc w:val="center"/>
              <w:rPr>
                <w:rFonts w:eastAsia="宋体" w:cs="Times New Roman"/>
                <w:color w:val="000000" w:themeColor="text1"/>
                <w:kern w:val="0"/>
                <w:sz w:val="21"/>
              </w:rPr>
            </w:pPr>
          </w:p>
        </w:tc>
        <w:tc>
          <w:tcPr>
            <w:tcW w:w="266" w:type="pct"/>
            <w:vMerge w:val="continue"/>
            <w:vAlign w:val="center"/>
          </w:tcPr>
          <w:p>
            <w:pPr>
              <w:widowControl/>
              <w:adjustRightInd w:val="0"/>
              <w:snapToGrid w:val="0"/>
              <w:jc w:val="center"/>
              <w:rPr>
                <w:rFonts w:eastAsia="宋体" w:cs="Times New Roman"/>
                <w:color w:val="000000" w:themeColor="text1"/>
                <w:kern w:val="0"/>
                <w:sz w:val="21"/>
              </w:rPr>
            </w:pPr>
          </w:p>
        </w:tc>
        <w:tc>
          <w:tcPr>
            <w:tcW w:w="437" w:type="pct"/>
            <w:shd w:val="clear" w:color="auto" w:fill="FFFFFF"/>
            <w:vAlign w:val="center"/>
          </w:tcPr>
          <w:p>
            <w:pPr>
              <w:adjustRightInd w:val="0"/>
              <w:snapToGrid w:val="0"/>
              <w:jc w:val="center"/>
              <w:rPr>
                <w:rFonts w:eastAsia="宋体"/>
                <w:color w:val="000000" w:themeColor="text1"/>
                <w:sz w:val="21"/>
              </w:rPr>
            </w:pPr>
            <w:r>
              <w:rPr>
                <w:color w:val="000000" w:themeColor="text1"/>
                <w:sz w:val="21"/>
              </w:rPr>
              <w:t>X</w:t>
            </w:r>
          </w:p>
        </w:tc>
        <w:tc>
          <w:tcPr>
            <w:tcW w:w="403" w:type="pct"/>
            <w:shd w:val="clear" w:color="auto" w:fill="FFFFFF"/>
            <w:vAlign w:val="center"/>
          </w:tcPr>
          <w:p>
            <w:pPr>
              <w:adjustRightInd w:val="0"/>
              <w:snapToGrid w:val="0"/>
              <w:jc w:val="center"/>
              <w:rPr>
                <w:rFonts w:eastAsia="宋体"/>
                <w:color w:val="000000" w:themeColor="text1"/>
                <w:sz w:val="21"/>
              </w:rPr>
            </w:pPr>
            <w:r>
              <w:rPr>
                <w:color w:val="000000" w:themeColor="text1"/>
                <w:sz w:val="21"/>
              </w:rPr>
              <w:t>Y</w:t>
            </w:r>
          </w:p>
        </w:tc>
        <w:tc>
          <w:tcPr>
            <w:tcW w:w="464" w:type="pct"/>
            <w:vMerge w:val="continue"/>
            <w:vAlign w:val="center"/>
          </w:tcPr>
          <w:p>
            <w:pPr>
              <w:widowControl/>
              <w:adjustRightInd w:val="0"/>
              <w:snapToGrid w:val="0"/>
              <w:jc w:val="center"/>
              <w:rPr>
                <w:rFonts w:eastAsia="宋体" w:cs="Times New Roman"/>
                <w:color w:val="000000" w:themeColor="text1"/>
                <w:kern w:val="0"/>
                <w:sz w:val="21"/>
              </w:rPr>
            </w:pPr>
          </w:p>
        </w:tc>
        <w:tc>
          <w:tcPr>
            <w:tcW w:w="309" w:type="pct"/>
            <w:vMerge w:val="continue"/>
            <w:vAlign w:val="center"/>
          </w:tcPr>
          <w:p>
            <w:pPr>
              <w:widowControl/>
              <w:adjustRightInd w:val="0"/>
              <w:snapToGrid w:val="0"/>
              <w:jc w:val="center"/>
              <w:rPr>
                <w:rFonts w:eastAsia="宋体" w:cs="Times New Roman"/>
                <w:color w:val="000000" w:themeColor="text1"/>
                <w:kern w:val="0"/>
                <w:sz w:val="21"/>
              </w:rPr>
            </w:pPr>
          </w:p>
        </w:tc>
        <w:tc>
          <w:tcPr>
            <w:tcW w:w="393" w:type="pct"/>
            <w:vMerge w:val="continue"/>
            <w:vAlign w:val="center"/>
          </w:tcPr>
          <w:p>
            <w:pPr>
              <w:widowControl/>
              <w:adjustRightInd w:val="0"/>
              <w:snapToGrid w:val="0"/>
              <w:jc w:val="center"/>
              <w:rPr>
                <w:rFonts w:eastAsia="宋体" w:cs="Times New Roman"/>
                <w:color w:val="000000" w:themeColor="text1"/>
                <w:kern w:val="0"/>
                <w:sz w:val="21"/>
              </w:rPr>
            </w:pPr>
          </w:p>
        </w:tc>
        <w:tc>
          <w:tcPr>
            <w:tcW w:w="524" w:type="pct"/>
            <w:vMerge w:val="continue"/>
            <w:vAlign w:val="center"/>
          </w:tcPr>
          <w:p>
            <w:pPr>
              <w:widowControl/>
              <w:adjustRightInd w:val="0"/>
              <w:snapToGrid w:val="0"/>
              <w:jc w:val="center"/>
              <w:rPr>
                <w:rFonts w:eastAsia="宋体" w:cs="Times New Roman"/>
                <w:color w:val="000000" w:themeColor="text1"/>
                <w:kern w:val="0"/>
                <w:sz w:val="21"/>
              </w:rPr>
            </w:pPr>
          </w:p>
        </w:tc>
        <w:tc>
          <w:tcPr>
            <w:tcW w:w="286" w:type="pct"/>
            <w:vMerge w:val="continue"/>
            <w:vAlign w:val="center"/>
          </w:tcPr>
          <w:p>
            <w:pPr>
              <w:widowControl/>
              <w:adjustRightInd w:val="0"/>
              <w:snapToGrid w:val="0"/>
              <w:jc w:val="center"/>
              <w:rPr>
                <w:rFonts w:eastAsia="宋体" w:cs="Times New Roman"/>
                <w:color w:val="000000" w:themeColor="text1"/>
                <w:kern w:val="0"/>
                <w:sz w:val="21"/>
              </w:rPr>
            </w:pPr>
          </w:p>
        </w:tc>
        <w:tc>
          <w:tcPr>
            <w:tcW w:w="368" w:type="pct"/>
            <w:vMerge w:val="continue"/>
            <w:vAlign w:val="center"/>
          </w:tcPr>
          <w:p>
            <w:pPr>
              <w:widowControl/>
              <w:adjustRightInd w:val="0"/>
              <w:snapToGrid w:val="0"/>
              <w:jc w:val="center"/>
              <w:rPr>
                <w:rFonts w:eastAsia="宋体" w:cs="Times New Roman"/>
                <w:color w:val="000000" w:themeColor="text1"/>
                <w:kern w:val="0"/>
                <w:sz w:val="21"/>
              </w:rPr>
            </w:pPr>
          </w:p>
        </w:tc>
        <w:tc>
          <w:tcPr>
            <w:tcW w:w="229" w:type="pct"/>
            <w:vMerge w:val="continue"/>
            <w:vAlign w:val="center"/>
          </w:tcPr>
          <w:p>
            <w:pPr>
              <w:widowControl/>
              <w:adjustRightInd w:val="0"/>
              <w:snapToGrid w:val="0"/>
              <w:jc w:val="center"/>
              <w:rPr>
                <w:rFonts w:eastAsia="宋体" w:cs="Times New Roman"/>
                <w:color w:val="000000" w:themeColor="text1"/>
                <w:kern w:val="0"/>
                <w:sz w:val="21"/>
              </w:rPr>
            </w:pPr>
          </w:p>
        </w:tc>
        <w:tc>
          <w:tcPr>
            <w:tcW w:w="326" w:type="pct"/>
            <w:shd w:val="clear" w:color="auto" w:fill="FFFFFF"/>
            <w:vAlign w:val="center"/>
          </w:tcPr>
          <w:p>
            <w:pPr>
              <w:pStyle w:val="93"/>
              <w:spacing w:before="24" w:after="24" w:line="240" w:lineRule="auto"/>
              <w:rPr>
                <w:rFonts w:ascii="Times New Roman" w:hAnsi="Times New Roman" w:cs="Times New Roman"/>
                <w:color w:val="000000" w:themeColor="text1"/>
                <w:kern w:val="0"/>
              </w:rPr>
            </w:pPr>
            <w:r>
              <w:rPr>
                <w:rFonts w:ascii="Times New Roman" w:hAnsi="Times New Roman" w:cs="Times New Roman"/>
                <w:color w:val="000000" w:themeColor="text1"/>
                <w:position w:val="2"/>
              </w:rPr>
              <w:t>SO</w:t>
            </w:r>
            <w:r>
              <w:rPr>
                <w:rFonts w:ascii="Times New Roman" w:hAnsi="Times New Roman" w:cs="Times New Roman"/>
                <w:color w:val="000000" w:themeColor="text1"/>
                <w:vertAlign w:val="subscript"/>
              </w:rPr>
              <w:t>2</w:t>
            </w:r>
          </w:p>
        </w:tc>
        <w:tc>
          <w:tcPr>
            <w:tcW w:w="376" w:type="pct"/>
            <w:shd w:val="clear" w:color="auto" w:fill="FFFFFF"/>
            <w:vAlign w:val="center"/>
          </w:tcPr>
          <w:p>
            <w:pPr>
              <w:pStyle w:val="93"/>
              <w:spacing w:before="24" w:after="24" w:line="240" w:lineRule="auto"/>
              <w:rPr>
                <w:rFonts w:ascii="Times New Roman" w:hAnsi="Times New Roman" w:cs="Times New Roman"/>
                <w:color w:val="000000" w:themeColor="text1"/>
                <w:kern w:val="0"/>
              </w:rPr>
            </w:pPr>
            <w:r>
              <w:rPr>
                <w:rFonts w:ascii="Times New Roman" w:hAnsi="Times New Roman" w:cs="Times New Roman"/>
                <w:color w:val="000000" w:themeColor="text1"/>
                <w:position w:val="2"/>
              </w:rPr>
              <w:t>NO</w:t>
            </w:r>
            <w:r>
              <w:rPr>
                <w:rFonts w:hint="eastAsia" w:ascii="Times New Roman" w:hAnsi="Times New Roman" w:cs="Times New Roman"/>
                <w:color w:val="000000" w:themeColor="text1"/>
                <w:vertAlign w:val="subscript"/>
              </w:rPr>
              <w:t>x</w:t>
            </w:r>
          </w:p>
        </w:tc>
        <w:tc>
          <w:tcPr>
            <w:tcW w:w="374" w:type="pct"/>
            <w:shd w:val="clear" w:color="auto" w:fill="FFFFFF"/>
            <w:vAlign w:val="center"/>
          </w:tcPr>
          <w:p>
            <w:pPr>
              <w:pStyle w:val="93"/>
              <w:spacing w:before="24" w:after="24" w:line="240" w:lineRule="auto"/>
              <w:rPr>
                <w:rFonts w:ascii="Times New Roman" w:hAnsi="Times New Roman" w:cs="Times New Roman"/>
                <w:color w:val="000000" w:themeColor="text1"/>
                <w:position w:val="2"/>
              </w:rPr>
            </w:pPr>
            <w:r>
              <w:rPr>
                <w:rFonts w:ascii="Times New Roman" w:hAnsi="Times New Roman" w:cs="Times New Roman"/>
                <w:color w:val="000000" w:themeColor="text1"/>
                <w:position w:val="2"/>
              </w:rPr>
              <w:t>颗粒物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0" w:hRule="atLeast"/>
          <w:jc w:val="center"/>
        </w:trPr>
        <w:tc>
          <w:tcPr>
            <w:tcW w:w="245" w:type="pct"/>
            <w:shd w:val="clear" w:color="auto" w:fill="FFFFFF"/>
            <w:vAlign w:val="center"/>
          </w:tcPr>
          <w:p>
            <w:pPr>
              <w:pStyle w:val="93"/>
              <w:spacing w:before="24" w:after="24" w:line="240" w:lineRule="auto"/>
              <w:rPr>
                <w:rFonts w:ascii="Times New Roman" w:hAnsi="Times New Roman" w:cs="Times New Roman"/>
                <w:color w:val="000000" w:themeColor="text1"/>
                <w:kern w:val="0"/>
              </w:rPr>
            </w:pPr>
            <w:r>
              <w:rPr>
                <w:rFonts w:hint="eastAsia" w:ascii="Times New Roman" w:hAnsi="Times New Roman" w:cs="Times New Roman"/>
                <w:color w:val="000000" w:themeColor="text1"/>
              </w:rPr>
              <w:t>G1</w:t>
            </w:r>
          </w:p>
        </w:tc>
        <w:tc>
          <w:tcPr>
            <w:tcW w:w="266" w:type="pct"/>
            <w:shd w:val="clear" w:color="auto" w:fill="FFFFFF"/>
            <w:vAlign w:val="center"/>
          </w:tcPr>
          <w:p>
            <w:pPr>
              <w:pStyle w:val="93"/>
              <w:spacing w:before="24" w:after="24" w:line="240" w:lineRule="auto"/>
              <w:rPr>
                <w:rFonts w:ascii="Times New Roman" w:hAnsi="Times New Roman" w:cs="Times New Roman"/>
                <w:color w:val="000000" w:themeColor="text1"/>
                <w:kern w:val="0"/>
              </w:rPr>
            </w:pPr>
            <w:r>
              <w:rPr>
                <w:rFonts w:ascii="Times New Roman" w:hAnsi="Times New Roman" w:cs="Times New Roman"/>
                <w:color w:val="000000" w:themeColor="text1"/>
                <w:kern w:val="0"/>
              </w:rPr>
              <w:t>锅炉废气</w:t>
            </w:r>
          </w:p>
        </w:tc>
        <w:tc>
          <w:tcPr>
            <w:tcW w:w="437" w:type="pct"/>
            <w:shd w:val="clear" w:color="auto" w:fill="FFFFFF"/>
            <w:vAlign w:val="center"/>
          </w:tcPr>
          <w:p>
            <w:pPr>
              <w:pStyle w:val="93"/>
              <w:spacing w:before="24" w:after="24" w:line="240" w:lineRule="auto"/>
              <w:rPr>
                <w:rFonts w:ascii="Times New Roman" w:hAnsi="Times New Roman" w:cs="Times New Roman"/>
                <w:color w:val="000000" w:themeColor="text1"/>
                <w:kern w:val="0"/>
              </w:rPr>
            </w:pPr>
            <w:r>
              <w:rPr>
                <w:rFonts w:ascii="Times New Roman" w:hAnsi="Times New Roman" w:cs="Times New Roman"/>
                <w:color w:val="000000" w:themeColor="text1"/>
                <w:kern w:val="0"/>
              </w:rPr>
              <w:t>113.14113</w:t>
            </w:r>
          </w:p>
        </w:tc>
        <w:tc>
          <w:tcPr>
            <w:tcW w:w="403" w:type="pct"/>
            <w:shd w:val="clear" w:color="auto" w:fill="FFFFFF"/>
            <w:vAlign w:val="center"/>
          </w:tcPr>
          <w:p>
            <w:pPr>
              <w:pStyle w:val="93"/>
              <w:spacing w:before="24" w:after="24" w:line="240" w:lineRule="auto"/>
              <w:rPr>
                <w:rFonts w:ascii="Times New Roman" w:hAnsi="Times New Roman" w:cs="Times New Roman"/>
                <w:color w:val="000000" w:themeColor="text1"/>
                <w:kern w:val="0"/>
              </w:rPr>
            </w:pPr>
            <w:r>
              <w:rPr>
                <w:rFonts w:ascii="Times New Roman" w:hAnsi="Times New Roman" w:cs="Times New Roman"/>
                <w:color w:val="000000" w:themeColor="text1"/>
                <w:kern w:val="0"/>
              </w:rPr>
              <w:t>29.38125</w:t>
            </w:r>
          </w:p>
        </w:tc>
        <w:tc>
          <w:tcPr>
            <w:tcW w:w="464" w:type="pct"/>
            <w:shd w:val="clear" w:color="auto" w:fill="FFFFFF"/>
            <w:vAlign w:val="center"/>
          </w:tcPr>
          <w:p>
            <w:pPr>
              <w:pStyle w:val="93"/>
              <w:spacing w:before="24" w:after="24" w:line="240" w:lineRule="auto"/>
              <w:rPr>
                <w:rFonts w:ascii="Times New Roman" w:hAnsi="Times New Roman" w:cs="Times New Roman"/>
                <w:color w:val="000000" w:themeColor="text1"/>
                <w:kern w:val="0"/>
              </w:rPr>
            </w:pPr>
            <w:r>
              <w:rPr>
                <w:rFonts w:hint="eastAsia" w:ascii="Times New Roman" w:hAnsi="Times New Roman" w:cs="Times New Roman"/>
                <w:color w:val="000000" w:themeColor="text1"/>
                <w:kern w:val="0"/>
              </w:rPr>
              <w:t>30</w:t>
            </w:r>
          </w:p>
        </w:tc>
        <w:tc>
          <w:tcPr>
            <w:tcW w:w="309" w:type="pct"/>
            <w:shd w:val="clear" w:color="auto" w:fill="FFFFFF"/>
            <w:vAlign w:val="center"/>
          </w:tcPr>
          <w:p>
            <w:pPr>
              <w:pStyle w:val="93"/>
              <w:spacing w:before="24" w:after="24" w:line="240" w:lineRule="auto"/>
              <w:rPr>
                <w:rFonts w:ascii="Times New Roman" w:hAnsi="Times New Roman" w:cs="Times New Roman"/>
                <w:color w:val="000000" w:themeColor="text1"/>
                <w:kern w:val="0"/>
              </w:rPr>
            </w:pPr>
            <w:r>
              <w:rPr>
                <w:rFonts w:hint="eastAsia" w:ascii="Times New Roman" w:hAnsi="Times New Roman" w:cs="Times New Roman"/>
                <w:color w:val="000000" w:themeColor="text1"/>
                <w:kern w:val="0"/>
              </w:rPr>
              <w:t>15</w:t>
            </w:r>
          </w:p>
        </w:tc>
        <w:tc>
          <w:tcPr>
            <w:tcW w:w="393" w:type="pct"/>
            <w:shd w:val="clear" w:color="auto" w:fill="FFFFFF"/>
            <w:vAlign w:val="center"/>
          </w:tcPr>
          <w:p>
            <w:pPr>
              <w:pStyle w:val="93"/>
              <w:spacing w:before="24" w:after="24" w:line="240" w:lineRule="auto"/>
              <w:rPr>
                <w:rFonts w:ascii="Times New Roman" w:hAnsi="Times New Roman" w:cs="Times New Roman"/>
                <w:color w:val="000000" w:themeColor="text1"/>
                <w:kern w:val="0"/>
              </w:rPr>
            </w:pPr>
            <w:r>
              <w:rPr>
                <w:rFonts w:hint="eastAsia" w:ascii="Times New Roman" w:hAnsi="Times New Roman" w:cs="Times New Roman"/>
                <w:color w:val="000000" w:themeColor="text1"/>
                <w:kern w:val="0"/>
              </w:rPr>
              <w:t>0.02</w:t>
            </w:r>
          </w:p>
        </w:tc>
        <w:tc>
          <w:tcPr>
            <w:tcW w:w="524" w:type="pct"/>
            <w:shd w:val="clear" w:color="auto" w:fill="FFFFFF"/>
            <w:vAlign w:val="center"/>
          </w:tcPr>
          <w:p>
            <w:pPr>
              <w:pStyle w:val="93"/>
              <w:spacing w:before="24" w:after="24" w:line="240" w:lineRule="auto"/>
              <w:rPr>
                <w:rFonts w:ascii="Times New Roman" w:hAnsi="Times New Roman" w:cs="Times New Roman"/>
                <w:color w:val="000000" w:themeColor="text1"/>
                <w:kern w:val="0"/>
              </w:rPr>
            </w:pPr>
            <w:r>
              <w:rPr>
                <w:rFonts w:hint="eastAsia" w:ascii="Times New Roman" w:hAnsi="Times New Roman" w:cs="Times New Roman"/>
                <w:color w:val="000000" w:themeColor="text1"/>
                <w:kern w:val="0"/>
              </w:rPr>
              <w:t>435</w:t>
            </w:r>
          </w:p>
        </w:tc>
        <w:tc>
          <w:tcPr>
            <w:tcW w:w="286" w:type="pct"/>
            <w:shd w:val="clear" w:color="auto" w:fill="FFFFFF"/>
            <w:vAlign w:val="center"/>
          </w:tcPr>
          <w:p>
            <w:pPr>
              <w:pStyle w:val="93"/>
              <w:spacing w:before="24" w:after="24" w:line="240" w:lineRule="auto"/>
              <w:rPr>
                <w:rFonts w:ascii="Times New Roman" w:hAnsi="Times New Roman" w:cs="Times New Roman"/>
                <w:color w:val="000000" w:themeColor="text1"/>
                <w:kern w:val="0"/>
              </w:rPr>
            </w:pPr>
            <w:r>
              <w:rPr>
                <w:rFonts w:hint="eastAsia" w:ascii="Times New Roman" w:hAnsi="Times New Roman" w:cs="Times New Roman"/>
                <w:color w:val="000000" w:themeColor="text1"/>
                <w:kern w:val="0"/>
              </w:rPr>
              <w:t>35</w:t>
            </w:r>
          </w:p>
        </w:tc>
        <w:tc>
          <w:tcPr>
            <w:tcW w:w="368" w:type="pct"/>
            <w:shd w:val="clear" w:color="auto" w:fill="FFFFFF"/>
            <w:vAlign w:val="center"/>
          </w:tcPr>
          <w:p>
            <w:pPr>
              <w:pStyle w:val="93"/>
              <w:spacing w:before="24" w:after="24" w:line="240" w:lineRule="auto"/>
              <w:rPr>
                <w:rFonts w:ascii="Times New Roman" w:hAnsi="Times New Roman" w:cs="Times New Roman"/>
                <w:color w:val="000000" w:themeColor="text1"/>
                <w:kern w:val="0"/>
              </w:rPr>
            </w:pPr>
            <w:r>
              <w:rPr>
                <w:rFonts w:hint="eastAsia" w:ascii="Times New Roman" w:hAnsi="Times New Roman" w:cs="Times New Roman"/>
                <w:color w:val="000000" w:themeColor="text1"/>
                <w:kern w:val="0"/>
              </w:rPr>
              <w:t>2944</w:t>
            </w:r>
          </w:p>
        </w:tc>
        <w:tc>
          <w:tcPr>
            <w:tcW w:w="229" w:type="pct"/>
            <w:shd w:val="clear" w:color="auto" w:fill="FFFFFF"/>
            <w:vAlign w:val="center"/>
          </w:tcPr>
          <w:p>
            <w:pPr>
              <w:pStyle w:val="93"/>
              <w:spacing w:before="24" w:after="24" w:line="240" w:lineRule="auto"/>
              <w:rPr>
                <w:rFonts w:ascii="Times New Roman" w:hAnsi="Times New Roman" w:cs="Times New Roman"/>
                <w:color w:val="000000" w:themeColor="text1"/>
                <w:kern w:val="0"/>
              </w:rPr>
            </w:pPr>
            <w:r>
              <w:rPr>
                <w:rFonts w:ascii="Times New Roman" w:hAnsi="Times New Roman" w:cs="Times New Roman"/>
                <w:color w:val="000000" w:themeColor="text1"/>
              </w:rPr>
              <w:t>正常</w:t>
            </w:r>
          </w:p>
        </w:tc>
        <w:tc>
          <w:tcPr>
            <w:tcW w:w="326" w:type="pct"/>
            <w:shd w:val="clear" w:color="auto" w:fill="FFFFFF"/>
            <w:vAlign w:val="center"/>
          </w:tcPr>
          <w:p>
            <w:pPr>
              <w:adjustRightInd w:val="0"/>
              <w:snapToGrid w:val="0"/>
              <w:rPr>
                <w:sz w:val="21"/>
              </w:rPr>
            </w:pPr>
            <w:r>
              <w:rPr>
                <w:rFonts w:hint="eastAsia"/>
                <w:sz w:val="21"/>
              </w:rPr>
              <w:t>0.011</w:t>
            </w:r>
          </w:p>
        </w:tc>
        <w:tc>
          <w:tcPr>
            <w:tcW w:w="376" w:type="pct"/>
            <w:shd w:val="clear" w:color="auto" w:fill="FFFFFF"/>
            <w:vAlign w:val="center"/>
          </w:tcPr>
          <w:p>
            <w:pPr>
              <w:adjustRightInd w:val="0"/>
              <w:snapToGrid w:val="0"/>
              <w:rPr>
                <w:rFonts w:cs="Times New Roman"/>
                <w:color w:val="000000" w:themeColor="text1"/>
                <w:kern w:val="0"/>
                <w:sz w:val="21"/>
              </w:rPr>
            </w:pPr>
            <w:r>
              <w:rPr>
                <w:rFonts w:hint="eastAsia"/>
                <w:sz w:val="21"/>
              </w:rPr>
              <w:t>0.027</w:t>
            </w:r>
          </w:p>
        </w:tc>
        <w:tc>
          <w:tcPr>
            <w:tcW w:w="374" w:type="pct"/>
            <w:shd w:val="clear" w:color="auto" w:fill="FFFFFF"/>
            <w:vAlign w:val="center"/>
          </w:tcPr>
          <w:p>
            <w:pPr>
              <w:adjustRightInd w:val="0"/>
              <w:snapToGrid w:val="0"/>
              <w:rPr>
                <w:rFonts w:cs="Times New Roman"/>
                <w:color w:val="000000" w:themeColor="text1"/>
                <w:kern w:val="0"/>
                <w:sz w:val="21"/>
              </w:rPr>
            </w:pPr>
            <w:r>
              <w:rPr>
                <w:rFonts w:hint="eastAsia"/>
                <w:sz w:val="21"/>
              </w:rPr>
              <w:t>0.004</w:t>
            </w:r>
          </w:p>
        </w:tc>
      </w:tr>
    </w:tbl>
    <w:p>
      <w:pPr>
        <w:pStyle w:val="14"/>
        <w:spacing w:line="240" w:lineRule="auto"/>
      </w:pPr>
      <w:r>
        <w:t>表</w:t>
      </w:r>
      <w:r>
        <w:fldChar w:fldCharType="begin"/>
      </w:r>
      <w:r>
        <w:instrText xml:space="preserve"> STYLEREF 2 \s </w:instrText>
      </w:r>
      <w:r>
        <w:fldChar w:fldCharType="separate"/>
      </w:r>
      <w:r>
        <w:t>5.2</w:t>
      </w:r>
      <w:r>
        <w:fldChar w:fldCharType="end"/>
      </w:r>
      <w:r>
        <w:noBreakHyphen/>
      </w:r>
      <w:r>
        <w:fldChar w:fldCharType="begin"/>
      </w:r>
      <w:r>
        <w:instrText xml:space="preserve"> SEQ 表 \* ARABIC \s 2 </w:instrText>
      </w:r>
      <w:r>
        <w:fldChar w:fldCharType="separate"/>
      </w:r>
      <w:r>
        <w:t>13</w:t>
      </w:r>
      <w:r>
        <w:fldChar w:fldCharType="end"/>
      </w:r>
      <w:r>
        <w:rPr>
          <w:rFonts w:hint="eastAsia"/>
        </w:rPr>
        <w:t xml:space="preserve"> </w:t>
      </w:r>
      <w:r>
        <w:t>矩形面源参数表</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0"/>
        <w:gridCol w:w="692"/>
        <w:gridCol w:w="1101"/>
        <w:gridCol w:w="1004"/>
        <w:gridCol w:w="615"/>
        <w:gridCol w:w="615"/>
        <w:gridCol w:w="751"/>
        <w:gridCol w:w="792"/>
        <w:gridCol w:w="848"/>
        <w:gridCol w:w="559"/>
        <w:gridCol w:w="1156"/>
        <w:gridCol w:w="1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pStyle w:val="14"/>
              <w:spacing w:line="240" w:lineRule="auto"/>
              <w:rPr>
                <w:b w:val="0"/>
                <w:color w:val="000000" w:themeColor="text1"/>
                <w:sz w:val="21"/>
                <w:szCs w:val="21"/>
              </w:rPr>
            </w:pPr>
            <w:r>
              <w:rPr>
                <w:rFonts w:hint="eastAsia"/>
                <w:b w:val="0"/>
                <w:color w:val="000000" w:themeColor="text1"/>
                <w:sz w:val="21"/>
                <w:szCs w:val="21"/>
              </w:rPr>
              <w:t>编号</w:t>
            </w:r>
          </w:p>
        </w:tc>
        <w:tc>
          <w:tcPr>
            <w:tcW w:w="0" w:type="auto"/>
            <w:vMerge w:val="restart"/>
            <w:vAlign w:val="center"/>
          </w:tcPr>
          <w:p>
            <w:pPr>
              <w:pStyle w:val="14"/>
              <w:spacing w:line="240" w:lineRule="auto"/>
              <w:rPr>
                <w:b w:val="0"/>
                <w:color w:val="000000" w:themeColor="text1"/>
                <w:sz w:val="21"/>
                <w:szCs w:val="21"/>
              </w:rPr>
            </w:pPr>
            <w:r>
              <w:rPr>
                <w:rFonts w:hint="eastAsia"/>
                <w:b w:val="0"/>
                <w:color w:val="000000" w:themeColor="text1"/>
                <w:sz w:val="21"/>
                <w:szCs w:val="21"/>
              </w:rPr>
              <w:t>名称</w:t>
            </w:r>
          </w:p>
        </w:tc>
        <w:tc>
          <w:tcPr>
            <w:tcW w:w="0" w:type="auto"/>
            <w:gridSpan w:val="2"/>
            <w:vAlign w:val="center"/>
          </w:tcPr>
          <w:p>
            <w:pPr>
              <w:pStyle w:val="14"/>
              <w:spacing w:line="240" w:lineRule="auto"/>
              <w:rPr>
                <w:b w:val="0"/>
                <w:color w:val="000000" w:themeColor="text1"/>
                <w:sz w:val="21"/>
                <w:szCs w:val="21"/>
              </w:rPr>
            </w:pPr>
            <w:r>
              <w:rPr>
                <w:rFonts w:hint="eastAsia"/>
                <w:b w:val="0"/>
                <w:color w:val="000000" w:themeColor="text1"/>
                <w:sz w:val="21"/>
                <w:szCs w:val="21"/>
              </w:rPr>
              <w:t>面源起点坐标/m</w:t>
            </w:r>
          </w:p>
        </w:tc>
        <w:tc>
          <w:tcPr>
            <w:tcW w:w="0" w:type="auto"/>
            <w:vMerge w:val="restart"/>
            <w:vAlign w:val="center"/>
          </w:tcPr>
          <w:p>
            <w:pPr>
              <w:pStyle w:val="14"/>
              <w:spacing w:line="240" w:lineRule="auto"/>
              <w:rPr>
                <w:b w:val="0"/>
                <w:color w:val="000000" w:themeColor="text1"/>
                <w:sz w:val="21"/>
                <w:szCs w:val="21"/>
              </w:rPr>
            </w:pPr>
            <w:r>
              <w:rPr>
                <w:rFonts w:hint="eastAsia"/>
                <w:b w:val="0"/>
                <w:color w:val="000000" w:themeColor="text1"/>
                <w:sz w:val="21"/>
                <w:szCs w:val="21"/>
              </w:rPr>
              <w:t>面源长度/m</w:t>
            </w:r>
          </w:p>
        </w:tc>
        <w:tc>
          <w:tcPr>
            <w:tcW w:w="0" w:type="auto"/>
            <w:vMerge w:val="restart"/>
            <w:vAlign w:val="center"/>
          </w:tcPr>
          <w:p>
            <w:pPr>
              <w:pStyle w:val="14"/>
              <w:spacing w:line="240" w:lineRule="auto"/>
              <w:rPr>
                <w:b w:val="0"/>
                <w:color w:val="000000" w:themeColor="text1"/>
                <w:sz w:val="21"/>
                <w:szCs w:val="21"/>
              </w:rPr>
            </w:pPr>
            <w:r>
              <w:rPr>
                <w:rFonts w:hint="eastAsia"/>
                <w:b w:val="0"/>
                <w:color w:val="000000" w:themeColor="text1"/>
                <w:sz w:val="21"/>
                <w:szCs w:val="21"/>
              </w:rPr>
              <w:t>面源宽度/m</w:t>
            </w:r>
          </w:p>
        </w:tc>
        <w:tc>
          <w:tcPr>
            <w:tcW w:w="0" w:type="auto"/>
            <w:vMerge w:val="restart"/>
            <w:vAlign w:val="center"/>
          </w:tcPr>
          <w:p>
            <w:pPr>
              <w:pStyle w:val="14"/>
              <w:spacing w:line="240" w:lineRule="auto"/>
              <w:rPr>
                <w:b w:val="0"/>
                <w:color w:val="000000" w:themeColor="text1"/>
                <w:sz w:val="21"/>
                <w:szCs w:val="21"/>
              </w:rPr>
            </w:pPr>
            <w:r>
              <w:rPr>
                <w:rFonts w:hint="eastAsia"/>
                <w:b w:val="0"/>
                <w:color w:val="000000" w:themeColor="text1"/>
                <w:sz w:val="21"/>
                <w:szCs w:val="21"/>
              </w:rPr>
              <w:t>与正北向夹角/°</w:t>
            </w:r>
          </w:p>
        </w:tc>
        <w:tc>
          <w:tcPr>
            <w:tcW w:w="0" w:type="auto"/>
            <w:vMerge w:val="restart"/>
            <w:vAlign w:val="center"/>
          </w:tcPr>
          <w:p>
            <w:pPr>
              <w:pStyle w:val="14"/>
              <w:spacing w:line="240" w:lineRule="auto"/>
              <w:rPr>
                <w:b w:val="0"/>
                <w:color w:val="000000" w:themeColor="text1"/>
                <w:sz w:val="21"/>
                <w:szCs w:val="21"/>
              </w:rPr>
            </w:pPr>
            <w:r>
              <w:rPr>
                <w:rFonts w:hint="eastAsia"/>
                <w:b w:val="0"/>
                <w:color w:val="000000" w:themeColor="text1"/>
                <w:sz w:val="21"/>
                <w:szCs w:val="21"/>
              </w:rPr>
              <w:t>面源有效排放高度/m</w:t>
            </w:r>
          </w:p>
        </w:tc>
        <w:tc>
          <w:tcPr>
            <w:tcW w:w="0" w:type="auto"/>
            <w:vMerge w:val="restart"/>
            <w:vAlign w:val="center"/>
          </w:tcPr>
          <w:p>
            <w:pPr>
              <w:pStyle w:val="14"/>
              <w:spacing w:line="240" w:lineRule="auto"/>
              <w:rPr>
                <w:b w:val="0"/>
                <w:color w:val="000000" w:themeColor="text1"/>
                <w:sz w:val="21"/>
                <w:szCs w:val="21"/>
              </w:rPr>
            </w:pPr>
            <w:r>
              <w:rPr>
                <w:rFonts w:hint="eastAsia"/>
                <w:b w:val="0"/>
                <w:color w:val="000000" w:themeColor="text1"/>
                <w:sz w:val="21"/>
                <w:szCs w:val="21"/>
              </w:rPr>
              <w:t>年排放小时数/h</w:t>
            </w:r>
          </w:p>
        </w:tc>
        <w:tc>
          <w:tcPr>
            <w:tcW w:w="0" w:type="auto"/>
            <w:vMerge w:val="restart"/>
            <w:vAlign w:val="center"/>
          </w:tcPr>
          <w:p>
            <w:pPr>
              <w:pStyle w:val="14"/>
              <w:spacing w:line="240" w:lineRule="auto"/>
              <w:rPr>
                <w:b w:val="0"/>
                <w:color w:val="000000" w:themeColor="text1"/>
                <w:sz w:val="21"/>
                <w:szCs w:val="21"/>
              </w:rPr>
            </w:pPr>
            <w:r>
              <w:rPr>
                <w:rFonts w:hint="eastAsia"/>
                <w:b w:val="0"/>
                <w:color w:val="000000" w:themeColor="text1"/>
                <w:sz w:val="21"/>
                <w:szCs w:val="21"/>
              </w:rPr>
              <w:t>排放工况</w:t>
            </w:r>
          </w:p>
        </w:tc>
        <w:tc>
          <w:tcPr>
            <w:tcW w:w="0" w:type="auto"/>
            <w:gridSpan w:val="2"/>
            <w:vAlign w:val="center"/>
          </w:tcPr>
          <w:p>
            <w:pPr>
              <w:pStyle w:val="14"/>
              <w:spacing w:line="240" w:lineRule="auto"/>
              <w:rPr>
                <w:b w:val="0"/>
                <w:color w:val="000000" w:themeColor="text1"/>
                <w:sz w:val="21"/>
                <w:szCs w:val="21"/>
              </w:rPr>
            </w:pPr>
            <w:r>
              <w:rPr>
                <w:rFonts w:hint="eastAsia"/>
                <w:b w:val="0"/>
                <w:color w:val="000000" w:themeColor="text1"/>
                <w:sz w:val="21"/>
                <w:szCs w:val="21"/>
              </w:rPr>
              <w:t>污染物排放速率/（kg/h）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0" w:type="auto"/>
            <w:vMerge w:val="continue"/>
            <w:vAlign w:val="center"/>
          </w:tcPr>
          <w:p>
            <w:pPr>
              <w:pStyle w:val="14"/>
              <w:spacing w:line="240" w:lineRule="auto"/>
              <w:rPr>
                <w:b w:val="0"/>
                <w:color w:val="000000" w:themeColor="text1"/>
                <w:sz w:val="21"/>
                <w:szCs w:val="21"/>
              </w:rPr>
            </w:pPr>
          </w:p>
        </w:tc>
        <w:tc>
          <w:tcPr>
            <w:tcW w:w="0" w:type="auto"/>
            <w:vMerge w:val="continue"/>
            <w:vAlign w:val="center"/>
          </w:tcPr>
          <w:p>
            <w:pPr>
              <w:pStyle w:val="14"/>
              <w:spacing w:line="240" w:lineRule="auto"/>
              <w:rPr>
                <w:b w:val="0"/>
                <w:color w:val="000000" w:themeColor="text1"/>
                <w:sz w:val="21"/>
                <w:szCs w:val="21"/>
              </w:rPr>
            </w:pPr>
          </w:p>
        </w:tc>
        <w:tc>
          <w:tcPr>
            <w:tcW w:w="0" w:type="auto"/>
            <w:vAlign w:val="center"/>
          </w:tcPr>
          <w:p>
            <w:pPr>
              <w:pStyle w:val="14"/>
              <w:spacing w:line="240" w:lineRule="auto"/>
              <w:rPr>
                <w:b w:val="0"/>
                <w:color w:val="000000" w:themeColor="text1"/>
                <w:sz w:val="21"/>
                <w:szCs w:val="21"/>
              </w:rPr>
            </w:pPr>
            <w:r>
              <w:rPr>
                <w:rFonts w:hint="eastAsia"/>
                <w:b w:val="0"/>
                <w:color w:val="000000" w:themeColor="text1"/>
                <w:sz w:val="21"/>
                <w:szCs w:val="21"/>
              </w:rPr>
              <w:t>X</w:t>
            </w:r>
          </w:p>
        </w:tc>
        <w:tc>
          <w:tcPr>
            <w:tcW w:w="0" w:type="auto"/>
            <w:vAlign w:val="center"/>
          </w:tcPr>
          <w:p>
            <w:pPr>
              <w:pStyle w:val="14"/>
              <w:spacing w:line="240" w:lineRule="auto"/>
              <w:rPr>
                <w:b w:val="0"/>
                <w:color w:val="000000" w:themeColor="text1"/>
                <w:sz w:val="21"/>
                <w:szCs w:val="21"/>
              </w:rPr>
            </w:pPr>
            <w:r>
              <w:rPr>
                <w:rFonts w:hint="eastAsia"/>
                <w:b w:val="0"/>
                <w:color w:val="000000" w:themeColor="text1"/>
                <w:sz w:val="21"/>
                <w:szCs w:val="21"/>
              </w:rPr>
              <w:t>Y</w:t>
            </w:r>
          </w:p>
        </w:tc>
        <w:tc>
          <w:tcPr>
            <w:tcW w:w="0" w:type="auto"/>
            <w:vMerge w:val="continue"/>
            <w:vAlign w:val="center"/>
          </w:tcPr>
          <w:p>
            <w:pPr>
              <w:pStyle w:val="14"/>
              <w:spacing w:line="240" w:lineRule="auto"/>
              <w:rPr>
                <w:b w:val="0"/>
                <w:color w:val="000000" w:themeColor="text1"/>
                <w:sz w:val="21"/>
                <w:szCs w:val="21"/>
              </w:rPr>
            </w:pPr>
          </w:p>
        </w:tc>
        <w:tc>
          <w:tcPr>
            <w:tcW w:w="0" w:type="auto"/>
            <w:vMerge w:val="continue"/>
            <w:vAlign w:val="center"/>
          </w:tcPr>
          <w:p>
            <w:pPr>
              <w:pStyle w:val="14"/>
              <w:spacing w:line="240" w:lineRule="auto"/>
              <w:rPr>
                <w:b w:val="0"/>
                <w:color w:val="000000" w:themeColor="text1"/>
                <w:sz w:val="21"/>
                <w:szCs w:val="21"/>
              </w:rPr>
            </w:pPr>
          </w:p>
        </w:tc>
        <w:tc>
          <w:tcPr>
            <w:tcW w:w="0" w:type="auto"/>
            <w:vMerge w:val="continue"/>
            <w:vAlign w:val="center"/>
          </w:tcPr>
          <w:p>
            <w:pPr>
              <w:pStyle w:val="14"/>
              <w:spacing w:line="240" w:lineRule="auto"/>
              <w:rPr>
                <w:b w:val="0"/>
                <w:color w:val="000000" w:themeColor="text1"/>
                <w:sz w:val="21"/>
                <w:szCs w:val="21"/>
              </w:rPr>
            </w:pPr>
          </w:p>
        </w:tc>
        <w:tc>
          <w:tcPr>
            <w:tcW w:w="0" w:type="auto"/>
            <w:vMerge w:val="continue"/>
            <w:vAlign w:val="center"/>
          </w:tcPr>
          <w:p>
            <w:pPr>
              <w:pStyle w:val="14"/>
              <w:spacing w:line="240" w:lineRule="auto"/>
              <w:rPr>
                <w:b w:val="0"/>
                <w:color w:val="000000" w:themeColor="text1"/>
                <w:sz w:val="21"/>
                <w:szCs w:val="21"/>
              </w:rPr>
            </w:pPr>
          </w:p>
        </w:tc>
        <w:tc>
          <w:tcPr>
            <w:tcW w:w="0" w:type="auto"/>
            <w:vMerge w:val="continue"/>
            <w:vAlign w:val="center"/>
          </w:tcPr>
          <w:p>
            <w:pPr>
              <w:pStyle w:val="14"/>
              <w:spacing w:line="240" w:lineRule="auto"/>
              <w:rPr>
                <w:b w:val="0"/>
                <w:color w:val="000000" w:themeColor="text1"/>
                <w:sz w:val="21"/>
                <w:szCs w:val="21"/>
              </w:rPr>
            </w:pPr>
          </w:p>
        </w:tc>
        <w:tc>
          <w:tcPr>
            <w:tcW w:w="0" w:type="auto"/>
            <w:vMerge w:val="continue"/>
            <w:vAlign w:val="center"/>
          </w:tcPr>
          <w:p>
            <w:pPr>
              <w:pStyle w:val="14"/>
              <w:spacing w:line="240" w:lineRule="auto"/>
              <w:rPr>
                <w:b w:val="0"/>
                <w:color w:val="000000" w:themeColor="text1"/>
                <w:sz w:val="21"/>
                <w:szCs w:val="21"/>
              </w:rPr>
            </w:pPr>
          </w:p>
        </w:tc>
        <w:tc>
          <w:tcPr>
            <w:tcW w:w="0" w:type="auto"/>
            <w:vAlign w:val="center"/>
          </w:tcPr>
          <w:p>
            <w:pPr>
              <w:pStyle w:val="93"/>
              <w:spacing w:before="24" w:after="24"/>
              <w:rPr>
                <w:rFonts w:ascii="Times New Roman" w:hAnsi="Times New Roman" w:cs="Times New Roman"/>
                <w:color w:val="000000" w:themeColor="text1"/>
                <w:kern w:val="0"/>
              </w:rPr>
            </w:pPr>
            <w:r>
              <w:rPr>
                <w:rFonts w:ascii="Times New Roman" w:hAnsi="Times New Roman" w:cs="Times New Roman"/>
                <w:color w:val="000000" w:themeColor="text1"/>
              </w:rPr>
              <w:t>NH</w:t>
            </w:r>
            <w:r>
              <w:rPr>
                <w:rFonts w:ascii="Times New Roman" w:hAnsi="Times New Roman" w:cs="Times New Roman"/>
                <w:color w:val="000000" w:themeColor="text1"/>
                <w:vertAlign w:val="subscript"/>
              </w:rPr>
              <w:t>3</w:t>
            </w:r>
          </w:p>
        </w:tc>
        <w:tc>
          <w:tcPr>
            <w:tcW w:w="0" w:type="auto"/>
            <w:vAlign w:val="center"/>
          </w:tcPr>
          <w:p>
            <w:pPr>
              <w:pStyle w:val="93"/>
              <w:spacing w:before="24" w:after="24"/>
              <w:rPr>
                <w:rFonts w:ascii="Times New Roman" w:hAnsi="Times New Roman" w:cs="Times New Roman"/>
                <w:color w:val="000000" w:themeColor="text1"/>
                <w:kern w:val="0"/>
              </w:rPr>
            </w:pPr>
            <w:r>
              <w:rPr>
                <w:rFonts w:ascii="Times New Roman" w:hAnsi="Times New Roman" w:cs="Times New Roman"/>
                <w:color w:val="000000" w:themeColor="text1"/>
              </w:rPr>
              <w:t>H</w:t>
            </w:r>
            <w:r>
              <w:rPr>
                <w:rFonts w:ascii="Times New Roman" w:hAnsi="Times New Roman" w:cs="Times New Roman"/>
                <w:color w:val="000000" w:themeColor="text1"/>
                <w:vertAlign w:val="subscript"/>
              </w:rPr>
              <w:t>2</w:t>
            </w:r>
            <w:r>
              <w:rPr>
                <w:rFonts w:ascii="Times New Roman" w:hAnsi="Times New Roman" w:cs="Times New Roman"/>
                <w:color w:val="000000" w:themeColor="text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4"/>
              <w:spacing w:line="240" w:lineRule="auto"/>
              <w:rPr>
                <w:b w:val="0"/>
                <w:color w:val="000000" w:themeColor="text1"/>
                <w:sz w:val="21"/>
                <w:szCs w:val="21"/>
              </w:rPr>
            </w:pPr>
            <w:r>
              <w:rPr>
                <w:rFonts w:hint="eastAsia"/>
                <w:b w:val="0"/>
                <w:color w:val="000000" w:themeColor="text1"/>
                <w:sz w:val="21"/>
                <w:szCs w:val="21"/>
              </w:rPr>
              <w:t>1</w:t>
            </w:r>
          </w:p>
        </w:tc>
        <w:tc>
          <w:tcPr>
            <w:tcW w:w="0" w:type="auto"/>
            <w:vAlign w:val="center"/>
          </w:tcPr>
          <w:p>
            <w:pPr>
              <w:pStyle w:val="14"/>
              <w:spacing w:line="240" w:lineRule="auto"/>
              <w:rPr>
                <w:b w:val="0"/>
                <w:color w:val="000000" w:themeColor="text1"/>
                <w:sz w:val="21"/>
                <w:szCs w:val="21"/>
              </w:rPr>
            </w:pPr>
            <w:r>
              <w:rPr>
                <w:rFonts w:hint="eastAsia"/>
                <w:b w:val="0"/>
                <w:color w:val="000000" w:themeColor="text1"/>
                <w:sz w:val="21"/>
                <w:szCs w:val="21"/>
              </w:rPr>
              <w:t>污水处理站恶臭</w:t>
            </w:r>
          </w:p>
        </w:tc>
        <w:tc>
          <w:tcPr>
            <w:tcW w:w="0" w:type="auto"/>
            <w:vAlign w:val="center"/>
          </w:tcPr>
          <w:p>
            <w:pPr>
              <w:pStyle w:val="14"/>
              <w:spacing w:line="240" w:lineRule="auto"/>
              <w:rPr>
                <w:b w:val="0"/>
                <w:color w:val="000000" w:themeColor="text1"/>
                <w:sz w:val="21"/>
                <w:szCs w:val="21"/>
              </w:rPr>
            </w:pPr>
            <w:r>
              <w:rPr>
                <w:b w:val="0"/>
                <w:color w:val="000000" w:themeColor="text1"/>
                <w:sz w:val="21"/>
                <w:szCs w:val="21"/>
              </w:rPr>
              <w:t>113.14055</w:t>
            </w:r>
          </w:p>
        </w:tc>
        <w:tc>
          <w:tcPr>
            <w:tcW w:w="0" w:type="auto"/>
            <w:vAlign w:val="center"/>
          </w:tcPr>
          <w:p>
            <w:pPr>
              <w:pStyle w:val="14"/>
              <w:spacing w:line="240" w:lineRule="auto"/>
              <w:rPr>
                <w:b w:val="0"/>
                <w:color w:val="000000" w:themeColor="text1"/>
                <w:sz w:val="21"/>
                <w:szCs w:val="21"/>
              </w:rPr>
            </w:pPr>
            <w:r>
              <w:rPr>
                <w:b w:val="0"/>
                <w:color w:val="000000" w:themeColor="text1"/>
                <w:sz w:val="21"/>
                <w:szCs w:val="21"/>
              </w:rPr>
              <w:t>29.38135</w:t>
            </w:r>
          </w:p>
        </w:tc>
        <w:tc>
          <w:tcPr>
            <w:tcW w:w="0" w:type="auto"/>
            <w:vAlign w:val="center"/>
          </w:tcPr>
          <w:p>
            <w:pPr>
              <w:pStyle w:val="14"/>
              <w:spacing w:line="240" w:lineRule="auto"/>
              <w:rPr>
                <w:b w:val="0"/>
                <w:color w:val="000000" w:themeColor="text1"/>
                <w:sz w:val="21"/>
                <w:szCs w:val="21"/>
              </w:rPr>
            </w:pPr>
            <w:r>
              <w:rPr>
                <w:rFonts w:hint="eastAsia"/>
                <w:b w:val="0"/>
                <w:color w:val="000000" w:themeColor="text1"/>
                <w:sz w:val="21"/>
                <w:szCs w:val="21"/>
              </w:rPr>
              <w:t>6</w:t>
            </w:r>
          </w:p>
        </w:tc>
        <w:tc>
          <w:tcPr>
            <w:tcW w:w="0" w:type="auto"/>
            <w:vAlign w:val="center"/>
          </w:tcPr>
          <w:p>
            <w:pPr>
              <w:pStyle w:val="14"/>
              <w:spacing w:line="240" w:lineRule="auto"/>
              <w:rPr>
                <w:b w:val="0"/>
                <w:color w:val="000000" w:themeColor="text1"/>
                <w:sz w:val="21"/>
                <w:szCs w:val="21"/>
              </w:rPr>
            </w:pPr>
            <w:r>
              <w:rPr>
                <w:rFonts w:hint="eastAsia"/>
                <w:b w:val="0"/>
                <w:color w:val="000000" w:themeColor="text1"/>
                <w:sz w:val="21"/>
                <w:szCs w:val="21"/>
              </w:rPr>
              <w:t>4</w:t>
            </w:r>
          </w:p>
        </w:tc>
        <w:tc>
          <w:tcPr>
            <w:tcW w:w="0" w:type="auto"/>
            <w:vAlign w:val="center"/>
          </w:tcPr>
          <w:p>
            <w:pPr>
              <w:pStyle w:val="14"/>
              <w:spacing w:line="240" w:lineRule="auto"/>
              <w:rPr>
                <w:b w:val="0"/>
                <w:color w:val="000000" w:themeColor="text1"/>
                <w:sz w:val="21"/>
                <w:szCs w:val="21"/>
              </w:rPr>
            </w:pPr>
            <w:r>
              <w:rPr>
                <w:rFonts w:hint="eastAsia"/>
                <w:b w:val="0"/>
                <w:color w:val="000000" w:themeColor="text1"/>
                <w:sz w:val="21"/>
                <w:szCs w:val="21"/>
              </w:rPr>
              <w:t>0</w:t>
            </w:r>
          </w:p>
        </w:tc>
        <w:tc>
          <w:tcPr>
            <w:tcW w:w="0" w:type="auto"/>
            <w:vAlign w:val="center"/>
          </w:tcPr>
          <w:p>
            <w:pPr>
              <w:pStyle w:val="14"/>
              <w:rPr>
                <w:b w:val="0"/>
                <w:color w:val="000000" w:themeColor="text1"/>
                <w:sz w:val="21"/>
                <w:szCs w:val="21"/>
              </w:rPr>
            </w:pPr>
            <w:r>
              <w:rPr>
                <w:rFonts w:hint="eastAsia"/>
                <w:b w:val="0"/>
                <w:color w:val="000000" w:themeColor="text1"/>
                <w:sz w:val="21"/>
                <w:szCs w:val="21"/>
              </w:rPr>
              <w:t>10</w:t>
            </w:r>
          </w:p>
        </w:tc>
        <w:tc>
          <w:tcPr>
            <w:tcW w:w="0" w:type="auto"/>
            <w:vAlign w:val="center"/>
          </w:tcPr>
          <w:p>
            <w:pPr>
              <w:pStyle w:val="14"/>
              <w:rPr>
                <w:b w:val="0"/>
                <w:color w:val="000000" w:themeColor="text1"/>
                <w:sz w:val="21"/>
                <w:szCs w:val="21"/>
              </w:rPr>
            </w:pPr>
            <w:r>
              <w:rPr>
                <w:rFonts w:hint="eastAsia"/>
                <w:b w:val="0"/>
                <w:color w:val="000000" w:themeColor="text1"/>
                <w:sz w:val="21"/>
                <w:szCs w:val="21"/>
              </w:rPr>
              <w:t>8760</w:t>
            </w:r>
          </w:p>
        </w:tc>
        <w:tc>
          <w:tcPr>
            <w:tcW w:w="0" w:type="auto"/>
            <w:vAlign w:val="center"/>
          </w:tcPr>
          <w:p>
            <w:pPr>
              <w:pStyle w:val="14"/>
              <w:rPr>
                <w:b w:val="0"/>
                <w:color w:val="000000" w:themeColor="text1"/>
                <w:sz w:val="21"/>
                <w:szCs w:val="21"/>
              </w:rPr>
            </w:pPr>
            <w:r>
              <w:rPr>
                <w:rFonts w:hint="eastAsia"/>
                <w:b w:val="0"/>
                <w:color w:val="000000" w:themeColor="text1"/>
                <w:sz w:val="21"/>
                <w:szCs w:val="21"/>
              </w:rPr>
              <w:t>正常</w:t>
            </w:r>
          </w:p>
        </w:tc>
        <w:tc>
          <w:tcPr>
            <w:tcW w:w="0" w:type="auto"/>
            <w:vAlign w:val="center"/>
          </w:tcPr>
          <w:p>
            <w:pPr>
              <w:pStyle w:val="93"/>
              <w:spacing w:before="24" w:after="24"/>
              <w:rPr>
                <w:rFonts w:ascii="Times New Roman" w:hAnsi="Times New Roman" w:cs="Times New Roman"/>
                <w:color w:val="000000" w:themeColor="text1"/>
                <w:kern w:val="0"/>
              </w:rPr>
            </w:pPr>
            <w:r>
              <w:rPr>
                <w:rFonts w:hint="eastAsia" w:ascii="Times New Roman" w:hAnsi="Times New Roman" w:cs="Times New Roman"/>
                <w:color w:val="000000" w:themeColor="text1"/>
                <w:kern w:val="0"/>
              </w:rPr>
              <w:t>0.0000039</w:t>
            </w:r>
          </w:p>
        </w:tc>
        <w:tc>
          <w:tcPr>
            <w:tcW w:w="0" w:type="auto"/>
            <w:vAlign w:val="center"/>
          </w:tcPr>
          <w:p>
            <w:pPr>
              <w:pStyle w:val="93"/>
              <w:spacing w:before="24" w:after="24"/>
              <w:rPr>
                <w:rFonts w:ascii="Times New Roman" w:hAnsi="Times New Roman" w:cs="Times New Roman"/>
                <w:color w:val="000000" w:themeColor="text1"/>
                <w:kern w:val="0"/>
              </w:rPr>
            </w:pPr>
            <w:r>
              <w:rPr>
                <w:rFonts w:hint="eastAsia" w:ascii="Times New Roman" w:hAnsi="Times New Roman" w:cs="Times New Roman"/>
                <w:color w:val="000000" w:themeColor="text1"/>
                <w:kern w:val="0"/>
              </w:rPr>
              <w:t>0.000092</w:t>
            </w:r>
          </w:p>
        </w:tc>
      </w:tr>
    </w:tbl>
    <w:p>
      <w:pPr>
        <w:pStyle w:val="14"/>
        <w:ind w:firstLine="480" w:firstLineChars="200"/>
        <w:jc w:val="both"/>
        <w:rPr>
          <w:rFonts w:cs="Times New Roman"/>
          <w:b w:val="0"/>
        </w:rPr>
      </w:pPr>
      <w:r>
        <w:rPr>
          <w:rFonts w:cs="Times New Roman"/>
          <w:b w:val="0"/>
        </w:rPr>
        <w:t>（4）评价工作等级确定</w:t>
      </w:r>
    </w:p>
    <w:p>
      <w:pPr>
        <w:spacing w:line="360" w:lineRule="auto"/>
        <w:ind w:firstLine="480" w:firstLineChars="200"/>
        <w:rPr>
          <w:rFonts w:cs="Times New Roman"/>
          <w:szCs w:val="24"/>
        </w:rPr>
      </w:pPr>
      <w:r>
        <w:rPr>
          <w:rFonts w:cs="Times New Roman"/>
        </w:rPr>
        <w:t>本项目所有污染源正常排放的污染物的</w:t>
      </w:r>
      <w:r>
        <w:rPr>
          <w:rFonts w:cs="Times New Roman"/>
          <w:szCs w:val="24"/>
        </w:rPr>
        <w:t>P</w:t>
      </w:r>
      <w:r>
        <w:rPr>
          <w:rFonts w:cs="Times New Roman"/>
          <w:szCs w:val="24"/>
          <w:vertAlign w:val="subscript"/>
        </w:rPr>
        <w:t>max</w:t>
      </w:r>
      <w:r>
        <w:rPr>
          <w:rFonts w:cs="Times New Roman"/>
          <w:szCs w:val="24"/>
        </w:rPr>
        <w:t>和D</w:t>
      </w:r>
      <w:r>
        <w:rPr>
          <w:rFonts w:cs="Times New Roman"/>
          <w:szCs w:val="24"/>
          <w:vertAlign w:val="subscript"/>
        </w:rPr>
        <w:t>10%</w:t>
      </w:r>
      <w:r>
        <w:rPr>
          <w:rFonts w:cs="Times New Roman"/>
          <w:szCs w:val="24"/>
        </w:rPr>
        <w:t>预测结果如下表所示：</w:t>
      </w:r>
    </w:p>
    <w:p>
      <w:pPr>
        <w:pStyle w:val="14"/>
        <w:spacing w:line="240" w:lineRule="auto"/>
        <w:rPr>
          <w:rFonts w:cs="Times New Roman"/>
          <w:szCs w:val="24"/>
        </w:rPr>
      </w:pPr>
    </w:p>
    <w:p>
      <w:pPr>
        <w:pStyle w:val="14"/>
        <w:spacing w:line="240" w:lineRule="auto"/>
        <w:rPr>
          <w:rFonts w:cs="Times New Roman"/>
          <w:szCs w:val="24"/>
        </w:rPr>
      </w:pPr>
    </w:p>
    <w:p>
      <w:pPr>
        <w:pStyle w:val="14"/>
        <w:spacing w:line="240" w:lineRule="auto"/>
      </w:pPr>
      <w:r>
        <w:rPr>
          <w:rFonts w:hint="eastAsia" w:cs="Times New Roman"/>
          <w:szCs w:val="24"/>
        </w:rPr>
        <w:t>表</w:t>
      </w:r>
      <w:r>
        <w:rPr>
          <w:rFonts w:cs="Times New Roman"/>
          <w:szCs w:val="24"/>
        </w:rPr>
        <w:fldChar w:fldCharType="begin"/>
      </w:r>
      <w:r>
        <w:rPr>
          <w:rFonts w:cs="Times New Roman"/>
          <w:szCs w:val="24"/>
        </w:rPr>
        <w:instrText xml:space="preserve"> </w:instrText>
      </w:r>
      <w:r>
        <w:rPr>
          <w:rFonts w:hint="eastAsia" w:cs="Times New Roman"/>
          <w:szCs w:val="24"/>
        </w:rPr>
        <w:instrText xml:space="preserve">STYLEREF 2 \s</w:instrText>
      </w:r>
      <w:r>
        <w:rPr>
          <w:rFonts w:cs="Times New Roman"/>
          <w:szCs w:val="24"/>
        </w:rPr>
        <w:instrText xml:space="preserve"> </w:instrText>
      </w:r>
      <w:r>
        <w:rPr>
          <w:rFonts w:cs="Times New Roman"/>
          <w:szCs w:val="24"/>
        </w:rPr>
        <w:fldChar w:fldCharType="separate"/>
      </w:r>
      <w:r>
        <w:rPr>
          <w:rFonts w:cs="Times New Roman"/>
          <w:szCs w:val="24"/>
        </w:rPr>
        <w:t>5.2</w:t>
      </w:r>
      <w:r>
        <w:rPr>
          <w:rFonts w:cs="Times New Roman"/>
          <w:szCs w:val="24"/>
        </w:rPr>
        <w:fldChar w:fldCharType="end"/>
      </w:r>
      <w:r>
        <w:rPr>
          <w:rFonts w:cs="Times New Roman"/>
          <w:szCs w:val="24"/>
        </w:rPr>
        <w:noBreakHyphen/>
      </w:r>
      <w:r>
        <w:rPr>
          <w:rFonts w:cs="Times New Roman"/>
          <w:szCs w:val="24"/>
        </w:rPr>
        <w:fldChar w:fldCharType="begin"/>
      </w:r>
      <w:r>
        <w:rPr>
          <w:rFonts w:cs="Times New Roman"/>
          <w:szCs w:val="24"/>
        </w:rPr>
        <w:instrText xml:space="preserve"> </w:instrText>
      </w:r>
      <w:r>
        <w:rPr>
          <w:rFonts w:hint="eastAsia" w:cs="Times New Roman"/>
          <w:szCs w:val="24"/>
        </w:rPr>
        <w:instrText xml:space="preserve">SEQ 表 \* ARABIC \s 2</w:instrText>
      </w:r>
      <w:r>
        <w:rPr>
          <w:rFonts w:cs="Times New Roman"/>
          <w:szCs w:val="24"/>
        </w:rPr>
        <w:instrText xml:space="preserve"> </w:instrText>
      </w:r>
      <w:r>
        <w:rPr>
          <w:rFonts w:cs="Times New Roman"/>
          <w:szCs w:val="24"/>
        </w:rPr>
        <w:fldChar w:fldCharType="separate"/>
      </w:r>
      <w:r>
        <w:rPr>
          <w:rFonts w:cs="Times New Roman"/>
          <w:szCs w:val="24"/>
        </w:rPr>
        <w:t>14</w:t>
      </w:r>
      <w:r>
        <w:rPr>
          <w:rFonts w:cs="Times New Roman"/>
          <w:szCs w:val="24"/>
        </w:rPr>
        <w:fldChar w:fldCharType="end"/>
      </w:r>
      <w:r>
        <w:rPr>
          <w:rFonts w:hint="eastAsia" w:cs="Times New Roman"/>
          <w:szCs w:val="24"/>
        </w:rPr>
        <w:t xml:space="preserve">  </w:t>
      </w:r>
      <w:r>
        <w:rPr>
          <w:rFonts w:cs="Times New Roman"/>
          <w:szCs w:val="24"/>
        </w:rPr>
        <w:t>P</w:t>
      </w:r>
      <w:r>
        <w:rPr>
          <w:rFonts w:cs="Times New Roman"/>
          <w:szCs w:val="24"/>
          <w:vertAlign w:val="subscript"/>
        </w:rPr>
        <w:t>max</w:t>
      </w:r>
      <w:r>
        <w:rPr>
          <w:rFonts w:cs="Times New Roman"/>
          <w:szCs w:val="24"/>
        </w:rPr>
        <w:t>和D</w:t>
      </w:r>
      <w:r>
        <w:rPr>
          <w:rFonts w:cs="Times New Roman"/>
          <w:szCs w:val="24"/>
          <w:vertAlign w:val="subscript"/>
        </w:rPr>
        <w:t>10%</w:t>
      </w:r>
      <w:r>
        <w:rPr>
          <w:rFonts w:cs="Times New Roman"/>
          <w:szCs w:val="24"/>
        </w:rPr>
        <w:t>预测和计算结果一览表</w:t>
      </w:r>
    </w:p>
    <w:tbl>
      <w:tblPr>
        <w:tblStyle w:val="40"/>
        <w:tblW w:w="5000" w:type="pct"/>
        <w:tblInd w:w="0" w:type="dxa"/>
        <w:tblBorders>
          <w:top w:val="single" w:color="000000" w:sz="4" w:space="0"/>
          <w:left w:val="single" w:color="000000" w:sz="6"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26"/>
        <w:gridCol w:w="1608"/>
        <w:gridCol w:w="2594"/>
        <w:gridCol w:w="1366"/>
        <w:gridCol w:w="1208"/>
        <w:gridCol w:w="948"/>
      </w:tblGrid>
      <w:tr>
        <w:tblPrEx>
          <w:tblBorders>
            <w:top w:val="single" w:color="000000" w:sz="4" w:space="0"/>
            <w:left w:val="single" w:color="000000" w:sz="6"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98" w:type="pct"/>
            <w:vAlign w:val="center"/>
          </w:tcPr>
          <w:p>
            <w:pPr>
              <w:wordWrap w:val="0"/>
              <w:jc w:val="center"/>
              <w:rPr>
                <w:rFonts w:eastAsia="宋体" w:cs="Times New Roman"/>
                <w:color w:val="000000" w:themeColor="text1"/>
                <w:sz w:val="21"/>
              </w:rPr>
            </w:pPr>
            <w:r>
              <w:rPr>
                <w:rFonts w:eastAsia="宋体" w:cs="Times New Roman"/>
                <w:color w:val="000000" w:themeColor="text1"/>
                <w:sz w:val="21"/>
              </w:rPr>
              <w:t>污染源名称</w:t>
            </w:r>
          </w:p>
        </w:tc>
        <w:tc>
          <w:tcPr>
            <w:tcW w:w="833" w:type="pct"/>
            <w:vAlign w:val="center"/>
          </w:tcPr>
          <w:p>
            <w:pPr>
              <w:wordWrap w:val="0"/>
              <w:jc w:val="center"/>
              <w:rPr>
                <w:rFonts w:eastAsia="宋体" w:cs="Times New Roman"/>
                <w:color w:val="000000" w:themeColor="text1"/>
                <w:sz w:val="21"/>
              </w:rPr>
            </w:pPr>
            <w:r>
              <w:rPr>
                <w:rFonts w:eastAsia="宋体" w:cs="Times New Roman"/>
                <w:color w:val="000000" w:themeColor="text1"/>
                <w:sz w:val="21"/>
              </w:rPr>
              <w:t>评价因子</w:t>
            </w:r>
          </w:p>
        </w:tc>
        <w:tc>
          <w:tcPr>
            <w:tcW w:w="1344" w:type="pct"/>
            <w:vAlign w:val="center"/>
          </w:tcPr>
          <w:p>
            <w:pPr>
              <w:wordWrap w:val="0"/>
              <w:jc w:val="center"/>
              <w:rPr>
                <w:rFonts w:eastAsia="宋体" w:cs="Times New Roman"/>
                <w:color w:val="000000" w:themeColor="text1"/>
                <w:sz w:val="21"/>
              </w:rPr>
            </w:pPr>
            <w:r>
              <w:rPr>
                <w:rFonts w:eastAsia="宋体" w:cs="Times New Roman"/>
                <w:color w:val="000000" w:themeColor="text1"/>
                <w:sz w:val="21"/>
              </w:rPr>
              <w:t>评价标准(μg/m</w:t>
            </w:r>
            <w:r>
              <w:rPr>
                <w:rFonts w:eastAsia="宋体" w:cs="Times New Roman"/>
                <w:color w:val="000000" w:themeColor="text1"/>
                <w:sz w:val="21"/>
                <w:vertAlign w:val="superscript"/>
              </w:rPr>
              <w:t>3</w:t>
            </w:r>
            <w:r>
              <w:rPr>
                <w:rFonts w:eastAsia="宋体" w:cs="Times New Roman"/>
                <w:color w:val="000000" w:themeColor="text1"/>
                <w:sz w:val="21"/>
              </w:rPr>
              <w:t>)</w:t>
            </w:r>
          </w:p>
        </w:tc>
        <w:tc>
          <w:tcPr>
            <w:tcW w:w="708" w:type="pct"/>
            <w:vAlign w:val="center"/>
          </w:tcPr>
          <w:p>
            <w:pPr>
              <w:wordWrap w:val="0"/>
              <w:jc w:val="center"/>
              <w:rPr>
                <w:rFonts w:eastAsia="宋体" w:cs="Times New Roman"/>
                <w:color w:val="000000" w:themeColor="text1"/>
                <w:sz w:val="21"/>
              </w:rPr>
            </w:pPr>
            <w:r>
              <w:rPr>
                <w:rFonts w:eastAsia="宋体" w:cs="Times New Roman"/>
                <w:color w:val="000000" w:themeColor="text1"/>
                <w:sz w:val="21"/>
              </w:rPr>
              <w:t>C</w:t>
            </w:r>
            <w:r>
              <w:rPr>
                <w:rFonts w:eastAsia="宋体" w:cs="Times New Roman"/>
                <w:color w:val="000000" w:themeColor="text1"/>
                <w:sz w:val="21"/>
                <w:vertAlign w:val="subscript"/>
              </w:rPr>
              <w:t>max</w:t>
            </w:r>
          </w:p>
          <w:p>
            <w:pPr>
              <w:wordWrap w:val="0"/>
              <w:jc w:val="center"/>
              <w:rPr>
                <w:rFonts w:eastAsia="宋体" w:cs="Times New Roman"/>
                <w:color w:val="000000" w:themeColor="text1"/>
                <w:sz w:val="21"/>
              </w:rPr>
            </w:pPr>
            <w:r>
              <w:rPr>
                <w:rFonts w:eastAsia="宋体" w:cs="Times New Roman"/>
                <w:color w:val="000000" w:themeColor="text1"/>
                <w:sz w:val="21"/>
              </w:rPr>
              <w:t>(μg/m</w:t>
            </w:r>
            <w:r>
              <w:rPr>
                <w:rFonts w:eastAsia="宋体" w:cs="Times New Roman"/>
                <w:color w:val="000000" w:themeColor="text1"/>
                <w:sz w:val="21"/>
                <w:vertAlign w:val="superscript"/>
              </w:rPr>
              <w:t>3</w:t>
            </w:r>
            <w:r>
              <w:rPr>
                <w:rFonts w:eastAsia="宋体" w:cs="Times New Roman"/>
                <w:color w:val="000000" w:themeColor="text1"/>
                <w:sz w:val="21"/>
              </w:rPr>
              <w:t>)</w:t>
            </w:r>
          </w:p>
        </w:tc>
        <w:tc>
          <w:tcPr>
            <w:tcW w:w="626" w:type="pct"/>
            <w:vAlign w:val="center"/>
          </w:tcPr>
          <w:p>
            <w:pPr>
              <w:wordWrap w:val="0"/>
              <w:jc w:val="center"/>
              <w:rPr>
                <w:rFonts w:eastAsia="宋体" w:cs="Times New Roman"/>
                <w:color w:val="000000" w:themeColor="text1"/>
                <w:sz w:val="21"/>
              </w:rPr>
            </w:pPr>
            <w:r>
              <w:rPr>
                <w:rFonts w:eastAsia="宋体" w:cs="Times New Roman"/>
                <w:color w:val="000000" w:themeColor="text1"/>
                <w:sz w:val="21"/>
              </w:rPr>
              <w:t>P</w:t>
            </w:r>
            <w:r>
              <w:rPr>
                <w:rFonts w:eastAsia="宋体" w:cs="Times New Roman"/>
                <w:color w:val="000000" w:themeColor="text1"/>
                <w:sz w:val="21"/>
                <w:vertAlign w:val="subscript"/>
              </w:rPr>
              <w:t>max</w:t>
            </w:r>
          </w:p>
          <w:p>
            <w:pPr>
              <w:wordWrap w:val="0"/>
              <w:jc w:val="center"/>
              <w:rPr>
                <w:rFonts w:eastAsia="宋体" w:cs="Times New Roman"/>
                <w:color w:val="000000" w:themeColor="text1"/>
                <w:sz w:val="21"/>
              </w:rPr>
            </w:pPr>
            <w:r>
              <w:rPr>
                <w:rFonts w:eastAsia="宋体" w:cs="Times New Roman"/>
                <w:color w:val="000000" w:themeColor="text1"/>
                <w:sz w:val="21"/>
              </w:rPr>
              <w:t>(%)</w:t>
            </w:r>
          </w:p>
        </w:tc>
        <w:tc>
          <w:tcPr>
            <w:tcW w:w="491" w:type="pct"/>
            <w:vAlign w:val="center"/>
          </w:tcPr>
          <w:p>
            <w:pPr>
              <w:wordWrap w:val="0"/>
              <w:jc w:val="center"/>
              <w:rPr>
                <w:rFonts w:eastAsia="宋体" w:cs="Times New Roman"/>
                <w:color w:val="000000" w:themeColor="text1"/>
                <w:sz w:val="21"/>
              </w:rPr>
            </w:pPr>
            <w:r>
              <w:rPr>
                <w:rFonts w:eastAsia="宋体" w:cs="Times New Roman"/>
                <w:color w:val="000000" w:themeColor="text1"/>
                <w:sz w:val="21"/>
              </w:rPr>
              <w:t>D</w:t>
            </w:r>
            <w:r>
              <w:rPr>
                <w:rFonts w:eastAsia="宋体" w:cs="Times New Roman"/>
                <w:color w:val="000000" w:themeColor="text1"/>
                <w:sz w:val="21"/>
                <w:vertAlign w:val="subscript"/>
              </w:rPr>
              <w:t>10%</w:t>
            </w:r>
          </w:p>
          <w:p>
            <w:pPr>
              <w:wordWrap w:val="0"/>
              <w:jc w:val="center"/>
              <w:rPr>
                <w:rFonts w:eastAsia="宋体" w:cs="Times New Roman"/>
                <w:color w:val="000000" w:themeColor="text1"/>
                <w:sz w:val="21"/>
              </w:rPr>
            </w:pPr>
            <w:r>
              <w:rPr>
                <w:rFonts w:eastAsia="宋体" w:cs="Times New Roman"/>
                <w:color w:val="000000" w:themeColor="text1"/>
                <w:sz w:val="21"/>
              </w:rPr>
              <w:t>(m)</w:t>
            </w:r>
          </w:p>
        </w:tc>
      </w:tr>
      <w:tr>
        <w:tblPrEx>
          <w:tblBorders>
            <w:top w:val="single" w:color="000000" w:sz="4" w:space="0"/>
            <w:left w:val="single" w:color="000000" w:sz="6"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98" w:type="pct"/>
            <w:vAlign w:val="center"/>
          </w:tcPr>
          <w:p>
            <w:pPr>
              <w:wordWrap w:val="0"/>
              <w:jc w:val="center"/>
              <w:rPr>
                <w:rFonts w:eastAsia="宋体" w:cs="Times New Roman"/>
                <w:color w:val="000000" w:themeColor="text1"/>
                <w:sz w:val="21"/>
              </w:rPr>
            </w:pPr>
            <w:r>
              <w:rPr>
                <w:rFonts w:eastAsia="宋体" w:cs="Times New Roman"/>
                <w:color w:val="000000" w:themeColor="text1"/>
                <w:sz w:val="21"/>
              </w:rPr>
              <w:t>点源</w:t>
            </w:r>
          </w:p>
        </w:tc>
        <w:tc>
          <w:tcPr>
            <w:tcW w:w="833" w:type="pct"/>
            <w:vAlign w:val="center"/>
          </w:tcPr>
          <w:p>
            <w:pPr>
              <w:wordWrap w:val="0"/>
              <w:jc w:val="center"/>
              <w:rPr>
                <w:rFonts w:eastAsia="宋体" w:cs="Times New Roman"/>
                <w:color w:val="000000" w:themeColor="text1"/>
                <w:sz w:val="21"/>
              </w:rPr>
            </w:pPr>
            <w:r>
              <w:rPr>
                <w:rFonts w:hint="eastAsia" w:eastAsia="宋体" w:cs="Times New Roman"/>
                <w:color w:val="000000" w:themeColor="text1"/>
                <w:sz w:val="21"/>
              </w:rPr>
              <w:t>SO</w:t>
            </w:r>
            <w:r>
              <w:rPr>
                <w:rFonts w:hint="eastAsia" w:eastAsia="宋体" w:cs="Times New Roman"/>
                <w:color w:val="000000" w:themeColor="text1"/>
                <w:sz w:val="21"/>
                <w:vertAlign w:val="subscript"/>
              </w:rPr>
              <w:t>2</w:t>
            </w:r>
          </w:p>
        </w:tc>
        <w:tc>
          <w:tcPr>
            <w:tcW w:w="1344" w:type="pct"/>
            <w:vAlign w:val="center"/>
          </w:tcPr>
          <w:p>
            <w:pPr>
              <w:wordWrap w:val="0"/>
              <w:jc w:val="center"/>
              <w:rPr>
                <w:rFonts w:eastAsia="宋体" w:cs="Times New Roman"/>
                <w:color w:val="000000" w:themeColor="text1"/>
                <w:sz w:val="21"/>
              </w:rPr>
            </w:pPr>
            <w:r>
              <w:rPr>
                <w:rFonts w:hint="eastAsia" w:eastAsia="宋体" w:cs="Times New Roman"/>
                <w:color w:val="000000" w:themeColor="text1"/>
                <w:sz w:val="21"/>
              </w:rPr>
              <w:t>500</w:t>
            </w:r>
          </w:p>
        </w:tc>
        <w:tc>
          <w:tcPr>
            <w:tcW w:w="708" w:type="pct"/>
            <w:vAlign w:val="center"/>
          </w:tcPr>
          <w:p>
            <w:pPr>
              <w:wordWrap w:val="0"/>
              <w:jc w:val="center"/>
              <w:rPr>
                <w:rFonts w:eastAsia="宋体" w:cs="Times New Roman"/>
                <w:color w:val="000000" w:themeColor="text1"/>
                <w:sz w:val="21"/>
              </w:rPr>
            </w:pPr>
            <w:r>
              <w:rPr>
                <w:rFonts w:eastAsia="宋体" w:cs="Times New Roman"/>
                <w:color w:val="000000" w:themeColor="text1"/>
                <w:sz w:val="21"/>
              </w:rPr>
              <w:t>2.55E-03</w:t>
            </w:r>
          </w:p>
        </w:tc>
        <w:tc>
          <w:tcPr>
            <w:tcW w:w="626" w:type="pct"/>
            <w:vAlign w:val="center"/>
          </w:tcPr>
          <w:p>
            <w:pPr>
              <w:wordWrap w:val="0"/>
              <w:jc w:val="center"/>
              <w:rPr>
                <w:rFonts w:eastAsia="宋体" w:cs="Times New Roman"/>
                <w:color w:val="000000" w:themeColor="text1"/>
                <w:sz w:val="21"/>
              </w:rPr>
            </w:pPr>
            <w:r>
              <w:rPr>
                <w:rFonts w:hint="eastAsia" w:eastAsia="宋体" w:cs="Times New Roman"/>
                <w:color w:val="000000" w:themeColor="text1"/>
                <w:sz w:val="21"/>
              </w:rPr>
              <w:t>0.51</w:t>
            </w:r>
          </w:p>
        </w:tc>
        <w:tc>
          <w:tcPr>
            <w:tcW w:w="491" w:type="pct"/>
            <w:vAlign w:val="center"/>
          </w:tcPr>
          <w:p>
            <w:pPr>
              <w:wordWrap w:val="0"/>
              <w:jc w:val="center"/>
              <w:rPr>
                <w:rFonts w:eastAsia="宋体" w:cs="Times New Roman"/>
                <w:color w:val="000000" w:themeColor="text1"/>
                <w:sz w:val="21"/>
              </w:rPr>
            </w:pPr>
            <w:r>
              <w:rPr>
                <w:rFonts w:hint="eastAsia" w:eastAsia="宋体" w:cs="Times New Roman"/>
                <w:color w:val="000000" w:themeColor="text1"/>
                <w:sz w:val="21"/>
              </w:rPr>
              <w:t>0</w:t>
            </w:r>
          </w:p>
        </w:tc>
      </w:tr>
      <w:tr>
        <w:tblPrEx>
          <w:tblBorders>
            <w:top w:val="single" w:color="000000" w:sz="4" w:space="0"/>
            <w:left w:val="single" w:color="000000" w:sz="6"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98" w:type="pct"/>
            <w:vAlign w:val="center"/>
          </w:tcPr>
          <w:p>
            <w:pPr>
              <w:wordWrap w:val="0"/>
              <w:jc w:val="center"/>
              <w:rPr>
                <w:rFonts w:eastAsia="宋体" w:cs="Times New Roman"/>
                <w:color w:val="000000" w:themeColor="text1"/>
                <w:sz w:val="21"/>
              </w:rPr>
            </w:pPr>
            <w:r>
              <w:rPr>
                <w:rFonts w:eastAsia="宋体" w:cs="Times New Roman"/>
                <w:color w:val="000000" w:themeColor="text1"/>
                <w:sz w:val="21"/>
              </w:rPr>
              <w:t>点源</w:t>
            </w:r>
          </w:p>
        </w:tc>
        <w:tc>
          <w:tcPr>
            <w:tcW w:w="833" w:type="pct"/>
            <w:vAlign w:val="center"/>
          </w:tcPr>
          <w:p>
            <w:pPr>
              <w:wordWrap w:val="0"/>
              <w:jc w:val="center"/>
              <w:rPr>
                <w:rFonts w:eastAsia="宋体" w:cs="Times New Roman"/>
                <w:color w:val="000000" w:themeColor="text1"/>
                <w:sz w:val="21"/>
              </w:rPr>
            </w:pPr>
            <w:r>
              <w:rPr>
                <w:rFonts w:hint="eastAsia" w:eastAsia="宋体" w:cs="Times New Roman"/>
                <w:color w:val="000000" w:themeColor="text1"/>
                <w:sz w:val="21"/>
              </w:rPr>
              <w:t>NOx</w:t>
            </w:r>
          </w:p>
        </w:tc>
        <w:tc>
          <w:tcPr>
            <w:tcW w:w="1344" w:type="pct"/>
            <w:vAlign w:val="center"/>
          </w:tcPr>
          <w:p>
            <w:pPr>
              <w:wordWrap w:val="0"/>
              <w:jc w:val="center"/>
              <w:rPr>
                <w:rFonts w:eastAsia="宋体" w:cs="Times New Roman"/>
                <w:color w:val="000000" w:themeColor="text1"/>
                <w:sz w:val="21"/>
              </w:rPr>
            </w:pPr>
            <w:r>
              <w:rPr>
                <w:rFonts w:eastAsia="宋体" w:cs="Times New Roman"/>
                <w:color w:val="000000" w:themeColor="text1"/>
                <w:sz w:val="21"/>
              </w:rPr>
              <w:t>200</w:t>
            </w:r>
          </w:p>
        </w:tc>
        <w:tc>
          <w:tcPr>
            <w:tcW w:w="708" w:type="pct"/>
            <w:vAlign w:val="center"/>
          </w:tcPr>
          <w:p>
            <w:pPr>
              <w:wordWrap w:val="0"/>
              <w:jc w:val="center"/>
              <w:rPr>
                <w:rFonts w:eastAsia="宋体" w:cs="Times New Roman"/>
                <w:color w:val="000000" w:themeColor="text1"/>
                <w:sz w:val="21"/>
              </w:rPr>
            </w:pPr>
            <w:r>
              <w:rPr>
                <w:rFonts w:eastAsia="宋体" w:cs="Times New Roman"/>
                <w:color w:val="000000" w:themeColor="text1"/>
                <w:sz w:val="21"/>
              </w:rPr>
              <w:t>9.27E-04</w:t>
            </w:r>
          </w:p>
        </w:tc>
        <w:tc>
          <w:tcPr>
            <w:tcW w:w="626" w:type="pct"/>
            <w:vAlign w:val="center"/>
          </w:tcPr>
          <w:p>
            <w:pPr>
              <w:wordWrap w:val="0"/>
              <w:jc w:val="center"/>
              <w:rPr>
                <w:rFonts w:eastAsia="宋体" w:cs="Times New Roman"/>
                <w:color w:val="000000" w:themeColor="text1"/>
                <w:sz w:val="21"/>
              </w:rPr>
            </w:pPr>
            <w:r>
              <w:rPr>
                <w:rFonts w:hint="eastAsia" w:eastAsia="宋体" w:cs="Times New Roman"/>
                <w:color w:val="000000" w:themeColor="text1"/>
                <w:sz w:val="21"/>
              </w:rPr>
              <w:t>0.46</w:t>
            </w:r>
          </w:p>
        </w:tc>
        <w:tc>
          <w:tcPr>
            <w:tcW w:w="491" w:type="pct"/>
            <w:vAlign w:val="center"/>
          </w:tcPr>
          <w:p>
            <w:pPr>
              <w:wordWrap w:val="0"/>
              <w:jc w:val="center"/>
              <w:rPr>
                <w:rFonts w:eastAsia="宋体" w:cs="Times New Roman"/>
                <w:color w:val="000000" w:themeColor="text1"/>
                <w:sz w:val="21"/>
              </w:rPr>
            </w:pPr>
            <w:r>
              <w:rPr>
                <w:rFonts w:hint="eastAsia" w:eastAsia="宋体" w:cs="Times New Roman"/>
                <w:color w:val="000000" w:themeColor="text1"/>
                <w:sz w:val="21"/>
              </w:rPr>
              <w:t>0</w:t>
            </w:r>
          </w:p>
        </w:tc>
      </w:tr>
      <w:tr>
        <w:tblPrEx>
          <w:tblBorders>
            <w:top w:val="single" w:color="000000" w:sz="4" w:space="0"/>
            <w:left w:val="single" w:color="000000" w:sz="6"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98" w:type="pct"/>
            <w:vAlign w:val="center"/>
          </w:tcPr>
          <w:p>
            <w:pPr>
              <w:wordWrap w:val="0"/>
              <w:jc w:val="center"/>
              <w:rPr>
                <w:rFonts w:eastAsia="宋体" w:cs="Times New Roman"/>
                <w:color w:val="000000" w:themeColor="text1"/>
                <w:sz w:val="21"/>
              </w:rPr>
            </w:pPr>
            <w:r>
              <w:rPr>
                <w:rFonts w:eastAsia="宋体" w:cs="Times New Roman"/>
                <w:color w:val="000000" w:themeColor="text1"/>
                <w:sz w:val="21"/>
              </w:rPr>
              <w:t>点源</w:t>
            </w:r>
          </w:p>
        </w:tc>
        <w:tc>
          <w:tcPr>
            <w:tcW w:w="833" w:type="pct"/>
            <w:vAlign w:val="center"/>
          </w:tcPr>
          <w:p>
            <w:pPr>
              <w:wordWrap w:val="0"/>
              <w:jc w:val="center"/>
              <w:rPr>
                <w:rFonts w:eastAsia="宋体" w:cs="Times New Roman"/>
                <w:color w:val="000000" w:themeColor="text1"/>
                <w:sz w:val="21"/>
              </w:rPr>
            </w:pPr>
            <w:r>
              <w:rPr>
                <w:rFonts w:hint="eastAsia" w:eastAsia="宋体" w:cs="Times New Roman"/>
                <w:color w:val="000000" w:themeColor="text1"/>
                <w:sz w:val="21"/>
              </w:rPr>
              <w:t>PM</w:t>
            </w:r>
            <w:r>
              <w:rPr>
                <w:rFonts w:hint="eastAsia" w:eastAsia="宋体" w:cs="Times New Roman"/>
                <w:color w:val="000000" w:themeColor="text1"/>
                <w:sz w:val="21"/>
                <w:vertAlign w:val="subscript"/>
              </w:rPr>
              <w:t>10</w:t>
            </w:r>
          </w:p>
        </w:tc>
        <w:tc>
          <w:tcPr>
            <w:tcW w:w="1344" w:type="pct"/>
            <w:vAlign w:val="center"/>
          </w:tcPr>
          <w:p>
            <w:pPr>
              <w:wordWrap w:val="0"/>
              <w:jc w:val="center"/>
              <w:rPr>
                <w:rFonts w:eastAsia="宋体" w:cs="Times New Roman"/>
                <w:color w:val="000000" w:themeColor="text1"/>
                <w:sz w:val="21"/>
              </w:rPr>
            </w:pPr>
            <w:r>
              <w:rPr>
                <w:rFonts w:hint="eastAsia" w:eastAsia="宋体" w:cs="Times New Roman"/>
                <w:color w:val="000000" w:themeColor="text1"/>
                <w:sz w:val="21"/>
              </w:rPr>
              <w:t>150</w:t>
            </w:r>
          </w:p>
        </w:tc>
        <w:tc>
          <w:tcPr>
            <w:tcW w:w="708" w:type="pct"/>
            <w:vAlign w:val="center"/>
          </w:tcPr>
          <w:p>
            <w:pPr>
              <w:wordWrap w:val="0"/>
              <w:jc w:val="center"/>
              <w:rPr>
                <w:rFonts w:eastAsia="宋体" w:cs="Times New Roman"/>
                <w:color w:val="000000" w:themeColor="text1"/>
                <w:sz w:val="21"/>
              </w:rPr>
            </w:pPr>
            <w:r>
              <w:rPr>
                <w:rFonts w:eastAsia="宋体" w:cs="Times New Roman"/>
                <w:color w:val="000000" w:themeColor="text1"/>
                <w:sz w:val="21"/>
              </w:rPr>
              <w:t>6.26E-03</w:t>
            </w:r>
          </w:p>
        </w:tc>
        <w:tc>
          <w:tcPr>
            <w:tcW w:w="626" w:type="pct"/>
            <w:vAlign w:val="center"/>
          </w:tcPr>
          <w:p>
            <w:pPr>
              <w:wordWrap w:val="0"/>
              <w:jc w:val="center"/>
              <w:rPr>
                <w:rFonts w:eastAsia="宋体" w:cs="Times New Roman"/>
                <w:color w:val="000000" w:themeColor="text1"/>
                <w:sz w:val="21"/>
              </w:rPr>
            </w:pPr>
            <w:r>
              <w:rPr>
                <w:rFonts w:hint="eastAsia" w:eastAsia="宋体" w:cs="Times New Roman"/>
                <w:color w:val="000000" w:themeColor="text1"/>
                <w:sz w:val="21"/>
              </w:rPr>
              <w:t>2.98</w:t>
            </w:r>
          </w:p>
        </w:tc>
        <w:tc>
          <w:tcPr>
            <w:tcW w:w="491" w:type="pct"/>
            <w:vAlign w:val="center"/>
          </w:tcPr>
          <w:p>
            <w:pPr>
              <w:wordWrap w:val="0"/>
              <w:jc w:val="center"/>
              <w:rPr>
                <w:rFonts w:eastAsia="宋体" w:cs="Times New Roman"/>
                <w:color w:val="000000" w:themeColor="text1"/>
                <w:sz w:val="21"/>
              </w:rPr>
            </w:pPr>
            <w:r>
              <w:rPr>
                <w:rFonts w:hint="eastAsia" w:eastAsia="宋体" w:cs="Times New Roman"/>
                <w:color w:val="000000" w:themeColor="text1"/>
                <w:sz w:val="21"/>
              </w:rPr>
              <w:t>0</w:t>
            </w:r>
          </w:p>
        </w:tc>
      </w:tr>
      <w:tr>
        <w:tblPrEx>
          <w:tblBorders>
            <w:top w:val="single" w:color="000000" w:sz="4" w:space="0"/>
            <w:left w:val="single" w:color="000000" w:sz="6"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98" w:type="pct"/>
            <w:vAlign w:val="center"/>
          </w:tcPr>
          <w:p>
            <w:pPr>
              <w:wordWrap w:val="0"/>
              <w:jc w:val="center"/>
              <w:rPr>
                <w:rFonts w:eastAsia="宋体" w:cs="Times New Roman"/>
                <w:color w:val="000000" w:themeColor="text1"/>
                <w:sz w:val="21"/>
              </w:rPr>
            </w:pPr>
            <w:r>
              <w:rPr>
                <w:rFonts w:eastAsia="宋体" w:cs="Times New Roman"/>
                <w:color w:val="000000" w:themeColor="text1"/>
                <w:sz w:val="21"/>
              </w:rPr>
              <w:t>矩形面源</w:t>
            </w:r>
          </w:p>
        </w:tc>
        <w:tc>
          <w:tcPr>
            <w:tcW w:w="833" w:type="pct"/>
            <w:vAlign w:val="center"/>
          </w:tcPr>
          <w:p>
            <w:pPr>
              <w:wordWrap w:val="0"/>
              <w:jc w:val="center"/>
              <w:rPr>
                <w:rFonts w:eastAsia="宋体" w:cs="Times New Roman"/>
                <w:color w:val="000000" w:themeColor="text1"/>
                <w:sz w:val="21"/>
              </w:rPr>
            </w:pPr>
            <w:r>
              <w:rPr>
                <w:rFonts w:eastAsia="宋体" w:cs="Times New Roman"/>
                <w:color w:val="000000" w:themeColor="text1"/>
                <w:sz w:val="21"/>
              </w:rPr>
              <w:t>H</w:t>
            </w:r>
            <w:r>
              <w:rPr>
                <w:rFonts w:eastAsia="宋体" w:cs="Times New Roman"/>
                <w:color w:val="000000" w:themeColor="text1"/>
                <w:sz w:val="21"/>
                <w:vertAlign w:val="subscript"/>
              </w:rPr>
              <w:t>2</w:t>
            </w:r>
            <w:r>
              <w:rPr>
                <w:rFonts w:eastAsia="宋体" w:cs="Times New Roman"/>
                <w:color w:val="000000" w:themeColor="text1"/>
                <w:sz w:val="21"/>
              </w:rPr>
              <w:t>S</w:t>
            </w:r>
          </w:p>
        </w:tc>
        <w:tc>
          <w:tcPr>
            <w:tcW w:w="1344" w:type="pct"/>
            <w:vAlign w:val="center"/>
          </w:tcPr>
          <w:p>
            <w:pPr>
              <w:wordWrap w:val="0"/>
              <w:jc w:val="center"/>
              <w:rPr>
                <w:rFonts w:eastAsia="宋体" w:cs="Times New Roman"/>
                <w:color w:val="000000" w:themeColor="text1"/>
                <w:sz w:val="21"/>
              </w:rPr>
            </w:pPr>
            <w:r>
              <w:rPr>
                <w:rFonts w:eastAsia="宋体" w:cs="Times New Roman"/>
                <w:color w:val="000000" w:themeColor="text1"/>
                <w:sz w:val="21"/>
              </w:rPr>
              <w:t>10</w:t>
            </w:r>
          </w:p>
        </w:tc>
        <w:tc>
          <w:tcPr>
            <w:tcW w:w="708" w:type="pct"/>
            <w:vAlign w:val="center"/>
          </w:tcPr>
          <w:p>
            <w:pPr>
              <w:wordWrap w:val="0"/>
              <w:jc w:val="center"/>
              <w:rPr>
                <w:rFonts w:eastAsia="宋体" w:cs="Times New Roman"/>
                <w:color w:val="000000" w:themeColor="text1"/>
                <w:sz w:val="21"/>
              </w:rPr>
            </w:pPr>
            <w:r>
              <w:rPr>
                <w:rFonts w:eastAsia="宋体" w:cs="Times New Roman"/>
                <w:color w:val="000000" w:themeColor="text1"/>
                <w:sz w:val="21"/>
              </w:rPr>
              <w:t>1.66E-01</w:t>
            </w:r>
          </w:p>
        </w:tc>
        <w:tc>
          <w:tcPr>
            <w:tcW w:w="626" w:type="pct"/>
            <w:vAlign w:val="center"/>
          </w:tcPr>
          <w:p>
            <w:pPr>
              <w:wordWrap w:val="0"/>
              <w:jc w:val="center"/>
              <w:rPr>
                <w:rFonts w:eastAsia="宋体" w:cs="Times New Roman"/>
                <w:color w:val="000000" w:themeColor="text1"/>
                <w:sz w:val="21"/>
              </w:rPr>
            </w:pPr>
            <w:r>
              <w:rPr>
                <w:rFonts w:hint="eastAsia" w:eastAsia="宋体" w:cs="Times New Roman"/>
                <w:color w:val="000000" w:themeColor="text1"/>
                <w:sz w:val="21"/>
              </w:rPr>
              <w:t>1.66</w:t>
            </w:r>
          </w:p>
        </w:tc>
        <w:tc>
          <w:tcPr>
            <w:tcW w:w="491" w:type="pct"/>
            <w:vAlign w:val="center"/>
          </w:tcPr>
          <w:p>
            <w:pPr>
              <w:wordWrap w:val="0"/>
              <w:jc w:val="center"/>
              <w:rPr>
                <w:rFonts w:eastAsia="宋体" w:cs="Times New Roman"/>
                <w:color w:val="000000" w:themeColor="text1"/>
                <w:sz w:val="21"/>
              </w:rPr>
            </w:pPr>
            <w:r>
              <w:rPr>
                <w:rFonts w:hint="eastAsia" w:eastAsia="宋体" w:cs="Times New Roman"/>
                <w:color w:val="000000" w:themeColor="text1"/>
                <w:sz w:val="21"/>
              </w:rPr>
              <w:t>0</w:t>
            </w:r>
          </w:p>
        </w:tc>
      </w:tr>
      <w:tr>
        <w:tblPrEx>
          <w:tblBorders>
            <w:top w:val="single" w:color="000000" w:sz="4" w:space="0"/>
            <w:left w:val="single" w:color="000000" w:sz="6"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98" w:type="pct"/>
            <w:vAlign w:val="center"/>
          </w:tcPr>
          <w:p>
            <w:pPr>
              <w:wordWrap w:val="0"/>
              <w:jc w:val="center"/>
              <w:rPr>
                <w:rFonts w:eastAsia="宋体" w:cs="Times New Roman"/>
                <w:color w:val="000000" w:themeColor="text1"/>
                <w:sz w:val="21"/>
              </w:rPr>
            </w:pPr>
            <w:r>
              <w:rPr>
                <w:rFonts w:eastAsia="宋体" w:cs="Times New Roman"/>
                <w:color w:val="000000" w:themeColor="text1"/>
                <w:sz w:val="21"/>
              </w:rPr>
              <w:t>矩形面源</w:t>
            </w:r>
          </w:p>
        </w:tc>
        <w:tc>
          <w:tcPr>
            <w:tcW w:w="833" w:type="pct"/>
            <w:vAlign w:val="center"/>
          </w:tcPr>
          <w:p>
            <w:pPr>
              <w:wordWrap w:val="0"/>
              <w:jc w:val="center"/>
              <w:rPr>
                <w:rFonts w:eastAsia="宋体" w:cs="Times New Roman"/>
                <w:color w:val="000000" w:themeColor="text1"/>
                <w:sz w:val="21"/>
              </w:rPr>
            </w:pPr>
            <w:r>
              <w:rPr>
                <w:rFonts w:eastAsia="宋体" w:cs="Times New Roman"/>
                <w:color w:val="000000" w:themeColor="text1"/>
                <w:sz w:val="21"/>
              </w:rPr>
              <w:t>NH</w:t>
            </w:r>
            <w:r>
              <w:rPr>
                <w:rFonts w:eastAsia="宋体" w:cs="Times New Roman"/>
                <w:color w:val="000000" w:themeColor="text1"/>
                <w:sz w:val="21"/>
                <w:vertAlign w:val="subscript"/>
              </w:rPr>
              <w:t>3</w:t>
            </w:r>
          </w:p>
        </w:tc>
        <w:tc>
          <w:tcPr>
            <w:tcW w:w="1344" w:type="pct"/>
            <w:vAlign w:val="center"/>
          </w:tcPr>
          <w:p>
            <w:pPr>
              <w:wordWrap w:val="0"/>
              <w:jc w:val="center"/>
              <w:rPr>
                <w:rFonts w:eastAsia="宋体" w:cs="Times New Roman"/>
                <w:color w:val="000000" w:themeColor="text1"/>
                <w:sz w:val="21"/>
              </w:rPr>
            </w:pPr>
            <w:r>
              <w:rPr>
                <w:rFonts w:eastAsia="宋体" w:cs="Times New Roman"/>
                <w:color w:val="000000" w:themeColor="text1"/>
                <w:sz w:val="21"/>
              </w:rPr>
              <w:t>200</w:t>
            </w:r>
          </w:p>
        </w:tc>
        <w:tc>
          <w:tcPr>
            <w:tcW w:w="708" w:type="pct"/>
            <w:vAlign w:val="center"/>
          </w:tcPr>
          <w:p>
            <w:pPr>
              <w:wordWrap w:val="0"/>
              <w:jc w:val="center"/>
              <w:rPr>
                <w:rFonts w:eastAsia="宋体" w:cs="Times New Roman"/>
                <w:color w:val="000000" w:themeColor="text1"/>
                <w:sz w:val="21"/>
              </w:rPr>
            </w:pPr>
            <w:r>
              <w:rPr>
                <w:rFonts w:eastAsia="宋体" w:cs="Times New Roman"/>
                <w:color w:val="000000" w:themeColor="text1"/>
                <w:sz w:val="21"/>
              </w:rPr>
              <w:t>7.04E-03</w:t>
            </w:r>
          </w:p>
        </w:tc>
        <w:tc>
          <w:tcPr>
            <w:tcW w:w="626" w:type="pct"/>
            <w:vAlign w:val="center"/>
          </w:tcPr>
          <w:p>
            <w:pPr>
              <w:wordWrap w:val="0"/>
              <w:jc w:val="center"/>
              <w:rPr>
                <w:rFonts w:eastAsia="宋体" w:cs="Times New Roman"/>
                <w:color w:val="000000" w:themeColor="text1"/>
                <w:sz w:val="21"/>
              </w:rPr>
            </w:pPr>
            <w:r>
              <w:rPr>
                <w:rFonts w:hint="eastAsia" w:eastAsia="宋体" w:cs="Times New Roman"/>
                <w:color w:val="000000" w:themeColor="text1"/>
                <w:sz w:val="21"/>
              </w:rPr>
              <w:t>0.00</w:t>
            </w:r>
          </w:p>
        </w:tc>
        <w:tc>
          <w:tcPr>
            <w:tcW w:w="491" w:type="pct"/>
            <w:vAlign w:val="center"/>
          </w:tcPr>
          <w:p>
            <w:pPr>
              <w:wordWrap w:val="0"/>
              <w:jc w:val="center"/>
              <w:rPr>
                <w:rFonts w:eastAsia="宋体" w:cs="Times New Roman"/>
                <w:color w:val="000000" w:themeColor="text1"/>
                <w:sz w:val="21"/>
              </w:rPr>
            </w:pPr>
            <w:r>
              <w:rPr>
                <w:rFonts w:hint="eastAsia" w:eastAsia="宋体" w:cs="Times New Roman"/>
                <w:color w:val="000000" w:themeColor="text1"/>
                <w:sz w:val="21"/>
              </w:rPr>
              <w:t>0</w:t>
            </w:r>
          </w:p>
        </w:tc>
      </w:tr>
    </w:tbl>
    <w:p>
      <w:pPr>
        <w:pStyle w:val="14"/>
        <w:ind w:firstLine="480" w:firstLineChars="200"/>
        <w:jc w:val="both"/>
        <w:rPr>
          <w:rFonts w:cs="Times New Roman"/>
          <w:b w:val="0"/>
        </w:rPr>
      </w:pPr>
      <w:r>
        <w:rPr>
          <w:rFonts w:cs="Times New Roman"/>
          <w:b w:val="0"/>
          <w:color w:val="000000" w:themeColor="text1"/>
          <w:szCs w:val="24"/>
        </w:rPr>
        <w:t>综合以上分析，本项目P</w:t>
      </w:r>
      <w:r>
        <w:rPr>
          <w:rFonts w:cs="Times New Roman"/>
          <w:b w:val="0"/>
          <w:color w:val="000000" w:themeColor="text1"/>
          <w:szCs w:val="24"/>
          <w:vertAlign w:val="subscript"/>
        </w:rPr>
        <w:t>max</w:t>
      </w:r>
      <w:r>
        <w:rPr>
          <w:rFonts w:cs="Times New Roman"/>
          <w:b w:val="0"/>
          <w:color w:val="000000" w:themeColor="text1"/>
          <w:szCs w:val="24"/>
        </w:rPr>
        <w:t>最大值出现为点源排放的</w:t>
      </w:r>
      <w:r>
        <w:rPr>
          <w:rFonts w:hint="eastAsia" w:cs="Times New Roman"/>
          <w:b w:val="0"/>
          <w:color w:val="000000" w:themeColor="text1"/>
          <w:sz w:val="21"/>
        </w:rPr>
        <w:t>PM</w:t>
      </w:r>
      <w:r>
        <w:rPr>
          <w:rFonts w:hint="eastAsia" w:cs="Times New Roman"/>
          <w:b w:val="0"/>
          <w:color w:val="000000" w:themeColor="text1"/>
          <w:sz w:val="21"/>
          <w:vertAlign w:val="subscript"/>
        </w:rPr>
        <w:t>10</w:t>
      </w:r>
      <w:r>
        <w:rPr>
          <w:rFonts w:cs="Times New Roman"/>
          <w:b w:val="0"/>
          <w:color w:val="000000" w:themeColor="text1"/>
          <w:szCs w:val="24"/>
        </w:rPr>
        <w:t>，P</w:t>
      </w:r>
      <w:r>
        <w:rPr>
          <w:rFonts w:cs="Times New Roman"/>
          <w:b w:val="0"/>
          <w:color w:val="000000" w:themeColor="text1"/>
          <w:szCs w:val="24"/>
          <w:vertAlign w:val="subscript"/>
        </w:rPr>
        <w:t>max</w:t>
      </w:r>
      <w:r>
        <w:rPr>
          <w:rFonts w:cs="Times New Roman"/>
          <w:b w:val="0"/>
          <w:color w:val="000000" w:themeColor="text1"/>
          <w:szCs w:val="24"/>
        </w:rPr>
        <w:t>值为</w:t>
      </w:r>
      <w:r>
        <w:rPr>
          <w:rFonts w:hint="eastAsia" w:cs="Times New Roman"/>
          <w:b w:val="0"/>
          <w:color w:val="000000" w:themeColor="text1"/>
          <w:szCs w:val="24"/>
        </w:rPr>
        <w:t>2.98</w:t>
      </w:r>
      <w:r>
        <w:rPr>
          <w:rFonts w:cs="Times New Roman"/>
          <w:b w:val="0"/>
          <w:color w:val="000000" w:themeColor="text1"/>
          <w:szCs w:val="24"/>
        </w:rPr>
        <w:t>%，C</w:t>
      </w:r>
      <w:r>
        <w:rPr>
          <w:rFonts w:cs="Times New Roman"/>
          <w:b w:val="0"/>
          <w:color w:val="000000" w:themeColor="text1"/>
          <w:szCs w:val="24"/>
          <w:vertAlign w:val="subscript"/>
        </w:rPr>
        <w:t>max</w:t>
      </w:r>
      <w:r>
        <w:rPr>
          <w:rFonts w:cs="Times New Roman"/>
          <w:b w:val="0"/>
          <w:color w:val="000000" w:themeColor="text1"/>
          <w:szCs w:val="24"/>
        </w:rPr>
        <w:t>为</w:t>
      </w:r>
      <w:r>
        <w:rPr>
          <w:rFonts w:cs="Times New Roman"/>
          <w:b w:val="0"/>
          <w:bCs/>
          <w:color w:val="000000" w:themeColor="text1"/>
          <w:szCs w:val="24"/>
        </w:rPr>
        <w:t>6.26E-03</w:t>
      </w:r>
      <w:r>
        <w:rPr>
          <w:rFonts w:cs="Times New Roman"/>
          <w:b w:val="0"/>
          <w:color w:val="000000" w:themeColor="text1"/>
          <w:szCs w:val="24"/>
        </w:rPr>
        <w:t>ug/m</w:t>
      </w:r>
      <w:r>
        <w:rPr>
          <w:rFonts w:cs="Times New Roman"/>
          <w:b w:val="0"/>
          <w:color w:val="000000" w:themeColor="text1"/>
          <w:szCs w:val="24"/>
          <w:vertAlign w:val="superscript"/>
        </w:rPr>
        <w:t>3</w:t>
      </w:r>
      <w:r>
        <w:rPr>
          <w:rFonts w:cs="Times New Roman"/>
          <w:b w:val="0"/>
          <w:color w:val="000000" w:themeColor="text1"/>
          <w:szCs w:val="24"/>
        </w:rPr>
        <w:t>，根据《环境影响评价技术导则大气环境》(HJ2.2-2018)分级判据，确定本项目大气环境影响评价工作等级为二级。</w:t>
      </w:r>
    </w:p>
    <w:p>
      <w:pPr>
        <w:pStyle w:val="6"/>
      </w:pPr>
      <w:r>
        <w:rPr>
          <w:rFonts w:hint="eastAsia"/>
        </w:rPr>
        <w:t>影响分析</w:t>
      </w:r>
    </w:p>
    <w:p>
      <w:pPr>
        <w:spacing w:line="360" w:lineRule="auto"/>
        <w:ind w:firstLine="480" w:firstLineChars="200"/>
      </w:pPr>
      <w:r>
        <w:rPr>
          <w:rFonts w:hint="eastAsia"/>
        </w:rPr>
        <w:t>本项目为已建项目，本项目大气环境影响分析主要采用现场监测的实测值来判断本项目污染物排放是否能够达到相对应的排放标准限值的要求。</w:t>
      </w:r>
    </w:p>
    <w:p>
      <w:pPr>
        <w:spacing w:line="360" w:lineRule="auto"/>
        <w:ind w:firstLine="480" w:firstLineChars="200"/>
      </w:pPr>
      <w:r>
        <w:rPr>
          <w:rFonts w:hint="eastAsia"/>
        </w:rPr>
        <w:t>（1）食堂油烟</w:t>
      </w:r>
    </w:p>
    <w:p>
      <w:pPr>
        <w:spacing w:line="360" w:lineRule="auto"/>
        <w:ind w:firstLine="480" w:firstLineChars="200"/>
      </w:pPr>
      <w:r>
        <w:t>本项目园区设置有食堂</w:t>
      </w:r>
      <w:r>
        <w:rPr>
          <w:rFonts w:hint="eastAsia"/>
        </w:rPr>
        <w:t>，</w:t>
      </w:r>
      <w:r>
        <w:t>主要提供职工及病人就餐</w:t>
      </w:r>
      <w:r>
        <w:rPr>
          <w:rFonts w:hint="eastAsia"/>
        </w:rPr>
        <w:t>，</w:t>
      </w:r>
      <w:r>
        <w:t>每日就餐人数约为</w:t>
      </w:r>
      <w:r>
        <w:rPr>
          <w:rFonts w:hint="eastAsia"/>
        </w:rPr>
        <w:t>700人，本项目医院设置了一套油烟净化器。</w:t>
      </w:r>
      <w:r>
        <w:t>为了解本项目食堂油烟的</w:t>
      </w:r>
      <w:r>
        <w:rPr>
          <w:rFonts w:hint="eastAsia"/>
        </w:rPr>
        <w:t>排放</w:t>
      </w:r>
      <w:r>
        <w:t>情况，本环评委托湖南精准通检测技术有限公司于2019.8.1~2019.8.2对经油烟净化器处理后的食堂油烟进行了监测，具体监测值见下表所示</w:t>
      </w:r>
      <w:r>
        <w:rPr>
          <w:rFonts w:hint="eastAsia"/>
        </w:rPr>
        <w:t>。</w:t>
      </w:r>
    </w:p>
    <w:p>
      <w:pPr>
        <w:pStyle w:val="14"/>
        <w:spacing w:line="240" w:lineRule="auto"/>
      </w:pPr>
      <w:r>
        <w:rPr>
          <w:rFonts w:hint="eastAsia"/>
        </w:rPr>
        <w:t>表</w:t>
      </w:r>
      <w:r>
        <w:fldChar w:fldCharType="begin"/>
      </w:r>
      <w:r>
        <w:instrText xml:space="preserve"> STYLEREF 2 \s </w:instrText>
      </w:r>
      <w:r>
        <w:fldChar w:fldCharType="separate"/>
      </w:r>
      <w: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15</w:t>
      </w:r>
      <w:r>
        <w:fldChar w:fldCharType="end"/>
      </w:r>
      <w:r>
        <w:rPr>
          <w:rFonts w:hint="eastAsia"/>
        </w:rPr>
        <w:t xml:space="preserve">  油烟废气监测结果一览表</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1"/>
        <w:gridCol w:w="864"/>
        <w:gridCol w:w="1650"/>
        <w:gridCol w:w="798"/>
        <w:gridCol w:w="798"/>
        <w:gridCol w:w="798"/>
        <w:gridCol w:w="798"/>
        <w:gridCol w:w="798"/>
        <w:gridCol w:w="734"/>
        <w:gridCol w:w="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spacing w:line="360" w:lineRule="auto"/>
              <w:jc w:val="center"/>
              <w:rPr>
                <w:rFonts w:eastAsia="宋体" w:cs="Times New Roman"/>
                <w:sz w:val="21"/>
              </w:rPr>
            </w:pPr>
            <w:r>
              <w:rPr>
                <w:rFonts w:eastAsia="宋体" w:cs="Times New Roman"/>
                <w:sz w:val="21"/>
              </w:rPr>
              <w:t>采样点位</w:t>
            </w:r>
          </w:p>
        </w:tc>
        <w:tc>
          <w:tcPr>
            <w:tcW w:w="0" w:type="auto"/>
            <w:gridSpan w:val="2"/>
            <w:vMerge w:val="restart"/>
            <w:vAlign w:val="center"/>
          </w:tcPr>
          <w:p>
            <w:pPr>
              <w:spacing w:line="360" w:lineRule="auto"/>
              <w:jc w:val="center"/>
              <w:rPr>
                <w:rFonts w:eastAsia="宋体" w:cs="Times New Roman"/>
                <w:sz w:val="21"/>
              </w:rPr>
            </w:pPr>
            <w:r>
              <w:rPr>
                <w:rFonts w:eastAsia="宋体" w:cs="Times New Roman"/>
                <w:sz w:val="21"/>
              </w:rPr>
              <w:t>检测项目</w:t>
            </w:r>
          </w:p>
        </w:tc>
        <w:tc>
          <w:tcPr>
            <w:tcW w:w="0" w:type="auto"/>
            <w:gridSpan w:val="7"/>
            <w:vAlign w:val="center"/>
          </w:tcPr>
          <w:p>
            <w:pPr>
              <w:spacing w:line="360" w:lineRule="auto"/>
              <w:jc w:val="center"/>
              <w:rPr>
                <w:rFonts w:eastAsia="宋体" w:cs="Times New Roman"/>
                <w:sz w:val="21"/>
              </w:rPr>
            </w:pPr>
            <w:r>
              <w:rPr>
                <w:rFonts w:eastAsia="宋体" w:cs="Times New Roman"/>
                <w:sz w:val="21"/>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spacing w:line="360" w:lineRule="auto"/>
              <w:jc w:val="center"/>
              <w:rPr>
                <w:rFonts w:eastAsia="宋体" w:cs="Times New Roman"/>
                <w:sz w:val="21"/>
              </w:rPr>
            </w:pPr>
          </w:p>
        </w:tc>
        <w:tc>
          <w:tcPr>
            <w:tcW w:w="0" w:type="auto"/>
            <w:gridSpan w:val="2"/>
            <w:vMerge w:val="continue"/>
            <w:vAlign w:val="center"/>
          </w:tcPr>
          <w:p>
            <w:pPr>
              <w:spacing w:line="360" w:lineRule="auto"/>
              <w:jc w:val="center"/>
              <w:rPr>
                <w:rFonts w:eastAsia="宋体" w:cs="Times New Roman"/>
                <w:sz w:val="21"/>
              </w:rPr>
            </w:pPr>
          </w:p>
        </w:tc>
        <w:tc>
          <w:tcPr>
            <w:tcW w:w="0" w:type="auto"/>
            <w:gridSpan w:val="7"/>
            <w:vAlign w:val="center"/>
          </w:tcPr>
          <w:p>
            <w:pPr>
              <w:spacing w:line="360" w:lineRule="auto"/>
              <w:jc w:val="center"/>
              <w:rPr>
                <w:rFonts w:eastAsia="宋体" w:cs="Times New Roman"/>
                <w:sz w:val="21"/>
              </w:rPr>
            </w:pPr>
            <w:r>
              <w:rPr>
                <w:rFonts w:eastAsia="宋体" w:cs="Times New Roman"/>
                <w:sz w:val="21"/>
              </w:rPr>
              <w:t>2019.8.1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0" w:type="auto"/>
            <w:vMerge w:val="continue"/>
            <w:vAlign w:val="center"/>
          </w:tcPr>
          <w:p>
            <w:pPr>
              <w:spacing w:line="360" w:lineRule="auto"/>
              <w:jc w:val="center"/>
              <w:rPr>
                <w:rFonts w:eastAsia="宋体" w:cs="Times New Roman"/>
                <w:sz w:val="21"/>
              </w:rPr>
            </w:pPr>
          </w:p>
        </w:tc>
        <w:tc>
          <w:tcPr>
            <w:tcW w:w="0" w:type="auto"/>
            <w:gridSpan w:val="2"/>
            <w:vMerge w:val="continue"/>
            <w:vAlign w:val="center"/>
          </w:tcPr>
          <w:p>
            <w:pPr>
              <w:autoSpaceDE w:val="0"/>
              <w:autoSpaceDN w:val="0"/>
              <w:adjustRightInd w:val="0"/>
              <w:jc w:val="center"/>
              <w:rPr>
                <w:rFonts w:eastAsia="宋体" w:cs="Times New Roman"/>
                <w:sz w:val="21"/>
              </w:rPr>
            </w:pPr>
          </w:p>
        </w:tc>
        <w:tc>
          <w:tcPr>
            <w:tcW w:w="0" w:type="auto"/>
            <w:vAlign w:val="center"/>
          </w:tcPr>
          <w:p>
            <w:pPr>
              <w:spacing w:line="360" w:lineRule="auto"/>
              <w:jc w:val="center"/>
              <w:rPr>
                <w:rFonts w:eastAsia="宋体" w:cs="Times New Roman"/>
                <w:sz w:val="21"/>
              </w:rPr>
            </w:pPr>
            <w:r>
              <w:rPr>
                <w:rFonts w:eastAsia="宋体" w:cs="Times New Roman"/>
                <w:sz w:val="21"/>
              </w:rPr>
              <w:t>第一次</w:t>
            </w:r>
          </w:p>
        </w:tc>
        <w:tc>
          <w:tcPr>
            <w:tcW w:w="0" w:type="auto"/>
            <w:vAlign w:val="center"/>
          </w:tcPr>
          <w:p>
            <w:pPr>
              <w:spacing w:line="360" w:lineRule="auto"/>
              <w:jc w:val="center"/>
              <w:rPr>
                <w:rFonts w:eastAsia="宋体" w:cs="Times New Roman"/>
                <w:sz w:val="21"/>
              </w:rPr>
            </w:pPr>
            <w:r>
              <w:rPr>
                <w:rFonts w:eastAsia="宋体" w:cs="Times New Roman"/>
                <w:sz w:val="21"/>
              </w:rPr>
              <w:t>第二次</w:t>
            </w:r>
          </w:p>
        </w:tc>
        <w:tc>
          <w:tcPr>
            <w:tcW w:w="0" w:type="auto"/>
            <w:vAlign w:val="center"/>
          </w:tcPr>
          <w:p>
            <w:pPr>
              <w:spacing w:line="360" w:lineRule="auto"/>
              <w:jc w:val="center"/>
              <w:rPr>
                <w:rFonts w:eastAsia="宋体" w:cs="Times New Roman"/>
                <w:sz w:val="21"/>
              </w:rPr>
            </w:pPr>
            <w:r>
              <w:rPr>
                <w:rFonts w:eastAsia="宋体" w:cs="Times New Roman"/>
                <w:sz w:val="21"/>
              </w:rPr>
              <w:t>第三次</w:t>
            </w:r>
          </w:p>
        </w:tc>
        <w:tc>
          <w:tcPr>
            <w:tcW w:w="0" w:type="auto"/>
            <w:vAlign w:val="center"/>
          </w:tcPr>
          <w:p>
            <w:pPr>
              <w:spacing w:line="360" w:lineRule="auto"/>
              <w:jc w:val="center"/>
              <w:rPr>
                <w:rFonts w:eastAsia="宋体" w:cs="Times New Roman"/>
                <w:sz w:val="21"/>
              </w:rPr>
            </w:pPr>
            <w:r>
              <w:rPr>
                <w:rFonts w:eastAsia="宋体" w:cs="Times New Roman"/>
                <w:sz w:val="21"/>
              </w:rPr>
              <w:t>第四次</w:t>
            </w:r>
          </w:p>
        </w:tc>
        <w:tc>
          <w:tcPr>
            <w:tcW w:w="0" w:type="auto"/>
            <w:vAlign w:val="center"/>
          </w:tcPr>
          <w:p>
            <w:pPr>
              <w:spacing w:line="360" w:lineRule="auto"/>
              <w:jc w:val="center"/>
              <w:rPr>
                <w:rFonts w:eastAsia="宋体" w:cs="Times New Roman"/>
                <w:sz w:val="21"/>
              </w:rPr>
            </w:pPr>
            <w:r>
              <w:rPr>
                <w:rFonts w:eastAsia="宋体" w:cs="Times New Roman"/>
                <w:sz w:val="21"/>
              </w:rPr>
              <w:t>第五次</w:t>
            </w:r>
          </w:p>
        </w:tc>
        <w:tc>
          <w:tcPr>
            <w:tcW w:w="0" w:type="auto"/>
            <w:vAlign w:val="center"/>
          </w:tcPr>
          <w:p>
            <w:pPr>
              <w:spacing w:line="360" w:lineRule="auto"/>
              <w:jc w:val="center"/>
              <w:rPr>
                <w:rFonts w:eastAsia="宋体" w:cs="Times New Roman"/>
                <w:sz w:val="21"/>
              </w:rPr>
            </w:pPr>
            <w:r>
              <w:rPr>
                <w:rFonts w:eastAsia="宋体" w:cs="Times New Roman"/>
                <w:sz w:val="21"/>
              </w:rPr>
              <w:t>平均值</w:t>
            </w:r>
          </w:p>
        </w:tc>
        <w:tc>
          <w:tcPr>
            <w:tcW w:w="0" w:type="auto"/>
            <w:vAlign w:val="center"/>
          </w:tcPr>
          <w:p>
            <w:pPr>
              <w:spacing w:line="360" w:lineRule="auto"/>
              <w:jc w:val="center"/>
              <w:rPr>
                <w:rFonts w:eastAsia="宋体" w:cs="Times New Roman"/>
                <w:sz w:val="21"/>
              </w:rPr>
            </w:pPr>
            <w:r>
              <w:rPr>
                <w:rFonts w:eastAsia="宋体" w:cs="Times New Roman"/>
                <w:sz w:val="21"/>
              </w:rPr>
              <w:t>标准限制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spacing w:line="360" w:lineRule="auto"/>
              <w:jc w:val="center"/>
              <w:rPr>
                <w:rFonts w:eastAsia="宋体" w:cs="Times New Roman"/>
                <w:sz w:val="21"/>
              </w:rPr>
            </w:pPr>
            <w:r>
              <w:rPr>
                <w:rFonts w:eastAsia="宋体" w:cs="Times New Roman"/>
                <w:sz w:val="21"/>
              </w:rPr>
              <w:t>G2油烟排放检测口</w:t>
            </w:r>
          </w:p>
        </w:tc>
        <w:tc>
          <w:tcPr>
            <w:tcW w:w="0" w:type="auto"/>
            <w:gridSpan w:val="2"/>
            <w:vAlign w:val="center"/>
          </w:tcPr>
          <w:p>
            <w:pPr>
              <w:spacing w:line="360" w:lineRule="auto"/>
              <w:jc w:val="center"/>
              <w:rPr>
                <w:rFonts w:eastAsia="宋体" w:cs="Times New Roman"/>
                <w:sz w:val="21"/>
              </w:rPr>
            </w:pPr>
            <w:r>
              <w:rPr>
                <w:rFonts w:eastAsia="宋体" w:cs="Times New Roman"/>
                <w:kern w:val="0"/>
                <w:sz w:val="21"/>
              </w:rPr>
              <w:t>标干流量（</w:t>
            </w:r>
            <w:r>
              <w:rPr>
                <w:rFonts w:eastAsia="TimesNewRomanPSMT" w:cs="Times New Roman"/>
                <w:kern w:val="0"/>
                <w:sz w:val="21"/>
              </w:rPr>
              <w:t>N·m</w:t>
            </w:r>
            <w:r>
              <w:rPr>
                <w:rFonts w:eastAsia="TimesNewRomanPSMT" w:cs="Times New Roman"/>
                <w:kern w:val="0"/>
                <w:sz w:val="21"/>
                <w:vertAlign w:val="superscript"/>
              </w:rPr>
              <w:t>3</w:t>
            </w:r>
            <w:r>
              <w:rPr>
                <w:rFonts w:eastAsia="TimesNewRomanPSMT" w:cs="Times New Roman"/>
                <w:kern w:val="0"/>
                <w:sz w:val="21"/>
              </w:rPr>
              <w:t>/h</w:t>
            </w:r>
            <w:r>
              <w:rPr>
                <w:rFonts w:eastAsia="宋体" w:cs="Times New Roman"/>
                <w:kern w:val="0"/>
                <w:sz w:val="21"/>
              </w:rPr>
              <w:t>）</w:t>
            </w:r>
          </w:p>
        </w:tc>
        <w:tc>
          <w:tcPr>
            <w:tcW w:w="0" w:type="auto"/>
            <w:vAlign w:val="center"/>
          </w:tcPr>
          <w:p>
            <w:pPr>
              <w:spacing w:line="360" w:lineRule="auto"/>
              <w:jc w:val="center"/>
              <w:rPr>
                <w:rFonts w:eastAsia="宋体" w:cs="Times New Roman"/>
                <w:sz w:val="21"/>
              </w:rPr>
            </w:pPr>
            <w:r>
              <w:rPr>
                <w:rFonts w:eastAsia="宋体" w:cs="Times New Roman"/>
                <w:sz w:val="21"/>
              </w:rPr>
              <w:t>9473</w:t>
            </w:r>
          </w:p>
        </w:tc>
        <w:tc>
          <w:tcPr>
            <w:tcW w:w="0" w:type="auto"/>
            <w:vAlign w:val="center"/>
          </w:tcPr>
          <w:p>
            <w:pPr>
              <w:spacing w:line="360" w:lineRule="auto"/>
              <w:jc w:val="center"/>
              <w:rPr>
                <w:rFonts w:eastAsia="宋体" w:cs="Times New Roman"/>
                <w:sz w:val="21"/>
              </w:rPr>
            </w:pPr>
            <w:r>
              <w:rPr>
                <w:rFonts w:eastAsia="宋体" w:cs="Times New Roman"/>
                <w:sz w:val="21"/>
              </w:rPr>
              <w:t>9435</w:t>
            </w:r>
          </w:p>
        </w:tc>
        <w:tc>
          <w:tcPr>
            <w:tcW w:w="0" w:type="auto"/>
            <w:vAlign w:val="center"/>
          </w:tcPr>
          <w:p>
            <w:pPr>
              <w:spacing w:line="360" w:lineRule="auto"/>
              <w:jc w:val="center"/>
              <w:rPr>
                <w:rFonts w:eastAsia="宋体" w:cs="Times New Roman"/>
                <w:sz w:val="21"/>
              </w:rPr>
            </w:pPr>
            <w:r>
              <w:rPr>
                <w:rFonts w:eastAsia="宋体" w:cs="Times New Roman"/>
                <w:sz w:val="21"/>
              </w:rPr>
              <w:t>9497</w:t>
            </w:r>
          </w:p>
        </w:tc>
        <w:tc>
          <w:tcPr>
            <w:tcW w:w="0" w:type="auto"/>
            <w:vAlign w:val="center"/>
          </w:tcPr>
          <w:p>
            <w:pPr>
              <w:spacing w:line="360" w:lineRule="auto"/>
              <w:jc w:val="center"/>
              <w:rPr>
                <w:rFonts w:eastAsia="宋体" w:cs="Times New Roman"/>
                <w:sz w:val="21"/>
              </w:rPr>
            </w:pPr>
            <w:r>
              <w:rPr>
                <w:rFonts w:eastAsia="宋体" w:cs="Times New Roman"/>
                <w:sz w:val="21"/>
              </w:rPr>
              <w:t>9430</w:t>
            </w:r>
          </w:p>
        </w:tc>
        <w:tc>
          <w:tcPr>
            <w:tcW w:w="0" w:type="auto"/>
            <w:vAlign w:val="center"/>
          </w:tcPr>
          <w:p>
            <w:pPr>
              <w:spacing w:line="360" w:lineRule="auto"/>
              <w:jc w:val="center"/>
              <w:rPr>
                <w:rFonts w:eastAsia="宋体" w:cs="Times New Roman"/>
                <w:sz w:val="21"/>
              </w:rPr>
            </w:pPr>
            <w:r>
              <w:rPr>
                <w:rFonts w:eastAsia="宋体" w:cs="Times New Roman"/>
                <w:sz w:val="21"/>
              </w:rPr>
              <w:t>9473</w:t>
            </w:r>
          </w:p>
        </w:tc>
        <w:tc>
          <w:tcPr>
            <w:tcW w:w="0" w:type="auto"/>
            <w:vAlign w:val="center"/>
          </w:tcPr>
          <w:p>
            <w:pPr>
              <w:spacing w:line="360" w:lineRule="auto"/>
              <w:jc w:val="center"/>
              <w:rPr>
                <w:rFonts w:eastAsia="宋体" w:cs="Times New Roman"/>
                <w:sz w:val="21"/>
              </w:rPr>
            </w:pPr>
            <w:r>
              <w:rPr>
                <w:rFonts w:eastAsia="宋体" w:cs="Times New Roman"/>
                <w:sz w:val="21"/>
              </w:rPr>
              <w:t>/</w:t>
            </w:r>
          </w:p>
        </w:tc>
        <w:tc>
          <w:tcPr>
            <w:tcW w:w="0" w:type="auto"/>
            <w:vAlign w:val="center"/>
          </w:tcPr>
          <w:p>
            <w:pPr>
              <w:spacing w:line="360" w:lineRule="auto"/>
              <w:jc w:val="center"/>
              <w:rPr>
                <w:rFonts w:eastAsia="宋体" w:cs="Times New Roman"/>
                <w:sz w:val="21"/>
              </w:rPr>
            </w:pPr>
            <w:r>
              <w:rPr>
                <w:rFonts w:eastAsia="宋体" w:cs="Times New Roman"/>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spacing w:line="360" w:lineRule="auto"/>
              <w:jc w:val="center"/>
              <w:rPr>
                <w:rFonts w:eastAsia="宋体" w:cs="Times New Roman"/>
                <w:sz w:val="21"/>
              </w:rPr>
            </w:pPr>
          </w:p>
        </w:tc>
        <w:tc>
          <w:tcPr>
            <w:tcW w:w="0" w:type="auto"/>
            <w:vMerge w:val="restart"/>
            <w:vAlign w:val="center"/>
          </w:tcPr>
          <w:p>
            <w:pPr>
              <w:autoSpaceDE w:val="0"/>
              <w:autoSpaceDN w:val="0"/>
              <w:adjustRightInd w:val="0"/>
              <w:jc w:val="center"/>
              <w:rPr>
                <w:rFonts w:eastAsia="宋体" w:cs="Times New Roman"/>
                <w:sz w:val="21"/>
              </w:rPr>
            </w:pPr>
            <w:r>
              <w:rPr>
                <w:rFonts w:eastAsia="宋体" w:cs="Times New Roman"/>
                <w:kern w:val="0"/>
                <w:sz w:val="21"/>
              </w:rPr>
              <w:t>油烟浓度</w:t>
            </w:r>
          </w:p>
        </w:tc>
        <w:tc>
          <w:tcPr>
            <w:tcW w:w="0" w:type="auto"/>
            <w:vAlign w:val="center"/>
          </w:tcPr>
          <w:p>
            <w:pPr>
              <w:autoSpaceDE w:val="0"/>
              <w:autoSpaceDN w:val="0"/>
              <w:adjustRightInd w:val="0"/>
              <w:jc w:val="center"/>
              <w:rPr>
                <w:rFonts w:eastAsia="宋体" w:cs="Times New Roman"/>
                <w:kern w:val="0"/>
                <w:sz w:val="21"/>
              </w:rPr>
            </w:pPr>
            <w:r>
              <w:rPr>
                <w:rFonts w:eastAsia="宋体" w:cs="Times New Roman"/>
                <w:kern w:val="0"/>
                <w:sz w:val="21"/>
              </w:rPr>
              <w:t>排放浓度</w:t>
            </w:r>
          </w:p>
          <w:p>
            <w:pPr>
              <w:spacing w:line="360" w:lineRule="auto"/>
              <w:jc w:val="center"/>
              <w:rPr>
                <w:rFonts w:eastAsia="宋体" w:cs="Times New Roman"/>
                <w:sz w:val="21"/>
              </w:rPr>
            </w:pPr>
            <w:r>
              <w:rPr>
                <w:rFonts w:eastAsia="宋体" w:cs="Times New Roman"/>
                <w:kern w:val="0"/>
                <w:sz w:val="21"/>
              </w:rPr>
              <w:t>（</w:t>
            </w:r>
            <w:r>
              <w:rPr>
                <w:rFonts w:eastAsia="TimesNewRomanPSMT" w:cs="Times New Roman"/>
                <w:kern w:val="0"/>
                <w:sz w:val="21"/>
              </w:rPr>
              <w:t>mg/m</w:t>
            </w:r>
            <w:r>
              <w:rPr>
                <w:rFonts w:eastAsia="TimesNewRomanPSMT" w:cs="Times New Roman"/>
                <w:kern w:val="0"/>
                <w:sz w:val="21"/>
                <w:vertAlign w:val="superscript"/>
              </w:rPr>
              <w:t>3</w:t>
            </w:r>
            <w:r>
              <w:rPr>
                <w:rFonts w:eastAsia="宋体" w:cs="Times New Roman"/>
                <w:kern w:val="0"/>
                <w:sz w:val="21"/>
              </w:rPr>
              <w:t>）</w:t>
            </w:r>
          </w:p>
        </w:tc>
        <w:tc>
          <w:tcPr>
            <w:tcW w:w="0" w:type="auto"/>
            <w:vAlign w:val="center"/>
          </w:tcPr>
          <w:p>
            <w:pPr>
              <w:spacing w:line="360" w:lineRule="auto"/>
              <w:jc w:val="center"/>
              <w:rPr>
                <w:rFonts w:eastAsia="宋体" w:cs="Times New Roman"/>
                <w:sz w:val="21"/>
              </w:rPr>
            </w:pPr>
            <w:r>
              <w:rPr>
                <w:rFonts w:eastAsia="宋体" w:cs="Times New Roman"/>
                <w:sz w:val="21"/>
              </w:rPr>
              <w:t>0.1</w:t>
            </w:r>
          </w:p>
        </w:tc>
        <w:tc>
          <w:tcPr>
            <w:tcW w:w="0" w:type="auto"/>
            <w:vAlign w:val="center"/>
          </w:tcPr>
          <w:p>
            <w:pPr>
              <w:spacing w:line="360" w:lineRule="auto"/>
              <w:jc w:val="center"/>
              <w:rPr>
                <w:rFonts w:eastAsia="宋体" w:cs="Times New Roman"/>
                <w:sz w:val="21"/>
              </w:rPr>
            </w:pPr>
            <w:r>
              <w:rPr>
                <w:rFonts w:eastAsia="宋体" w:cs="Times New Roman"/>
                <w:sz w:val="21"/>
              </w:rPr>
              <w:t>0.2</w:t>
            </w:r>
          </w:p>
        </w:tc>
        <w:tc>
          <w:tcPr>
            <w:tcW w:w="0" w:type="auto"/>
            <w:vAlign w:val="center"/>
          </w:tcPr>
          <w:p>
            <w:pPr>
              <w:spacing w:line="360" w:lineRule="auto"/>
              <w:jc w:val="center"/>
              <w:rPr>
                <w:rFonts w:eastAsia="宋体" w:cs="Times New Roman"/>
                <w:sz w:val="21"/>
              </w:rPr>
            </w:pPr>
            <w:r>
              <w:rPr>
                <w:rFonts w:eastAsia="宋体" w:cs="Times New Roman"/>
                <w:sz w:val="21"/>
              </w:rPr>
              <w:t>0.2</w:t>
            </w:r>
          </w:p>
        </w:tc>
        <w:tc>
          <w:tcPr>
            <w:tcW w:w="0" w:type="auto"/>
            <w:vAlign w:val="center"/>
          </w:tcPr>
          <w:p>
            <w:pPr>
              <w:spacing w:line="360" w:lineRule="auto"/>
              <w:jc w:val="center"/>
              <w:rPr>
                <w:rFonts w:eastAsia="宋体" w:cs="Times New Roman"/>
                <w:sz w:val="21"/>
              </w:rPr>
            </w:pPr>
            <w:r>
              <w:rPr>
                <w:rFonts w:eastAsia="宋体" w:cs="Times New Roman"/>
                <w:sz w:val="21"/>
              </w:rPr>
              <w:t>0.1</w:t>
            </w:r>
          </w:p>
        </w:tc>
        <w:tc>
          <w:tcPr>
            <w:tcW w:w="0" w:type="auto"/>
            <w:vAlign w:val="center"/>
          </w:tcPr>
          <w:p>
            <w:pPr>
              <w:spacing w:line="360" w:lineRule="auto"/>
              <w:jc w:val="center"/>
              <w:rPr>
                <w:rFonts w:eastAsia="宋体" w:cs="Times New Roman"/>
                <w:sz w:val="21"/>
              </w:rPr>
            </w:pPr>
            <w:r>
              <w:rPr>
                <w:rFonts w:eastAsia="宋体" w:cs="Times New Roman"/>
                <w:sz w:val="21"/>
              </w:rPr>
              <w:t>0.1</w:t>
            </w:r>
          </w:p>
        </w:tc>
        <w:tc>
          <w:tcPr>
            <w:tcW w:w="0" w:type="auto"/>
            <w:vAlign w:val="center"/>
          </w:tcPr>
          <w:p>
            <w:pPr>
              <w:spacing w:line="360" w:lineRule="auto"/>
              <w:jc w:val="center"/>
              <w:rPr>
                <w:rFonts w:eastAsia="宋体" w:cs="Times New Roman"/>
                <w:sz w:val="21"/>
              </w:rPr>
            </w:pPr>
            <w:r>
              <w:rPr>
                <w:rFonts w:eastAsia="宋体" w:cs="Times New Roman"/>
                <w:sz w:val="21"/>
              </w:rPr>
              <w:t>0.1</w:t>
            </w:r>
          </w:p>
        </w:tc>
        <w:tc>
          <w:tcPr>
            <w:tcW w:w="0" w:type="auto"/>
            <w:vAlign w:val="center"/>
          </w:tcPr>
          <w:p>
            <w:pPr>
              <w:spacing w:line="360" w:lineRule="auto"/>
              <w:jc w:val="center"/>
              <w:rPr>
                <w:rFonts w:eastAsia="宋体" w:cs="Times New Roman"/>
                <w:sz w:val="21"/>
              </w:rPr>
            </w:pPr>
            <w:r>
              <w:rPr>
                <w:rFonts w:eastAsia="宋体" w:cs="Times New Roman"/>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spacing w:line="360" w:lineRule="auto"/>
              <w:jc w:val="center"/>
              <w:rPr>
                <w:rFonts w:eastAsia="宋体" w:cs="Times New Roman"/>
                <w:sz w:val="21"/>
              </w:rPr>
            </w:pPr>
          </w:p>
        </w:tc>
        <w:tc>
          <w:tcPr>
            <w:tcW w:w="0" w:type="auto"/>
            <w:vMerge w:val="continue"/>
            <w:vAlign w:val="center"/>
          </w:tcPr>
          <w:p>
            <w:pPr>
              <w:spacing w:line="360" w:lineRule="auto"/>
              <w:jc w:val="center"/>
              <w:rPr>
                <w:rFonts w:eastAsia="宋体" w:cs="Times New Roman"/>
                <w:sz w:val="21"/>
              </w:rPr>
            </w:pPr>
          </w:p>
        </w:tc>
        <w:tc>
          <w:tcPr>
            <w:tcW w:w="0" w:type="auto"/>
            <w:vAlign w:val="center"/>
          </w:tcPr>
          <w:p>
            <w:pPr>
              <w:autoSpaceDE w:val="0"/>
              <w:autoSpaceDN w:val="0"/>
              <w:adjustRightInd w:val="0"/>
              <w:jc w:val="center"/>
              <w:rPr>
                <w:rFonts w:eastAsia="宋体" w:cs="Times New Roman"/>
                <w:kern w:val="0"/>
                <w:sz w:val="21"/>
              </w:rPr>
            </w:pPr>
            <w:r>
              <w:rPr>
                <w:rFonts w:eastAsia="宋体" w:cs="Times New Roman"/>
                <w:kern w:val="0"/>
                <w:sz w:val="21"/>
              </w:rPr>
              <w:t>折算浓度</w:t>
            </w:r>
          </w:p>
          <w:p>
            <w:pPr>
              <w:spacing w:line="360" w:lineRule="auto"/>
              <w:jc w:val="center"/>
              <w:rPr>
                <w:rFonts w:eastAsia="宋体" w:cs="Times New Roman"/>
                <w:sz w:val="21"/>
              </w:rPr>
            </w:pPr>
            <w:r>
              <w:rPr>
                <w:rFonts w:eastAsia="宋体" w:cs="Times New Roman"/>
                <w:kern w:val="0"/>
                <w:sz w:val="21"/>
              </w:rPr>
              <w:t>（</w:t>
            </w:r>
            <w:r>
              <w:rPr>
                <w:rFonts w:eastAsia="TimesNewRomanPSMT" w:cs="Times New Roman"/>
                <w:kern w:val="0"/>
                <w:sz w:val="21"/>
              </w:rPr>
              <w:t>mg/m</w:t>
            </w:r>
            <w:r>
              <w:rPr>
                <w:rFonts w:eastAsia="TimesNewRomanPSMT" w:cs="Times New Roman"/>
                <w:kern w:val="0"/>
                <w:sz w:val="21"/>
                <w:vertAlign w:val="superscript"/>
              </w:rPr>
              <w:t>3</w:t>
            </w:r>
            <w:r>
              <w:rPr>
                <w:rFonts w:eastAsia="宋体" w:cs="Times New Roman"/>
                <w:kern w:val="0"/>
                <w:sz w:val="21"/>
              </w:rPr>
              <w:t>）</w:t>
            </w:r>
          </w:p>
        </w:tc>
        <w:tc>
          <w:tcPr>
            <w:tcW w:w="0" w:type="auto"/>
            <w:vAlign w:val="center"/>
          </w:tcPr>
          <w:p>
            <w:pPr>
              <w:spacing w:line="360" w:lineRule="auto"/>
              <w:jc w:val="center"/>
              <w:rPr>
                <w:rFonts w:eastAsia="宋体" w:cs="Times New Roman"/>
                <w:sz w:val="21"/>
              </w:rPr>
            </w:pPr>
            <w:r>
              <w:rPr>
                <w:rFonts w:eastAsia="宋体" w:cs="Times New Roman"/>
                <w:sz w:val="21"/>
              </w:rPr>
              <w:t>0.2</w:t>
            </w:r>
          </w:p>
        </w:tc>
        <w:tc>
          <w:tcPr>
            <w:tcW w:w="0" w:type="auto"/>
            <w:vAlign w:val="center"/>
          </w:tcPr>
          <w:p>
            <w:pPr>
              <w:spacing w:line="360" w:lineRule="auto"/>
              <w:jc w:val="center"/>
              <w:rPr>
                <w:rFonts w:eastAsia="宋体" w:cs="Times New Roman"/>
                <w:sz w:val="21"/>
              </w:rPr>
            </w:pPr>
            <w:r>
              <w:rPr>
                <w:rFonts w:eastAsia="宋体" w:cs="Times New Roman"/>
                <w:sz w:val="21"/>
              </w:rPr>
              <w:t>0.5</w:t>
            </w:r>
          </w:p>
        </w:tc>
        <w:tc>
          <w:tcPr>
            <w:tcW w:w="0" w:type="auto"/>
            <w:vAlign w:val="center"/>
          </w:tcPr>
          <w:p>
            <w:pPr>
              <w:spacing w:line="360" w:lineRule="auto"/>
              <w:jc w:val="center"/>
              <w:rPr>
                <w:rFonts w:eastAsia="宋体" w:cs="Times New Roman"/>
                <w:sz w:val="21"/>
              </w:rPr>
            </w:pPr>
            <w:r>
              <w:rPr>
                <w:rFonts w:eastAsia="宋体" w:cs="Times New Roman"/>
                <w:sz w:val="21"/>
              </w:rPr>
              <w:t>0.5</w:t>
            </w:r>
          </w:p>
        </w:tc>
        <w:tc>
          <w:tcPr>
            <w:tcW w:w="0" w:type="auto"/>
            <w:vAlign w:val="center"/>
          </w:tcPr>
          <w:p>
            <w:pPr>
              <w:spacing w:line="360" w:lineRule="auto"/>
              <w:jc w:val="center"/>
              <w:rPr>
                <w:rFonts w:eastAsia="宋体" w:cs="Times New Roman"/>
                <w:sz w:val="21"/>
              </w:rPr>
            </w:pPr>
            <w:r>
              <w:rPr>
                <w:rFonts w:eastAsia="宋体" w:cs="Times New Roman"/>
                <w:sz w:val="21"/>
              </w:rPr>
              <w:t>0.2</w:t>
            </w:r>
          </w:p>
        </w:tc>
        <w:tc>
          <w:tcPr>
            <w:tcW w:w="0" w:type="auto"/>
            <w:vAlign w:val="center"/>
          </w:tcPr>
          <w:p>
            <w:pPr>
              <w:spacing w:line="360" w:lineRule="auto"/>
              <w:jc w:val="center"/>
              <w:rPr>
                <w:rFonts w:eastAsia="宋体" w:cs="Times New Roman"/>
                <w:sz w:val="21"/>
              </w:rPr>
            </w:pPr>
            <w:r>
              <w:rPr>
                <w:rFonts w:eastAsia="宋体" w:cs="Times New Roman"/>
                <w:sz w:val="21"/>
              </w:rPr>
              <w:t>0.2</w:t>
            </w:r>
          </w:p>
        </w:tc>
        <w:tc>
          <w:tcPr>
            <w:tcW w:w="0" w:type="auto"/>
            <w:vAlign w:val="center"/>
          </w:tcPr>
          <w:p>
            <w:pPr>
              <w:spacing w:line="360" w:lineRule="auto"/>
              <w:jc w:val="center"/>
              <w:rPr>
                <w:rFonts w:eastAsia="宋体" w:cs="Times New Roman"/>
                <w:sz w:val="21"/>
              </w:rPr>
            </w:pPr>
            <w:r>
              <w:rPr>
                <w:rFonts w:eastAsia="宋体" w:cs="Times New Roman"/>
                <w:sz w:val="21"/>
              </w:rPr>
              <w:t>0.3</w:t>
            </w:r>
          </w:p>
        </w:tc>
        <w:tc>
          <w:tcPr>
            <w:tcW w:w="0" w:type="auto"/>
            <w:vAlign w:val="center"/>
          </w:tcPr>
          <w:p>
            <w:pPr>
              <w:spacing w:line="360" w:lineRule="auto"/>
              <w:jc w:val="center"/>
              <w:rPr>
                <w:rFonts w:eastAsia="宋体" w:cs="Times New Roman"/>
                <w:sz w:val="21"/>
              </w:rPr>
            </w:pPr>
            <w:r>
              <w:rPr>
                <w:rFonts w:eastAsia="宋体" w:cs="Times New Roman"/>
                <w:sz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spacing w:line="360" w:lineRule="auto"/>
              <w:jc w:val="center"/>
              <w:rPr>
                <w:rFonts w:eastAsia="宋体" w:cs="Times New Roman"/>
                <w:sz w:val="21"/>
              </w:rPr>
            </w:pPr>
          </w:p>
        </w:tc>
        <w:tc>
          <w:tcPr>
            <w:tcW w:w="0" w:type="auto"/>
            <w:vMerge w:val="continue"/>
            <w:vAlign w:val="center"/>
          </w:tcPr>
          <w:p>
            <w:pPr>
              <w:spacing w:line="360" w:lineRule="auto"/>
              <w:jc w:val="center"/>
              <w:rPr>
                <w:rFonts w:eastAsia="宋体" w:cs="Times New Roman"/>
                <w:sz w:val="21"/>
              </w:rPr>
            </w:pPr>
          </w:p>
        </w:tc>
        <w:tc>
          <w:tcPr>
            <w:tcW w:w="0" w:type="auto"/>
            <w:vAlign w:val="center"/>
          </w:tcPr>
          <w:p>
            <w:pPr>
              <w:autoSpaceDE w:val="0"/>
              <w:autoSpaceDN w:val="0"/>
              <w:adjustRightInd w:val="0"/>
              <w:jc w:val="center"/>
              <w:rPr>
                <w:rFonts w:eastAsia="宋体" w:cs="Times New Roman"/>
                <w:kern w:val="0"/>
                <w:sz w:val="21"/>
              </w:rPr>
            </w:pPr>
            <w:r>
              <w:rPr>
                <w:rFonts w:eastAsia="宋体" w:cs="Times New Roman"/>
                <w:kern w:val="0"/>
                <w:sz w:val="21"/>
              </w:rPr>
              <w:t>排放速率</w:t>
            </w:r>
            <w:r>
              <w:rPr>
                <w:rFonts w:hint="eastAsia" w:eastAsia="宋体" w:cs="Times New Roman"/>
                <w:kern w:val="0"/>
                <w:sz w:val="21"/>
              </w:rPr>
              <w:t>（kg/h）</w:t>
            </w:r>
          </w:p>
        </w:tc>
        <w:tc>
          <w:tcPr>
            <w:tcW w:w="0" w:type="auto"/>
            <w:vAlign w:val="center"/>
          </w:tcPr>
          <w:p>
            <w:pPr>
              <w:spacing w:line="360" w:lineRule="auto"/>
              <w:jc w:val="center"/>
              <w:rPr>
                <w:rFonts w:eastAsia="宋体" w:cs="Times New Roman"/>
                <w:sz w:val="21"/>
              </w:rPr>
            </w:pPr>
            <w:r>
              <w:rPr>
                <w:rFonts w:hint="eastAsia" w:eastAsia="宋体" w:cs="Times New Roman"/>
                <w:sz w:val="21"/>
              </w:rPr>
              <w:t>0.002</w:t>
            </w:r>
          </w:p>
        </w:tc>
        <w:tc>
          <w:tcPr>
            <w:tcW w:w="0" w:type="auto"/>
            <w:vAlign w:val="center"/>
          </w:tcPr>
          <w:p>
            <w:pPr>
              <w:spacing w:line="360" w:lineRule="auto"/>
              <w:jc w:val="center"/>
              <w:rPr>
                <w:rFonts w:eastAsia="宋体" w:cs="Times New Roman"/>
                <w:sz w:val="21"/>
              </w:rPr>
            </w:pPr>
            <w:r>
              <w:rPr>
                <w:rFonts w:hint="eastAsia" w:eastAsia="宋体" w:cs="Times New Roman"/>
                <w:sz w:val="21"/>
              </w:rPr>
              <w:t>0.005</w:t>
            </w:r>
          </w:p>
        </w:tc>
        <w:tc>
          <w:tcPr>
            <w:tcW w:w="0" w:type="auto"/>
            <w:vAlign w:val="center"/>
          </w:tcPr>
          <w:p>
            <w:pPr>
              <w:spacing w:line="360" w:lineRule="auto"/>
              <w:jc w:val="center"/>
              <w:rPr>
                <w:rFonts w:eastAsia="宋体" w:cs="Times New Roman"/>
                <w:sz w:val="21"/>
              </w:rPr>
            </w:pPr>
            <w:r>
              <w:rPr>
                <w:rFonts w:hint="eastAsia" w:eastAsia="宋体" w:cs="Times New Roman"/>
                <w:sz w:val="21"/>
              </w:rPr>
              <w:t>0.005</w:t>
            </w:r>
          </w:p>
        </w:tc>
        <w:tc>
          <w:tcPr>
            <w:tcW w:w="0" w:type="auto"/>
            <w:vAlign w:val="center"/>
          </w:tcPr>
          <w:p>
            <w:pPr>
              <w:spacing w:line="360" w:lineRule="auto"/>
              <w:jc w:val="center"/>
              <w:rPr>
                <w:rFonts w:eastAsia="宋体" w:cs="Times New Roman"/>
                <w:sz w:val="21"/>
              </w:rPr>
            </w:pPr>
            <w:r>
              <w:rPr>
                <w:rFonts w:hint="eastAsia" w:eastAsia="宋体" w:cs="Times New Roman"/>
                <w:sz w:val="21"/>
              </w:rPr>
              <w:t>0.001</w:t>
            </w:r>
          </w:p>
        </w:tc>
        <w:tc>
          <w:tcPr>
            <w:tcW w:w="0" w:type="auto"/>
            <w:vAlign w:val="center"/>
          </w:tcPr>
          <w:p>
            <w:pPr>
              <w:spacing w:line="360" w:lineRule="auto"/>
              <w:jc w:val="center"/>
              <w:rPr>
                <w:rFonts w:eastAsia="宋体" w:cs="Times New Roman"/>
                <w:sz w:val="21"/>
              </w:rPr>
            </w:pPr>
            <w:r>
              <w:rPr>
                <w:rFonts w:hint="eastAsia" w:eastAsia="宋体" w:cs="Times New Roman"/>
                <w:sz w:val="21"/>
              </w:rPr>
              <w:t>0.002</w:t>
            </w:r>
          </w:p>
        </w:tc>
        <w:tc>
          <w:tcPr>
            <w:tcW w:w="0" w:type="auto"/>
            <w:vAlign w:val="center"/>
          </w:tcPr>
          <w:p>
            <w:pPr>
              <w:spacing w:line="360" w:lineRule="auto"/>
              <w:jc w:val="center"/>
              <w:rPr>
                <w:rFonts w:eastAsia="宋体" w:cs="Times New Roman"/>
                <w:sz w:val="21"/>
              </w:rPr>
            </w:pPr>
            <w:r>
              <w:rPr>
                <w:rFonts w:eastAsia="宋体" w:cs="Times New Roman"/>
                <w:sz w:val="21"/>
              </w:rPr>
              <w:t>/</w:t>
            </w:r>
          </w:p>
        </w:tc>
        <w:tc>
          <w:tcPr>
            <w:tcW w:w="0" w:type="auto"/>
            <w:vAlign w:val="center"/>
          </w:tcPr>
          <w:p>
            <w:pPr>
              <w:spacing w:line="360" w:lineRule="auto"/>
              <w:jc w:val="center"/>
              <w:rPr>
                <w:rFonts w:eastAsia="宋体" w:cs="Times New Roman"/>
                <w:sz w:val="21"/>
              </w:rPr>
            </w:pPr>
            <w:r>
              <w:rPr>
                <w:rFonts w:eastAsia="宋体" w:cs="Times New Roman"/>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spacing w:line="360" w:lineRule="auto"/>
              <w:jc w:val="center"/>
              <w:rPr>
                <w:rFonts w:eastAsia="宋体" w:cs="Times New Roman"/>
                <w:sz w:val="21"/>
              </w:rPr>
            </w:pPr>
          </w:p>
        </w:tc>
        <w:tc>
          <w:tcPr>
            <w:tcW w:w="0" w:type="auto"/>
            <w:gridSpan w:val="2"/>
            <w:vAlign w:val="center"/>
          </w:tcPr>
          <w:p>
            <w:pPr>
              <w:autoSpaceDE w:val="0"/>
              <w:autoSpaceDN w:val="0"/>
              <w:adjustRightInd w:val="0"/>
              <w:jc w:val="center"/>
              <w:rPr>
                <w:rFonts w:eastAsia="宋体" w:cs="Times New Roman"/>
                <w:kern w:val="0"/>
                <w:sz w:val="21"/>
              </w:rPr>
            </w:pPr>
            <w:r>
              <w:rPr>
                <w:rFonts w:eastAsia="宋体" w:cs="Times New Roman"/>
                <w:kern w:val="0"/>
                <w:sz w:val="21"/>
              </w:rPr>
              <w:t>是否达标</w:t>
            </w:r>
          </w:p>
        </w:tc>
        <w:tc>
          <w:tcPr>
            <w:tcW w:w="0" w:type="auto"/>
            <w:vAlign w:val="center"/>
          </w:tcPr>
          <w:p>
            <w:pPr>
              <w:autoSpaceDE w:val="0"/>
              <w:autoSpaceDN w:val="0"/>
              <w:adjustRightInd w:val="0"/>
              <w:jc w:val="center"/>
              <w:rPr>
                <w:rFonts w:eastAsia="宋体" w:cs="Times New Roman"/>
                <w:kern w:val="0"/>
                <w:sz w:val="21"/>
              </w:rPr>
            </w:pPr>
            <w:r>
              <w:rPr>
                <w:rFonts w:hint="eastAsia" w:eastAsia="宋体" w:cs="Times New Roman"/>
                <w:kern w:val="0"/>
                <w:sz w:val="21"/>
              </w:rPr>
              <w:t>达标</w:t>
            </w:r>
          </w:p>
        </w:tc>
        <w:tc>
          <w:tcPr>
            <w:tcW w:w="0" w:type="auto"/>
            <w:vAlign w:val="center"/>
          </w:tcPr>
          <w:p>
            <w:pPr>
              <w:autoSpaceDE w:val="0"/>
              <w:autoSpaceDN w:val="0"/>
              <w:adjustRightInd w:val="0"/>
              <w:jc w:val="center"/>
              <w:rPr>
                <w:rFonts w:eastAsia="宋体" w:cs="Times New Roman"/>
                <w:kern w:val="0"/>
                <w:sz w:val="21"/>
              </w:rPr>
            </w:pPr>
            <w:r>
              <w:rPr>
                <w:rFonts w:hint="eastAsia" w:eastAsia="宋体" w:cs="Times New Roman"/>
                <w:kern w:val="0"/>
                <w:sz w:val="21"/>
              </w:rPr>
              <w:t>达标</w:t>
            </w:r>
          </w:p>
        </w:tc>
        <w:tc>
          <w:tcPr>
            <w:tcW w:w="0" w:type="auto"/>
            <w:vAlign w:val="center"/>
          </w:tcPr>
          <w:p>
            <w:pPr>
              <w:autoSpaceDE w:val="0"/>
              <w:autoSpaceDN w:val="0"/>
              <w:adjustRightInd w:val="0"/>
              <w:jc w:val="center"/>
              <w:rPr>
                <w:rFonts w:eastAsia="宋体" w:cs="Times New Roman"/>
                <w:kern w:val="0"/>
                <w:sz w:val="21"/>
              </w:rPr>
            </w:pPr>
            <w:r>
              <w:rPr>
                <w:rFonts w:hint="eastAsia" w:eastAsia="宋体" w:cs="Times New Roman"/>
                <w:kern w:val="0"/>
                <w:sz w:val="21"/>
              </w:rPr>
              <w:t>达标</w:t>
            </w:r>
          </w:p>
        </w:tc>
        <w:tc>
          <w:tcPr>
            <w:tcW w:w="0" w:type="auto"/>
            <w:vAlign w:val="center"/>
          </w:tcPr>
          <w:p>
            <w:pPr>
              <w:autoSpaceDE w:val="0"/>
              <w:autoSpaceDN w:val="0"/>
              <w:adjustRightInd w:val="0"/>
              <w:jc w:val="center"/>
              <w:rPr>
                <w:rFonts w:eastAsia="宋体" w:cs="Times New Roman"/>
                <w:kern w:val="0"/>
                <w:sz w:val="21"/>
              </w:rPr>
            </w:pPr>
            <w:r>
              <w:rPr>
                <w:rFonts w:hint="eastAsia" w:eastAsia="宋体" w:cs="Times New Roman"/>
                <w:kern w:val="0"/>
                <w:sz w:val="21"/>
              </w:rPr>
              <w:t>达标</w:t>
            </w:r>
          </w:p>
        </w:tc>
        <w:tc>
          <w:tcPr>
            <w:tcW w:w="0" w:type="auto"/>
            <w:vAlign w:val="center"/>
          </w:tcPr>
          <w:p>
            <w:pPr>
              <w:autoSpaceDE w:val="0"/>
              <w:autoSpaceDN w:val="0"/>
              <w:adjustRightInd w:val="0"/>
              <w:jc w:val="center"/>
              <w:rPr>
                <w:rFonts w:eastAsia="宋体" w:cs="Times New Roman"/>
                <w:kern w:val="0"/>
                <w:sz w:val="21"/>
              </w:rPr>
            </w:pPr>
            <w:r>
              <w:rPr>
                <w:rFonts w:hint="eastAsia" w:eastAsia="宋体" w:cs="Times New Roman"/>
                <w:kern w:val="0"/>
                <w:sz w:val="21"/>
              </w:rPr>
              <w:t>达标</w:t>
            </w:r>
          </w:p>
        </w:tc>
        <w:tc>
          <w:tcPr>
            <w:tcW w:w="0" w:type="auto"/>
            <w:vAlign w:val="center"/>
          </w:tcPr>
          <w:p>
            <w:pPr>
              <w:spacing w:line="360" w:lineRule="auto"/>
              <w:jc w:val="center"/>
              <w:rPr>
                <w:rFonts w:eastAsia="宋体" w:cs="Times New Roman"/>
                <w:sz w:val="21"/>
              </w:rPr>
            </w:pPr>
            <w:r>
              <w:rPr>
                <w:rFonts w:hint="eastAsia" w:eastAsia="宋体" w:cs="Times New Roman"/>
                <w:sz w:val="21"/>
              </w:rPr>
              <w:t>/</w:t>
            </w:r>
          </w:p>
        </w:tc>
        <w:tc>
          <w:tcPr>
            <w:tcW w:w="0" w:type="auto"/>
            <w:vAlign w:val="center"/>
          </w:tcPr>
          <w:p>
            <w:pPr>
              <w:spacing w:line="360" w:lineRule="auto"/>
              <w:jc w:val="center"/>
              <w:rPr>
                <w:rFonts w:eastAsia="宋体" w:cs="Times New Roman"/>
                <w:sz w:val="21"/>
              </w:rPr>
            </w:pPr>
            <w:r>
              <w:rPr>
                <w:rFonts w:hint="eastAsia" w:eastAsia="宋体" w:cs="Times New Roman"/>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spacing w:line="360" w:lineRule="auto"/>
              <w:jc w:val="center"/>
              <w:rPr>
                <w:rFonts w:eastAsia="宋体" w:cs="Times New Roman"/>
                <w:sz w:val="21"/>
              </w:rPr>
            </w:pPr>
          </w:p>
        </w:tc>
        <w:tc>
          <w:tcPr>
            <w:tcW w:w="0" w:type="auto"/>
            <w:gridSpan w:val="2"/>
            <w:vAlign w:val="center"/>
          </w:tcPr>
          <w:p>
            <w:pPr>
              <w:spacing w:line="360" w:lineRule="auto"/>
              <w:jc w:val="center"/>
              <w:rPr>
                <w:rFonts w:eastAsia="宋体" w:cs="Times New Roman"/>
                <w:sz w:val="21"/>
              </w:rPr>
            </w:pPr>
            <w:r>
              <w:rPr>
                <w:rFonts w:eastAsia="宋体" w:cs="Times New Roman"/>
                <w:sz w:val="21"/>
              </w:rPr>
              <w:t>检测项目</w:t>
            </w:r>
          </w:p>
        </w:tc>
        <w:tc>
          <w:tcPr>
            <w:tcW w:w="0" w:type="auto"/>
            <w:gridSpan w:val="7"/>
            <w:vAlign w:val="center"/>
          </w:tcPr>
          <w:p>
            <w:pPr>
              <w:spacing w:line="360" w:lineRule="auto"/>
              <w:jc w:val="center"/>
              <w:rPr>
                <w:rFonts w:eastAsia="宋体" w:cs="Times New Roman"/>
                <w:sz w:val="21"/>
              </w:rPr>
            </w:pPr>
            <w:r>
              <w:rPr>
                <w:rFonts w:eastAsia="宋体" w:cs="Times New Roman"/>
                <w:sz w:val="21"/>
              </w:rPr>
              <w:t>2019.8.2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spacing w:line="360" w:lineRule="auto"/>
              <w:jc w:val="center"/>
              <w:rPr>
                <w:rFonts w:eastAsia="宋体" w:cs="Times New Roman"/>
                <w:sz w:val="21"/>
              </w:rPr>
            </w:pPr>
          </w:p>
        </w:tc>
        <w:tc>
          <w:tcPr>
            <w:tcW w:w="0" w:type="auto"/>
            <w:gridSpan w:val="2"/>
            <w:vAlign w:val="center"/>
          </w:tcPr>
          <w:p>
            <w:pPr>
              <w:spacing w:line="360" w:lineRule="auto"/>
              <w:jc w:val="center"/>
              <w:rPr>
                <w:rFonts w:eastAsia="宋体" w:cs="Times New Roman"/>
                <w:sz w:val="21"/>
              </w:rPr>
            </w:pPr>
            <w:r>
              <w:rPr>
                <w:rFonts w:eastAsia="宋体" w:cs="Times New Roman"/>
                <w:kern w:val="0"/>
                <w:sz w:val="21"/>
              </w:rPr>
              <w:t>标干流量（</w:t>
            </w:r>
            <w:r>
              <w:rPr>
                <w:rFonts w:eastAsia="TimesNewRomanPSMT" w:cs="Times New Roman"/>
                <w:kern w:val="0"/>
                <w:sz w:val="21"/>
              </w:rPr>
              <w:t>N·m</w:t>
            </w:r>
            <w:r>
              <w:rPr>
                <w:rFonts w:eastAsia="TimesNewRomanPSMT" w:cs="Times New Roman"/>
                <w:kern w:val="0"/>
                <w:sz w:val="21"/>
                <w:vertAlign w:val="superscript"/>
              </w:rPr>
              <w:t>3</w:t>
            </w:r>
            <w:r>
              <w:rPr>
                <w:rFonts w:eastAsia="TimesNewRomanPSMT" w:cs="Times New Roman"/>
                <w:kern w:val="0"/>
                <w:sz w:val="21"/>
              </w:rPr>
              <w:t>/h</w:t>
            </w:r>
            <w:r>
              <w:rPr>
                <w:rFonts w:eastAsia="宋体" w:cs="Times New Roman"/>
                <w:kern w:val="0"/>
                <w:sz w:val="21"/>
              </w:rPr>
              <w:t>）</w:t>
            </w:r>
          </w:p>
        </w:tc>
        <w:tc>
          <w:tcPr>
            <w:tcW w:w="0" w:type="auto"/>
            <w:vAlign w:val="center"/>
          </w:tcPr>
          <w:p>
            <w:pPr>
              <w:spacing w:line="360" w:lineRule="auto"/>
              <w:jc w:val="center"/>
              <w:rPr>
                <w:rFonts w:eastAsia="宋体" w:cs="Times New Roman"/>
                <w:sz w:val="21"/>
              </w:rPr>
            </w:pPr>
            <w:r>
              <w:rPr>
                <w:rFonts w:eastAsia="宋体" w:cs="Times New Roman"/>
                <w:sz w:val="21"/>
              </w:rPr>
              <w:t>9480</w:t>
            </w:r>
          </w:p>
        </w:tc>
        <w:tc>
          <w:tcPr>
            <w:tcW w:w="0" w:type="auto"/>
            <w:vAlign w:val="center"/>
          </w:tcPr>
          <w:p>
            <w:pPr>
              <w:spacing w:line="360" w:lineRule="auto"/>
              <w:jc w:val="center"/>
              <w:rPr>
                <w:rFonts w:eastAsia="宋体" w:cs="Times New Roman"/>
                <w:sz w:val="21"/>
              </w:rPr>
            </w:pPr>
            <w:r>
              <w:rPr>
                <w:rFonts w:eastAsia="宋体" w:cs="Times New Roman"/>
                <w:sz w:val="21"/>
              </w:rPr>
              <w:t>9546</w:t>
            </w:r>
          </w:p>
        </w:tc>
        <w:tc>
          <w:tcPr>
            <w:tcW w:w="0" w:type="auto"/>
            <w:vAlign w:val="center"/>
          </w:tcPr>
          <w:p>
            <w:pPr>
              <w:spacing w:line="360" w:lineRule="auto"/>
              <w:jc w:val="center"/>
              <w:rPr>
                <w:rFonts w:eastAsia="宋体" w:cs="Times New Roman"/>
                <w:sz w:val="21"/>
              </w:rPr>
            </w:pPr>
            <w:r>
              <w:rPr>
                <w:rFonts w:eastAsia="宋体" w:cs="Times New Roman"/>
                <w:sz w:val="21"/>
              </w:rPr>
              <w:t>9499</w:t>
            </w:r>
          </w:p>
        </w:tc>
        <w:tc>
          <w:tcPr>
            <w:tcW w:w="0" w:type="auto"/>
            <w:vAlign w:val="center"/>
          </w:tcPr>
          <w:p>
            <w:pPr>
              <w:spacing w:line="360" w:lineRule="auto"/>
              <w:jc w:val="center"/>
              <w:rPr>
                <w:rFonts w:eastAsia="宋体" w:cs="Times New Roman"/>
                <w:sz w:val="21"/>
              </w:rPr>
            </w:pPr>
            <w:r>
              <w:rPr>
                <w:rFonts w:eastAsia="宋体" w:cs="Times New Roman"/>
                <w:sz w:val="21"/>
              </w:rPr>
              <w:t>9449</w:t>
            </w:r>
          </w:p>
        </w:tc>
        <w:tc>
          <w:tcPr>
            <w:tcW w:w="0" w:type="auto"/>
            <w:vAlign w:val="center"/>
          </w:tcPr>
          <w:p>
            <w:pPr>
              <w:spacing w:line="360" w:lineRule="auto"/>
              <w:jc w:val="center"/>
              <w:rPr>
                <w:rFonts w:eastAsia="宋体" w:cs="Times New Roman"/>
                <w:sz w:val="21"/>
              </w:rPr>
            </w:pPr>
            <w:r>
              <w:rPr>
                <w:rFonts w:eastAsia="宋体" w:cs="Times New Roman"/>
                <w:sz w:val="21"/>
              </w:rPr>
              <w:t>9529</w:t>
            </w:r>
          </w:p>
        </w:tc>
        <w:tc>
          <w:tcPr>
            <w:tcW w:w="0" w:type="auto"/>
            <w:vAlign w:val="center"/>
          </w:tcPr>
          <w:p>
            <w:pPr>
              <w:spacing w:line="360" w:lineRule="auto"/>
              <w:jc w:val="center"/>
              <w:rPr>
                <w:rFonts w:eastAsia="宋体" w:cs="Times New Roman"/>
                <w:sz w:val="21"/>
              </w:rPr>
            </w:pPr>
            <w:r>
              <w:rPr>
                <w:rFonts w:eastAsia="宋体" w:cs="Times New Roman"/>
                <w:sz w:val="21"/>
              </w:rPr>
              <w:t>/</w:t>
            </w:r>
          </w:p>
        </w:tc>
        <w:tc>
          <w:tcPr>
            <w:tcW w:w="0" w:type="auto"/>
            <w:vAlign w:val="center"/>
          </w:tcPr>
          <w:p>
            <w:pPr>
              <w:spacing w:line="360" w:lineRule="auto"/>
              <w:jc w:val="center"/>
              <w:rPr>
                <w:rFonts w:eastAsia="宋体" w:cs="Times New Roman"/>
                <w:sz w:val="21"/>
              </w:rPr>
            </w:pPr>
            <w:r>
              <w:rPr>
                <w:rFonts w:eastAsia="宋体" w:cs="Times New Roman"/>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0" w:type="auto"/>
            <w:vMerge w:val="continue"/>
            <w:vAlign w:val="center"/>
          </w:tcPr>
          <w:p>
            <w:pPr>
              <w:spacing w:line="360" w:lineRule="auto"/>
              <w:jc w:val="center"/>
              <w:rPr>
                <w:rFonts w:eastAsia="宋体" w:cs="Times New Roman"/>
                <w:sz w:val="21"/>
              </w:rPr>
            </w:pPr>
          </w:p>
        </w:tc>
        <w:tc>
          <w:tcPr>
            <w:tcW w:w="0" w:type="auto"/>
            <w:vMerge w:val="restart"/>
            <w:vAlign w:val="center"/>
          </w:tcPr>
          <w:p>
            <w:pPr>
              <w:autoSpaceDE w:val="0"/>
              <w:autoSpaceDN w:val="0"/>
              <w:adjustRightInd w:val="0"/>
              <w:jc w:val="center"/>
              <w:rPr>
                <w:rFonts w:eastAsia="宋体" w:cs="Times New Roman"/>
                <w:sz w:val="21"/>
              </w:rPr>
            </w:pPr>
            <w:r>
              <w:rPr>
                <w:rFonts w:eastAsia="宋体" w:cs="Times New Roman"/>
                <w:kern w:val="0"/>
                <w:sz w:val="21"/>
              </w:rPr>
              <w:t>油烟浓度</w:t>
            </w:r>
          </w:p>
        </w:tc>
        <w:tc>
          <w:tcPr>
            <w:tcW w:w="0" w:type="auto"/>
            <w:vAlign w:val="center"/>
          </w:tcPr>
          <w:p>
            <w:pPr>
              <w:autoSpaceDE w:val="0"/>
              <w:autoSpaceDN w:val="0"/>
              <w:adjustRightInd w:val="0"/>
              <w:jc w:val="center"/>
              <w:rPr>
                <w:rFonts w:eastAsia="宋体" w:cs="Times New Roman"/>
                <w:kern w:val="0"/>
                <w:sz w:val="21"/>
              </w:rPr>
            </w:pPr>
            <w:r>
              <w:rPr>
                <w:rFonts w:eastAsia="宋体" w:cs="Times New Roman"/>
                <w:kern w:val="0"/>
                <w:sz w:val="21"/>
              </w:rPr>
              <w:t>排放浓度</w:t>
            </w:r>
          </w:p>
          <w:p>
            <w:pPr>
              <w:spacing w:line="360" w:lineRule="auto"/>
              <w:jc w:val="center"/>
              <w:rPr>
                <w:rFonts w:eastAsia="宋体" w:cs="Times New Roman"/>
                <w:sz w:val="21"/>
              </w:rPr>
            </w:pPr>
            <w:r>
              <w:rPr>
                <w:rFonts w:eastAsia="宋体" w:cs="Times New Roman"/>
                <w:kern w:val="0"/>
                <w:sz w:val="21"/>
              </w:rPr>
              <w:t>（</w:t>
            </w:r>
            <w:r>
              <w:rPr>
                <w:rFonts w:eastAsia="TimesNewRomanPSMT" w:cs="Times New Roman"/>
                <w:kern w:val="0"/>
                <w:sz w:val="21"/>
              </w:rPr>
              <w:t>mg/m</w:t>
            </w:r>
            <w:r>
              <w:rPr>
                <w:rFonts w:eastAsia="TimesNewRomanPSMT" w:cs="Times New Roman"/>
                <w:kern w:val="0"/>
                <w:sz w:val="21"/>
                <w:vertAlign w:val="superscript"/>
              </w:rPr>
              <w:t>3</w:t>
            </w:r>
            <w:r>
              <w:rPr>
                <w:rFonts w:eastAsia="宋体" w:cs="Times New Roman"/>
                <w:kern w:val="0"/>
                <w:sz w:val="21"/>
              </w:rPr>
              <w:t>）</w:t>
            </w:r>
          </w:p>
        </w:tc>
        <w:tc>
          <w:tcPr>
            <w:tcW w:w="0" w:type="auto"/>
            <w:vAlign w:val="center"/>
          </w:tcPr>
          <w:p>
            <w:pPr>
              <w:spacing w:line="360" w:lineRule="auto"/>
              <w:jc w:val="center"/>
              <w:rPr>
                <w:rFonts w:eastAsia="宋体" w:cs="Times New Roman"/>
                <w:sz w:val="21"/>
              </w:rPr>
            </w:pPr>
            <w:r>
              <w:rPr>
                <w:rFonts w:eastAsia="宋体" w:cs="Times New Roman"/>
                <w:sz w:val="21"/>
              </w:rPr>
              <w:t>0.1</w:t>
            </w:r>
          </w:p>
        </w:tc>
        <w:tc>
          <w:tcPr>
            <w:tcW w:w="0" w:type="auto"/>
            <w:vAlign w:val="center"/>
          </w:tcPr>
          <w:p>
            <w:pPr>
              <w:spacing w:line="360" w:lineRule="auto"/>
              <w:jc w:val="center"/>
              <w:rPr>
                <w:rFonts w:eastAsia="宋体" w:cs="Times New Roman"/>
                <w:sz w:val="21"/>
              </w:rPr>
            </w:pPr>
            <w:r>
              <w:rPr>
                <w:rFonts w:eastAsia="宋体" w:cs="Times New Roman"/>
                <w:sz w:val="21"/>
              </w:rPr>
              <w:t>0.1</w:t>
            </w:r>
          </w:p>
        </w:tc>
        <w:tc>
          <w:tcPr>
            <w:tcW w:w="0" w:type="auto"/>
            <w:vAlign w:val="center"/>
          </w:tcPr>
          <w:p>
            <w:pPr>
              <w:spacing w:line="360" w:lineRule="auto"/>
              <w:jc w:val="center"/>
              <w:rPr>
                <w:rFonts w:eastAsia="宋体" w:cs="Times New Roman"/>
                <w:sz w:val="21"/>
              </w:rPr>
            </w:pPr>
            <w:r>
              <w:rPr>
                <w:rFonts w:eastAsia="宋体" w:cs="Times New Roman"/>
                <w:sz w:val="21"/>
              </w:rPr>
              <w:t>0.1</w:t>
            </w:r>
          </w:p>
        </w:tc>
        <w:tc>
          <w:tcPr>
            <w:tcW w:w="0" w:type="auto"/>
            <w:vAlign w:val="center"/>
          </w:tcPr>
          <w:p>
            <w:pPr>
              <w:spacing w:line="360" w:lineRule="auto"/>
              <w:jc w:val="center"/>
              <w:rPr>
                <w:rFonts w:eastAsia="宋体" w:cs="Times New Roman"/>
                <w:sz w:val="21"/>
              </w:rPr>
            </w:pPr>
            <w:r>
              <w:rPr>
                <w:rFonts w:eastAsia="宋体" w:cs="Times New Roman"/>
                <w:sz w:val="21"/>
              </w:rPr>
              <w:t>0.2</w:t>
            </w:r>
          </w:p>
        </w:tc>
        <w:tc>
          <w:tcPr>
            <w:tcW w:w="0" w:type="auto"/>
            <w:vAlign w:val="center"/>
          </w:tcPr>
          <w:p>
            <w:pPr>
              <w:spacing w:line="360" w:lineRule="auto"/>
              <w:jc w:val="center"/>
              <w:rPr>
                <w:rFonts w:eastAsia="宋体" w:cs="Times New Roman"/>
                <w:sz w:val="21"/>
              </w:rPr>
            </w:pPr>
            <w:r>
              <w:rPr>
                <w:rFonts w:eastAsia="宋体" w:cs="Times New Roman"/>
                <w:sz w:val="21"/>
              </w:rPr>
              <w:t>0.2</w:t>
            </w:r>
          </w:p>
        </w:tc>
        <w:tc>
          <w:tcPr>
            <w:tcW w:w="0" w:type="auto"/>
            <w:vAlign w:val="center"/>
          </w:tcPr>
          <w:p>
            <w:pPr>
              <w:spacing w:line="360" w:lineRule="auto"/>
              <w:jc w:val="center"/>
              <w:rPr>
                <w:rFonts w:eastAsia="宋体" w:cs="Times New Roman"/>
                <w:sz w:val="21"/>
              </w:rPr>
            </w:pPr>
            <w:r>
              <w:rPr>
                <w:rFonts w:eastAsia="宋体" w:cs="Times New Roman"/>
                <w:sz w:val="21"/>
              </w:rPr>
              <w:t>0.1</w:t>
            </w:r>
          </w:p>
        </w:tc>
        <w:tc>
          <w:tcPr>
            <w:tcW w:w="0" w:type="auto"/>
            <w:vAlign w:val="center"/>
          </w:tcPr>
          <w:p>
            <w:pPr>
              <w:spacing w:line="360" w:lineRule="auto"/>
              <w:jc w:val="center"/>
              <w:rPr>
                <w:rFonts w:eastAsia="宋体" w:cs="Times New Roman"/>
                <w:sz w:val="21"/>
              </w:rPr>
            </w:pPr>
            <w:r>
              <w:rPr>
                <w:rFonts w:eastAsia="宋体" w:cs="Times New Roman"/>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0" w:type="auto"/>
            <w:vMerge w:val="continue"/>
            <w:vAlign w:val="center"/>
          </w:tcPr>
          <w:p>
            <w:pPr>
              <w:spacing w:line="360" w:lineRule="auto"/>
              <w:jc w:val="center"/>
              <w:rPr>
                <w:rFonts w:eastAsia="宋体" w:cs="Times New Roman"/>
                <w:sz w:val="21"/>
              </w:rPr>
            </w:pPr>
          </w:p>
        </w:tc>
        <w:tc>
          <w:tcPr>
            <w:tcW w:w="0" w:type="auto"/>
            <w:vMerge w:val="continue"/>
            <w:vAlign w:val="center"/>
          </w:tcPr>
          <w:p>
            <w:pPr>
              <w:spacing w:line="360" w:lineRule="auto"/>
              <w:jc w:val="center"/>
              <w:rPr>
                <w:rFonts w:eastAsia="宋体" w:cs="Times New Roman"/>
                <w:sz w:val="21"/>
              </w:rPr>
            </w:pPr>
          </w:p>
        </w:tc>
        <w:tc>
          <w:tcPr>
            <w:tcW w:w="0" w:type="auto"/>
            <w:vAlign w:val="center"/>
          </w:tcPr>
          <w:p>
            <w:pPr>
              <w:autoSpaceDE w:val="0"/>
              <w:autoSpaceDN w:val="0"/>
              <w:adjustRightInd w:val="0"/>
              <w:jc w:val="center"/>
              <w:rPr>
                <w:rFonts w:eastAsia="宋体" w:cs="Times New Roman"/>
                <w:kern w:val="0"/>
                <w:sz w:val="21"/>
              </w:rPr>
            </w:pPr>
            <w:r>
              <w:rPr>
                <w:rFonts w:eastAsia="宋体" w:cs="Times New Roman"/>
                <w:kern w:val="0"/>
                <w:sz w:val="21"/>
              </w:rPr>
              <w:t>折算浓度</w:t>
            </w:r>
          </w:p>
          <w:p>
            <w:pPr>
              <w:spacing w:line="360" w:lineRule="auto"/>
              <w:jc w:val="center"/>
              <w:rPr>
                <w:rFonts w:eastAsia="宋体" w:cs="Times New Roman"/>
                <w:sz w:val="21"/>
              </w:rPr>
            </w:pPr>
            <w:r>
              <w:rPr>
                <w:rFonts w:eastAsia="宋体" w:cs="Times New Roman"/>
                <w:kern w:val="0"/>
                <w:sz w:val="21"/>
              </w:rPr>
              <w:t>（</w:t>
            </w:r>
            <w:r>
              <w:rPr>
                <w:rFonts w:eastAsia="TimesNewRomanPSMT" w:cs="Times New Roman"/>
                <w:kern w:val="0"/>
                <w:sz w:val="21"/>
              </w:rPr>
              <w:t>mg/m</w:t>
            </w:r>
            <w:r>
              <w:rPr>
                <w:rFonts w:eastAsia="TimesNewRomanPSMT" w:cs="Times New Roman"/>
                <w:kern w:val="0"/>
                <w:sz w:val="21"/>
                <w:vertAlign w:val="superscript"/>
              </w:rPr>
              <w:t>3</w:t>
            </w:r>
            <w:r>
              <w:rPr>
                <w:rFonts w:eastAsia="宋体" w:cs="Times New Roman"/>
                <w:kern w:val="0"/>
                <w:sz w:val="21"/>
              </w:rPr>
              <w:t>）</w:t>
            </w:r>
          </w:p>
        </w:tc>
        <w:tc>
          <w:tcPr>
            <w:tcW w:w="0" w:type="auto"/>
            <w:vAlign w:val="center"/>
          </w:tcPr>
          <w:p>
            <w:pPr>
              <w:spacing w:line="360" w:lineRule="auto"/>
              <w:jc w:val="center"/>
              <w:rPr>
                <w:rFonts w:eastAsia="宋体" w:cs="Times New Roman"/>
                <w:sz w:val="21"/>
              </w:rPr>
            </w:pPr>
            <w:r>
              <w:rPr>
                <w:rFonts w:eastAsia="宋体" w:cs="Times New Roman"/>
                <w:sz w:val="21"/>
              </w:rPr>
              <w:t>0.2</w:t>
            </w:r>
          </w:p>
        </w:tc>
        <w:tc>
          <w:tcPr>
            <w:tcW w:w="0" w:type="auto"/>
            <w:vAlign w:val="center"/>
          </w:tcPr>
          <w:p>
            <w:pPr>
              <w:spacing w:line="360" w:lineRule="auto"/>
              <w:jc w:val="center"/>
              <w:rPr>
                <w:rFonts w:eastAsia="宋体" w:cs="Times New Roman"/>
                <w:sz w:val="21"/>
              </w:rPr>
            </w:pPr>
            <w:r>
              <w:rPr>
                <w:rFonts w:eastAsia="宋体" w:cs="Times New Roman"/>
                <w:sz w:val="21"/>
              </w:rPr>
              <w:t>0.2</w:t>
            </w:r>
          </w:p>
        </w:tc>
        <w:tc>
          <w:tcPr>
            <w:tcW w:w="0" w:type="auto"/>
            <w:vAlign w:val="center"/>
          </w:tcPr>
          <w:p>
            <w:pPr>
              <w:spacing w:line="360" w:lineRule="auto"/>
              <w:jc w:val="center"/>
              <w:rPr>
                <w:rFonts w:eastAsia="宋体" w:cs="Times New Roman"/>
                <w:sz w:val="21"/>
              </w:rPr>
            </w:pPr>
            <w:r>
              <w:rPr>
                <w:rFonts w:eastAsia="宋体" w:cs="Times New Roman"/>
                <w:sz w:val="21"/>
              </w:rPr>
              <w:t>0.2</w:t>
            </w:r>
          </w:p>
        </w:tc>
        <w:tc>
          <w:tcPr>
            <w:tcW w:w="0" w:type="auto"/>
            <w:vAlign w:val="center"/>
          </w:tcPr>
          <w:p>
            <w:pPr>
              <w:spacing w:line="360" w:lineRule="auto"/>
              <w:jc w:val="center"/>
              <w:rPr>
                <w:rFonts w:eastAsia="宋体" w:cs="Times New Roman"/>
                <w:sz w:val="21"/>
              </w:rPr>
            </w:pPr>
            <w:r>
              <w:rPr>
                <w:rFonts w:eastAsia="宋体" w:cs="Times New Roman"/>
                <w:sz w:val="21"/>
              </w:rPr>
              <w:t>0.5</w:t>
            </w:r>
          </w:p>
        </w:tc>
        <w:tc>
          <w:tcPr>
            <w:tcW w:w="0" w:type="auto"/>
            <w:vAlign w:val="center"/>
          </w:tcPr>
          <w:p>
            <w:pPr>
              <w:spacing w:line="360" w:lineRule="auto"/>
              <w:jc w:val="center"/>
              <w:rPr>
                <w:rFonts w:eastAsia="宋体" w:cs="Times New Roman"/>
                <w:sz w:val="21"/>
              </w:rPr>
            </w:pPr>
            <w:r>
              <w:rPr>
                <w:rFonts w:eastAsia="宋体" w:cs="Times New Roman"/>
                <w:sz w:val="21"/>
              </w:rPr>
              <w:t>0.5</w:t>
            </w:r>
          </w:p>
        </w:tc>
        <w:tc>
          <w:tcPr>
            <w:tcW w:w="0" w:type="auto"/>
            <w:vAlign w:val="center"/>
          </w:tcPr>
          <w:p>
            <w:pPr>
              <w:spacing w:line="360" w:lineRule="auto"/>
              <w:jc w:val="center"/>
              <w:rPr>
                <w:rFonts w:eastAsia="宋体" w:cs="Times New Roman"/>
                <w:sz w:val="21"/>
              </w:rPr>
            </w:pPr>
            <w:r>
              <w:rPr>
                <w:rFonts w:eastAsia="宋体" w:cs="Times New Roman"/>
                <w:sz w:val="21"/>
              </w:rPr>
              <w:t>0.3</w:t>
            </w:r>
          </w:p>
        </w:tc>
        <w:tc>
          <w:tcPr>
            <w:tcW w:w="0" w:type="auto"/>
            <w:vAlign w:val="center"/>
          </w:tcPr>
          <w:p>
            <w:pPr>
              <w:spacing w:line="360" w:lineRule="auto"/>
              <w:jc w:val="center"/>
              <w:rPr>
                <w:rFonts w:eastAsia="宋体" w:cs="Times New Roman"/>
                <w:sz w:val="21"/>
              </w:rPr>
            </w:pPr>
            <w:r>
              <w:rPr>
                <w:rFonts w:eastAsia="宋体" w:cs="Times New Roman"/>
                <w:sz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spacing w:line="360" w:lineRule="auto"/>
              <w:jc w:val="center"/>
              <w:rPr>
                <w:rFonts w:eastAsia="宋体" w:cs="Times New Roman"/>
                <w:sz w:val="21"/>
              </w:rPr>
            </w:pPr>
          </w:p>
        </w:tc>
        <w:tc>
          <w:tcPr>
            <w:tcW w:w="0" w:type="auto"/>
            <w:vMerge w:val="continue"/>
            <w:vAlign w:val="center"/>
          </w:tcPr>
          <w:p>
            <w:pPr>
              <w:spacing w:line="360" w:lineRule="auto"/>
              <w:jc w:val="center"/>
              <w:rPr>
                <w:rFonts w:eastAsia="宋体" w:cs="Times New Roman"/>
                <w:sz w:val="21"/>
              </w:rPr>
            </w:pPr>
          </w:p>
        </w:tc>
        <w:tc>
          <w:tcPr>
            <w:tcW w:w="0" w:type="auto"/>
            <w:vAlign w:val="center"/>
          </w:tcPr>
          <w:p>
            <w:pPr>
              <w:autoSpaceDE w:val="0"/>
              <w:autoSpaceDN w:val="0"/>
              <w:adjustRightInd w:val="0"/>
              <w:jc w:val="center"/>
              <w:rPr>
                <w:rFonts w:eastAsia="宋体" w:cs="Times New Roman"/>
                <w:kern w:val="0"/>
                <w:sz w:val="21"/>
              </w:rPr>
            </w:pPr>
            <w:r>
              <w:rPr>
                <w:rFonts w:eastAsia="宋体" w:cs="Times New Roman"/>
                <w:kern w:val="0"/>
                <w:sz w:val="21"/>
              </w:rPr>
              <w:t>排放速率</w:t>
            </w:r>
            <w:r>
              <w:rPr>
                <w:rFonts w:hint="eastAsia" w:eastAsia="宋体" w:cs="Times New Roman"/>
                <w:kern w:val="0"/>
                <w:sz w:val="21"/>
              </w:rPr>
              <w:t>（kg/h）</w:t>
            </w:r>
          </w:p>
        </w:tc>
        <w:tc>
          <w:tcPr>
            <w:tcW w:w="0" w:type="auto"/>
            <w:vAlign w:val="center"/>
          </w:tcPr>
          <w:p>
            <w:pPr>
              <w:spacing w:line="360" w:lineRule="auto"/>
              <w:jc w:val="center"/>
              <w:rPr>
                <w:rFonts w:eastAsia="宋体" w:cs="Times New Roman"/>
                <w:sz w:val="21"/>
              </w:rPr>
            </w:pPr>
            <w:r>
              <w:rPr>
                <w:rFonts w:hint="eastAsia" w:eastAsia="宋体" w:cs="Times New Roman"/>
                <w:sz w:val="21"/>
              </w:rPr>
              <w:t>0.002</w:t>
            </w:r>
          </w:p>
        </w:tc>
        <w:tc>
          <w:tcPr>
            <w:tcW w:w="0" w:type="auto"/>
            <w:vAlign w:val="center"/>
          </w:tcPr>
          <w:p>
            <w:pPr>
              <w:spacing w:line="360" w:lineRule="auto"/>
              <w:jc w:val="center"/>
              <w:rPr>
                <w:rFonts w:eastAsia="宋体" w:cs="Times New Roman"/>
                <w:sz w:val="21"/>
              </w:rPr>
            </w:pPr>
            <w:r>
              <w:rPr>
                <w:rFonts w:hint="eastAsia" w:eastAsia="宋体" w:cs="Times New Roman"/>
                <w:sz w:val="21"/>
              </w:rPr>
              <w:t>0.002</w:t>
            </w:r>
          </w:p>
        </w:tc>
        <w:tc>
          <w:tcPr>
            <w:tcW w:w="0" w:type="auto"/>
            <w:vAlign w:val="center"/>
          </w:tcPr>
          <w:p>
            <w:pPr>
              <w:spacing w:line="360" w:lineRule="auto"/>
              <w:jc w:val="center"/>
              <w:rPr>
                <w:rFonts w:eastAsia="宋体" w:cs="Times New Roman"/>
                <w:sz w:val="21"/>
              </w:rPr>
            </w:pPr>
            <w:r>
              <w:rPr>
                <w:rFonts w:hint="eastAsia" w:eastAsia="宋体" w:cs="Times New Roman"/>
                <w:sz w:val="21"/>
              </w:rPr>
              <w:t>0.002</w:t>
            </w:r>
          </w:p>
        </w:tc>
        <w:tc>
          <w:tcPr>
            <w:tcW w:w="0" w:type="auto"/>
            <w:vAlign w:val="center"/>
          </w:tcPr>
          <w:p>
            <w:pPr>
              <w:spacing w:line="360" w:lineRule="auto"/>
              <w:jc w:val="center"/>
              <w:rPr>
                <w:rFonts w:eastAsia="宋体" w:cs="Times New Roman"/>
                <w:sz w:val="21"/>
              </w:rPr>
            </w:pPr>
            <w:r>
              <w:rPr>
                <w:rFonts w:hint="eastAsia" w:eastAsia="宋体" w:cs="Times New Roman"/>
                <w:sz w:val="21"/>
              </w:rPr>
              <w:t>0.005</w:t>
            </w:r>
          </w:p>
        </w:tc>
        <w:tc>
          <w:tcPr>
            <w:tcW w:w="0" w:type="auto"/>
            <w:vAlign w:val="center"/>
          </w:tcPr>
          <w:p>
            <w:pPr>
              <w:spacing w:line="360" w:lineRule="auto"/>
              <w:jc w:val="center"/>
              <w:rPr>
                <w:rFonts w:eastAsia="宋体" w:cs="Times New Roman"/>
                <w:sz w:val="21"/>
              </w:rPr>
            </w:pPr>
            <w:r>
              <w:rPr>
                <w:rFonts w:hint="eastAsia" w:eastAsia="宋体" w:cs="Times New Roman"/>
                <w:sz w:val="21"/>
              </w:rPr>
              <w:t>0.005</w:t>
            </w:r>
          </w:p>
        </w:tc>
        <w:tc>
          <w:tcPr>
            <w:tcW w:w="0" w:type="auto"/>
            <w:vAlign w:val="center"/>
          </w:tcPr>
          <w:p>
            <w:pPr>
              <w:spacing w:line="360" w:lineRule="auto"/>
              <w:jc w:val="center"/>
              <w:rPr>
                <w:rFonts w:eastAsia="宋体" w:cs="Times New Roman"/>
                <w:sz w:val="21"/>
              </w:rPr>
            </w:pPr>
            <w:r>
              <w:rPr>
                <w:rFonts w:eastAsia="宋体" w:cs="Times New Roman"/>
                <w:sz w:val="21"/>
              </w:rPr>
              <w:t>/</w:t>
            </w:r>
          </w:p>
        </w:tc>
        <w:tc>
          <w:tcPr>
            <w:tcW w:w="0" w:type="auto"/>
            <w:vAlign w:val="center"/>
          </w:tcPr>
          <w:p>
            <w:pPr>
              <w:spacing w:line="360" w:lineRule="auto"/>
              <w:jc w:val="center"/>
              <w:rPr>
                <w:rFonts w:eastAsia="宋体" w:cs="Times New Roman"/>
                <w:sz w:val="21"/>
              </w:rPr>
            </w:pPr>
            <w:r>
              <w:rPr>
                <w:rFonts w:eastAsia="宋体" w:cs="Times New Roman"/>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spacing w:line="360" w:lineRule="auto"/>
              <w:jc w:val="center"/>
              <w:rPr>
                <w:rFonts w:eastAsia="宋体" w:cs="Times New Roman"/>
                <w:sz w:val="21"/>
              </w:rPr>
            </w:pPr>
          </w:p>
        </w:tc>
        <w:tc>
          <w:tcPr>
            <w:tcW w:w="0" w:type="auto"/>
            <w:gridSpan w:val="2"/>
            <w:vAlign w:val="center"/>
          </w:tcPr>
          <w:p>
            <w:pPr>
              <w:autoSpaceDE w:val="0"/>
              <w:autoSpaceDN w:val="0"/>
              <w:adjustRightInd w:val="0"/>
              <w:jc w:val="center"/>
              <w:rPr>
                <w:rFonts w:eastAsia="宋体" w:cs="Times New Roman"/>
                <w:kern w:val="0"/>
                <w:sz w:val="21"/>
              </w:rPr>
            </w:pPr>
            <w:r>
              <w:rPr>
                <w:rFonts w:eastAsia="宋体" w:cs="Times New Roman"/>
                <w:kern w:val="0"/>
                <w:sz w:val="21"/>
              </w:rPr>
              <w:t>是否达标</w:t>
            </w:r>
          </w:p>
        </w:tc>
        <w:tc>
          <w:tcPr>
            <w:tcW w:w="0" w:type="auto"/>
            <w:vAlign w:val="center"/>
          </w:tcPr>
          <w:p>
            <w:pPr>
              <w:spacing w:line="360" w:lineRule="auto"/>
              <w:jc w:val="center"/>
              <w:rPr>
                <w:rFonts w:eastAsia="宋体" w:cs="Times New Roman"/>
                <w:kern w:val="0"/>
                <w:sz w:val="21"/>
              </w:rPr>
            </w:pPr>
            <w:r>
              <w:rPr>
                <w:rFonts w:hint="eastAsia" w:eastAsia="宋体" w:cs="Times New Roman"/>
                <w:kern w:val="0"/>
                <w:sz w:val="21"/>
              </w:rPr>
              <w:t>达标</w:t>
            </w:r>
          </w:p>
        </w:tc>
        <w:tc>
          <w:tcPr>
            <w:tcW w:w="0" w:type="auto"/>
            <w:vAlign w:val="center"/>
          </w:tcPr>
          <w:p>
            <w:pPr>
              <w:spacing w:line="360" w:lineRule="auto"/>
              <w:jc w:val="center"/>
              <w:rPr>
                <w:rFonts w:eastAsia="宋体" w:cs="Times New Roman"/>
                <w:kern w:val="0"/>
                <w:sz w:val="21"/>
              </w:rPr>
            </w:pPr>
            <w:r>
              <w:rPr>
                <w:rFonts w:hint="eastAsia" w:eastAsia="宋体" w:cs="Times New Roman"/>
                <w:kern w:val="0"/>
                <w:sz w:val="21"/>
              </w:rPr>
              <w:t>达标</w:t>
            </w:r>
          </w:p>
        </w:tc>
        <w:tc>
          <w:tcPr>
            <w:tcW w:w="0" w:type="auto"/>
            <w:vAlign w:val="center"/>
          </w:tcPr>
          <w:p>
            <w:pPr>
              <w:spacing w:line="360" w:lineRule="auto"/>
              <w:jc w:val="center"/>
              <w:rPr>
                <w:rFonts w:eastAsia="宋体" w:cs="Times New Roman"/>
                <w:kern w:val="0"/>
                <w:sz w:val="21"/>
              </w:rPr>
            </w:pPr>
            <w:r>
              <w:rPr>
                <w:rFonts w:hint="eastAsia" w:eastAsia="宋体" w:cs="Times New Roman"/>
                <w:kern w:val="0"/>
                <w:sz w:val="21"/>
              </w:rPr>
              <w:t>达标</w:t>
            </w:r>
          </w:p>
        </w:tc>
        <w:tc>
          <w:tcPr>
            <w:tcW w:w="0" w:type="auto"/>
            <w:vAlign w:val="center"/>
          </w:tcPr>
          <w:p>
            <w:pPr>
              <w:spacing w:line="360" w:lineRule="auto"/>
              <w:jc w:val="center"/>
              <w:rPr>
                <w:rFonts w:eastAsia="宋体" w:cs="Times New Roman"/>
                <w:kern w:val="0"/>
                <w:sz w:val="21"/>
              </w:rPr>
            </w:pPr>
            <w:r>
              <w:rPr>
                <w:rFonts w:hint="eastAsia" w:eastAsia="宋体" w:cs="Times New Roman"/>
                <w:kern w:val="0"/>
                <w:sz w:val="21"/>
              </w:rPr>
              <w:t>达标</w:t>
            </w:r>
          </w:p>
        </w:tc>
        <w:tc>
          <w:tcPr>
            <w:tcW w:w="0" w:type="auto"/>
            <w:vAlign w:val="center"/>
          </w:tcPr>
          <w:p>
            <w:pPr>
              <w:spacing w:line="360" w:lineRule="auto"/>
              <w:jc w:val="center"/>
              <w:rPr>
                <w:rFonts w:eastAsia="宋体" w:cs="Times New Roman"/>
                <w:kern w:val="0"/>
                <w:sz w:val="21"/>
              </w:rPr>
            </w:pPr>
            <w:r>
              <w:rPr>
                <w:rFonts w:hint="eastAsia" w:eastAsia="宋体" w:cs="Times New Roman"/>
                <w:kern w:val="0"/>
                <w:sz w:val="21"/>
              </w:rPr>
              <w:t>达标</w:t>
            </w:r>
          </w:p>
        </w:tc>
        <w:tc>
          <w:tcPr>
            <w:tcW w:w="0" w:type="auto"/>
            <w:vAlign w:val="center"/>
          </w:tcPr>
          <w:p>
            <w:pPr>
              <w:spacing w:line="360" w:lineRule="auto"/>
              <w:jc w:val="center"/>
              <w:rPr>
                <w:rFonts w:eastAsia="宋体" w:cs="Times New Roman"/>
                <w:sz w:val="21"/>
              </w:rPr>
            </w:pPr>
            <w:r>
              <w:rPr>
                <w:rFonts w:hint="eastAsia" w:eastAsia="宋体" w:cs="Times New Roman"/>
                <w:sz w:val="21"/>
              </w:rPr>
              <w:t>/</w:t>
            </w:r>
          </w:p>
        </w:tc>
        <w:tc>
          <w:tcPr>
            <w:tcW w:w="0" w:type="auto"/>
            <w:vAlign w:val="center"/>
          </w:tcPr>
          <w:p>
            <w:pPr>
              <w:spacing w:line="360" w:lineRule="auto"/>
              <w:jc w:val="center"/>
              <w:rPr>
                <w:rFonts w:eastAsia="宋体" w:cs="Times New Roman"/>
                <w:sz w:val="21"/>
              </w:rPr>
            </w:pPr>
            <w:r>
              <w:rPr>
                <w:rFonts w:hint="eastAsia" w:eastAsia="宋体" w:cs="Times New Roman"/>
                <w:sz w:val="21"/>
              </w:rPr>
              <w:t>/</w:t>
            </w:r>
          </w:p>
        </w:tc>
      </w:tr>
    </w:tbl>
    <w:p>
      <w:pPr>
        <w:pStyle w:val="14"/>
        <w:ind w:firstLine="480" w:firstLineChars="200"/>
        <w:jc w:val="both"/>
        <w:rPr>
          <w:b w:val="0"/>
        </w:rPr>
      </w:pPr>
      <w:r>
        <w:rPr>
          <w:b w:val="0"/>
        </w:rPr>
        <w:t>根据上表</w:t>
      </w:r>
      <w:r>
        <w:rPr>
          <w:rFonts w:hint="eastAsia"/>
          <w:b w:val="0"/>
        </w:rPr>
        <w:t>可知，处理之后的式样油烟的排放速率为</w:t>
      </w:r>
      <w:r>
        <w:rPr>
          <w:rFonts w:cs="Times New Roman"/>
          <w:b w:val="0"/>
          <w:color w:val="000000"/>
          <w:kern w:val="0"/>
          <w:szCs w:val="24"/>
        </w:rPr>
        <w:t>0.005kg/h</w:t>
      </w:r>
      <w:r>
        <w:rPr>
          <w:rFonts w:hint="eastAsia" w:cs="Times New Roman"/>
          <w:b w:val="0"/>
          <w:color w:val="000000"/>
          <w:kern w:val="0"/>
          <w:szCs w:val="24"/>
        </w:rPr>
        <w:t>，</w:t>
      </w:r>
      <w:r>
        <w:rPr>
          <w:rFonts w:cs="Times New Roman"/>
          <w:b w:val="0"/>
          <w:color w:val="000000"/>
          <w:kern w:val="0"/>
          <w:szCs w:val="24"/>
        </w:rPr>
        <w:t>排放量为</w:t>
      </w:r>
      <w:r>
        <w:rPr>
          <w:rFonts w:hint="eastAsia" w:cs="Times New Roman"/>
          <w:b w:val="0"/>
          <w:color w:val="000000"/>
          <w:kern w:val="0"/>
          <w:szCs w:val="24"/>
        </w:rPr>
        <w:t>0.0073t/a，排放浓度为0.5</w:t>
      </w:r>
      <w:r>
        <w:rPr>
          <w:rFonts w:hint="eastAsia"/>
          <w:b w:val="0"/>
        </w:rPr>
        <w:t xml:space="preserve"> mg/m</w:t>
      </w:r>
      <w:r>
        <w:rPr>
          <w:rFonts w:hint="eastAsia"/>
          <w:b w:val="0"/>
          <w:vertAlign w:val="superscript"/>
        </w:rPr>
        <w:t>3</w:t>
      </w:r>
      <w:r>
        <w:rPr>
          <w:rFonts w:hint="eastAsia"/>
          <w:b w:val="0"/>
        </w:rPr>
        <w:t>，可满足</w:t>
      </w:r>
      <w:r>
        <w:rPr>
          <w:b w:val="0"/>
        </w:rPr>
        <w:t>《饮食业油烟排放标准》（GB18483-2001）的标准要求</w:t>
      </w:r>
      <w:r>
        <w:rPr>
          <w:rFonts w:hint="eastAsia"/>
          <w:b w:val="0"/>
        </w:rPr>
        <w:t>。</w:t>
      </w:r>
    </w:p>
    <w:p>
      <w:pPr>
        <w:spacing w:line="360" w:lineRule="auto"/>
        <w:ind w:firstLine="480" w:firstLineChars="200"/>
      </w:pPr>
      <w:r>
        <w:rPr>
          <w:rFonts w:hint="eastAsia"/>
        </w:rPr>
        <w:t>（2）锅炉废气</w:t>
      </w:r>
    </w:p>
    <w:p>
      <w:pPr>
        <w:spacing w:line="360" w:lineRule="auto"/>
        <w:ind w:firstLine="480" w:firstLineChars="200"/>
        <w:rPr>
          <w:rFonts w:cs="Times New Roman"/>
          <w:szCs w:val="24"/>
        </w:rPr>
      </w:pPr>
      <w:r>
        <w:rPr>
          <w:rFonts w:cs="Times New Roman"/>
          <w:color w:val="000000" w:themeColor="text1"/>
          <w:kern w:val="0"/>
        </w:rPr>
        <w:t>本医院设置</w:t>
      </w:r>
      <w:r>
        <w:rPr>
          <w:rFonts w:hint="eastAsia" w:cs="Times New Roman"/>
          <w:color w:val="000000" w:themeColor="text1"/>
          <w:kern w:val="0"/>
        </w:rPr>
        <w:t>4</w:t>
      </w:r>
      <w:r>
        <w:rPr>
          <w:rFonts w:cs="Times New Roman"/>
          <w:color w:val="000000" w:themeColor="text1"/>
          <w:kern w:val="0"/>
        </w:rPr>
        <w:t>台</w:t>
      </w:r>
      <w:r>
        <w:rPr>
          <w:rFonts w:hint="eastAsia" w:cs="Times New Roman"/>
          <w:color w:val="000000" w:themeColor="text1"/>
          <w:kern w:val="0"/>
        </w:rPr>
        <w:t>功率为605kw的天然气热水锅炉，分别位于精神大楼旁（一备一用）和老年呵护大楼旁（一备一用）</w:t>
      </w:r>
      <w:r>
        <w:rPr>
          <w:rFonts w:hint="eastAsia"/>
          <w:color w:val="000000" w:themeColor="text1"/>
        </w:rPr>
        <w:t>，一年运行365天。经过现场踏勘，精神大楼旁的天然气锅炉排气筒未达到</w:t>
      </w:r>
      <w:r>
        <w:rPr>
          <w:color w:val="000000" w:themeColor="text1"/>
        </w:rPr>
        <w:t>《锅炉大气污染物排放标准》（GB13271-20</w:t>
      </w:r>
      <w:r>
        <w:rPr>
          <w:rFonts w:hint="eastAsia"/>
          <w:color w:val="000000" w:themeColor="text1"/>
        </w:rPr>
        <w:t>14</w:t>
      </w:r>
      <w:r>
        <w:rPr>
          <w:color w:val="000000" w:themeColor="text1"/>
        </w:rPr>
        <w:t>）</w:t>
      </w:r>
      <w:r>
        <w:rPr>
          <w:rFonts w:hint="eastAsia"/>
          <w:color w:val="000000" w:themeColor="text1"/>
        </w:rPr>
        <w:t>中燃气锅炉排气筒高度的要求（标准中要求燃气锅炉的排气筒高度为8m），需整改。为了解天然气锅炉废气的排放情况，</w:t>
      </w:r>
      <w:r>
        <w:rPr>
          <w:rFonts w:cs="Times New Roman"/>
          <w:color w:val="000000" w:themeColor="text1"/>
          <w:szCs w:val="24"/>
        </w:rPr>
        <w:t>本环评委托湖南精准通检测技术有限公司于2019.8.1~2019.8.2对锅炉排放口进行监测，监测数据见下表所示</w:t>
      </w:r>
      <w:r>
        <w:rPr>
          <w:rFonts w:cs="Times New Roman"/>
          <w:szCs w:val="24"/>
        </w:rPr>
        <w:t>。</w:t>
      </w:r>
    </w:p>
    <w:p>
      <w:pPr>
        <w:pStyle w:val="14"/>
        <w:spacing w:line="240" w:lineRule="auto"/>
        <w:rPr>
          <w:color w:val="000000" w:themeColor="text1"/>
        </w:rPr>
      </w:pPr>
      <w:r>
        <w:rPr>
          <w:rFonts w:hint="eastAsia" w:cs="Times New Roman"/>
          <w:color w:val="000000" w:themeColor="text1"/>
          <w:szCs w:val="24"/>
        </w:rPr>
        <w:t>表</w:t>
      </w:r>
      <w:r>
        <w:rPr>
          <w:rFonts w:cs="Times New Roman"/>
          <w:color w:val="000000" w:themeColor="text1"/>
          <w:szCs w:val="24"/>
        </w:rPr>
        <w:fldChar w:fldCharType="begin"/>
      </w:r>
      <w:r>
        <w:rPr>
          <w:rFonts w:cs="Times New Roman"/>
          <w:color w:val="000000" w:themeColor="text1"/>
          <w:szCs w:val="24"/>
        </w:rPr>
        <w:instrText xml:space="preserve"> </w:instrText>
      </w:r>
      <w:r>
        <w:rPr>
          <w:rFonts w:hint="eastAsia" w:cs="Times New Roman"/>
          <w:color w:val="000000" w:themeColor="text1"/>
          <w:szCs w:val="24"/>
        </w:rPr>
        <w:instrText xml:space="preserve">STYLEREF 2 \s</w:instrText>
      </w:r>
      <w:r>
        <w:rPr>
          <w:rFonts w:cs="Times New Roman"/>
          <w:color w:val="000000" w:themeColor="text1"/>
          <w:szCs w:val="24"/>
        </w:rPr>
        <w:instrText xml:space="preserve"> </w:instrText>
      </w:r>
      <w:r>
        <w:rPr>
          <w:rFonts w:cs="Times New Roman"/>
          <w:color w:val="000000" w:themeColor="text1"/>
          <w:szCs w:val="24"/>
        </w:rPr>
        <w:fldChar w:fldCharType="separate"/>
      </w:r>
      <w:r>
        <w:rPr>
          <w:rFonts w:cs="Times New Roman"/>
          <w:color w:val="000000" w:themeColor="text1"/>
          <w:szCs w:val="24"/>
        </w:rPr>
        <w:t>5.2</w:t>
      </w:r>
      <w:r>
        <w:rPr>
          <w:rFonts w:cs="Times New Roman"/>
          <w:color w:val="000000" w:themeColor="text1"/>
          <w:szCs w:val="24"/>
        </w:rPr>
        <w:fldChar w:fldCharType="end"/>
      </w:r>
      <w:r>
        <w:rPr>
          <w:rFonts w:cs="Times New Roman"/>
          <w:color w:val="000000" w:themeColor="text1"/>
          <w:szCs w:val="24"/>
        </w:rPr>
        <w:noBreakHyphen/>
      </w:r>
      <w:r>
        <w:rPr>
          <w:rFonts w:cs="Times New Roman"/>
          <w:color w:val="000000" w:themeColor="text1"/>
          <w:szCs w:val="24"/>
        </w:rPr>
        <w:fldChar w:fldCharType="begin"/>
      </w:r>
      <w:r>
        <w:rPr>
          <w:rFonts w:cs="Times New Roman"/>
          <w:color w:val="000000" w:themeColor="text1"/>
          <w:szCs w:val="24"/>
        </w:rPr>
        <w:instrText xml:space="preserve"> </w:instrText>
      </w:r>
      <w:r>
        <w:rPr>
          <w:rFonts w:hint="eastAsia" w:cs="Times New Roman"/>
          <w:color w:val="000000" w:themeColor="text1"/>
          <w:szCs w:val="24"/>
        </w:rPr>
        <w:instrText xml:space="preserve">SEQ 表 \* ARABIC \s 2</w:instrText>
      </w:r>
      <w:r>
        <w:rPr>
          <w:rFonts w:cs="Times New Roman"/>
          <w:color w:val="000000" w:themeColor="text1"/>
          <w:szCs w:val="24"/>
        </w:rPr>
        <w:instrText xml:space="preserve"> </w:instrText>
      </w:r>
      <w:r>
        <w:rPr>
          <w:rFonts w:cs="Times New Roman"/>
          <w:color w:val="000000" w:themeColor="text1"/>
          <w:szCs w:val="24"/>
        </w:rPr>
        <w:fldChar w:fldCharType="separate"/>
      </w:r>
      <w:r>
        <w:rPr>
          <w:rFonts w:cs="Times New Roman"/>
          <w:color w:val="000000" w:themeColor="text1"/>
          <w:szCs w:val="24"/>
        </w:rPr>
        <w:t>16</w:t>
      </w:r>
      <w:r>
        <w:rPr>
          <w:rFonts w:cs="Times New Roman"/>
          <w:color w:val="000000" w:themeColor="text1"/>
          <w:szCs w:val="24"/>
        </w:rPr>
        <w:fldChar w:fldCharType="end"/>
      </w:r>
      <w:r>
        <w:rPr>
          <w:rFonts w:hint="eastAsia"/>
          <w:color w:val="000000" w:themeColor="text1"/>
          <w:kern w:val="0"/>
        </w:rPr>
        <w:t>锅炉废气监测结果一览表</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0"/>
        <w:gridCol w:w="978"/>
        <w:gridCol w:w="2102"/>
        <w:gridCol w:w="1540"/>
        <w:gridCol w:w="1541"/>
        <w:gridCol w:w="1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Merge w:val="restart"/>
            <w:vAlign w:val="center"/>
          </w:tcPr>
          <w:p>
            <w:pPr>
              <w:pStyle w:val="14"/>
              <w:snapToGrid w:val="0"/>
              <w:spacing w:line="240" w:lineRule="auto"/>
              <w:rPr>
                <w:b w:val="0"/>
                <w:color w:val="000000" w:themeColor="text1"/>
                <w:kern w:val="0"/>
                <w:sz w:val="21"/>
                <w:szCs w:val="21"/>
              </w:rPr>
            </w:pPr>
            <w:r>
              <w:rPr>
                <w:b w:val="0"/>
                <w:color w:val="000000" w:themeColor="text1"/>
                <w:kern w:val="0"/>
                <w:sz w:val="21"/>
                <w:szCs w:val="21"/>
              </w:rPr>
              <w:t>采样点位</w:t>
            </w:r>
          </w:p>
        </w:tc>
        <w:tc>
          <w:tcPr>
            <w:tcW w:w="3080" w:type="dxa"/>
            <w:gridSpan w:val="2"/>
            <w:vMerge w:val="restart"/>
            <w:vAlign w:val="center"/>
          </w:tcPr>
          <w:p>
            <w:pPr>
              <w:pStyle w:val="14"/>
              <w:snapToGrid w:val="0"/>
              <w:spacing w:line="240" w:lineRule="auto"/>
              <w:rPr>
                <w:b w:val="0"/>
                <w:color w:val="000000" w:themeColor="text1"/>
                <w:kern w:val="0"/>
                <w:sz w:val="21"/>
                <w:szCs w:val="21"/>
              </w:rPr>
            </w:pPr>
            <w:r>
              <w:rPr>
                <w:b w:val="0"/>
                <w:color w:val="000000" w:themeColor="text1"/>
                <w:kern w:val="0"/>
                <w:sz w:val="21"/>
                <w:szCs w:val="21"/>
              </w:rPr>
              <w:t>检测项目</w:t>
            </w:r>
          </w:p>
        </w:tc>
        <w:tc>
          <w:tcPr>
            <w:tcW w:w="3081" w:type="dxa"/>
            <w:gridSpan w:val="2"/>
            <w:vAlign w:val="center"/>
          </w:tcPr>
          <w:p>
            <w:pPr>
              <w:pStyle w:val="14"/>
              <w:snapToGrid w:val="0"/>
              <w:spacing w:line="240" w:lineRule="auto"/>
              <w:rPr>
                <w:b w:val="0"/>
                <w:color w:val="000000" w:themeColor="text1"/>
                <w:kern w:val="0"/>
                <w:sz w:val="21"/>
                <w:szCs w:val="21"/>
              </w:rPr>
            </w:pPr>
            <w:r>
              <w:rPr>
                <w:b w:val="0"/>
                <w:color w:val="000000" w:themeColor="text1"/>
                <w:kern w:val="0"/>
                <w:sz w:val="21"/>
                <w:szCs w:val="21"/>
              </w:rPr>
              <w:t>检测结果</w:t>
            </w:r>
          </w:p>
        </w:tc>
        <w:tc>
          <w:tcPr>
            <w:tcW w:w="1541" w:type="dxa"/>
            <w:vMerge w:val="restart"/>
            <w:vAlign w:val="center"/>
          </w:tcPr>
          <w:p>
            <w:pPr>
              <w:pStyle w:val="14"/>
              <w:snapToGrid w:val="0"/>
              <w:spacing w:line="240" w:lineRule="auto"/>
              <w:rPr>
                <w:b w:val="0"/>
                <w:color w:val="000000" w:themeColor="text1"/>
                <w:kern w:val="0"/>
                <w:sz w:val="21"/>
                <w:szCs w:val="21"/>
              </w:rPr>
            </w:pPr>
            <w:r>
              <w:rPr>
                <w:b w:val="0"/>
                <w:color w:val="000000" w:themeColor="text1"/>
                <w:kern w:val="0"/>
                <w:sz w:val="21"/>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Merge w:val="continue"/>
            <w:vAlign w:val="center"/>
          </w:tcPr>
          <w:p>
            <w:pPr>
              <w:pStyle w:val="14"/>
              <w:snapToGrid w:val="0"/>
              <w:spacing w:line="240" w:lineRule="auto"/>
              <w:rPr>
                <w:b w:val="0"/>
                <w:color w:val="000000" w:themeColor="text1"/>
                <w:kern w:val="0"/>
                <w:sz w:val="21"/>
                <w:szCs w:val="21"/>
              </w:rPr>
            </w:pPr>
          </w:p>
        </w:tc>
        <w:tc>
          <w:tcPr>
            <w:tcW w:w="3080" w:type="dxa"/>
            <w:gridSpan w:val="2"/>
            <w:vMerge w:val="continue"/>
            <w:vAlign w:val="center"/>
          </w:tcPr>
          <w:p>
            <w:pPr>
              <w:pStyle w:val="14"/>
              <w:snapToGrid w:val="0"/>
              <w:spacing w:line="240" w:lineRule="auto"/>
              <w:rPr>
                <w:b w:val="0"/>
                <w:color w:val="000000" w:themeColor="text1"/>
                <w:kern w:val="0"/>
                <w:sz w:val="21"/>
                <w:szCs w:val="21"/>
              </w:rPr>
            </w:pPr>
          </w:p>
        </w:tc>
        <w:tc>
          <w:tcPr>
            <w:tcW w:w="1540" w:type="dxa"/>
            <w:vAlign w:val="center"/>
          </w:tcPr>
          <w:p>
            <w:pPr>
              <w:pStyle w:val="14"/>
              <w:snapToGrid w:val="0"/>
              <w:spacing w:line="240" w:lineRule="auto"/>
              <w:rPr>
                <w:b w:val="0"/>
                <w:color w:val="000000" w:themeColor="text1"/>
                <w:kern w:val="0"/>
                <w:sz w:val="21"/>
                <w:szCs w:val="21"/>
              </w:rPr>
            </w:pPr>
            <w:r>
              <w:rPr>
                <w:rFonts w:hint="eastAsia"/>
                <w:b w:val="0"/>
                <w:color w:val="000000" w:themeColor="text1"/>
                <w:kern w:val="0"/>
                <w:sz w:val="21"/>
                <w:szCs w:val="21"/>
              </w:rPr>
              <w:t>2019.8.1</w:t>
            </w:r>
          </w:p>
        </w:tc>
        <w:tc>
          <w:tcPr>
            <w:tcW w:w="1541" w:type="dxa"/>
            <w:vAlign w:val="center"/>
          </w:tcPr>
          <w:p>
            <w:pPr>
              <w:pStyle w:val="14"/>
              <w:snapToGrid w:val="0"/>
              <w:spacing w:line="240" w:lineRule="auto"/>
              <w:rPr>
                <w:b w:val="0"/>
                <w:color w:val="000000" w:themeColor="text1"/>
                <w:kern w:val="0"/>
                <w:sz w:val="21"/>
                <w:szCs w:val="21"/>
              </w:rPr>
            </w:pPr>
            <w:r>
              <w:rPr>
                <w:rFonts w:hint="eastAsia"/>
                <w:b w:val="0"/>
                <w:color w:val="000000" w:themeColor="text1"/>
                <w:kern w:val="0"/>
                <w:sz w:val="21"/>
                <w:szCs w:val="21"/>
              </w:rPr>
              <w:t>2019.8.2</w:t>
            </w:r>
          </w:p>
        </w:tc>
        <w:tc>
          <w:tcPr>
            <w:tcW w:w="1541" w:type="dxa"/>
            <w:vMerge w:val="continue"/>
            <w:vAlign w:val="center"/>
          </w:tcPr>
          <w:p>
            <w:pPr>
              <w:pStyle w:val="14"/>
              <w:snapToGrid w:val="0"/>
              <w:spacing w:line="240" w:lineRule="auto"/>
              <w:rPr>
                <w:b w:val="0"/>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Merge w:val="restart"/>
            <w:vAlign w:val="center"/>
          </w:tcPr>
          <w:p>
            <w:pPr>
              <w:pStyle w:val="14"/>
              <w:snapToGrid w:val="0"/>
              <w:spacing w:line="240" w:lineRule="auto"/>
              <w:rPr>
                <w:b w:val="0"/>
                <w:color w:val="000000" w:themeColor="text1"/>
                <w:kern w:val="0"/>
                <w:sz w:val="21"/>
                <w:szCs w:val="21"/>
              </w:rPr>
            </w:pPr>
            <w:r>
              <w:rPr>
                <w:rFonts w:hint="eastAsia"/>
                <w:b w:val="0"/>
                <w:color w:val="000000" w:themeColor="text1"/>
                <w:kern w:val="0"/>
                <w:sz w:val="21"/>
                <w:szCs w:val="21"/>
              </w:rPr>
              <w:t>G3锅炉废气排放口</w:t>
            </w:r>
          </w:p>
        </w:tc>
        <w:tc>
          <w:tcPr>
            <w:tcW w:w="3080" w:type="dxa"/>
            <w:gridSpan w:val="2"/>
            <w:vAlign w:val="center"/>
          </w:tcPr>
          <w:p>
            <w:pPr>
              <w:pStyle w:val="14"/>
              <w:snapToGrid w:val="0"/>
              <w:spacing w:line="240" w:lineRule="auto"/>
              <w:rPr>
                <w:b w:val="0"/>
                <w:color w:val="000000" w:themeColor="text1"/>
                <w:kern w:val="0"/>
                <w:sz w:val="21"/>
                <w:szCs w:val="21"/>
              </w:rPr>
            </w:pPr>
            <w:r>
              <w:rPr>
                <w:rFonts w:hint="eastAsia" w:ascii="宋体" w:cs="宋体" w:hAnsiTheme="minorHAnsi"/>
                <w:b w:val="0"/>
                <w:color w:val="000000" w:themeColor="text1"/>
                <w:kern w:val="0"/>
                <w:sz w:val="21"/>
                <w:szCs w:val="21"/>
              </w:rPr>
              <w:t>标干流量（</w:t>
            </w:r>
            <w:r>
              <w:rPr>
                <w:rFonts w:ascii="TimesNewRomanPSMT" w:eastAsia="TimesNewRomanPSMT" w:cs="TimesNewRomanPSMT" w:hAnsiTheme="minorHAnsi"/>
                <w:b w:val="0"/>
                <w:color w:val="000000" w:themeColor="text1"/>
                <w:kern w:val="0"/>
                <w:sz w:val="21"/>
                <w:szCs w:val="21"/>
              </w:rPr>
              <w:t>N</w:t>
            </w:r>
            <w:r>
              <w:rPr>
                <w:rFonts w:hint="eastAsia" w:ascii="TimesNewRomanPSMT" w:eastAsia="TimesNewRomanPSMT" w:cs="TimesNewRomanPSMT" w:hAnsiTheme="minorHAnsi"/>
                <w:b w:val="0"/>
                <w:color w:val="000000" w:themeColor="text1"/>
                <w:kern w:val="0"/>
                <w:sz w:val="21"/>
                <w:szCs w:val="21"/>
              </w:rPr>
              <w:t>·</w:t>
            </w:r>
            <w:r>
              <w:rPr>
                <w:rFonts w:ascii="TimesNewRomanPSMT" w:eastAsia="TimesNewRomanPSMT" w:cs="TimesNewRomanPSMT" w:hAnsiTheme="minorHAnsi"/>
                <w:b w:val="0"/>
                <w:color w:val="000000" w:themeColor="text1"/>
                <w:kern w:val="0"/>
                <w:sz w:val="21"/>
                <w:szCs w:val="21"/>
              </w:rPr>
              <w:t>m</w:t>
            </w:r>
            <w:r>
              <w:rPr>
                <w:rFonts w:ascii="TimesNewRomanPSMT" w:eastAsia="TimesNewRomanPSMT" w:cs="TimesNewRomanPSMT" w:hAnsiTheme="minorHAnsi"/>
                <w:b w:val="0"/>
                <w:color w:val="000000" w:themeColor="text1"/>
                <w:kern w:val="0"/>
                <w:sz w:val="21"/>
                <w:szCs w:val="21"/>
                <w:vertAlign w:val="superscript"/>
              </w:rPr>
              <w:t>3</w:t>
            </w:r>
            <w:r>
              <w:rPr>
                <w:rFonts w:ascii="TimesNewRomanPSMT" w:eastAsia="TimesNewRomanPSMT" w:cs="TimesNewRomanPSMT" w:hAnsiTheme="minorHAnsi"/>
                <w:b w:val="0"/>
                <w:color w:val="000000" w:themeColor="text1"/>
                <w:kern w:val="0"/>
                <w:sz w:val="21"/>
                <w:szCs w:val="21"/>
              </w:rPr>
              <w:t>/h</w:t>
            </w:r>
            <w:r>
              <w:rPr>
                <w:rFonts w:hint="eastAsia" w:ascii="宋体" w:cs="宋体" w:hAnsiTheme="minorHAnsi"/>
                <w:b w:val="0"/>
                <w:color w:val="000000" w:themeColor="text1"/>
                <w:kern w:val="0"/>
                <w:sz w:val="21"/>
                <w:szCs w:val="21"/>
              </w:rPr>
              <w:t>）</w:t>
            </w:r>
          </w:p>
        </w:tc>
        <w:tc>
          <w:tcPr>
            <w:tcW w:w="1540" w:type="dxa"/>
            <w:vAlign w:val="center"/>
          </w:tcPr>
          <w:p>
            <w:pPr>
              <w:pStyle w:val="14"/>
              <w:snapToGrid w:val="0"/>
              <w:spacing w:line="240" w:lineRule="auto"/>
              <w:rPr>
                <w:b w:val="0"/>
                <w:color w:val="000000" w:themeColor="text1"/>
                <w:kern w:val="0"/>
                <w:sz w:val="21"/>
                <w:szCs w:val="21"/>
              </w:rPr>
            </w:pPr>
            <w:r>
              <w:rPr>
                <w:rFonts w:hint="eastAsia"/>
                <w:b w:val="0"/>
                <w:color w:val="000000" w:themeColor="text1"/>
                <w:kern w:val="0"/>
                <w:sz w:val="21"/>
                <w:szCs w:val="21"/>
              </w:rPr>
              <w:t>308</w:t>
            </w:r>
          </w:p>
        </w:tc>
        <w:tc>
          <w:tcPr>
            <w:tcW w:w="1541" w:type="dxa"/>
            <w:vAlign w:val="center"/>
          </w:tcPr>
          <w:p>
            <w:pPr>
              <w:pStyle w:val="14"/>
              <w:snapToGrid w:val="0"/>
              <w:spacing w:line="240" w:lineRule="auto"/>
              <w:rPr>
                <w:b w:val="0"/>
                <w:color w:val="000000" w:themeColor="text1"/>
                <w:kern w:val="0"/>
                <w:sz w:val="21"/>
                <w:szCs w:val="21"/>
              </w:rPr>
            </w:pPr>
            <w:r>
              <w:rPr>
                <w:rFonts w:hint="eastAsia"/>
                <w:b w:val="0"/>
                <w:color w:val="000000" w:themeColor="text1"/>
                <w:kern w:val="0"/>
                <w:sz w:val="21"/>
                <w:szCs w:val="21"/>
              </w:rPr>
              <w:t>435</w:t>
            </w:r>
          </w:p>
        </w:tc>
        <w:tc>
          <w:tcPr>
            <w:tcW w:w="1541" w:type="dxa"/>
            <w:vAlign w:val="center"/>
          </w:tcPr>
          <w:p>
            <w:pPr>
              <w:pStyle w:val="14"/>
              <w:snapToGrid w:val="0"/>
              <w:spacing w:line="240" w:lineRule="auto"/>
              <w:rPr>
                <w:b w:val="0"/>
                <w:color w:val="000000" w:themeColor="text1"/>
                <w:kern w:val="0"/>
                <w:sz w:val="21"/>
                <w:szCs w:val="21"/>
              </w:rPr>
            </w:pPr>
            <w:r>
              <w:rPr>
                <w:rFonts w:hint="eastAsia"/>
                <w:b w:val="0"/>
                <w:color w:val="000000" w:themeColor="text1"/>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Merge w:val="continue"/>
            <w:vAlign w:val="center"/>
          </w:tcPr>
          <w:p>
            <w:pPr>
              <w:pStyle w:val="14"/>
              <w:snapToGrid w:val="0"/>
              <w:spacing w:line="240" w:lineRule="auto"/>
              <w:rPr>
                <w:b w:val="0"/>
                <w:color w:val="000000" w:themeColor="text1"/>
                <w:kern w:val="0"/>
                <w:sz w:val="21"/>
                <w:szCs w:val="21"/>
              </w:rPr>
            </w:pPr>
          </w:p>
        </w:tc>
        <w:tc>
          <w:tcPr>
            <w:tcW w:w="3080" w:type="dxa"/>
            <w:gridSpan w:val="2"/>
            <w:vAlign w:val="center"/>
          </w:tcPr>
          <w:p>
            <w:pPr>
              <w:pStyle w:val="14"/>
              <w:snapToGrid w:val="0"/>
              <w:spacing w:line="240" w:lineRule="auto"/>
              <w:rPr>
                <w:b w:val="0"/>
                <w:color w:val="000000" w:themeColor="text1"/>
                <w:kern w:val="0"/>
                <w:sz w:val="21"/>
                <w:szCs w:val="21"/>
              </w:rPr>
            </w:pPr>
            <w:r>
              <w:rPr>
                <w:rFonts w:hint="eastAsia" w:ascii="宋体" w:cs="宋体" w:hAnsiTheme="minorHAnsi"/>
                <w:b w:val="0"/>
                <w:color w:val="000000" w:themeColor="text1"/>
                <w:kern w:val="0"/>
                <w:sz w:val="21"/>
                <w:szCs w:val="21"/>
              </w:rPr>
              <w:t>含氧量（</w:t>
            </w:r>
            <w:r>
              <w:rPr>
                <w:rFonts w:ascii="TimesNewRomanPSMT" w:eastAsia="TimesNewRomanPSMT" w:cs="TimesNewRomanPSMT" w:hAnsiTheme="minorHAnsi"/>
                <w:b w:val="0"/>
                <w:color w:val="000000" w:themeColor="text1"/>
                <w:kern w:val="0"/>
                <w:sz w:val="21"/>
                <w:szCs w:val="21"/>
              </w:rPr>
              <w:t>%</w:t>
            </w:r>
            <w:r>
              <w:rPr>
                <w:rFonts w:hint="eastAsia" w:ascii="宋体" w:cs="宋体" w:hAnsiTheme="minorHAnsi"/>
                <w:b w:val="0"/>
                <w:color w:val="000000" w:themeColor="text1"/>
                <w:kern w:val="0"/>
                <w:sz w:val="21"/>
                <w:szCs w:val="21"/>
              </w:rPr>
              <w:t>）</w:t>
            </w:r>
          </w:p>
        </w:tc>
        <w:tc>
          <w:tcPr>
            <w:tcW w:w="1540" w:type="dxa"/>
            <w:vAlign w:val="center"/>
          </w:tcPr>
          <w:p>
            <w:pPr>
              <w:pStyle w:val="14"/>
              <w:snapToGrid w:val="0"/>
              <w:spacing w:line="240" w:lineRule="auto"/>
              <w:rPr>
                <w:b w:val="0"/>
                <w:color w:val="000000" w:themeColor="text1"/>
                <w:kern w:val="0"/>
                <w:sz w:val="21"/>
                <w:szCs w:val="21"/>
              </w:rPr>
            </w:pPr>
            <w:r>
              <w:rPr>
                <w:rFonts w:hint="eastAsia"/>
                <w:b w:val="0"/>
                <w:color w:val="000000" w:themeColor="text1"/>
                <w:kern w:val="0"/>
                <w:sz w:val="21"/>
                <w:szCs w:val="21"/>
              </w:rPr>
              <w:t>8.2</w:t>
            </w:r>
          </w:p>
        </w:tc>
        <w:tc>
          <w:tcPr>
            <w:tcW w:w="1541" w:type="dxa"/>
            <w:vAlign w:val="center"/>
          </w:tcPr>
          <w:p>
            <w:pPr>
              <w:pStyle w:val="14"/>
              <w:snapToGrid w:val="0"/>
              <w:spacing w:line="240" w:lineRule="auto"/>
              <w:rPr>
                <w:b w:val="0"/>
                <w:color w:val="000000" w:themeColor="text1"/>
                <w:kern w:val="0"/>
                <w:sz w:val="21"/>
                <w:szCs w:val="21"/>
              </w:rPr>
            </w:pPr>
            <w:r>
              <w:rPr>
                <w:rFonts w:hint="eastAsia"/>
                <w:b w:val="0"/>
                <w:color w:val="000000" w:themeColor="text1"/>
                <w:kern w:val="0"/>
                <w:sz w:val="21"/>
                <w:szCs w:val="21"/>
              </w:rPr>
              <w:t>8.3</w:t>
            </w:r>
          </w:p>
        </w:tc>
        <w:tc>
          <w:tcPr>
            <w:tcW w:w="1541" w:type="dxa"/>
            <w:vAlign w:val="center"/>
          </w:tcPr>
          <w:p>
            <w:pPr>
              <w:pStyle w:val="14"/>
              <w:snapToGrid w:val="0"/>
              <w:spacing w:line="240" w:lineRule="auto"/>
              <w:rPr>
                <w:b w:val="0"/>
                <w:color w:val="000000" w:themeColor="text1"/>
                <w:kern w:val="0"/>
                <w:sz w:val="21"/>
                <w:szCs w:val="21"/>
              </w:rPr>
            </w:pPr>
            <w:r>
              <w:rPr>
                <w:rFonts w:hint="eastAsia"/>
                <w:b w:val="0"/>
                <w:color w:val="000000" w:themeColor="text1"/>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Merge w:val="continue"/>
            <w:vAlign w:val="center"/>
          </w:tcPr>
          <w:p>
            <w:pPr>
              <w:pStyle w:val="14"/>
              <w:snapToGrid w:val="0"/>
              <w:spacing w:line="240" w:lineRule="auto"/>
              <w:rPr>
                <w:b w:val="0"/>
                <w:color w:val="000000" w:themeColor="text1"/>
                <w:kern w:val="0"/>
                <w:sz w:val="21"/>
                <w:szCs w:val="21"/>
              </w:rPr>
            </w:pPr>
          </w:p>
        </w:tc>
        <w:tc>
          <w:tcPr>
            <w:tcW w:w="978" w:type="dxa"/>
            <w:vMerge w:val="restart"/>
            <w:vAlign w:val="center"/>
          </w:tcPr>
          <w:p>
            <w:pPr>
              <w:pStyle w:val="14"/>
              <w:snapToGrid w:val="0"/>
              <w:spacing w:line="240" w:lineRule="auto"/>
              <w:rPr>
                <w:b w:val="0"/>
                <w:color w:val="000000" w:themeColor="text1"/>
                <w:kern w:val="0"/>
                <w:sz w:val="21"/>
                <w:szCs w:val="21"/>
              </w:rPr>
            </w:pPr>
            <w:r>
              <w:rPr>
                <w:b w:val="0"/>
                <w:color w:val="000000" w:themeColor="text1"/>
                <w:kern w:val="0"/>
                <w:sz w:val="21"/>
                <w:szCs w:val="21"/>
              </w:rPr>
              <w:t>颗粒物</w:t>
            </w:r>
          </w:p>
        </w:tc>
        <w:tc>
          <w:tcPr>
            <w:tcW w:w="2102" w:type="dxa"/>
            <w:vAlign w:val="center"/>
          </w:tcPr>
          <w:p>
            <w:pPr>
              <w:pStyle w:val="14"/>
              <w:snapToGrid w:val="0"/>
              <w:spacing w:line="240" w:lineRule="auto"/>
              <w:rPr>
                <w:rFonts w:cs="Times New Roman"/>
                <w:b w:val="0"/>
                <w:color w:val="000000" w:themeColor="text1"/>
                <w:kern w:val="0"/>
                <w:sz w:val="21"/>
                <w:szCs w:val="21"/>
              </w:rPr>
            </w:pPr>
            <w:r>
              <w:rPr>
                <w:rFonts w:cs="Times New Roman"/>
                <w:b w:val="0"/>
                <w:color w:val="000000" w:themeColor="text1"/>
                <w:kern w:val="0"/>
                <w:sz w:val="21"/>
                <w:szCs w:val="21"/>
              </w:rPr>
              <w:t>实测浓度（mg/m</w:t>
            </w:r>
            <w:r>
              <w:rPr>
                <w:rFonts w:cs="Times New Roman"/>
                <w:b w:val="0"/>
                <w:color w:val="000000" w:themeColor="text1"/>
                <w:kern w:val="0"/>
                <w:sz w:val="21"/>
                <w:szCs w:val="21"/>
                <w:vertAlign w:val="superscript"/>
              </w:rPr>
              <w:t>3</w:t>
            </w:r>
            <w:r>
              <w:rPr>
                <w:rFonts w:cs="Times New Roman"/>
                <w:b w:val="0"/>
                <w:color w:val="000000" w:themeColor="text1"/>
                <w:kern w:val="0"/>
                <w:sz w:val="21"/>
                <w:szCs w:val="21"/>
              </w:rPr>
              <w:t>）</w:t>
            </w:r>
          </w:p>
        </w:tc>
        <w:tc>
          <w:tcPr>
            <w:tcW w:w="1540" w:type="dxa"/>
            <w:vAlign w:val="center"/>
          </w:tcPr>
          <w:p>
            <w:pPr>
              <w:pStyle w:val="14"/>
              <w:snapToGrid w:val="0"/>
              <w:spacing w:line="240" w:lineRule="auto"/>
              <w:rPr>
                <w:b w:val="0"/>
                <w:color w:val="000000" w:themeColor="text1"/>
                <w:kern w:val="0"/>
                <w:sz w:val="21"/>
                <w:szCs w:val="21"/>
              </w:rPr>
            </w:pPr>
            <w:r>
              <w:rPr>
                <w:rFonts w:hint="eastAsia"/>
                <w:b w:val="0"/>
                <w:color w:val="000000" w:themeColor="text1"/>
                <w:kern w:val="0"/>
                <w:sz w:val="21"/>
                <w:szCs w:val="21"/>
              </w:rPr>
              <w:t>4.4</w:t>
            </w:r>
          </w:p>
        </w:tc>
        <w:tc>
          <w:tcPr>
            <w:tcW w:w="1541" w:type="dxa"/>
            <w:vAlign w:val="center"/>
          </w:tcPr>
          <w:p>
            <w:pPr>
              <w:pStyle w:val="14"/>
              <w:snapToGrid w:val="0"/>
              <w:spacing w:line="240" w:lineRule="auto"/>
              <w:rPr>
                <w:b w:val="0"/>
                <w:color w:val="000000" w:themeColor="text1"/>
                <w:kern w:val="0"/>
                <w:sz w:val="21"/>
                <w:szCs w:val="21"/>
              </w:rPr>
            </w:pPr>
            <w:r>
              <w:rPr>
                <w:rFonts w:hint="eastAsia"/>
                <w:b w:val="0"/>
                <w:color w:val="000000" w:themeColor="text1"/>
                <w:kern w:val="0"/>
                <w:sz w:val="21"/>
                <w:szCs w:val="21"/>
              </w:rPr>
              <w:t>6.2</w:t>
            </w:r>
          </w:p>
        </w:tc>
        <w:tc>
          <w:tcPr>
            <w:tcW w:w="1541" w:type="dxa"/>
            <w:vAlign w:val="center"/>
          </w:tcPr>
          <w:p>
            <w:pPr>
              <w:pStyle w:val="14"/>
              <w:snapToGrid w:val="0"/>
              <w:spacing w:line="240" w:lineRule="auto"/>
              <w:rPr>
                <w:b w:val="0"/>
                <w:color w:val="000000" w:themeColor="text1"/>
                <w:kern w:val="0"/>
                <w:sz w:val="21"/>
                <w:szCs w:val="21"/>
              </w:rPr>
            </w:pPr>
            <w:r>
              <w:rPr>
                <w:rFonts w:hint="eastAsia"/>
                <w:b w:val="0"/>
                <w:color w:val="000000" w:themeColor="text1"/>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Merge w:val="continue"/>
            <w:vAlign w:val="center"/>
          </w:tcPr>
          <w:p>
            <w:pPr>
              <w:pStyle w:val="14"/>
              <w:snapToGrid w:val="0"/>
              <w:spacing w:line="240" w:lineRule="auto"/>
              <w:rPr>
                <w:b w:val="0"/>
                <w:color w:val="000000" w:themeColor="text1"/>
                <w:kern w:val="0"/>
                <w:sz w:val="21"/>
                <w:szCs w:val="21"/>
              </w:rPr>
            </w:pPr>
          </w:p>
        </w:tc>
        <w:tc>
          <w:tcPr>
            <w:tcW w:w="978" w:type="dxa"/>
            <w:vMerge w:val="continue"/>
            <w:vAlign w:val="center"/>
          </w:tcPr>
          <w:p>
            <w:pPr>
              <w:pStyle w:val="14"/>
              <w:snapToGrid w:val="0"/>
              <w:spacing w:line="240" w:lineRule="auto"/>
              <w:rPr>
                <w:b w:val="0"/>
                <w:color w:val="000000" w:themeColor="text1"/>
                <w:kern w:val="0"/>
                <w:sz w:val="21"/>
                <w:szCs w:val="21"/>
              </w:rPr>
            </w:pPr>
          </w:p>
        </w:tc>
        <w:tc>
          <w:tcPr>
            <w:tcW w:w="2102" w:type="dxa"/>
            <w:vAlign w:val="center"/>
          </w:tcPr>
          <w:p>
            <w:pPr>
              <w:pStyle w:val="14"/>
              <w:snapToGrid w:val="0"/>
              <w:spacing w:line="240" w:lineRule="auto"/>
              <w:rPr>
                <w:rFonts w:cs="Times New Roman"/>
                <w:b w:val="0"/>
                <w:color w:val="000000" w:themeColor="text1"/>
                <w:kern w:val="0"/>
                <w:sz w:val="21"/>
                <w:szCs w:val="21"/>
              </w:rPr>
            </w:pPr>
            <w:r>
              <w:rPr>
                <w:rFonts w:cs="Times New Roman"/>
                <w:b w:val="0"/>
                <w:color w:val="000000" w:themeColor="text1"/>
                <w:kern w:val="0"/>
                <w:sz w:val="21"/>
                <w:szCs w:val="21"/>
              </w:rPr>
              <w:t>折算浓度（mg/m</w:t>
            </w:r>
            <w:r>
              <w:rPr>
                <w:rFonts w:cs="Times New Roman"/>
                <w:b w:val="0"/>
                <w:color w:val="000000" w:themeColor="text1"/>
                <w:kern w:val="0"/>
                <w:sz w:val="21"/>
                <w:szCs w:val="21"/>
                <w:vertAlign w:val="superscript"/>
              </w:rPr>
              <w:t>3</w:t>
            </w:r>
            <w:r>
              <w:rPr>
                <w:rFonts w:cs="Times New Roman"/>
                <w:b w:val="0"/>
                <w:color w:val="000000" w:themeColor="text1"/>
                <w:kern w:val="0"/>
                <w:sz w:val="21"/>
                <w:szCs w:val="21"/>
              </w:rPr>
              <w:t>）</w:t>
            </w:r>
          </w:p>
        </w:tc>
        <w:tc>
          <w:tcPr>
            <w:tcW w:w="1540" w:type="dxa"/>
            <w:vAlign w:val="center"/>
          </w:tcPr>
          <w:p>
            <w:pPr>
              <w:pStyle w:val="14"/>
              <w:snapToGrid w:val="0"/>
              <w:spacing w:line="240" w:lineRule="auto"/>
              <w:rPr>
                <w:b w:val="0"/>
                <w:color w:val="000000" w:themeColor="text1"/>
                <w:kern w:val="0"/>
                <w:sz w:val="21"/>
                <w:szCs w:val="21"/>
              </w:rPr>
            </w:pPr>
            <w:r>
              <w:rPr>
                <w:rFonts w:hint="eastAsia"/>
                <w:b w:val="0"/>
                <w:color w:val="000000" w:themeColor="text1"/>
                <w:kern w:val="0"/>
                <w:sz w:val="21"/>
                <w:szCs w:val="21"/>
              </w:rPr>
              <w:t>6.0</w:t>
            </w:r>
          </w:p>
        </w:tc>
        <w:tc>
          <w:tcPr>
            <w:tcW w:w="1541" w:type="dxa"/>
            <w:vAlign w:val="center"/>
          </w:tcPr>
          <w:p>
            <w:pPr>
              <w:pStyle w:val="14"/>
              <w:snapToGrid w:val="0"/>
              <w:spacing w:line="240" w:lineRule="auto"/>
              <w:rPr>
                <w:b w:val="0"/>
                <w:color w:val="000000" w:themeColor="text1"/>
                <w:kern w:val="0"/>
                <w:sz w:val="21"/>
                <w:szCs w:val="21"/>
              </w:rPr>
            </w:pPr>
            <w:r>
              <w:rPr>
                <w:rFonts w:hint="eastAsia"/>
                <w:b w:val="0"/>
                <w:color w:val="000000" w:themeColor="text1"/>
                <w:kern w:val="0"/>
                <w:sz w:val="21"/>
                <w:szCs w:val="21"/>
              </w:rPr>
              <w:t>8.5</w:t>
            </w:r>
          </w:p>
        </w:tc>
        <w:tc>
          <w:tcPr>
            <w:tcW w:w="1541" w:type="dxa"/>
            <w:vAlign w:val="center"/>
          </w:tcPr>
          <w:p>
            <w:pPr>
              <w:pStyle w:val="14"/>
              <w:snapToGrid w:val="0"/>
              <w:spacing w:line="240" w:lineRule="auto"/>
              <w:rPr>
                <w:b w:val="0"/>
                <w:color w:val="000000" w:themeColor="text1"/>
                <w:kern w:val="0"/>
                <w:sz w:val="21"/>
                <w:szCs w:val="21"/>
              </w:rPr>
            </w:pPr>
            <w:r>
              <w:rPr>
                <w:rFonts w:hint="eastAsia"/>
                <w:b w:val="0"/>
                <w:color w:val="000000" w:themeColor="text1"/>
                <w:kern w:val="0"/>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Merge w:val="continue"/>
            <w:vAlign w:val="center"/>
          </w:tcPr>
          <w:p>
            <w:pPr>
              <w:pStyle w:val="14"/>
              <w:snapToGrid w:val="0"/>
              <w:spacing w:line="240" w:lineRule="auto"/>
              <w:rPr>
                <w:b w:val="0"/>
                <w:color w:val="000000" w:themeColor="text1"/>
                <w:kern w:val="0"/>
                <w:sz w:val="21"/>
                <w:szCs w:val="21"/>
              </w:rPr>
            </w:pPr>
          </w:p>
        </w:tc>
        <w:tc>
          <w:tcPr>
            <w:tcW w:w="978" w:type="dxa"/>
            <w:vMerge w:val="continue"/>
            <w:vAlign w:val="center"/>
          </w:tcPr>
          <w:p>
            <w:pPr>
              <w:pStyle w:val="14"/>
              <w:snapToGrid w:val="0"/>
              <w:spacing w:line="240" w:lineRule="auto"/>
              <w:rPr>
                <w:b w:val="0"/>
                <w:color w:val="000000" w:themeColor="text1"/>
                <w:kern w:val="0"/>
                <w:sz w:val="21"/>
                <w:szCs w:val="21"/>
              </w:rPr>
            </w:pPr>
          </w:p>
        </w:tc>
        <w:tc>
          <w:tcPr>
            <w:tcW w:w="2102" w:type="dxa"/>
            <w:vAlign w:val="center"/>
          </w:tcPr>
          <w:p>
            <w:pPr>
              <w:pStyle w:val="14"/>
              <w:snapToGrid w:val="0"/>
              <w:spacing w:line="240" w:lineRule="auto"/>
              <w:rPr>
                <w:rFonts w:cs="Times New Roman"/>
                <w:b w:val="0"/>
                <w:color w:val="000000" w:themeColor="text1"/>
                <w:kern w:val="0"/>
                <w:sz w:val="21"/>
                <w:szCs w:val="21"/>
              </w:rPr>
            </w:pPr>
            <w:r>
              <w:rPr>
                <w:rFonts w:hint="eastAsia" w:ascii="宋体" w:cs="宋体" w:hAnsiTheme="minorHAnsi"/>
                <w:b w:val="0"/>
                <w:color w:val="000000" w:themeColor="text1"/>
                <w:kern w:val="0"/>
                <w:sz w:val="21"/>
                <w:szCs w:val="21"/>
              </w:rPr>
              <w:t>排放速率（</w:t>
            </w:r>
            <w:r>
              <w:rPr>
                <w:rFonts w:ascii="TimesNewRomanPSMT" w:eastAsia="TimesNewRomanPSMT" w:cs="TimesNewRomanPSMT" w:hAnsiTheme="minorHAnsi"/>
                <w:b w:val="0"/>
                <w:color w:val="000000" w:themeColor="text1"/>
                <w:kern w:val="0"/>
                <w:sz w:val="21"/>
                <w:szCs w:val="21"/>
              </w:rPr>
              <w:t>kg/h</w:t>
            </w:r>
            <w:r>
              <w:rPr>
                <w:rFonts w:hint="eastAsia" w:ascii="宋体" w:cs="宋体" w:hAnsiTheme="minorHAnsi"/>
                <w:b w:val="0"/>
                <w:color w:val="000000" w:themeColor="text1"/>
                <w:kern w:val="0"/>
                <w:sz w:val="21"/>
                <w:szCs w:val="21"/>
              </w:rPr>
              <w:t>）</w:t>
            </w:r>
          </w:p>
        </w:tc>
        <w:tc>
          <w:tcPr>
            <w:tcW w:w="1540" w:type="dxa"/>
            <w:vAlign w:val="center"/>
          </w:tcPr>
          <w:p>
            <w:pPr>
              <w:pStyle w:val="14"/>
              <w:snapToGrid w:val="0"/>
              <w:spacing w:line="240" w:lineRule="auto"/>
              <w:rPr>
                <w:b w:val="0"/>
                <w:color w:val="000000" w:themeColor="text1"/>
                <w:kern w:val="0"/>
                <w:sz w:val="21"/>
                <w:szCs w:val="21"/>
              </w:rPr>
            </w:pPr>
            <w:r>
              <w:rPr>
                <w:rFonts w:hint="eastAsia"/>
                <w:b w:val="0"/>
                <w:color w:val="000000" w:themeColor="text1"/>
                <w:kern w:val="0"/>
                <w:sz w:val="21"/>
                <w:szCs w:val="21"/>
              </w:rPr>
              <w:t>0.0014</w:t>
            </w:r>
          </w:p>
        </w:tc>
        <w:tc>
          <w:tcPr>
            <w:tcW w:w="1541" w:type="dxa"/>
            <w:vAlign w:val="center"/>
          </w:tcPr>
          <w:p>
            <w:pPr>
              <w:pStyle w:val="14"/>
              <w:snapToGrid w:val="0"/>
              <w:spacing w:line="240" w:lineRule="auto"/>
              <w:rPr>
                <w:b w:val="0"/>
                <w:color w:val="000000" w:themeColor="text1"/>
                <w:kern w:val="0"/>
                <w:sz w:val="21"/>
                <w:szCs w:val="21"/>
              </w:rPr>
            </w:pPr>
            <w:r>
              <w:rPr>
                <w:rFonts w:hint="eastAsia"/>
                <w:b w:val="0"/>
                <w:color w:val="000000" w:themeColor="text1"/>
                <w:kern w:val="0"/>
                <w:sz w:val="21"/>
                <w:szCs w:val="21"/>
              </w:rPr>
              <w:t>0.0027</w:t>
            </w:r>
          </w:p>
        </w:tc>
        <w:tc>
          <w:tcPr>
            <w:tcW w:w="1541" w:type="dxa"/>
            <w:vAlign w:val="center"/>
          </w:tcPr>
          <w:p>
            <w:pPr>
              <w:pStyle w:val="14"/>
              <w:snapToGrid w:val="0"/>
              <w:spacing w:line="240" w:lineRule="auto"/>
              <w:rPr>
                <w:b w:val="0"/>
                <w:color w:val="000000" w:themeColor="text1"/>
                <w:kern w:val="0"/>
                <w:sz w:val="21"/>
                <w:szCs w:val="21"/>
              </w:rPr>
            </w:pPr>
            <w:r>
              <w:rPr>
                <w:rFonts w:hint="eastAsia"/>
                <w:b w:val="0"/>
                <w:color w:val="000000" w:themeColor="text1"/>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Merge w:val="continue"/>
            <w:vAlign w:val="center"/>
          </w:tcPr>
          <w:p>
            <w:pPr>
              <w:pStyle w:val="14"/>
              <w:snapToGrid w:val="0"/>
              <w:spacing w:line="240" w:lineRule="auto"/>
              <w:rPr>
                <w:b w:val="0"/>
                <w:color w:val="000000" w:themeColor="text1"/>
                <w:kern w:val="0"/>
                <w:sz w:val="21"/>
                <w:szCs w:val="21"/>
              </w:rPr>
            </w:pPr>
          </w:p>
        </w:tc>
        <w:tc>
          <w:tcPr>
            <w:tcW w:w="978" w:type="dxa"/>
            <w:vMerge w:val="continue"/>
            <w:vAlign w:val="center"/>
          </w:tcPr>
          <w:p>
            <w:pPr>
              <w:pStyle w:val="14"/>
              <w:snapToGrid w:val="0"/>
              <w:spacing w:line="240" w:lineRule="auto"/>
              <w:rPr>
                <w:b w:val="0"/>
                <w:color w:val="000000" w:themeColor="text1"/>
                <w:kern w:val="0"/>
                <w:sz w:val="21"/>
                <w:szCs w:val="21"/>
              </w:rPr>
            </w:pPr>
          </w:p>
        </w:tc>
        <w:tc>
          <w:tcPr>
            <w:tcW w:w="2102" w:type="dxa"/>
            <w:vAlign w:val="center"/>
          </w:tcPr>
          <w:p>
            <w:pPr>
              <w:pStyle w:val="14"/>
              <w:snapToGrid w:val="0"/>
              <w:spacing w:line="240" w:lineRule="auto"/>
              <w:rPr>
                <w:rFonts w:cs="Times New Roman"/>
                <w:b w:val="0"/>
                <w:color w:val="000000" w:themeColor="text1"/>
                <w:kern w:val="0"/>
                <w:sz w:val="21"/>
                <w:szCs w:val="21"/>
              </w:rPr>
            </w:pPr>
            <w:r>
              <w:rPr>
                <w:rFonts w:cs="Times New Roman"/>
                <w:b w:val="0"/>
                <w:color w:val="000000" w:themeColor="text1"/>
                <w:kern w:val="0"/>
                <w:sz w:val="21"/>
                <w:szCs w:val="21"/>
              </w:rPr>
              <w:t>排放量（t/a）</w:t>
            </w:r>
          </w:p>
        </w:tc>
        <w:tc>
          <w:tcPr>
            <w:tcW w:w="1540" w:type="dxa"/>
            <w:vAlign w:val="center"/>
          </w:tcPr>
          <w:p>
            <w:pPr>
              <w:pStyle w:val="14"/>
              <w:snapToGrid w:val="0"/>
              <w:spacing w:line="240" w:lineRule="auto"/>
              <w:rPr>
                <w:b w:val="0"/>
                <w:color w:val="000000" w:themeColor="text1"/>
                <w:kern w:val="0"/>
                <w:sz w:val="21"/>
                <w:szCs w:val="21"/>
              </w:rPr>
            </w:pPr>
            <w:r>
              <w:rPr>
                <w:rFonts w:hint="eastAsia"/>
                <w:b w:val="0"/>
                <w:color w:val="000000" w:themeColor="text1"/>
                <w:kern w:val="0"/>
                <w:sz w:val="21"/>
                <w:szCs w:val="21"/>
              </w:rPr>
              <w:t>0.004</w:t>
            </w:r>
          </w:p>
        </w:tc>
        <w:tc>
          <w:tcPr>
            <w:tcW w:w="1541" w:type="dxa"/>
            <w:vAlign w:val="center"/>
          </w:tcPr>
          <w:p>
            <w:pPr>
              <w:pStyle w:val="14"/>
              <w:snapToGrid w:val="0"/>
              <w:spacing w:line="240" w:lineRule="auto"/>
              <w:rPr>
                <w:b w:val="0"/>
                <w:color w:val="000000" w:themeColor="text1"/>
                <w:kern w:val="0"/>
                <w:sz w:val="21"/>
                <w:szCs w:val="21"/>
              </w:rPr>
            </w:pPr>
            <w:r>
              <w:rPr>
                <w:rFonts w:hint="eastAsia"/>
                <w:b w:val="0"/>
                <w:color w:val="000000" w:themeColor="text1"/>
                <w:kern w:val="0"/>
                <w:sz w:val="21"/>
                <w:szCs w:val="21"/>
              </w:rPr>
              <w:t>0.008</w:t>
            </w:r>
          </w:p>
        </w:tc>
        <w:tc>
          <w:tcPr>
            <w:tcW w:w="1541" w:type="dxa"/>
          </w:tcPr>
          <w:p>
            <w:pPr>
              <w:jc w:val="center"/>
              <w:rPr>
                <w:rFonts w:eastAsia="宋体" w:cs="Times New Roman"/>
                <w:color w:val="000000" w:themeColor="text1"/>
              </w:rPr>
            </w:pPr>
            <w:r>
              <w:rPr>
                <w:rFonts w:hint="eastAsia" w:eastAsia="宋体" w:cs="Times New Roman"/>
                <w:b/>
                <w:color w:val="000000" w:themeColor="text1"/>
                <w:kern w:val="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Merge w:val="continue"/>
            <w:vAlign w:val="center"/>
          </w:tcPr>
          <w:p>
            <w:pPr>
              <w:pStyle w:val="14"/>
              <w:snapToGrid w:val="0"/>
              <w:spacing w:line="240" w:lineRule="auto"/>
              <w:rPr>
                <w:b w:val="0"/>
                <w:color w:val="000000" w:themeColor="text1"/>
                <w:kern w:val="0"/>
                <w:sz w:val="21"/>
                <w:szCs w:val="21"/>
              </w:rPr>
            </w:pPr>
          </w:p>
        </w:tc>
        <w:tc>
          <w:tcPr>
            <w:tcW w:w="978" w:type="dxa"/>
            <w:vMerge w:val="continue"/>
            <w:vAlign w:val="center"/>
          </w:tcPr>
          <w:p>
            <w:pPr>
              <w:pStyle w:val="14"/>
              <w:snapToGrid w:val="0"/>
              <w:spacing w:line="240" w:lineRule="auto"/>
              <w:rPr>
                <w:b w:val="0"/>
                <w:color w:val="000000" w:themeColor="text1"/>
                <w:kern w:val="0"/>
                <w:sz w:val="21"/>
                <w:szCs w:val="21"/>
              </w:rPr>
            </w:pPr>
          </w:p>
        </w:tc>
        <w:tc>
          <w:tcPr>
            <w:tcW w:w="2102" w:type="dxa"/>
            <w:vAlign w:val="center"/>
          </w:tcPr>
          <w:p>
            <w:pPr>
              <w:pStyle w:val="14"/>
              <w:snapToGrid w:val="0"/>
              <w:spacing w:line="240" w:lineRule="auto"/>
              <w:rPr>
                <w:rFonts w:cs="Times New Roman"/>
                <w:b w:val="0"/>
                <w:color w:val="000000" w:themeColor="text1"/>
                <w:kern w:val="0"/>
                <w:sz w:val="21"/>
                <w:szCs w:val="21"/>
              </w:rPr>
            </w:pPr>
            <w:r>
              <w:rPr>
                <w:rFonts w:hint="eastAsia" w:cs="Times New Roman"/>
                <w:b w:val="0"/>
                <w:color w:val="000000" w:themeColor="text1"/>
                <w:kern w:val="0"/>
                <w:sz w:val="21"/>
                <w:szCs w:val="21"/>
              </w:rPr>
              <w:t>是否达标</w:t>
            </w:r>
          </w:p>
        </w:tc>
        <w:tc>
          <w:tcPr>
            <w:tcW w:w="1540" w:type="dxa"/>
            <w:vAlign w:val="center"/>
          </w:tcPr>
          <w:p>
            <w:pPr>
              <w:pStyle w:val="14"/>
              <w:snapToGrid w:val="0"/>
              <w:spacing w:line="240" w:lineRule="auto"/>
              <w:rPr>
                <w:b w:val="0"/>
                <w:color w:val="000000" w:themeColor="text1"/>
                <w:kern w:val="0"/>
                <w:sz w:val="21"/>
                <w:szCs w:val="21"/>
              </w:rPr>
            </w:pPr>
            <w:r>
              <w:rPr>
                <w:rFonts w:hint="eastAsia"/>
                <w:b w:val="0"/>
                <w:color w:val="000000" w:themeColor="text1"/>
                <w:kern w:val="0"/>
                <w:sz w:val="21"/>
                <w:szCs w:val="21"/>
              </w:rPr>
              <w:t>达标</w:t>
            </w:r>
          </w:p>
        </w:tc>
        <w:tc>
          <w:tcPr>
            <w:tcW w:w="1541" w:type="dxa"/>
            <w:vAlign w:val="center"/>
          </w:tcPr>
          <w:p>
            <w:pPr>
              <w:pStyle w:val="14"/>
              <w:snapToGrid w:val="0"/>
              <w:spacing w:line="240" w:lineRule="auto"/>
              <w:rPr>
                <w:b w:val="0"/>
                <w:color w:val="000000" w:themeColor="text1"/>
                <w:kern w:val="0"/>
                <w:sz w:val="21"/>
                <w:szCs w:val="21"/>
              </w:rPr>
            </w:pPr>
            <w:r>
              <w:rPr>
                <w:rFonts w:hint="eastAsia"/>
                <w:b w:val="0"/>
                <w:color w:val="000000" w:themeColor="text1"/>
                <w:kern w:val="0"/>
                <w:sz w:val="21"/>
                <w:szCs w:val="21"/>
              </w:rPr>
              <w:t>达标</w:t>
            </w:r>
          </w:p>
        </w:tc>
        <w:tc>
          <w:tcPr>
            <w:tcW w:w="1541" w:type="dxa"/>
          </w:tcPr>
          <w:p>
            <w:pPr>
              <w:jc w:val="center"/>
              <w:rPr>
                <w:rFonts w:eastAsia="宋体" w:cs="Times New Roman"/>
                <w:color w:val="000000" w:themeColor="text1"/>
              </w:rPr>
            </w:pPr>
            <w:r>
              <w:rPr>
                <w:rFonts w:hint="eastAsia" w:eastAsia="宋体" w:cs="Times New Roman"/>
                <w:b/>
                <w:color w:val="000000" w:themeColor="text1"/>
                <w:kern w:val="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Merge w:val="continue"/>
            <w:vAlign w:val="center"/>
          </w:tcPr>
          <w:p>
            <w:pPr>
              <w:pStyle w:val="14"/>
              <w:snapToGrid w:val="0"/>
              <w:spacing w:line="240" w:lineRule="auto"/>
              <w:rPr>
                <w:b w:val="0"/>
                <w:color w:val="000000" w:themeColor="text1"/>
                <w:kern w:val="0"/>
                <w:sz w:val="21"/>
                <w:szCs w:val="21"/>
              </w:rPr>
            </w:pPr>
          </w:p>
        </w:tc>
        <w:tc>
          <w:tcPr>
            <w:tcW w:w="978" w:type="dxa"/>
            <w:vMerge w:val="restart"/>
            <w:vAlign w:val="center"/>
          </w:tcPr>
          <w:p>
            <w:pPr>
              <w:pStyle w:val="14"/>
              <w:snapToGrid w:val="0"/>
              <w:spacing w:line="240" w:lineRule="auto"/>
              <w:rPr>
                <w:b w:val="0"/>
                <w:color w:val="000000" w:themeColor="text1"/>
                <w:kern w:val="0"/>
                <w:sz w:val="21"/>
                <w:szCs w:val="21"/>
              </w:rPr>
            </w:pPr>
            <w:r>
              <w:rPr>
                <w:b w:val="0"/>
                <w:color w:val="000000" w:themeColor="text1"/>
                <w:kern w:val="0"/>
                <w:sz w:val="21"/>
                <w:szCs w:val="21"/>
              </w:rPr>
              <w:t>二氧化硫</w:t>
            </w:r>
          </w:p>
        </w:tc>
        <w:tc>
          <w:tcPr>
            <w:tcW w:w="2102" w:type="dxa"/>
            <w:vAlign w:val="center"/>
          </w:tcPr>
          <w:p>
            <w:pPr>
              <w:pStyle w:val="14"/>
              <w:snapToGrid w:val="0"/>
              <w:spacing w:line="240" w:lineRule="auto"/>
              <w:rPr>
                <w:rFonts w:cs="Times New Roman"/>
                <w:b w:val="0"/>
                <w:color w:val="000000" w:themeColor="text1"/>
                <w:kern w:val="0"/>
                <w:sz w:val="21"/>
                <w:szCs w:val="21"/>
              </w:rPr>
            </w:pPr>
            <w:r>
              <w:rPr>
                <w:rFonts w:hint="eastAsia" w:cs="Times New Roman"/>
                <w:b w:val="0"/>
                <w:color w:val="000000" w:themeColor="text1"/>
                <w:kern w:val="0"/>
                <w:sz w:val="21"/>
                <w:szCs w:val="21"/>
              </w:rPr>
              <w:t>实测浓度（</w:t>
            </w:r>
            <w:r>
              <w:rPr>
                <w:rFonts w:cs="Times New Roman"/>
                <w:b w:val="0"/>
                <w:color w:val="000000" w:themeColor="text1"/>
                <w:kern w:val="0"/>
                <w:sz w:val="21"/>
                <w:szCs w:val="21"/>
              </w:rPr>
              <w:t>mg/m</w:t>
            </w:r>
            <w:r>
              <w:rPr>
                <w:rFonts w:cs="Times New Roman"/>
                <w:b w:val="0"/>
                <w:color w:val="000000" w:themeColor="text1"/>
                <w:kern w:val="0"/>
                <w:sz w:val="21"/>
                <w:szCs w:val="21"/>
                <w:vertAlign w:val="superscript"/>
              </w:rPr>
              <w:t>3</w:t>
            </w:r>
            <w:r>
              <w:rPr>
                <w:rFonts w:hint="eastAsia" w:cs="Times New Roman"/>
                <w:b w:val="0"/>
                <w:color w:val="000000" w:themeColor="text1"/>
                <w:kern w:val="0"/>
                <w:sz w:val="21"/>
                <w:szCs w:val="21"/>
              </w:rPr>
              <w:t>）</w:t>
            </w:r>
          </w:p>
        </w:tc>
        <w:tc>
          <w:tcPr>
            <w:tcW w:w="1540" w:type="dxa"/>
            <w:vAlign w:val="center"/>
          </w:tcPr>
          <w:p>
            <w:pPr>
              <w:pStyle w:val="14"/>
              <w:snapToGrid w:val="0"/>
              <w:spacing w:line="240" w:lineRule="auto"/>
              <w:rPr>
                <w:b w:val="0"/>
                <w:color w:val="000000" w:themeColor="text1"/>
                <w:kern w:val="0"/>
                <w:sz w:val="21"/>
                <w:szCs w:val="21"/>
              </w:rPr>
            </w:pPr>
            <w:r>
              <w:rPr>
                <w:rFonts w:hint="eastAsia"/>
                <w:b w:val="0"/>
                <w:color w:val="000000" w:themeColor="text1"/>
                <w:kern w:val="0"/>
                <w:sz w:val="21"/>
                <w:szCs w:val="21"/>
              </w:rPr>
              <w:t>36</w:t>
            </w:r>
          </w:p>
        </w:tc>
        <w:tc>
          <w:tcPr>
            <w:tcW w:w="1541" w:type="dxa"/>
            <w:vAlign w:val="center"/>
          </w:tcPr>
          <w:p>
            <w:pPr>
              <w:pStyle w:val="14"/>
              <w:snapToGrid w:val="0"/>
              <w:spacing w:line="240" w:lineRule="auto"/>
              <w:rPr>
                <w:b w:val="0"/>
                <w:color w:val="000000" w:themeColor="text1"/>
                <w:kern w:val="0"/>
                <w:sz w:val="21"/>
                <w:szCs w:val="21"/>
              </w:rPr>
            </w:pPr>
            <w:r>
              <w:rPr>
                <w:rFonts w:hint="eastAsia"/>
                <w:b w:val="0"/>
                <w:color w:val="000000" w:themeColor="text1"/>
                <w:kern w:val="0"/>
                <w:sz w:val="21"/>
                <w:szCs w:val="21"/>
              </w:rPr>
              <w:t>34</w:t>
            </w:r>
          </w:p>
        </w:tc>
        <w:tc>
          <w:tcPr>
            <w:tcW w:w="1541" w:type="dxa"/>
            <w:vAlign w:val="center"/>
          </w:tcPr>
          <w:p>
            <w:pPr>
              <w:pStyle w:val="14"/>
              <w:snapToGrid w:val="0"/>
              <w:spacing w:line="240" w:lineRule="auto"/>
              <w:rPr>
                <w:b w:val="0"/>
                <w:color w:val="000000" w:themeColor="text1"/>
                <w:kern w:val="0"/>
                <w:sz w:val="21"/>
                <w:szCs w:val="21"/>
              </w:rPr>
            </w:pPr>
            <w:r>
              <w:rPr>
                <w:rFonts w:hint="eastAsia"/>
                <w:b w:val="0"/>
                <w:color w:val="000000" w:themeColor="text1"/>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Merge w:val="continue"/>
            <w:vAlign w:val="center"/>
          </w:tcPr>
          <w:p>
            <w:pPr>
              <w:pStyle w:val="14"/>
              <w:snapToGrid w:val="0"/>
              <w:spacing w:line="240" w:lineRule="auto"/>
              <w:rPr>
                <w:b w:val="0"/>
                <w:color w:val="000000" w:themeColor="text1"/>
                <w:kern w:val="0"/>
                <w:sz w:val="21"/>
                <w:szCs w:val="21"/>
              </w:rPr>
            </w:pPr>
          </w:p>
        </w:tc>
        <w:tc>
          <w:tcPr>
            <w:tcW w:w="978" w:type="dxa"/>
            <w:vMerge w:val="continue"/>
            <w:vAlign w:val="center"/>
          </w:tcPr>
          <w:p>
            <w:pPr>
              <w:pStyle w:val="14"/>
              <w:snapToGrid w:val="0"/>
              <w:spacing w:line="240" w:lineRule="auto"/>
              <w:rPr>
                <w:b w:val="0"/>
                <w:color w:val="000000" w:themeColor="text1"/>
                <w:kern w:val="0"/>
                <w:sz w:val="21"/>
                <w:szCs w:val="21"/>
              </w:rPr>
            </w:pPr>
          </w:p>
        </w:tc>
        <w:tc>
          <w:tcPr>
            <w:tcW w:w="2102" w:type="dxa"/>
            <w:vAlign w:val="center"/>
          </w:tcPr>
          <w:p>
            <w:pPr>
              <w:pStyle w:val="14"/>
              <w:snapToGrid w:val="0"/>
              <w:spacing w:line="240" w:lineRule="auto"/>
              <w:rPr>
                <w:rFonts w:cs="Times New Roman"/>
                <w:b w:val="0"/>
                <w:color w:val="000000" w:themeColor="text1"/>
                <w:kern w:val="0"/>
                <w:sz w:val="21"/>
                <w:szCs w:val="21"/>
              </w:rPr>
            </w:pPr>
            <w:r>
              <w:rPr>
                <w:rFonts w:hint="eastAsia" w:cs="Times New Roman"/>
                <w:b w:val="0"/>
                <w:color w:val="000000" w:themeColor="text1"/>
                <w:kern w:val="0"/>
                <w:sz w:val="21"/>
                <w:szCs w:val="21"/>
              </w:rPr>
              <w:t>折算浓度（</w:t>
            </w:r>
            <w:r>
              <w:rPr>
                <w:rFonts w:cs="Times New Roman"/>
                <w:b w:val="0"/>
                <w:color w:val="000000" w:themeColor="text1"/>
                <w:kern w:val="0"/>
                <w:sz w:val="21"/>
                <w:szCs w:val="21"/>
              </w:rPr>
              <w:t>mg/m</w:t>
            </w:r>
            <w:r>
              <w:rPr>
                <w:rFonts w:cs="Times New Roman"/>
                <w:b w:val="0"/>
                <w:color w:val="000000" w:themeColor="text1"/>
                <w:kern w:val="0"/>
                <w:sz w:val="21"/>
                <w:szCs w:val="21"/>
                <w:vertAlign w:val="superscript"/>
              </w:rPr>
              <w:t>3</w:t>
            </w:r>
            <w:r>
              <w:rPr>
                <w:rFonts w:hint="eastAsia" w:cs="Times New Roman"/>
                <w:b w:val="0"/>
                <w:color w:val="000000" w:themeColor="text1"/>
                <w:kern w:val="0"/>
                <w:sz w:val="21"/>
                <w:szCs w:val="21"/>
              </w:rPr>
              <w:t>）</w:t>
            </w:r>
          </w:p>
        </w:tc>
        <w:tc>
          <w:tcPr>
            <w:tcW w:w="1540" w:type="dxa"/>
            <w:vAlign w:val="center"/>
          </w:tcPr>
          <w:p>
            <w:pPr>
              <w:pStyle w:val="14"/>
              <w:snapToGrid w:val="0"/>
              <w:spacing w:line="240" w:lineRule="auto"/>
              <w:rPr>
                <w:b w:val="0"/>
                <w:color w:val="000000" w:themeColor="text1"/>
                <w:kern w:val="0"/>
                <w:sz w:val="21"/>
                <w:szCs w:val="21"/>
              </w:rPr>
            </w:pPr>
            <w:r>
              <w:rPr>
                <w:rFonts w:hint="eastAsia"/>
                <w:b w:val="0"/>
                <w:color w:val="000000" w:themeColor="text1"/>
                <w:kern w:val="0"/>
                <w:sz w:val="21"/>
                <w:szCs w:val="21"/>
              </w:rPr>
              <w:t>46</w:t>
            </w:r>
          </w:p>
        </w:tc>
        <w:tc>
          <w:tcPr>
            <w:tcW w:w="1541" w:type="dxa"/>
            <w:vAlign w:val="center"/>
          </w:tcPr>
          <w:p>
            <w:pPr>
              <w:pStyle w:val="14"/>
              <w:snapToGrid w:val="0"/>
              <w:spacing w:line="240" w:lineRule="auto"/>
              <w:rPr>
                <w:b w:val="0"/>
                <w:color w:val="000000" w:themeColor="text1"/>
                <w:kern w:val="0"/>
                <w:sz w:val="21"/>
                <w:szCs w:val="21"/>
              </w:rPr>
            </w:pPr>
            <w:r>
              <w:rPr>
                <w:rFonts w:hint="eastAsia"/>
                <w:b w:val="0"/>
                <w:color w:val="000000" w:themeColor="text1"/>
                <w:kern w:val="0"/>
                <w:sz w:val="21"/>
                <w:szCs w:val="21"/>
              </w:rPr>
              <w:t>44</w:t>
            </w:r>
          </w:p>
        </w:tc>
        <w:tc>
          <w:tcPr>
            <w:tcW w:w="1541" w:type="dxa"/>
            <w:vAlign w:val="center"/>
          </w:tcPr>
          <w:p>
            <w:pPr>
              <w:pStyle w:val="14"/>
              <w:snapToGrid w:val="0"/>
              <w:spacing w:line="240" w:lineRule="auto"/>
              <w:rPr>
                <w:b w:val="0"/>
                <w:color w:val="000000" w:themeColor="text1"/>
                <w:kern w:val="0"/>
                <w:sz w:val="21"/>
                <w:szCs w:val="21"/>
              </w:rPr>
            </w:pPr>
            <w:r>
              <w:rPr>
                <w:rFonts w:hint="eastAsia"/>
                <w:b w:val="0"/>
                <w:color w:val="000000" w:themeColor="text1"/>
                <w:kern w:val="0"/>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Merge w:val="continue"/>
            <w:vAlign w:val="center"/>
          </w:tcPr>
          <w:p>
            <w:pPr>
              <w:pStyle w:val="14"/>
              <w:snapToGrid w:val="0"/>
              <w:spacing w:line="240" w:lineRule="auto"/>
              <w:rPr>
                <w:b w:val="0"/>
                <w:color w:val="000000" w:themeColor="text1"/>
                <w:kern w:val="0"/>
                <w:sz w:val="21"/>
                <w:szCs w:val="21"/>
              </w:rPr>
            </w:pPr>
          </w:p>
        </w:tc>
        <w:tc>
          <w:tcPr>
            <w:tcW w:w="978" w:type="dxa"/>
            <w:vMerge w:val="continue"/>
            <w:vAlign w:val="center"/>
          </w:tcPr>
          <w:p>
            <w:pPr>
              <w:pStyle w:val="14"/>
              <w:snapToGrid w:val="0"/>
              <w:spacing w:line="240" w:lineRule="auto"/>
              <w:rPr>
                <w:b w:val="0"/>
                <w:color w:val="000000" w:themeColor="text1"/>
                <w:kern w:val="0"/>
                <w:sz w:val="21"/>
                <w:szCs w:val="21"/>
              </w:rPr>
            </w:pPr>
          </w:p>
        </w:tc>
        <w:tc>
          <w:tcPr>
            <w:tcW w:w="2102" w:type="dxa"/>
            <w:vAlign w:val="center"/>
          </w:tcPr>
          <w:p>
            <w:pPr>
              <w:pStyle w:val="14"/>
              <w:snapToGrid w:val="0"/>
              <w:spacing w:line="240" w:lineRule="auto"/>
              <w:rPr>
                <w:rFonts w:cs="Times New Roman"/>
                <w:b w:val="0"/>
                <w:color w:val="000000" w:themeColor="text1"/>
                <w:kern w:val="0"/>
                <w:sz w:val="21"/>
                <w:szCs w:val="21"/>
              </w:rPr>
            </w:pPr>
            <w:r>
              <w:rPr>
                <w:rFonts w:hint="eastAsia" w:ascii="宋体" w:cs="宋体" w:hAnsiTheme="minorHAnsi"/>
                <w:b w:val="0"/>
                <w:color w:val="000000" w:themeColor="text1"/>
                <w:kern w:val="0"/>
                <w:sz w:val="21"/>
                <w:szCs w:val="21"/>
              </w:rPr>
              <w:t>排放速率（</w:t>
            </w:r>
            <w:r>
              <w:rPr>
                <w:rFonts w:ascii="TimesNewRomanPSMT" w:eastAsia="TimesNewRomanPSMT" w:cs="TimesNewRomanPSMT" w:hAnsiTheme="minorHAnsi"/>
                <w:b w:val="0"/>
                <w:color w:val="000000" w:themeColor="text1"/>
                <w:kern w:val="0"/>
                <w:sz w:val="21"/>
                <w:szCs w:val="21"/>
              </w:rPr>
              <w:t>kg/h</w:t>
            </w:r>
            <w:r>
              <w:rPr>
                <w:rFonts w:hint="eastAsia" w:ascii="宋体" w:cs="宋体" w:hAnsiTheme="minorHAnsi"/>
                <w:b w:val="0"/>
                <w:color w:val="000000" w:themeColor="text1"/>
                <w:kern w:val="0"/>
                <w:sz w:val="21"/>
                <w:szCs w:val="21"/>
              </w:rPr>
              <w:t>）</w:t>
            </w:r>
          </w:p>
        </w:tc>
        <w:tc>
          <w:tcPr>
            <w:tcW w:w="1540" w:type="dxa"/>
            <w:vAlign w:val="center"/>
          </w:tcPr>
          <w:p>
            <w:pPr>
              <w:pStyle w:val="14"/>
              <w:snapToGrid w:val="0"/>
              <w:spacing w:line="240" w:lineRule="auto"/>
              <w:rPr>
                <w:b w:val="0"/>
                <w:color w:val="000000" w:themeColor="text1"/>
                <w:kern w:val="0"/>
                <w:sz w:val="21"/>
                <w:szCs w:val="21"/>
              </w:rPr>
            </w:pPr>
            <w:r>
              <w:rPr>
                <w:rFonts w:hint="eastAsia"/>
                <w:b w:val="0"/>
                <w:color w:val="000000" w:themeColor="text1"/>
                <w:kern w:val="0"/>
                <w:sz w:val="21"/>
                <w:szCs w:val="21"/>
              </w:rPr>
              <w:t>0.011</w:t>
            </w:r>
          </w:p>
        </w:tc>
        <w:tc>
          <w:tcPr>
            <w:tcW w:w="1541" w:type="dxa"/>
            <w:vAlign w:val="center"/>
          </w:tcPr>
          <w:p>
            <w:pPr>
              <w:pStyle w:val="14"/>
              <w:snapToGrid w:val="0"/>
              <w:spacing w:line="240" w:lineRule="auto"/>
              <w:rPr>
                <w:b w:val="0"/>
                <w:color w:val="000000" w:themeColor="text1"/>
                <w:kern w:val="0"/>
                <w:sz w:val="21"/>
                <w:szCs w:val="21"/>
              </w:rPr>
            </w:pPr>
            <w:r>
              <w:rPr>
                <w:rFonts w:hint="eastAsia"/>
                <w:b w:val="0"/>
                <w:color w:val="000000" w:themeColor="text1"/>
                <w:kern w:val="0"/>
                <w:sz w:val="21"/>
                <w:szCs w:val="21"/>
              </w:rPr>
              <w:t>0.015</w:t>
            </w:r>
          </w:p>
        </w:tc>
        <w:tc>
          <w:tcPr>
            <w:tcW w:w="1541" w:type="dxa"/>
            <w:vAlign w:val="center"/>
          </w:tcPr>
          <w:p>
            <w:pPr>
              <w:pStyle w:val="14"/>
              <w:snapToGrid w:val="0"/>
              <w:spacing w:line="240" w:lineRule="auto"/>
              <w:rPr>
                <w:b w:val="0"/>
                <w:color w:val="000000" w:themeColor="text1"/>
                <w:kern w:val="0"/>
                <w:sz w:val="21"/>
                <w:szCs w:val="21"/>
              </w:rPr>
            </w:pPr>
            <w:r>
              <w:rPr>
                <w:rFonts w:hint="eastAsia"/>
                <w:b w:val="0"/>
                <w:color w:val="000000" w:themeColor="text1"/>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Merge w:val="continue"/>
            <w:vAlign w:val="center"/>
          </w:tcPr>
          <w:p>
            <w:pPr>
              <w:pStyle w:val="14"/>
              <w:snapToGrid w:val="0"/>
              <w:spacing w:line="240" w:lineRule="auto"/>
              <w:rPr>
                <w:b w:val="0"/>
                <w:color w:val="000000" w:themeColor="text1"/>
                <w:kern w:val="0"/>
                <w:sz w:val="21"/>
                <w:szCs w:val="21"/>
              </w:rPr>
            </w:pPr>
          </w:p>
        </w:tc>
        <w:tc>
          <w:tcPr>
            <w:tcW w:w="978" w:type="dxa"/>
            <w:vMerge w:val="continue"/>
            <w:vAlign w:val="center"/>
          </w:tcPr>
          <w:p>
            <w:pPr>
              <w:pStyle w:val="14"/>
              <w:snapToGrid w:val="0"/>
              <w:spacing w:line="240" w:lineRule="auto"/>
              <w:rPr>
                <w:b w:val="0"/>
                <w:color w:val="000000" w:themeColor="text1"/>
                <w:kern w:val="0"/>
                <w:sz w:val="21"/>
                <w:szCs w:val="21"/>
              </w:rPr>
            </w:pPr>
          </w:p>
        </w:tc>
        <w:tc>
          <w:tcPr>
            <w:tcW w:w="2102" w:type="dxa"/>
            <w:vAlign w:val="center"/>
          </w:tcPr>
          <w:p>
            <w:pPr>
              <w:pStyle w:val="14"/>
              <w:snapToGrid w:val="0"/>
              <w:spacing w:line="240" w:lineRule="auto"/>
              <w:rPr>
                <w:rFonts w:ascii="宋体" w:cs="宋体" w:hAnsiTheme="minorHAnsi"/>
                <w:b w:val="0"/>
                <w:color w:val="000000" w:themeColor="text1"/>
                <w:kern w:val="0"/>
                <w:sz w:val="21"/>
                <w:szCs w:val="21"/>
              </w:rPr>
            </w:pPr>
            <w:r>
              <w:rPr>
                <w:rFonts w:hint="eastAsia" w:ascii="宋体" w:cs="宋体" w:hAnsiTheme="minorHAnsi"/>
                <w:b w:val="0"/>
                <w:color w:val="000000" w:themeColor="text1"/>
                <w:kern w:val="0"/>
                <w:sz w:val="21"/>
                <w:szCs w:val="21"/>
              </w:rPr>
              <w:t>排放量</w:t>
            </w:r>
            <w:r>
              <w:rPr>
                <w:rFonts w:cs="Times New Roman"/>
                <w:b w:val="0"/>
                <w:color w:val="000000" w:themeColor="text1"/>
                <w:kern w:val="0"/>
                <w:sz w:val="21"/>
                <w:szCs w:val="21"/>
              </w:rPr>
              <w:t>（t/a）</w:t>
            </w:r>
          </w:p>
        </w:tc>
        <w:tc>
          <w:tcPr>
            <w:tcW w:w="1540" w:type="dxa"/>
            <w:vAlign w:val="center"/>
          </w:tcPr>
          <w:p>
            <w:pPr>
              <w:pStyle w:val="14"/>
              <w:snapToGrid w:val="0"/>
              <w:spacing w:line="240" w:lineRule="auto"/>
              <w:rPr>
                <w:b w:val="0"/>
                <w:color w:val="000000" w:themeColor="text1"/>
                <w:kern w:val="0"/>
                <w:sz w:val="21"/>
                <w:szCs w:val="21"/>
              </w:rPr>
            </w:pPr>
            <w:r>
              <w:rPr>
                <w:rFonts w:hint="eastAsia"/>
                <w:b w:val="0"/>
                <w:color w:val="000000" w:themeColor="text1"/>
                <w:kern w:val="0"/>
                <w:sz w:val="21"/>
                <w:szCs w:val="21"/>
              </w:rPr>
              <w:t>0.032</w:t>
            </w:r>
          </w:p>
        </w:tc>
        <w:tc>
          <w:tcPr>
            <w:tcW w:w="1541" w:type="dxa"/>
            <w:vAlign w:val="center"/>
          </w:tcPr>
          <w:p>
            <w:pPr>
              <w:pStyle w:val="14"/>
              <w:snapToGrid w:val="0"/>
              <w:spacing w:line="240" w:lineRule="auto"/>
              <w:rPr>
                <w:b w:val="0"/>
                <w:color w:val="000000" w:themeColor="text1"/>
                <w:kern w:val="0"/>
                <w:sz w:val="21"/>
                <w:szCs w:val="21"/>
              </w:rPr>
            </w:pPr>
            <w:r>
              <w:rPr>
                <w:rFonts w:hint="eastAsia"/>
                <w:b w:val="0"/>
                <w:color w:val="000000" w:themeColor="text1"/>
                <w:kern w:val="0"/>
                <w:sz w:val="21"/>
                <w:szCs w:val="21"/>
              </w:rPr>
              <w:t>0.044</w:t>
            </w:r>
          </w:p>
        </w:tc>
        <w:tc>
          <w:tcPr>
            <w:tcW w:w="1541" w:type="dxa"/>
            <w:vAlign w:val="center"/>
          </w:tcPr>
          <w:p>
            <w:pPr>
              <w:pStyle w:val="14"/>
              <w:snapToGrid w:val="0"/>
              <w:spacing w:line="240" w:lineRule="auto"/>
              <w:rPr>
                <w:b w:val="0"/>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Merge w:val="continue"/>
            <w:vAlign w:val="center"/>
          </w:tcPr>
          <w:p>
            <w:pPr>
              <w:pStyle w:val="14"/>
              <w:snapToGrid w:val="0"/>
              <w:spacing w:line="240" w:lineRule="auto"/>
              <w:rPr>
                <w:b w:val="0"/>
                <w:color w:val="000000" w:themeColor="text1"/>
                <w:kern w:val="0"/>
                <w:sz w:val="21"/>
                <w:szCs w:val="21"/>
              </w:rPr>
            </w:pPr>
          </w:p>
        </w:tc>
        <w:tc>
          <w:tcPr>
            <w:tcW w:w="978" w:type="dxa"/>
            <w:vMerge w:val="continue"/>
            <w:vAlign w:val="center"/>
          </w:tcPr>
          <w:p>
            <w:pPr>
              <w:pStyle w:val="14"/>
              <w:snapToGrid w:val="0"/>
              <w:spacing w:line="240" w:lineRule="auto"/>
              <w:rPr>
                <w:b w:val="0"/>
                <w:color w:val="000000" w:themeColor="text1"/>
                <w:kern w:val="0"/>
                <w:sz w:val="21"/>
                <w:szCs w:val="21"/>
              </w:rPr>
            </w:pPr>
          </w:p>
        </w:tc>
        <w:tc>
          <w:tcPr>
            <w:tcW w:w="2102" w:type="dxa"/>
            <w:vAlign w:val="center"/>
          </w:tcPr>
          <w:p>
            <w:pPr>
              <w:pStyle w:val="14"/>
              <w:snapToGrid w:val="0"/>
              <w:spacing w:line="240" w:lineRule="auto"/>
              <w:rPr>
                <w:rFonts w:cs="Times New Roman"/>
                <w:b w:val="0"/>
                <w:color w:val="000000" w:themeColor="text1"/>
                <w:kern w:val="0"/>
                <w:sz w:val="21"/>
                <w:szCs w:val="21"/>
              </w:rPr>
            </w:pPr>
            <w:r>
              <w:rPr>
                <w:rFonts w:hint="eastAsia" w:cs="Times New Roman"/>
                <w:b w:val="0"/>
                <w:color w:val="000000" w:themeColor="text1"/>
                <w:kern w:val="0"/>
                <w:sz w:val="21"/>
                <w:szCs w:val="21"/>
              </w:rPr>
              <w:t>是否达标</w:t>
            </w:r>
          </w:p>
        </w:tc>
        <w:tc>
          <w:tcPr>
            <w:tcW w:w="1540" w:type="dxa"/>
            <w:vAlign w:val="center"/>
          </w:tcPr>
          <w:p>
            <w:pPr>
              <w:pStyle w:val="14"/>
              <w:snapToGrid w:val="0"/>
              <w:spacing w:line="240" w:lineRule="auto"/>
              <w:rPr>
                <w:b w:val="0"/>
                <w:color w:val="000000" w:themeColor="text1"/>
                <w:kern w:val="0"/>
                <w:sz w:val="21"/>
                <w:szCs w:val="21"/>
              </w:rPr>
            </w:pPr>
            <w:r>
              <w:rPr>
                <w:rFonts w:hint="eastAsia"/>
                <w:b w:val="0"/>
                <w:color w:val="000000" w:themeColor="text1"/>
                <w:kern w:val="0"/>
                <w:sz w:val="21"/>
                <w:szCs w:val="21"/>
              </w:rPr>
              <w:t>达标</w:t>
            </w:r>
          </w:p>
        </w:tc>
        <w:tc>
          <w:tcPr>
            <w:tcW w:w="1541" w:type="dxa"/>
            <w:vAlign w:val="center"/>
          </w:tcPr>
          <w:p>
            <w:pPr>
              <w:pStyle w:val="14"/>
              <w:snapToGrid w:val="0"/>
              <w:spacing w:line="240" w:lineRule="auto"/>
              <w:rPr>
                <w:b w:val="0"/>
                <w:color w:val="000000" w:themeColor="text1"/>
                <w:kern w:val="0"/>
                <w:sz w:val="21"/>
                <w:szCs w:val="21"/>
              </w:rPr>
            </w:pPr>
            <w:r>
              <w:rPr>
                <w:rFonts w:hint="eastAsia"/>
                <w:b w:val="0"/>
                <w:color w:val="000000" w:themeColor="text1"/>
                <w:kern w:val="0"/>
                <w:sz w:val="21"/>
                <w:szCs w:val="21"/>
              </w:rPr>
              <w:t>达标</w:t>
            </w:r>
          </w:p>
        </w:tc>
        <w:tc>
          <w:tcPr>
            <w:tcW w:w="1541" w:type="dxa"/>
          </w:tcPr>
          <w:p>
            <w:pPr>
              <w:jc w:val="center"/>
              <w:rPr>
                <w:rFonts w:eastAsia="宋体" w:cs="Times New Roman"/>
                <w:color w:val="000000" w:themeColor="text1"/>
              </w:rPr>
            </w:pPr>
            <w:r>
              <w:rPr>
                <w:rFonts w:hint="eastAsia" w:eastAsia="宋体" w:cs="Times New Roman"/>
                <w:b/>
                <w:color w:val="000000" w:themeColor="text1"/>
                <w:kern w:val="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Merge w:val="continue"/>
            <w:vAlign w:val="center"/>
          </w:tcPr>
          <w:p>
            <w:pPr>
              <w:pStyle w:val="14"/>
              <w:snapToGrid w:val="0"/>
              <w:spacing w:line="240" w:lineRule="auto"/>
              <w:rPr>
                <w:b w:val="0"/>
                <w:color w:val="000000" w:themeColor="text1"/>
                <w:kern w:val="0"/>
                <w:sz w:val="21"/>
                <w:szCs w:val="21"/>
              </w:rPr>
            </w:pPr>
          </w:p>
        </w:tc>
        <w:tc>
          <w:tcPr>
            <w:tcW w:w="978" w:type="dxa"/>
            <w:vMerge w:val="restart"/>
            <w:vAlign w:val="center"/>
          </w:tcPr>
          <w:p>
            <w:pPr>
              <w:pStyle w:val="14"/>
              <w:snapToGrid w:val="0"/>
              <w:spacing w:line="240" w:lineRule="auto"/>
              <w:rPr>
                <w:b w:val="0"/>
                <w:color w:val="000000" w:themeColor="text1"/>
                <w:kern w:val="0"/>
                <w:sz w:val="21"/>
                <w:szCs w:val="21"/>
              </w:rPr>
            </w:pPr>
            <w:r>
              <w:rPr>
                <w:b w:val="0"/>
                <w:color w:val="000000" w:themeColor="text1"/>
                <w:kern w:val="0"/>
                <w:sz w:val="21"/>
                <w:szCs w:val="21"/>
              </w:rPr>
              <w:t>氮氧化物</w:t>
            </w:r>
          </w:p>
        </w:tc>
        <w:tc>
          <w:tcPr>
            <w:tcW w:w="2102" w:type="dxa"/>
            <w:vAlign w:val="center"/>
          </w:tcPr>
          <w:p>
            <w:pPr>
              <w:pStyle w:val="14"/>
              <w:snapToGrid w:val="0"/>
              <w:spacing w:line="240" w:lineRule="auto"/>
              <w:rPr>
                <w:rFonts w:cs="Times New Roman"/>
                <w:b w:val="0"/>
                <w:color w:val="000000" w:themeColor="text1"/>
                <w:kern w:val="0"/>
                <w:sz w:val="21"/>
                <w:szCs w:val="21"/>
              </w:rPr>
            </w:pPr>
            <w:r>
              <w:rPr>
                <w:rFonts w:hint="eastAsia" w:cs="Times New Roman"/>
                <w:b w:val="0"/>
                <w:color w:val="000000" w:themeColor="text1"/>
                <w:kern w:val="0"/>
                <w:sz w:val="21"/>
                <w:szCs w:val="21"/>
              </w:rPr>
              <w:t>实测浓度（</w:t>
            </w:r>
            <w:r>
              <w:rPr>
                <w:rFonts w:cs="Times New Roman"/>
                <w:b w:val="0"/>
                <w:color w:val="000000" w:themeColor="text1"/>
                <w:kern w:val="0"/>
                <w:sz w:val="21"/>
                <w:szCs w:val="21"/>
              </w:rPr>
              <w:t>mg/m</w:t>
            </w:r>
            <w:r>
              <w:rPr>
                <w:rFonts w:cs="Times New Roman"/>
                <w:b w:val="0"/>
                <w:color w:val="000000" w:themeColor="text1"/>
                <w:kern w:val="0"/>
                <w:sz w:val="21"/>
                <w:szCs w:val="21"/>
                <w:vertAlign w:val="superscript"/>
              </w:rPr>
              <w:t>3</w:t>
            </w:r>
            <w:r>
              <w:rPr>
                <w:rFonts w:hint="eastAsia" w:cs="Times New Roman"/>
                <w:b w:val="0"/>
                <w:color w:val="000000" w:themeColor="text1"/>
                <w:kern w:val="0"/>
                <w:sz w:val="21"/>
                <w:szCs w:val="21"/>
              </w:rPr>
              <w:t>）</w:t>
            </w:r>
          </w:p>
        </w:tc>
        <w:tc>
          <w:tcPr>
            <w:tcW w:w="1540" w:type="dxa"/>
            <w:vAlign w:val="center"/>
          </w:tcPr>
          <w:p>
            <w:pPr>
              <w:pStyle w:val="14"/>
              <w:snapToGrid w:val="0"/>
              <w:spacing w:line="240" w:lineRule="auto"/>
              <w:rPr>
                <w:b w:val="0"/>
                <w:color w:val="000000" w:themeColor="text1"/>
                <w:kern w:val="0"/>
                <w:sz w:val="21"/>
                <w:szCs w:val="21"/>
              </w:rPr>
            </w:pPr>
            <w:r>
              <w:rPr>
                <w:rFonts w:hint="eastAsia"/>
                <w:b w:val="0"/>
                <w:color w:val="000000" w:themeColor="text1"/>
                <w:kern w:val="0"/>
                <w:sz w:val="21"/>
                <w:szCs w:val="21"/>
              </w:rPr>
              <w:t>87</w:t>
            </w:r>
          </w:p>
        </w:tc>
        <w:tc>
          <w:tcPr>
            <w:tcW w:w="1541" w:type="dxa"/>
            <w:vAlign w:val="center"/>
          </w:tcPr>
          <w:p>
            <w:pPr>
              <w:pStyle w:val="14"/>
              <w:snapToGrid w:val="0"/>
              <w:spacing w:line="240" w:lineRule="auto"/>
              <w:rPr>
                <w:b w:val="0"/>
                <w:color w:val="000000" w:themeColor="text1"/>
                <w:kern w:val="0"/>
                <w:sz w:val="21"/>
                <w:szCs w:val="21"/>
              </w:rPr>
            </w:pPr>
            <w:r>
              <w:rPr>
                <w:rFonts w:hint="eastAsia"/>
                <w:b w:val="0"/>
                <w:color w:val="000000" w:themeColor="text1"/>
                <w:kern w:val="0"/>
                <w:sz w:val="21"/>
                <w:szCs w:val="21"/>
              </w:rPr>
              <w:t>84</w:t>
            </w:r>
          </w:p>
        </w:tc>
        <w:tc>
          <w:tcPr>
            <w:tcW w:w="1541" w:type="dxa"/>
            <w:vAlign w:val="center"/>
          </w:tcPr>
          <w:p>
            <w:pPr>
              <w:pStyle w:val="14"/>
              <w:snapToGrid w:val="0"/>
              <w:spacing w:line="240" w:lineRule="auto"/>
              <w:rPr>
                <w:b w:val="0"/>
                <w:color w:val="000000" w:themeColor="text1"/>
                <w:kern w:val="0"/>
                <w:sz w:val="21"/>
                <w:szCs w:val="21"/>
              </w:rPr>
            </w:pPr>
            <w:r>
              <w:rPr>
                <w:rFonts w:hint="eastAsia"/>
                <w:b w:val="0"/>
                <w:color w:val="000000" w:themeColor="text1"/>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Merge w:val="continue"/>
            <w:vAlign w:val="center"/>
          </w:tcPr>
          <w:p>
            <w:pPr>
              <w:pStyle w:val="14"/>
              <w:snapToGrid w:val="0"/>
              <w:spacing w:line="240" w:lineRule="auto"/>
              <w:rPr>
                <w:b w:val="0"/>
                <w:color w:val="000000" w:themeColor="text1"/>
                <w:kern w:val="0"/>
                <w:sz w:val="21"/>
                <w:szCs w:val="21"/>
              </w:rPr>
            </w:pPr>
          </w:p>
        </w:tc>
        <w:tc>
          <w:tcPr>
            <w:tcW w:w="978" w:type="dxa"/>
            <w:vMerge w:val="continue"/>
            <w:vAlign w:val="center"/>
          </w:tcPr>
          <w:p>
            <w:pPr>
              <w:pStyle w:val="14"/>
              <w:snapToGrid w:val="0"/>
              <w:spacing w:line="240" w:lineRule="auto"/>
              <w:rPr>
                <w:b w:val="0"/>
                <w:color w:val="000000" w:themeColor="text1"/>
                <w:kern w:val="0"/>
                <w:sz w:val="21"/>
                <w:szCs w:val="21"/>
              </w:rPr>
            </w:pPr>
          </w:p>
        </w:tc>
        <w:tc>
          <w:tcPr>
            <w:tcW w:w="2102" w:type="dxa"/>
            <w:vAlign w:val="center"/>
          </w:tcPr>
          <w:p>
            <w:pPr>
              <w:pStyle w:val="14"/>
              <w:snapToGrid w:val="0"/>
              <w:spacing w:line="240" w:lineRule="auto"/>
              <w:rPr>
                <w:rFonts w:cs="Times New Roman"/>
                <w:b w:val="0"/>
                <w:color w:val="000000" w:themeColor="text1"/>
                <w:kern w:val="0"/>
                <w:sz w:val="21"/>
                <w:szCs w:val="21"/>
              </w:rPr>
            </w:pPr>
            <w:r>
              <w:rPr>
                <w:rFonts w:hint="eastAsia" w:cs="Times New Roman"/>
                <w:b w:val="0"/>
                <w:color w:val="000000" w:themeColor="text1"/>
                <w:kern w:val="0"/>
                <w:sz w:val="21"/>
                <w:szCs w:val="21"/>
              </w:rPr>
              <w:t>折算浓度（</w:t>
            </w:r>
            <w:r>
              <w:rPr>
                <w:rFonts w:cs="Times New Roman"/>
                <w:b w:val="0"/>
                <w:color w:val="000000" w:themeColor="text1"/>
                <w:kern w:val="0"/>
                <w:sz w:val="21"/>
                <w:szCs w:val="21"/>
              </w:rPr>
              <w:t>mg/m</w:t>
            </w:r>
            <w:r>
              <w:rPr>
                <w:rFonts w:cs="Times New Roman"/>
                <w:b w:val="0"/>
                <w:color w:val="000000" w:themeColor="text1"/>
                <w:kern w:val="0"/>
                <w:sz w:val="21"/>
                <w:szCs w:val="21"/>
                <w:vertAlign w:val="superscript"/>
              </w:rPr>
              <w:t>3</w:t>
            </w:r>
            <w:r>
              <w:rPr>
                <w:rFonts w:hint="eastAsia" w:cs="Times New Roman"/>
                <w:b w:val="0"/>
                <w:color w:val="000000" w:themeColor="text1"/>
                <w:kern w:val="0"/>
                <w:sz w:val="21"/>
                <w:szCs w:val="21"/>
              </w:rPr>
              <w:t>）</w:t>
            </w:r>
          </w:p>
        </w:tc>
        <w:tc>
          <w:tcPr>
            <w:tcW w:w="1540" w:type="dxa"/>
            <w:vAlign w:val="center"/>
          </w:tcPr>
          <w:p>
            <w:pPr>
              <w:pStyle w:val="14"/>
              <w:snapToGrid w:val="0"/>
              <w:spacing w:line="240" w:lineRule="auto"/>
              <w:rPr>
                <w:b w:val="0"/>
                <w:color w:val="000000" w:themeColor="text1"/>
                <w:kern w:val="0"/>
                <w:sz w:val="21"/>
                <w:szCs w:val="21"/>
              </w:rPr>
            </w:pPr>
            <w:r>
              <w:rPr>
                <w:rFonts w:hint="eastAsia"/>
                <w:b w:val="0"/>
                <w:color w:val="000000" w:themeColor="text1"/>
                <w:kern w:val="0"/>
                <w:sz w:val="21"/>
                <w:szCs w:val="21"/>
              </w:rPr>
              <w:t>112</w:t>
            </w:r>
          </w:p>
        </w:tc>
        <w:tc>
          <w:tcPr>
            <w:tcW w:w="1541" w:type="dxa"/>
            <w:vAlign w:val="center"/>
          </w:tcPr>
          <w:p>
            <w:pPr>
              <w:pStyle w:val="14"/>
              <w:snapToGrid w:val="0"/>
              <w:spacing w:line="240" w:lineRule="auto"/>
              <w:rPr>
                <w:b w:val="0"/>
                <w:color w:val="000000" w:themeColor="text1"/>
                <w:kern w:val="0"/>
                <w:sz w:val="21"/>
                <w:szCs w:val="21"/>
              </w:rPr>
            </w:pPr>
            <w:r>
              <w:rPr>
                <w:rFonts w:hint="eastAsia"/>
                <w:b w:val="0"/>
                <w:color w:val="000000" w:themeColor="text1"/>
                <w:kern w:val="0"/>
                <w:sz w:val="21"/>
                <w:szCs w:val="21"/>
              </w:rPr>
              <w:t>109</w:t>
            </w:r>
          </w:p>
        </w:tc>
        <w:tc>
          <w:tcPr>
            <w:tcW w:w="1541" w:type="dxa"/>
            <w:vAlign w:val="center"/>
          </w:tcPr>
          <w:p>
            <w:pPr>
              <w:pStyle w:val="14"/>
              <w:snapToGrid w:val="0"/>
              <w:spacing w:line="240" w:lineRule="auto"/>
              <w:rPr>
                <w:b w:val="0"/>
                <w:color w:val="000000" w:themeColor="text1"/>
                <w:kern w:val="0"/>
                <w:sz w:val="21"/>
                <w:szCs w:val="21"/>
              </w:rPr>
            </w:pPr>
            <w:r>
              <w:rPr>
                <w:rFonts w:hint="eastAsia"/>
                <w:b w:val="0"/>
                <w:color w:val="000000" w:themeColor="text1"/>
                <w:kern w:val="0"/>
                <w:sz w:val="21"/>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Merge w:val="continue"/>
            <w:vAlign w:val="center"/>
          </w:tcPr>
          <w:p>
            <w:pPr>
              <w:pStyle w:val="14"/>
              <w:snapToGrid w:val="0"/>
              <w:spacing w:line="240" w:lineRule="auto"/>
              <w:rPr>
                <w:b w:val="0"/>
                <w:color w:val="000000" w:themeColor="text1"/>
                <w:kern w:val="0"/>
                <w:sz w:val="21"/>
                <w:szCs w:val="21"/>
              </w:rPr>
            </w:pPr>
          </w:p>
        </w:tc>
        <w:tc>
          <w:tcPr>
            <w:tcW w:w="978" w:type="dxa"/>
            <w:vMerge w:val="continue"/>
            <w:vAlign w:val="center"/>
          </w:tcPr>
          <w:p>
            <w:pPr>
              <w:pStyle w:val="14"/>
              <w:snapToGrid w:val="0"/>
              <w:spacing w:line="240" w:lineRule="auto"/>
              <w:rPr>
                <w:b w:val="0"/>
                <w:color w:val="000000" w:themeColor="text1"/>
                <w:kern w:val="0"/>
                <w:sz w:val="21"/>
                <w:szCs w:val="21"/>
              </w:rPr>
            </w:pPr>
          </w:p>
        </w:tc>
        <w:tc>
          <w:tcPr>
            <w:tcW w:w="2102" w:type="dxa"/>
            <w:vAlign w:val="center"/>
          </w:tcPr>
          <w:p>
            <w:pPr>
              <w:pStyle w:val="14"/>
              <w:snapToGrid w:val="0"/>
              <w:spacing w:line="240" w:lineRule="auto"/>
              <w:rPr>
                <w:b w:val="0"/>
                <w:color w:val="000000" w:themeColor="text1"/>
                <w:kern w:val="0"/>
                <w:sz w:val="21"/>
                <w:szCs w:val="21"/>
              </w:rPr>
            </w:pPr>
            <w:r>
              <w:rPr>
                <w:rFonts w:hint="eastAsia" w:cs="Times New Roman"/>
                <w:b w:val="0"/>
                <w:color w:val="000000" w:themeColor="text1"/>
                <w:kern w:val="0"/>
                <w:sz w:val="21"/>
                <w:szCs w:val="21"/>
              </w:rPr>
              <w:t>排放速率（</w:t>
            </w:r>
            <w:r>
              <w:rPr>
                <w:rFonts w:cs="Times New Roman"/>
                <w:b w:val="0"/>
                <w:color w:val="000000" w:themeColor="text1"/>
                <w:kern w:val="0"/>
                <w:sz w:val="21"/>
                <w:szCs w:val="21"/>
              </w:rPr>
              <w:t>kg/h</w:t>
            </w:r>
            <w:r>
              <w:rPr>
                <w:rFonts w:hint="eastAsia" w:cs="Times New Roman"/>
                <w:b w:val="0"/>
                <w:color w:val="000000" w:themeColor="text1"/>
                <w:kern w:val="0"/>
                <w:sz w:val="21"/>
                <w:szCs w:val="21"/>
              </w:rPr>
              <w:t>）</w:t>
            </w:r>
          </w:p>
        </w:tc>
        <w:tc>
          <w:tcPr>
            <w:tcW w:w="1540" w:type="dxa"/>
            <w:vAlign w:val="center"/>
          </w:tcPr>
          <w:p>
            <w:pPr>
              <w:pStyle w:val="14"/>
              <w:snapToGrid w:val="0"/>
              <w:spacing w:line="240" w:lineRule="auto"/>
              <w:rPr>
                <w:b w:val="0"/>
                <w:color w:val="000000" w:themeColor="text1"/>
                <w:kern w:val="0"/>
                <w:sz w:val="21"/>
                <w:szCs w:val="21"/>
              </w:rPr>
            </w:pPr>
            <w:r>
              <w:rPr>
                <w:rFonts w:hint="eastAsia"/>
                <w:b w:val="0"/>
                <w:color w:val="000000" w:themeColor="text1"/>
                <w:kern w:val="0"/>
                <w:sz w:val="21"/>
                <w:szCs w:val="21"/>
              </w:rPr>
              <w:t>0.027</w:t>
            </w:r>
          </w:p>
        </w:tc>
        <w:tc>
          <w:tcPr>
            <w:tcW w:w="1541" w:type="dxa"/>
            <w:vAlign w:val="center"/>
          </w:tcPr>
          <w:p>
            <w:pPr>
              <w:pStyle w:val="14"/>
              <w:snapToGrid w:val="0"/>
              <w:spacing w:line="240" w:lineRule="auto"/>
              <w:rPr>
                <w:b w:val="0"/>
                <w:color w:val="000000" w:themeColor="text1"/>
                <w:kern w:val="0"/>
                <w:sz w:val="21"/>
                <w:szCs w:val="21"/>
              </w:rPr>
            </w:pPr>
            <w:r>
              <w:rPr>
                <w:rFonts w:hint="eastAsia"/>
                <w:b w:val="0"/>
                <w:color w:val="000000" w:themeColor="text1"/>
                <w:kern w:val="0"/>
                <w:sz w:val="21"/>
                <w:szCs w:val="21"/>
              </w:rPr>
              <w:t>0.037</w:t>
            </w:r>
          </w:p>
        </w:tc>
        <w:tc>
          <w:tcPr>
            <w:tcW w:w="1541" w:type="dxa"/>
            <w:vAlign w:val="center"/>
          </w:tcPr>
          <w:p>
            <w:pPr>
              <w:pStyle w:val="14"/>
              <w:snapToGrid w:val="0"/>
              <w:spacing w:line="240" w:lineRule="auto"/>
              <w:rPr>
                <w:b w:val="0"/>
                <w:color w:val="000000" w:themeColor="text1"/>
                <w:kern w:val="0"/>
                <w:sz w:val="21"/>
                <w:szCs w:val="21"/>
              </w:rPr>
            </w:pPr>
            <w:r>
              <w:rPr>
                <w:rFonts w:hint="eastAsia"/>
                <w:b w:val="0"/>
                <w:color w:val="000000" w:themeColor="text1"/>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Merge w:val="continue"/>
            <w:vAlign w:val="center"/>
          </w:tcPr>
          <w:p>
            <w:pPr>
              <w:pStyle w:val="14"/>
              <w:snapToGrid w:val="0"/>
              <w:spacing w:line="240" w:lineRule="auto"/>
              <w:rPr>
                <w:b w:val="0"/>
                <w:color w:val="000000" w:themeColor="text1"/>
                <w:kern w:val="0"/>
                <w:sz w:val="21"/>
                <w:szCs w:val="21"/>
              </w:rPr>
            </w:pPr>
          </w:p>
        </w:tc>
        <w:tc>
          <w:tcPr>
            <w:tcW w:w="978" w:type="dxa"/>
            <w:vMerge w:val="continue"/>
            <w:vAlign w:val="center"/>
          </w:tcPr>
          <w:p>
            <w:pPr>
              <w:pStyle w:val="14"/>
              <w:snapToGrid w:val="0"/>
              <w:spacing w:line="240" w:lineRule="auto"/>
              <w:rPr>
                <w:b w:val="0"/>
                <w:color w:val="000000" w:themeColor="text1"/>
                <w:kern w:val="0"/>
                <w:sz w:val="21"/>
                <w:szCs w:val="21"/>
              </w:rPr>
            </w:pPr>
          </w:p>
        </w:tc>
        <w:tc>
          <w:tcPr>
            <w:tcW w:w="2102" w:type="dxa"/>
            <w:vAlign w:val="center"/>
          </w:tcPr>
          <w:p>
            <w:pPr>
              <w:pStyle w:val="14"/>
              <w:snapToGrid w:val="0"/>
              <w:spacing w:line="240" w:lineRule="auto"/>
              <w:rPr>
                <w:rFonts w:cs="Times New Roman"/>
                <w:b w:val="0"/>
                <w:color w:val="000000" w:themeColor="text1"/>
                <w:kern w:val="0"/>
                <w:sz w:val="21"/>
                <w:szCs w:val="21"/>
              </w:rPr>
            </w:pPr>
            <w:r>
              <w:rPr>
                <w:rFonts w:cs="Times New Roman"/>
                <w:b w:val="0"/>
                <w:color w:val="000000" w:themeColor="text1"/>
                <w:kern w:val="0"/>
                <w:sz w:val="21"/>
                <w:szCs w:val="21"/>
              </w:rPr>
              <w:t>排放量（t/a）</w:t>
            </w:r>
          </w:p>
        </w:tc>
        <w:tc>
          <w:tcPr>
            <w:tcW w:w="1540" w:type="dxa"/>
            <w:vAlign w:val="center"/>
          </w:tcPr>
          <w:p>
            <w:pPr>
              <w:pStyle w:val="14"/>
              <w:snapToGrid w:val="0"/>
              <w:spacing w:line="240" w:lineRule="auto"/>
              <w:rPr>
                <w:b w:val="0"/>
                <w:color w:val="000000" w:themeColor="text1"/>
                <w:kern w:val="0"/>
                <w:sz w:val="21"/>
                <w:szCs w:val="21"/>
              </w:rPr>
            </w:pPr>
            <w:r>
              <w:rPr>
                <w:rFonts w:hint="eastAsia"/>
                <w:b w:val="0"/>
                <w:color w:val="000000" w:themeColor="text1"/>
                <w:kern w:val="0"/>
                <w:sz w:val="21"/>
                <w:szCs w:val="21"/>
              </w:rPr>
              <w:t>0.08</w:t>
            </w:r>
          </w:p>
        </w:tc>
        <w:tc>
          <w:tcPr>
            <w:tcW w:w="1541" w:type="dxa"/>
            <w:vAlign w:val="center"/>
          </w:tcPr>
          <w:p>
            <w:pPr>
              <w:pStyle w:val="14"/>
              <w:snapToGrid w:val="0"/>
              <w:spacing w:line="240" w:lineRule="auto"/>
              <w:rPr>
                <w:b w:val="0"/>
                <w:color w:val="000000" w:themeColor="text1"/>
                <w:kern w:val="0"/>
                <w:sz w:val="21"/>
                <w:szCs w:val="21"/>
              </w:rPr>
            </w:pPr>
            <w:r>
              <w:rPr>
                <w:rFonts w:hint="eastAsia"/>
                <w:b w:val="0"/>
                <w:color w:val="000000" w:themeColor="text1"/>
                <w:kern w:val="0"/>
                <w:sz w:val="21"/>
                <w:szCs w:val="21"/>
              </w:rPr>
              <w:t>0.11</w:t>
            </w:r>
          </w:p>
        </w:tc>
        <w:tc>
          <w:tcPr>
            <w:tcW w:w="1541" w:type="dxa"/>
            <w:vAlign w:val="center"/>
          </w:tcPr>
          <w:p>
            <w:pPr>
              <w:pStyle w:val="14"/>
              <w:snapToGrid w:val="0"/>
              <w:spacing w:line="240" w:lineRule="auto"/>
              <w:rPr>
                <w:b w:val="0"/>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dxa"/>
            <w:vMerge w:val="continue"/>
            <w:vAlign w:val="center"/>
          </w:tcPr>
          <w:p>
            <w:pPr>
              <w:pStyle w:val="14"/>
              <w:snapToGrid w:val="0"/>
              <w:spacing w:line="240" w:lineRule="auto"/>
              <w:rPr>
                <w:b w:val="0"/>
                <w:color w:val="000000" w:themeColor="text1"/>
                <w:kern w:val="0"/>
                <w:sz w:val="21"/>
                <w:szCs w:val="21"/>
              </w:rPr>
            </w:pPr>
          </w:p>
        </w:tc>
        <w:tc>
          <w:tcPr>
            <w:tcW w:w="978" w:type="dxa"/>
            <w:vMerge w:val="continue"/>
            <w:vAlign w:val="center"/>
          </w:tcPr>
          <w:p>
            <w:pPr>
              <w:pStyle w:val="14"/>
              <w:snapToGrid w:val="0"/>
              <w:spacing w:line="240" w:lineRule="auto"/>
              <w:rPr>
                <w:b w:val="0"/>
                <w:color w:val="000000" w:themeColor="text1"/>
                <w:kern w:val="0"/>
                <w:sz w:val="21"/>
                <w:szCs w:val="21"/>
              </w:rPr>
            </w:pPr>
          </w:p>
        </w:tc>
        <w:tc>
          <w:tcPr>
            <w:tcW w:w="2102" w:type="dxa"/>
            <w:vAlign w:val="center"/>
          </w:tcPr>
          <w:p>
            <w:pPr>
              <w:pStyle w:val="14"/>
              <w:snapToGrid w:val="0"/>
              <w:spacing w:line="240" w:lineRule="auto"/>
              <w:rPr>
                <w:rFonts w:cs="Times New Roman"/>
                <w:b w:val="0"/>
                <w:color w:val="000000" w:themeColor="text1"/>
                <w:kern w:val="0"/>
                <w:sz w:val="21"/>
                <w:szCs w:val="21"/>
              </w:rPr>
            </w:pPr>
            <w:r>
              <w:rPr>
                <w:rFonts w:hint="eastAsia" w:cs="Times New Roman"/>
                <w:b w:val="0"/>
                <w:color w:val="000000" w:themeColor="text1"/>
                <w:kern w:val="0"/>
                <w:sz w:val="21"/>
                <w:szCs w:val="21"/>
              </w:rPr>
              <w:t>是否达标</w:t>
            </w:r>
          </w:p>
        </w:tc>
        <w:tc>
          <w:tcPr>
            <w:tcW w:w="1540" w:type="dxa"/>
            <w:vAlign w:val="center"/>
          </w:tcPr>
          <w:p>
            <w:pPr>
              <w:pStyle w:val="14"/>
              <w:snapToGrid w:val="0"/>
              <w:spacing w:line="240" w:lineRule="auto"/>
              <w:rPr>
                <w:b w:val="0"/>
                <w:color w:val="000000" w:themeColor="text1"/>
                <w:kern w:val="0"/>
                <w:sz w:val="21"/>
                <w:szCs w:val="21"/>
              </w:rPr>
            </w:pPr>
            <w:r>
              <w:rPr>
                <w:rFonts w:hint="eastAsia"/>
                <w:b w:val="0"/>
                <w:color w:val="000000" w:themeColor="text1"/>
                <w:kern w:val="0"/>
                <w:sz w:val="21"/>
                <w:szCs w:val="21"/>
              </w:rPr>
              <w:t>达标</w:t>
            </w:r>
          </w:p>
        </w:tc>
        <w:tc>
          <w:tcPr>
            <w:tcW w:w="1541" w:type="dxa"/>
            <w:vAlign w:val="center"/>
          </w:tcPr>
          <w:p>
            <w:pPr>
              <w:pStyle w:val="14"/>
              <w:snapToGrid w:val="0"/>
              <w:spacing w:line="240" w:lineRule="auto"/>
              <w:rPr>
                <w:b w:val="0"/>
                <w:color w:val="000000" w:themeColor="text1"/>
                <w:kern w:val="0"/>
                <w:sz w:val="21"/>
                <w:szCs w:val="21"/>
              </w:rPr>
            </w:pPr>
            <w:r>
              <w:rPr>
                <w:rFonts w:hint="eastAsia"/>
                <w:b w:val="0"/>
                <w:color w:val="000000" w:themeColor="text1"/>
                <w:kern w:val="0"/>
                <w:sz w:val="21"/>
                <w:szCs w:val="21"/>
              </w:rPr>
              <w:t>达标</w:t>
            </w:r>
          </w:p>
        </w:tc>
        <w:tc>
          <w:tcPr>
            <w:tcW w:w="1541" w:type="dxa"/>
          </w:tcPr>
          <w:p>
            <w:pPr>
              <w:jc w:val="center"/>
              <w:rPr>
                <w:rFonts w:eastAsia="宋体" w:cs="Times New Roman"/>
                <w:color w:val="000000" w:themeColor="text1"/>
              </w:rPr>
            </w:pPr>
            <w:r>
              <w:rPr>
                <w:rFonts w:hint="eastAsia" w:eastAsia="宋体" w:cs="Times New Roman"/>
                <w:b/>
                <w:color w:val="000000" w:themeColor="text1"/>
                <w:kern w:val="0"/>
                <w:sz w:val="21"/>
              </w:rPr>
              <w:t>/</w:t>
            </w:r>
          </w:p>
        </w:tc>
      </w:tr>
    </w:tbl>
    <w:p>
      <w:pPr>
        <w:pStyle w:val="14"/>
        <w:ind w:firstLine="480" w:firstLineChars="200"/>
        <w:jc w:val="both"/>
        <w:rPr>
          <w:b w:val="0"/>
          <w:color w:val="000000" w:themeColor="text1"/>
          <w:szCs w:val="24"/>
        </w:rPr>
      </w:pPr>
      <w:r>
        <w:rPr>
          <w:rFonts w:hint="eastAsia"/>
          <w:b w:val="0"/>
          <w:color w:val="000000" w:themeColor="text1"/>
          <w:szCs w:val="24"/>
        </w:rPr>
        <w:t>根据检测数据可知，燃气锅炉烟气中</w:t>
      </w:r>
      <w:r>
        <w:rPr>
          <w:rFonts w:hint="eastAsia" w:hAnsi="宋体"/>
          <w:b w:val="0"/>
          <w:color w:val="000000" w:themeColor="text1"/>
          <w:szCs w:val="24"/>
        </w:rPr>
        <w:t>颗粒物</w:t>
      </w:r>
      <w:r>
        <w:rPr>
          <w:rFonts w:hAnsi="宋体"/>
          <w:b w:val="0"/>
          <w:color w:val="000000" w:themeColor="text1"/>
          <w:szCs w:val="24"/>
        </w:rPr>
        <w:t>、</w:t>
      </w:r>
      <w:r>
        <w:rPr>
          <w:b w:val="0"/>
          <w:color w:val="000000" w:themeColor="text1"/>
          <w:szCs w:val="24"/>
        </w:rPr>
        <w:t>SO</w:t>
      </w:r>
      <w:r>
        <w:rPr>
          <w:b w:val="0"/>
          <w:color w:val="000000" w:themeColor="text1"/>
          <w:szCs w:val="24"/>
          <w:vertAlign w:val="subscript"/>
        </w:rPr>
        <w:t>2</w:t>
      </w:r>
      <w:r>
        <w:rPr>
          <w:rFonts w:hint="eastAsia"/>
          <w:b w:val="0"/>
          <w:color w:val="000000" w:themeColor="text1"/>
          <w:szCs w:val="24"/>
        </w:rPr>
        <w:t>、NOx最大</w:t>
      </w:r>
      <w:r>
        <w:rPr>
          <w:rFonts w:hAnsi="宋体"/>
          <w:b w:val="0"/>
          <w:color w:val="000000" w:themeColor="text1"/>
          <w:szCs w:val="24"/>
        </w:rPr>
        <w:t>排放浓度分别为</w:t>
      </w:r>
      <w:r>
        <w:rPr>
          <w:rFonts w:hint="eastAsia" w:hAnsi="宋体"/>
          <w:b w:val="0"/>
          <w:color w:val="000000" w:themeColor="text1"/>
          <w:szCs w:val="24"/>
        </w:rPr>
        <w:t>8.5</w:t>
      </w:r>
      <w:r>
        <w:rPr>
          <w:rFonts w:cs="Times New Roman"/>
          <w:b w:val="0"/>
          <w:color w:val="000000" w:themeColor="text1"/>
          <w:kern w:val="0"/>
          <w:szCs w:val="24"/>
        </w:rPr>
        <w:t>mg/m</w:t>
      </w:r>
      <w:r>
        <w:rPr>
          <w:rFonts w:cs="Times New Roman"/>
          <w:b w:val="0"/>
          <w:color w:val="000000" w:themeColor="text1"/>
          <w:kern w:val="0"/>
          <w:szCs w:val="24"/>
          <w:vertAlign w:val="superscript"/>
        </w:rPr>
        <w:t>3</w:t>
      </w:r>
      <w:r>
        <w:rPr>
          <w:rFonts w:hAnsi="宋体"/>
          <w:b w:val="0"/>
          <w:color w:val="000000" w:themeColor="text1"/>
          <w:szCs w:val="24"/>
        </w:rPr>
        <w:t>、</w:t>
      </w:r>
      <w:r>
        <w:rPr>
          <w:rFonts w:hint="eastAsia" w:hAnsi="宋体"/>
          <w:b w:val="0"/>
          <w:color w:val="000000" w:themeColor="text1"/>
          <w:szCs w:val="24"/>
        </w:rPr>
        <w:t>46</w:t>
      </w:r>
      <w:r>
        <w:rPr>
          <w:rFonts w:cs="Times New Roman"/>
          <w:b w:val="0"/>
          <w:color w:val="000000" w:themeColor="text1"/>
          <w:kern w:val="0"/>
          <w:szCs w:val="24"/>
        </w:rPr>
        <w:t>mg/m</w:t>
      </w:r>
      <w:r>
        <w:rPr>
          <w:rFonts w:cs="Times New Roman"/>
          <w:b w:val="0"/>
          <w:color w:val="000000" w:themeColor="text1"/>
          <w:kern w:val="0"/>
          <w:szCs w:val="24"/>
          <w:vertAlign w:val="superscript"/>
        </w:rPr>
        <w:t>3</w:t>
      </w:r>
      <w:r>
        <w:rPr>
          <w:rFonts w:hAnsi="宋体"/>
          <w:b w:val="0"/>
          <w:color w:val="000000" w:themeColor="text1"/>
          <w:szCs w:val="24"/>
        </w:rPr>
        <w:t>、</w:t>
      </w:r>
      <w:r>
        <w:rPr>
          <w:rFonts w:hint="eastAsia"/>
          <w:b w:val="0"/>
          <w:color w:val="000000" w:themeColor="text1"/>
          <w:kern w:val="0"/>
          <w:szCs w:val="24"/>
        </w:rPr>
        <w:t>112</w:t>
      </w:r>
      <w:r>
        <w:rPr>
          <w:rFonts w:cs="Times New Roman"/>
          <w:b w:val="0"/>
          <w:color w:val="000000" w:themeColor="text1"/>
          <w:kern w:val="0"/>
          <w:szCs w:val="24"/>
        </w:rPr>
        <w:t>mg/m</w:t>
      </w:r>
      <w:r>
        <w:rPr>
          <w:rFonts w:cs="Times New Roman"/>
          <w:b w:val="0"/>
          <w:color w:val="000000" w:themeColor="text1"/>
          <w:kern w:val="0"/>
          <w:szCs w:val="24"/>
          <w:vertAlign w:val="superscript"/>
        </w:rPr>
        <w:t>3</w:t>
      </w:r>
      <w:r>
        <w:rPr>
          <w:rFonts w:hint="eastAsia" w:cs="Times New Roman"/>
          <w:b w:val="0"/>
          <w:color w:val="000000" w:themeColor="text1"/>
          <w:kern w:val="0"/>
          <w:szCs w:val="24"/>
        </w:rPr>
        <w:t>，各污染物排放浓度均达到了</w:t>
      </w:r>
      <w:r>
        <w:rPr>
          <w:rFonts w:hAnsi="宋体"/>
          <w:b w:val="0"/>
          <w:color w:val="000000" w:themeColor="text1"/>
          <w:szCs w:val="24"/>
        </w:rPr>
        <w:t>《锅炉大气污染物排放标准》（</w:t>
      </w:r>
      <w:r>
        <w:rPr>
          <w:b w:val="0"/>
          <w:color w:val="000000" w:themeColor="text1"/>
          <w:szCs w:val="24"/>
        </w:rPr>
        <w:t>GB13271-20</w:t>
      </w:r>
      <w:r>
        <w:rPr>
          <w:rFonts w:hint="eastAsia"/>
          <w:b w:val="0"/>
          <w:color w:val="000000" w:themeColor="text1"/>
          <w:szCs w:val="24"/>
        </w:rPr>
        <w:t>14</w:t>
      </w:r>
      <w:r>
        <w:rPr>
          <w:rFonts w:hAnsi="宋体"/>
          <w:b w:val="0"/>
          <w:color w:val="000000" w:themeColor="text1"/>
          <w:szCs w:val="24"/>
        </w:rPr>
        <w:t>）</w:t>
      </w:r>
      <w:r>
        <w:rPr>
          <w:rFonts w:hint="eastAsia" w:hAnsi="宋体"/>
          <w:b w:val="0"/>
          <w:color w:val="000000" w:themeColor="text1"/>
          <w:szCs w:val="24"/>
        </w:rPr>
        <w:t>表3中燃气锅炉排放标准要求。</w:t>
      </w:r>
    </w:p>
    <w:p>
      <w:pPr>
        <w:spacing w:line="360" w:lineRule="auto"/>
        <w:ind w:firstLine="480" w:firstLineChars="200"/>
      </w:pPr>
      <w:r>
        <w:rPr>
          <w:rFonts w:hint="eastAsia"/>
        </w:rPr>
        <w:t>（3）污水处理站恶臭</w:t>
      </w:r>
    </w:p>
    <w:p>
      <w:pPr>
        <w:spacing w:line="360" w:lineRule="auto"/>
        <w:ind w:firstLine="480" w:firstLineChars="200"/>
      </w:pPr>
      <w:r>
        <w:t>为了解本项目污水处理站周围臭气的产生情况</w:t>
      </w:r>
      <w:r>
        <w:rPr>
          <w:rFonts w:hint="eastAsia"/>
        </w:rPr>
        <w:t>，</w:t>
      </w:r>
      <w:r>
        <w:t>本环评委托湖南精准通检测技术有限公司于2019.8.1~</w:t>
      </w:r>
      <w:r>
        <w:rPr>
          <w:rFonts w:hint="eastAsia"/>
        </w:rPr>
        <w:t>2019.8.2对医院污水处理站进行了</w:t>
      </w:r>
      <w:r>
        <w:t>H</w:t>
      </w:r>
      <w:r>
        <w:rPr>
          <w:vertAlign w:val="subscript"/>
        </w:rPr>
        <w:t>2</w:t>
      </w:r>
      <w:r>
        <w:t>S、NH</w:t>
      </w:r>
      <w:r>
        <w:rPr>
          <w:vertAlign w:val="subscript"/>
        </w:rPr>
        <w:t>3</w:t>
      </w:r>
      <w:r>
        <w:t>浓度监测，具体监测结果如下：</w:t>
      </w:r>
    </w:p>
    <w:p>
      <w:pPr>
        <w:pStyle w:val="73"/>
        <w:jc w:val="center"/>
        <w:rPr>
          <w:rFonts w:hint="eastAsia"/>
          <w:b/>
        </w:rPr>
      </w:pPr>
    </w:p>
    <w:p>
      <w:pPr>
        <w:pStyle w:val="73"/>
        <w:jc w:val="center"/>
        <w:rPr>
          <w:b/>
          <w:sz w:val="14"/>
          <w:szCs w:val="14"/>
        </w:rPr>
      </w:pPr>
      <w:r>
        <w:rPr>
          <w:rFonts w:hint="eastAsia"/>
          <w:b/>
        </w:rPr>
        <w:t>表</w:t>
      </w:r>
      <w:r>
        <w:rPr>
          <w:b/>
        </w:rPr>
        <w:fldChar w:fldCharType="begin"/>
      </w:r>
      <w:r>
        <w:rPr>
          <w:b/>
        </w:rPr>
        <w:instrText xml:space="preserve"> </w:instrText>
      </w:r>
      <w:r>
        <w:rPr>
          <w:rFonts w:hint="eastAsia"/>
          <w:b/>
        </w:rPr>
        <w:instrText xml:space="preserve">STYLEREF 2 \s</w:instrText>
      </w:r>
      <w:r>
        <w:rPr>
          <w:b/>
        </w:rPr>
        <w:instrText xml:space="preserve"> </w:instrText>
      </w:r>
      <w:r>
        <w:rPr>
          <w:b/>
        </w:rPr>
        <w:fldChar w:fldCharType="separate"/>
      </w:r>
      <w:r>
        <w:rPr>
          <w:b/>
        </w:rPr>
        <w:t>5.2</w:t>
      </w:r>
      <w:r>
        <w:rPr>
          <w:b/>
        </w:rPr>
        <w:fldChar w:fldCharType="end"/>
      </w:r>
      <w:r>
        <w:rPr>
          <w:b/>
        </w:rPr>
        <w:noBreakHyphen/>
      </w:r>
      <w:r>
        <w:rPr>
          <w:b/>
        </w:rPr>
        <w:fldChar w:fldCharType="begin"/>
      </w:r>
      <w:r>
        <w:rPr>
          <w:b/>
        </w:rPr>
        <w:instrText xml:space="preserve"> </w:instrText>
      </w:r>
      <w:r>
        <w:rPr>
          <w:rFonts w:hint="eastAsia"/>
          <w:b/>
        </w:rPr>
        <w:instrText xml:space="preserve">SEQ 表 \* ARABIC \s 2</w:instrText>
      </w:r>
      <w:r>
        <w:rPr>
          <w:b/>
        </w:rPr>
        <w:instrText xml:space="preserve"> </w:instrText>
      </w:r>
      <w:r>
        <w:rPr>
          <w:b/>
        </w:rPr>
        <w:fldChar w:fldCharType="separate"/>
      </w:r>
      <w:r>
        <w:rPr>
          <w:b/>
        </w:rPr>
        <w:t>17</w:t>
      </w:r>
      <w:r>
        <w:rPr>
          <w:b/>
        </w:rPr>
        <w:fldChar w:fldCharType="end"/>
      </w:r>
      <w:r>
        <w:rPr>
          <w:rFonts w:hint="eastAsia"/>
          <w:b/>
        </w:rPr>
        <w:t xml:space="preserve">  项目臭气浓度监测结果表  单位（</w:t>
      </w:r>
      <w:r>
        <w:rPr>
          <w:b/>
          <w:bCs/>
          <w:sz w:val="21"/>
          <w:szCs w:val="21"/>
        </w:rPr>
        <w:t>mg/m</w:t>
      </w:r>
      <w:r>
        <w:rPr>
          <w:b/>
          <w:bCs/>
          <w:vertAlign w:val="superscript"/>
        </w:rPr>
        <w:t>3</w:t>
      </w:r>
      <w:r>
        <w:rPr>
          <w:rFonts w:hint="eastAsia"/>
          <w:b/>
        </w:rPr>
        <w:t>）</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2"/>
        <w:gridCol w:w="2412"/>
        <w:gridCol w:w="2413"/>
        <w:gridCol w:w="2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Merge w:val="restart"/>
            <w:vAlign w:val="center"/>
          </w:tcPr>
          <w:p>
            <w:pPr>
              <w:pStyle w:val="14"/>
              <w:rPr>
                <w:rFonts w:cs="Times New Roman"/>
                <w:b w:val="0"/>
                <w:kern w:val="0"/>
                <w:sz w:val="21"/>
                <w:szCs w:val="21"/>
              </w:rPr>
            </w:pPr>
            <w:r>
              <w:rPr>
                <w:rFonts w:cs="Times New Roman"/>
                <w:b w:val="0"/>
                <w:kern w:val="0"/>
                <w:sz w:val="21"/>
                <w:szCs w:val="21"/>
              </w:rPr>
              <w:t>采样点位</w:t>
            </w:r>
          </w:p>
        </w:tc>
        <w:tc>
          <w:tcPr>
            <w:tcW w:w="1250" w:type="pct"/>
            <w:vMerge w:val="restart"/>
            <w:vAlign w:val="center"/>
          </w:tcPr>
          <w:p>
            <w:pPr>
              <w:pStyle w:val="14"/>
              <w:rPr>
                <w:rFonts w:cs="Times New Roman"/>
                <w:b w:val="0"/>
                <w:kern w:val="0"/>
                <w:sz w:val="21"/>
                <w:szCs w:val="21"/>
              </w:rPr>
            </w:pPr>
            <w:r>
              <w:rPr>
                <w:rFonts w:cs="Times New Roman"/>
                <w:b w:val="0"/>
                <w:kern w:val="0"/>
                <w:sz w:val="21"/>
                <w:szCs w:val="21"/>
              </w:rPr>
              <w:t>采样日期</w:t>
            </w:r>
          </w:p>
        </w:tc>
        <w:tc>
          <w:tcPr>
            <w:tcW w:w="2501" w:type="pct"/>
            <w:gridSpan w:val="2"/>
            <w:vAlign w:val="center"/>
          </w:tcPr>
          <w:p>
            <w:pPr>
              <w:pStyle w:val="14"/>
              <w:rPr>
                <w:rFonts w:cs="Times New Roman"/>
                <w:b w:val="0"/>
                <w:kern w:val="0"/>
                <w:sz w:val="21"/>
                <w:szCs w:val="21"/>
              </w:rPr>
            </w:pPr>
            <w:r>
              <w:rPr>
                <w:rFonts w:cs="Times New Roman"/>
                <w:b w:val="0"/>
                <w:kern w:val="0"/>
                <w:sz w:val="21"/>
                <w:szCs w:val="21"/>
              </w:rPr>
              <w:t>检测结果mg/m</w:t>
            </w:r>
            <w:r>
              <w:rPr>
                <w:rFonts w:cs="Times New Roman"/>
                <w:b w:val="0"/>
                <w:kern w:val="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Merge w:val="continue"/>
            <w:vAlign w:val="center"/>
          </w:tcPr>
          <w:p>
            <w:pPr>
              <w:pStyle w:val="14"/>
              <w:rPr>
                <w:rFonts w:cs="Times New Roman"/>
                <w:b w:val="0"/>
                <w:kern w:val="0"/>
                <w:sz w:val="21"/>
                <w:szCs w:val="21"/>
              </w:rPr>
            </w:pPr>
          </w:p>
        </w:tc>
        <w:tc>
          <w:tcPr>
            <w:tcW w:w="1250" w:type="pct"/>
            <w:vMerge w:val="continue"/>
            <w:vAlign w:val="center"/>
          </w:tcPr>
          <w:p>
            <w:pPr>
              <w:pStyle w:val="14"/>
              <w:rPr>
                <w:rFonts w:cs="Times New Roman"/>
                <w:b w:val="0"/>
                <w:kern w:val="0"/>
                <w:sz w:val="21"/>
                <w:szCs w:val="21"/>
              </w:rPr>
            </w:pPr>
          </w:p>
        </w:tc>
        <w:tc>
          <w:tcPr>
            <w:tcW w:w="1250" w:type="pct"/>
            <w:vAlign w:val="center"/>
          </w:tcPr>
          <w:p>
            <w:pPr>
              <w:pStyle w:val="14"/>
              <w:rPr>
                <w:rFonts w:cs="Times New Roman"/>
                <w:b w:val="0"/>
                <w:kern w:val="0"/>
                <w:sz w:val="21"/>
                <w:szCs w:val="21"/>
              </w:rPr>
            </w:pPr>
            <w:r>
              <w:rPr>
                <w:rFonts w:cs="Times New Roman"/>
                <w:b w:val="0"/>
                <w:bCs/>
                <w:kern w:val="0"/>
                <w:sz w:val="21"/>
                <w:szCs w:val="21"/>
              </w:rPr>
              <w:t>NH</w:t>
            </w:r>
            <w:r>
              <w:rPr>
                <w:rFonts w:cs="Times New Roman"/>
                <w:b w:val="0"/>
                <w:bCs/>
                <w:kern w:val="0"/>
                <w:sz w:val="21"/>
                <w:szCs w:val="21"/>
                <w:vertAlign w:val="subscript"/>
              </w:rPr>
              <w:t>3</w:t>
            </w:r>
          </w:p>
        </w:tc>
        <w:tc>
          <w:tcPr>
            <w:tcW w:w="1250" w:type="pct"/>
            <w:vAlign w:val="center"/>
          </w:tcPr>
          <w:p>
            <w:pPr>
              <w:pStyle w:val="14"/>
              <w:rPr>
                <w:rFonts w:cs="Times New Roman"/>
                <w:b w:val="0"/>
                <w:kern w:val="0"/>
                <w:sz w:val="21"/>
                <w:szCs w:val="21"/>
              </w:rPr>
            </w:pPr>
            <w:r>
              <w:rPr>
                <w:rFonts w:cs="Times New Roman"/>
                <w:b w:val="0"/>
                <w:bCs/>
                <w:kern w:val="0"/>
                <w:sz w:val="21"/>
                <w:szCs w:val="21"/>
              </w:rPr>
              <w:t>H</w:t>
            </w:r>
            <w:r>
              <w:rPr>
                <w:rFonts w:cs="Times New Roman"/>
                <w:b w:val="0"/>
                <w:bCs/>
                <w:kern w:val="0"/>
                <w:sz w:val="21"/>
                <w:szCs w:val="21"/>
                <w:vertAlign w:val="subscript"/>
              </w:rPr>
              <w:t>2</w:t>
            </w:r>
            <w:r>
              <w:rPr>
                <w:rFonts w:cs="Times New Roman"/>
                <w:b w:val="0"/>
                <w:bCs/>
                <w:kern w:val="0"/>
                <w:sz w:val="21"/>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Merge w:val="restart"/>
            <w:vAlign w:val="center"/>
          </w:tcPr>
          <w:p>
            <w:pPr>
              <w:pStyle w:val="14"/>
              <w:rPr>
                <w:rFonts w:cs="Times New Roman"/>
                <w:b w:val="0"/>
                <w:kern w:val="0"/>
                <w:sz w:val="21"/>
                <w:szCs w:val="21"/>
              </w:rPr>
            </w:pPr>
            <w:r>
              <w:rPr>
                <w:rFonts w:cs="Times New Roman"/>
                <w:b w:val="0"/>
                <w:kern w:val="0"/>
                <w:sz w:val="21"/>
                <w:szCs w:val="21"/>
              </w:rPr>
              <w:t>G1医院污水处理站</w:t>
            </w:r>
          </w:p>
        </w:tc>
        <w:tc>
          <w:tcPr>
            <w:tcW w:w="1250" w:type="pct"/>
            <w:vAlign w:val="center"/>
          </w:tcPr>
          <w:p>
            <w:pPr>
              <w:pStyle w:val="14"/>
              <w:rPr>
                <w:rFonts w:cs="Times New Roman"/>
                <w:b w:val="0"/>
                <w:kern w:val="0"/>
                <w:sz w:val="21"/>
                <w:szCs w:val="21"/>
              </w:rPr>
            </w:pPr>
            <w:r>
              <w:rPr>
                <w:rFonts w:cs="Times New Roman"/>
                <w:b w:val="0"/>
                <w:kern w:val="0"/>
                <w:sz w:val="21"/>
                <w:szCs w:val="21"/>
              </w:rPr>
              <w:t>2019.8.1</w:t>
            </w:r>
          </w:p>
        </w:tc>
        <w:tc>
          <w:tcPr>
            <w:tcW w:w="1250" w:type="pct"/>
            <w:vAlign w:val="center"/>
          </w:tcPr>
          <w:p>
            <w:pPr>
              <w:pStyle w:val="14"/>
              <w:rPr>
                <w:rFonts w:cs="Times New Roman"/>
                <w:b w:val="0"/>
                <w:kern w:val="0"/>
                <w:sz w:val="21"/>
                <w:szCs w:val="21"/>
              </w:rPr>
            </w:pPr>
            <w:r>
              <w:rPr>
                <w:rFonts w:cs="Times New Roman"/>
                <w:b w:val="0"/>
                <w:kern w:val="0"/>
                <w:sz w:val="21"/>
                <w:szCs w:val="21"/>
              </w:rPr>
              <w:t>0.57</w:t>
            </w:r>
          </w:p>
        </w:tc>
        <w:tc>
          <w:tcPr>
            <w:tcW w:w="1250" w:type="pct"/>
            <w:vAlign w:val="center"/>
          </w:tcPr>
          <w:p>
            <w:pPr>
              <w:pStyle w:val="14"/>
              <w:rPr>
                <w:rFonts w:cs="Times New Roman"/>
                <w:b w:val="0"/>
                <w:kern w:val="0"/>
                <w:sz w:val="21"/>
                <w:szCs w:val="21"/>
              </w:rPr>
            </w:pPr>
            <w:r>
              <w:rPr>
                <w:rFonts w:cs="Times New Roman"/>
                <w:b w:val="0"/>
                <w:kern w:val="0"/>
                <w:sz w:val="21"/>
                <w:szCs w:val="21"/>
              </w:rPr>
              <w:t>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Merge w:val="continue"/>
            <w:vAlign w:val="center"/>
          </w:tcPr>
          <w:p>
            <w:pPr>
              <w:pStyle w:val="14"/>
              <w:rPr>
                <w:rFonts w:cs="Times New Roman"/>
                <w:b w:val="0"/>
                <w:kern w:val="0"/>
                <w:sz w:val="21"/>
                <w:szCs w:val="21"/>
              </w:rPr>
            </w:pPr>
          </w:p>
        </w:tc>
        <w:tc>
          <w:tcPr>
            <w:tcW w:w="1250" w:type="pct"/>
            <w:vAlign w:val="center"/>
          </w:tcPr>
          <w:p>
            <w:pPr>
              <w:pStyle w:val="14"/>
              <w:rPr>
                <w:rFonts w:cs="Times New Roman"/>
                <w:b w:val="0"/>
                <w:kern w:val="0"/>
                <w:sz w:val="21"/>
                <w:szCs w:val="21"/>
              </w:rPr>
            </w:pPr>
            <w:r>
              <w:rPr>
                <w:rFonts w:cs="Times New Roman"/>
                <w:b w:val="0"/>
                <w:kern w:val="0"/>
                <w:sz w:val="21"/>
                <w:szCs w:val="21"/>
              </w:rPr>
              <w:t>2019.8.2</w:t>
            </w:r>
          </w:p>
        </w:tc>
        <w:tc>
          <w:tcPr>
            <w:tcW w:w="1250" w:type="pct"/>
            <w:vAlign w:val="center"/>
          </w:tcPr>
          <w:p>
            <w:pPr>
              <w:pStyle w:val="14"/>
              <w:rPr>
                <w:rFonts w:cs="Times New Roman"/>
                <w:b w:val="0"/>
                <w:kern w:val="0"/>
                <w:sz w:val="21"/>
                <w:szCs w:val="21"/>
              </w:rPr>
            </w:pPr>
            <w:r>
              <w:rPr>
                <w:rFonts w:cs="Times New Roman"/>
                <w:b w:val="0"/>
                <w:kern w:val="0"/>
                <w:sz w:val="21"/>
                <w:szCs w:val="21"/>
              </w:rPr>
              <w:t>0.55</w:t>
            </w:r>
          </w:p>
        </w:tc>
        <w:tc>
          <w:tcPr>
            <w:tcW w:w="1250" w:type="pct"/>
            <w:vAlign w:val="center"/>
          </w:tcPr>
          <w:p>
            <w:pPr>
              <w:pStyle w:val="14"/>
              <w:rPr>
                <w:rFonts w:cs="Times New Roman"/>
                <w:b w:val="0"/>
                <w:kern w:val="0"/>
                <w:sz w:val="21"/>
                <w:szCs w:val="21"/>
              </w:rPr>
            </w:pPr>
            <w:r>
              <w:rPr>
                <w:rFonts w:cs="Times New Roman"/>
                <w:b w:val="0"/>
                <w:kern w:val="0"/>
                <w:sz w:val="21"/>
                <w:szCs w:val="21"/>
              </w:rP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gridSpan w:val="2"/>
            <w:vAlign w:val="center"/>
          </w:tcPr>
          <w:p>
            <w:pPr>
              <w:pStyle w:val="14"/>
              <w:rPr>
                <w:rFonts w:cs="Times New Roman"/>
                <w:b w:val="0"/>
                <w:kern w:val="0"/>
                <w:sz w:val="21"/>
                <w:szCs w:val="21"/>
              </w:rPr>
            </w:pPr>
            <w:r>
              <w:rPr>
                <w:rFonts w:cs="Times New Roman"/>
                <w:b w:val="0"/>
                <w:kern w:val="0"/>
                <w:sz w:val="21"/>
                <w:szCs w:val="21"/>
              </w:rPr>
              <w:t>标准限值</w:t>
            </w:r>
          </w:p>
        </w:tc>
        <w:tc>
          <w:tcPr>
            <w:tcW w:w="1250" w:type="pct"/>
            <w:vAlign w:val="center"/>
          </w:tcPr>
          <w:p>
            <w:pPr>
              <w:pStyle w:val="14"/>
              <w:rPr>
                <w:rFonts w:cs="Times New Roman"/>
                <w:b w:val="0"/>
                <w:kern w:val="0"/>
                <w:sz w:val="21"/>
                <w:szCs w:val="21"/>
              </w:rPr>
            </w:pPr>
            <w:r>
              <w:rPr>
                <w:rFonts w:cs="Times New Roman"/>
                <w:b w:val="0"/>
                <w:kern w:val="0"/>
                <w:sz w:val="21"/>
                <w:szCs w:val="21"/>
              </w:rPr>
              <w:t>1.0</w:t>
            </w:r>
          </w:p>
        </w:tc>
        <w:tc>
          <w:tcPr>
            <w:tcW w:w="1250" w:type="pct"/>
            <w:vAlign w:val="center"/>
          </w:tcPr>
          <w:p>
            <w:pPr>
              <w:pStyle w:val="14"/>
              <w:rPr>
                <w:rFonts w:cs="Times New Roman"/>
                <w:b w:val="0"/>
                <w:kern w:val="0"/>
                <w:sz w:val="21"/>
                <w:szCs w:val="21"/>
              </w:rPr>
            </w:pPr>
            <w:r>
              <w:rPr>
                <w:rFonts w:cs="Times New Roman"/>
                <w:b w:val="0"/>
                <w:kern w:val="0"/>
                <w:sz w:val="21"/>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gridSpan w:val="2"/>
            <w:vAlign w:val="center"/>
          </w:tcPr>
          <w:p>
            <w:pPr>
              <w:pStyle w:val="14"/>
              <w:rPr>
                <w:rFonts w:cs="Times New Roman"/>
                <w:b w:val="0"/>
                <w:kern w:val="0"/>
                <w:sz w:val="21"/>
                <w:szCs w:val="21"/>
              </w:rPr>
            </w:pPr>
            <w:r>
              <w:rPr>
                <w:rFonts w:hint="eastAsia" w:cs="Times New Roman"/>
                <w:b w:val="0"/>
                <w:kern w:val="0"/>
                <w:sz w:val="21"/>
                <w:szCs w:val="21"/>
              </w:rPr>
              <w:t>是否达标</w:t>
            </w:r>
          </w:p>
        </w:tc>
        <w:tc>
          <w:tcPr>
            <w:tcW w:w="1250" w:type="pct"/>
            <w:vAlign w:val="center"/>
          </w:tcPr>
          <w:p>
            <w:pPr>
              <w:pStyle w:val="14"/>
              <w:rPr>
                <w:rFonts w:cs="Times New Roman"/>
                <w:b w:val="0"/>
                <w:kern w:val="0"/>
                <w:sz w:val="21"/>
                <w:szCs w:val="21"/>
              </w:rPr>
            </w:pPr>
            <w:r>
              <w:rPr>
                <w:rFonts w:hint="eastAsia" w:cs="Times New Roman"/>
                <w:b w:val="0"/>
                <w:kern w:val="0"/>
                <w:sz w:val="21"/>
                <w:szCs w:val="21"/>
              </w:rPr>
              <w:t>达标</w:t>
            </w:r>
          </w:p>
        </w:tc>
        <w:tc>
          <w:tcPr>
            <w:tcW w:w="1250" w:type="pct"/>
            <w:vAlign w:val="center"/>
          </w:tcPr>
          <w:p>
            <w:pPr>
              <w:pStyle w:val="14"/>
              <w:rPr>
                <w:rFonts w:cs="Times New Roman"/>
                <w:b w:val="0"/>
                <w:kern w:val="0"/>
                <w:sz w:val="21"/>
                <w:szCs w:val="21"/>
              </w:rPr>
            </w:pPr>
            <w:r>
              <w:rPr>
                <w:rFonts w:hint="eastAsia" w:cs="Times New Roman"/>
                <w:b w:val="0"/>
                <w:kern w:val="0"/>
                <w:sz w:val="21"/>
                <w:szCs w:val="21"/>
              </w:rPr>
              <w:t>达标</w:t>
            </w:r>
          </w:p>
        </w:tc>
      </w:tr>
    </w:tbl>
    <w:p>
      <w:pPr>
        <w:spacing w:line="360" w:lineRule="auto"/>
        <w:ind w:firstLine="480" w:firstLineChars="200"/>
        <w:rPr>
          <w:rFonts w:cs="Times New Roman"/>
          <w:kern w:val="0"/>
        </w:rPr>
      </w:pPr>
      <w:r>
        <w:t>根据监测结果可知</w:t>
      </w:r>
      <w:r>
        <w:rPr>
          <w:rFonts w:hint="eastAsia"/>
        </w:rPr>
        <w:t>，</w:t>
      </w:r>
      <w:r>
        <w:rPr>
          <w:rFonts w:cs="Times New Roman"/>
          <w:kern w:val="0"/>
        </w:rPr>
        <w:t>本项目污水处理站周边臭气浓度可以满足</w:t>
      </w:r>
      <w:r>
        <w:rPr>
          <w:rFonts w:hint="eastAsia" w:cs="Times New Roman"/>
          <w:kern w:val="0"/>
        </w:rPr>
        <w:t>《医疗机构水污染物排放标准》（GB18466-2005）表3污水处理站周边大气污染物最该允许浓度标准限值要求。医院污水处理站在运行过程中有一定的恶臭气体产生和排放。污水处理站产生的恶臭主要成分是氨气和硫化氢等。根据现场勘查，污水处理站设施建在密闭的建筑物内，在医院污水处理站周边没有闻到异味恶臭，对其周边环境的影响较小。</w:t>
      </w:r>
    </w:p>
    <w:p>
      <w:pPr>
        <w:spacing w:line="360" w:lineRule="auto"/>
        <w:ind w:firstLine="480" w:firstLineChars="200"/>
        <w:rPr>
          <w:rFonts w:cs="Times New Roman"/>
          <w:kern w:val="0"/>
        </w:rPr>
      </w:pPr>
      <w:r>
        <w:rPr>
          <w:rFonts w:hint="eastAsia" w:cs="Times New Roman"/>
          <w:kern w:val="0"/>
        </w:rPr>
        <w:t>（4）汽车尾气</w:t>
      </w:r>
    </w:p>
    <w:p>
      <w:pPr>
        <w:spacing w:line="360" w:lineRule="auto"/>
        <w:ind w:firstLine="480" w:firstLineChars="200"/>
      </w:pPr>
      <w:r>
        <w:rPr>
          <w:rFonts w:hint="eastAsia" w:cs="Times New Roman"/>
          <w:kern w:val="0"/>
        </w:rPr>
        <w:t>根据前</w:t>
      </w:r>
      <w:r>
        <w:rPr>
          <w:rFonts w:hint="eastAsia"/>
        </w:rPr>
        <w:t>述工程概况可知，项目共设有95个地上停车位，由于地面停车位较分散，且污染物排放浓度较低、周边地势宽阔，对环境影响较小。</w:t>
      </w:r>
    </w:p>
    <w:p>
      <w:pPr>
        <w:spacing w:line="360" w:lineRule="auto"/>
        <w:ind w:firstLine="480" w:firstLineChars="200"/>
      </w:pPr>
      <w:r>
        <w:rPr>
          <w:rFonts w:hint="eastAsia"/>
        </w:rPr>
        <w:t>（5）柴油发电机尾气</w:t>
      </w:r>
    </w:p>
    <w:p>
      <w:pPr>
        <w:spacing w:line="360" w:lineRule="auto"/>
        <w:ind w:firstLine="480" w:firstLineChars="200"/>
      </w:pPr>
      <w:r>
        <w:rPr>
          <w:rFonts w:hint="eastAsia"/>
        </w:rPr>
        <w:t>燃油备用发电机在突然断电情况下紧急启用，柴油发电机组运行时间较短，在正常运行过程中将产生燃油废气，岳阳市岳阳楼区供电正常，根据2019年度实际使用发电机次数仅为两次，且发电机尾气内已设置了专用烟道排放，能够满足</w:t>
      </w:r>
      <w:r>
        <w:rPr>
          <w:rFonts w:hAnsi="宋体"/>
        </w:rPr>
        <w:t>《非道路移动机械用柴油机排气污染物排放限值及测量方法</w:t>
      </w:r>
      <w:r>
        <w:t>(</w:t>
      </w:r>
      <w:r>
        <w:rPr>
          <w:rFonts w:hAnsi="宋体"/>
        </w:rPr>
        <w:t>中国第三、四阶段）》</w:t>
      </w:r>
      <w:r>
        <w:t>(GB 20891-2014)</w:t>
      </w:r>
      <w:r>
        <w:rPr>
          <w:rFonts w:hAnsi="宋体"/>
        </w:rPr>
        <w:t>中第三阶段标准要求</w:t>
      </w:r>
      <w:r>
        <w:rPr>
          <w:rFonts w:hint="eastAsia" w:hAnsi="宋体"/>
          <w:kern w:val="0"/>
        </w:rPr>
        <w:t>，</w:t>
      </w:r>
      <w:r>
        <w:rPr>
          <w:rFonts w:hint="eastAsia"/>
        </w:rPr>
        <w:t>不会对周围环境产生影响。</w:t>
      </w:r>
    </w:p>
    <w:p>
      <w:pPr>
        <w:spacing w:line="360" w:lineRule="auto"/>
        <w:ind w:firstLine="480" w:firstLineChars="200"/>
      </w:pPr>
      <w:r>
        <w:rPr>
          <w:rFonts w:hint="eastAsia"/>
        </w:rPr>
        <w:t>（6）垃圾收集站臭气</w:t>
      </w:r>
    </w:p>
    <w:p>
      <w:pPr>
        <w:spacing w:line="360" w:lineRule="auto"/>
        <w:ind w:firstLine="496" w:firstLineChars="200"/>
      </w:pPr>
      <w:r>
        <w:rPr>
          <w:rFonts w:hint="eastAsia"/>
          <w:spacing w:val="4"/>
        </w:rPr>
        <w:t>医院内设有垃圾收集站，</w:t>
      </w:r>
      <w:r>
        <w:rPr>
          <w:kern w:val="0"/>
        </w:rPr>
        <w:t>站内收集的垃圾长时间堆积会发酵变质散发恶臭异味。恶臭污染物主要指一切刺激嗅觉器官引起人们不愉快及损害生活环境的气体物质。垃圾收集站恶臭的主要成分为氨、硫化氢和甲硫醇等脂肪族类物质。</w:t>
      </w:r>
      <w:r>
        <w:rPr>
          <w:rFonts w:hint="eastAsia"/>
        </w:rPr>
        <w:t>环评</w:t>
      </w:r>
      <w:r>
        <w:t>要求</w:t>
      </w:r>
      <w:r>
        <w:rPr>
          <w:rFonts w:hint="eastAsia"/>
        </w:rPr>
        <w:t>院内</w:t>
      </w:r>
      <w:r>
        <w:t>实行垃圾袋装化，并由专人定时负责运送</w:t>
      </w:r>
      <w:r>
        <w:rPr>
          <w:rFonts w:hint="eastAsia"/>
        </w:rPr>
        <w:t>，并在其</w:t>
      </w:r>
      <w:r>
        <w:t>周围</w:t>
      </w:r>
      <w:r>
        <w:rPr>
          <w:rFonts w:hint="eastAsia"/>
        </w:rPr>
        <w:t>采用</w:t>
      </w:r>
      <w:r>
        <w:t>乔灌木绿化隔离。</w:t>
      </w:r>
    </w:p>
    <w:p>
      <w:pPr>
        <w:adjustRightInd w:val="0"/>
        <w:snapToGrid w:val="0"/>
        <w:spacing w:line="360" w:lineRule="auto"/>
        <w:ind w:firstLine="480" w:firstLineChars="200"/>
        <w:rPr>
          <w:rFonts w:cs="Times New Roman" w:hAnsiTheme="minorEastAsia"/>
          <w:color w:val="000000" w:themeColor="text1"/>
          <w:szCs w:val="24"/>
        </w:rPr>
      </w:pPr>
      <w:r>
        <w:rPr>
          <w:rFonts w:cs="Times New Roman" w:hAnsiTheme="minorEastAsia"/>
          <w:color w:val="000000" w:themeColor="text1"/>
          <w:szCs w:val="24"/>
        </w:rPr>
        <w:t>（</w:t>
      </w:r>
      <w:r>
        <w:rPr>
          <w:rFonts w:hint="eastAsia" w:cs="Times New Roman"/>
          <w:color w:val="000000" w:themeColor="text1"/>
          <w:szCs w:val="24"/>
        </w:rPr>
        <w:t>7</w:t>
      </w:r>
      <w:r>
        <w:rPr>
          <w:rFonts w:cs="Times New Roman" w:hAnsiTheme="minorEastAsia"/>
          <w:color w:val="000000" w:themeColor="text1"/>
          <w:szCs w:val="24"/>
        </w:rPr>
        <w:t>）大气防护距离</w:t>
      </w:r>
    </w:p>
    <w:p>
      <w:pPr>
        <w:spacing w:line="360" w:lineRule="auto"/>
        <w:ind w:firstLine="480" w:firstLineChars="200"/>
        <w:rPr>
          <w:rFonts w:cs="Times New Roman"/>
        </w:rPr>
      </w:pPr>
      <w:r>
        <w:rPr>
          <w:rFonts w:hint="eastAsia"/>
        </w:rPr>
        <w:t>大气环境防护距离根据《</w:t>
      </w:r>
      <w:r>
        <w:rPr>
          <w:rFonts w:cs="Times New Roman"/>
        </w:rPr>
        <w:t>环境影响评价技术导则－大气环境</w:t>
      </w:r>
      <w:r>
        <w:rPr>
          <w:rFonts w:hint="eastAsia"/>
        </w:rPr>
        <w:t>》</w:t>
      </w:r>
      <w:r>
        <w:rPr>
          <w:rFonts w:cs="Times New Roman"/>
        </w:rPr>
        <w:t>（HJ2.2-2018）中相关规定</w:t>
      </w:r>
      <w:r>
        <w:rPr>
          <w:rFonts w:hint="eastAsia" w:cs="Times New Roman"/>
        </w:rPr>
        <w:t>，</w:t>
      </w:r>
      <w:r>
        <w:rPr>
          <w:rFonts w:cs="Times New Roman"/>
        </w:rPr>
        <w:t>对于项目厂界浓度满足大气污染物厂界浓度限值</w:t>
      </w:r>
      <w:r>
        <w:rPr>
          <w:rFonts w:hint="eastAsia" w:cs="Times New Roman"/>
        </w:rPr>
        <w:t>，</w:t>
      </w:r>
      <w:r>
        <w:rPr>
          <w:rFonts w:cs="Times New Roman"/>
        </w:rPr>
        <w:t>但厂界外大气污染物短期贡献浓度超过环境质量浓度限值的</w:t>
      </w:r>
      <w:r>
        <w:rPr>
          <w:rFonts w:hint="eastAsia" w:cs="Times New Roman"/>
        </w:rPr>
        <w:t>，</w:t>
      </w:r>
      <w:r>
        <w:rPr>
          <w:rFonts w:cs="Times New Roman"/>
        </w:rPr>
        <w:t>可以自厂界向外设置一定范围</w:t>
      </w:r>
      <w:r>
        <w:rPr>
          <w:rFonts w:hint="eastAsia" w:cs="Times New Roman"/>
        </w:rPr>
        <w:t>的大气环境防护距离，以确保大气环境防护区域外的污染物贡献浓度满足环境质量标准。</w:t>
      </w:r>
    </w:p>
    <w:p>
      <w:pPr>
        <w:adjustRightInd w:val="0"/>
        <w:snapToGrid w:val="0"/>
        <w:spacing w:line="360" w:lineRule="auto"/>
        <w:ind w:firstLine="480" w:firstLineChars="200"/>
        <w:rPr>
          <w:rFonts w:cs="Times New Roman"/>
        </w:rPr>
      </w:pPr>
      <w:r>
        <w:rPr>
          <w:rFonts w:hint="eastAsia" w:cs="Times New Roman"/>
        </w:rPr>
        <w:t>由计算可知，本项目厂界外大气污染物短期贡献浓度未超过环境质量浓度限值，无需设置大气环境防护距离。</w:t>
      </w:r>
    </w:p>
    <w:p>
      <w:pPr>
        <w:pStyle w:val="6"/>
      </w:pPr>
      <w:r>
        <w:rPr>
          <w:rFonts w:hint="eastAsia"/>
        </w:rPr>
        <w:t>大气污染物排放核算表</w:t>
      </w:r>
    </w:p>
    <w:p>
      <w:pPr>
        <w:jc w:val="center"/>
        <w:rPr>
          <w:b/>
          <w:bCs/>
          <w:color w:val="000000" w:themeColor="text1"/>
          <w:kern w:val="0"/>
          <w:szCs w:val="24"/>
        </w:rPr>
      </w:pPr>
      <w:r>
        <w:rPr>
          <w:b/>
          <w:color w:val="000000" w:themeColor="text1"/>
          <w:szCs w:val="24"/>
        </w:rPr>
        <w:t>表</w:t>
      </w:r>
      <w:r>
        <w:rPr>
          <w:b/>
          <w:color w:val="000000" w:themeColor="text1"/>
          <w:szCs w:val="24"/>
        </w:rPr>
        <w:fldChar w:fldCharType="begin"/>
      </w:r>
      <w:r>
        <w:rPr>
          <w:b/>
          <w:color w:val="000000" w:themeColor="text1"/>
          <w:szCs w:val="24"/>
        </w:rPr>
        <w:instrText xml:space="preserve"> STYLEREF 2 \s </w:instrText>
      </w:r>
      <w:r>
        <w:rPr>
          <w:b/>
          <w:color w:val="000000" w:themeColor="text1"/>
          <w:szCs w:val="24"/>
        </w:rPr>
        <w:fldChar w:fldCharType="separate"/>
      </w:r>
      <w:r>
        <w:rPr>
          <w:b/>
          <w:color w:val="000000" w:themeColor="text1"/>
          <w:szCs w:val="24"/>
        </w:rPr>
        <w:t>5.2</w:t>
      </w:r>
      <w:r>
        <w:rPr>
          <w:b/>
          <w:color w:val="000000" w:themeColor="text1"/>
          <w:szCs w:val="24"/>
        </w:rPr>
        <w:fldChar w:fldCharType="end"/>
      </w:r>
      <w:r>
        <w:rPr>
          <w:b/>
          <w:color w:val="000000" w:themeColor="text1"/>
          <w:szCs w:val="24"/>
        </w:rPr>
        <w:noBreakHyphen/>
      </w:r>
      <w:r>
        <w:rPr>
          <w:b/>
          <w:color w:val="000000" w:themeColor="text1"/>
          <w:szCs w:val="24"/>
        </w:rPr>
        <w:fldChar w:fldCharType="begin"/>
      </w:r>
      <w:r>
        <w:rPr>
          <w:b/>
          <w:color w:val="000000" w:themeColor="text1"/>
          <w:szCs w:val="24"/>
        </w:rPr>
        <w:instrText xml:space="preserve"> SEQ 表 \* ARABIC \s 2 </w:instrText>
      </w:r>
      <w:r>
        <w:rPr>
          <w:b/>
          <w:color w:val="000000" w:themeColor="text1"/>
          <w:szCs w:val="24"/>
        </w:rPr>
        <w:fldChar w:fldCharType="separate"/>
      </w:r>
      <w:r>
        <w:rPr>
          <w:b/>
          <w:color w:val="000000" w:themeColor="text1"/>
          <w:szCs w:val="24"/>
        </w:rPr>
        <w:t>18</w:t>
      </w:r>
      <w:r>
        <w:rPr>
          <w:b/>
          <w:color w:val="000000" w:themeColor="text1"/>
          <w:szCs w:val="24"/>
        </w:rPr>
        <w:fldChar w:fldCharType="end"/>
      </w:r>
      <w:r>
        <w:rPr>
          <w:rFonts w:hint="eastAsia"/>
          <w:b/>
          <w:bCs/>
          <w:color w:val="000000" w:themeColor="text1"/>
          <w:kern w:val="0"/>
          <w:szCs w:val="24"/>
        </w:rPr>
        <w:t>大气污染物有组织排放量核算表</w:t>
      </w:r>
    </w:p>
    <w:tbl>
      <w:tblPr>
        <w:tblStyle w:val="39"/>
        <w:tblW w:w="5000" w:type="pct"/>
        <w:jc w:val="center"/>
        <w:tblBorders>
          <w:top w:val="single" w:color="000000" w:sz="6" w:space="0"/>
          <w:left w:val="single" w:color="000000" w:sz="4" w:space="0"/>
          <w:bottom w:val="single" w:color="000000" w:sz="4" w:space="0"/>
          <w:right w:val="single" w:color="000000" w:sz="4" w:space="0"/>
          <w:insideH w:val="single" w:color="000000" w:sz="6" w:space="0"/>
          <w:insideV w:val="single" w:color="000000" w:sz="6" w:space="0"/>
        </w:tblBorders>
        <w:tblLayout w:type="autofit"/>
        <w:tblCellMar>
          <w:top w:w="0" w:type="dxa"/>
          <w:left w:w="108" w:type="dxa"/>
          <w:bottom w:w="0" w:type="dxa"/>
          <w:right w:w="108" w:type="dxa"/>
        </w:tblCellMar>
      </w:tblPr>
      <w:tblGrid>
        <w:gridCol w:w="698"/>
        <w:gridCol w:w="2021"/>
        <w:gridCol w:w="1146"/>
        <w:gridCol w:w="2127"/>
        <w:gridCol w:w="1855"/>
        <w:gridCol w:w="1803"/>
      </w:tblGrid>
      <w:tr>
        <w:tblPrEx>
          <w:tblBorders>
            <w:top w:val="single" w:color="000000" w:sz="6"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542" w:hRule="atLeast"/>
          <w:jc w:val="center"/>
        </w:trPr>
        <w:tc>
          <w:tcPr>
            <w:tcW w:w="362" w:type="pct"/>
            <w:shd w:val="clear" w:color="auto" w:fill="FFFFFF"/>
            <w:vAlign w:val="center"/>
          </w:tcPr>
          <w:p>
            <w:pPr>
              <w:pStyle w:val="93"/>
              <w:spacing w:before="24" w:after="24"/>
              <w:rPr>
                <w:rFonts w:ascii="Times New Roman" w:hAnsi="Times New Roman" w:cs="Times New Roman"/>
                <w:kern w:val="0"/>
              </w:rPr>
            </w:pPr>
            <w:r>
              <w:rPr>
                <w:rFonts w:ascii="Times New Roman" w:hAnsi="Times New Roman" w:cs="Times New Roman"/>
              </w:rPr>
              <w:t>序号</w:t>
            </w:r>
          </w:p>
        </w:tc>
        <w:tc>
          <w:tcPr>
            <w:tcW w:w="1047" w:type="pct"/>
            <w:shd w:val="clear" w:color="auto" w:fill="FFFFFF"/>
            <w:vAlign w:val="center"/>
          </w:tcPr>
          <w:p>
            <w:pPr>
              <w:pStyle w:val="93"/>
              <w:spacing w:before="24" w:after="24"/>
              <w:rPr>
                <w:rFonts w:ascii="Times New Roman" w:hAnsi="Times New Roman" w:cs="Times New Roman"/>
                <w:kern w:val="0"/>
              </w:rPr>
            </w:pPr>
            <w:r>
              <w:rPr>
                <w:rFonts w:ascii="Times New Roman" w:hAnsi="Times New Roman" w:cs="Times New Roman"/>
              </w:rPr>
              <w:t>排放口编号</w:t>
            </w:r>
          </w:p>
        </w:tc>
        <w:tc>
          <w:tcPr>
            <w:tcW w:w="594" w:type="pct"/>
            <w:shd w:val="clear" w:color="auto" w:fill="FFFFFF"/>
            <w:vAlign w:val="center"/>
          </w:tcPr>
          <w:p>
            <w:pPr>
              <w:pStyle w:val="93"/>
              <w:spacing w:before="24" w:after="24"/>
              <w:rPr>
                <w:rFonts w:ascii="Times New Roman" w:hAnsi="Times New Roman" w:cs="Times New Roman"/>
                <w:kern w:val="0"/>
              </w:rPr>
            </w:pPr>
            <w:r>
              <w:rPr>
                <w:rFonts w:ascii="Times New Roman" w:hAnsi="Times New Roman" w:cs="Times New Roman"/>
              </w:rPr>
              <w:t>污染物</w:t>
            </w:r>
          </w:p>
        </w:tc>
        <w:tc>
          <w:tcPr>
            <w:tcW w:w="1102" w:type="pct"/>
            <w:shd w:val="clear" w:color="auto" w:fill="FFFFFF"/>
            <w:vAlign w:val="center"/>
          </w:tcPr>
          <w:p>
            <w:pPr>
              <w:pStyle w:val="93"/>
              <w:spacing w:before="24" w:after="24"/>
              <w:rPr>
                <w:rFonts w:ascii="Times New Roman" w:hAnsi="Times New Roman" w:cs="Times New Roman"/>
                <w:kern w:val="0"/>
              </w:rPr>
            </w:pPr>
            <w:r>
              <w:rPr>
                <w:rFonts w:ascii="Times New Roman" w:hAnsi="Times New Roman" w:cs="Times New Roman"/>
              </w:rPr>
              <w:t>核算排放浓度</w:t>
            </w:r>
          </w:p>
        </w:tc>
        <w:tc>
          <w:tcPr>
            <w:tcW w:w="961" w:type="pct"/>
            <w:shd w:val="clear" w:color="auto" w:fill="FFFFFF"/>
            <w:vAlign w:val="center"/>
          </w:tcPr>
          <w:p>
            <w:pPr>
              <w:pStyle w:val="93"/>
              <w:spacing w:before="24" w:after="24"/>
              <w:rPr>
                <w:rFonts w:ascii="Times New Roman" w:hAnsi="Times New Roman" w:cs="Times New Roman"/>
                <w:kern w:val="0"/>
              </w:rPr>
            </w:pPr>
            <w:r>
              <w:rPr>
                <w:rFonts w:ascii="Times New Roman" w:hAnsi="Times New Roman" w:cs="Times New Roman"/>
              </w:rPr>
              <w:t>核算排放速率</w:t>
            </w:r>
          </w:p>
        </w:tc>
        <w:tc>
          <w:tcPr>
            <w:tcW w:w="934" w:type="pct"/>
            <w:shd w:val="clear" w:color="auto" w:fill="FFFFFF"/>
            <w:vAlign w:val="center"/>
          </w:tcPr>
          <w:p>
            <w:pPr>
              <w:pStyle w:val="93"/>
              <w:spacing w:before="24" w:after="24"/>
              <w:rPr>
                <w:rFonts w:ascii="Times New Roman" w:hAnsi="Times New Roman" w:cs="Times New Roman"/>
                <w:kern w:val="0"/>
              </w:rPr>
            </w:pPr>
            <w:r>
              <w:rPr>
                <w:rFonts w:ascii="Times New Roman" w:hAnsi="Times New Roman" w:cs="Times New Roman"/>
              </w:rPr>
              <w:t>核算年排放量</w:t>
            </w:r>
          </w:p>
        </w:tc>
      </w:tr>
      <w:tr>
        <w:tblPrEx>
          <w:tblBorders>
            <w:top w:val="single" w:color="000000" w:sz="6"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13" w:hRule="atLeast"/>
          <w:jc w:val="center"/>
        </w:trPr>
        <w:tc>
          <w:tcPr>
            <w:tcW w:w="5000" w:type="pct"/>
            <w:gridSpan w:val="6"/>
            <w:shd w:val="clear" w:color="auto" w:fill="FFFFFF"/>
            <w:vAlign w:val="center"/>
          </w:tcPr>
          <w:p>
            <w:pPr>
              <w:pStyle w:val="93"/>
              <w:spacing w:before="24" w:after="24"/>
              <w:rPr>
                <w:rFonts w:ascii="Times New Roman" w:hAnsi="Times New Roman" w:cs="Times New Roman"/>
                <w:kern w:val="0"/>
              </w:rPr>
            </w:pPr>
            <w:r>
              <w:rPr>
                <w:rFonts w:ascii="Times New Roman" w:hAnsi="Times New Roman" w:cs="Times New Roman"/>
              </w:rPr>
              <w:t>主要排放口</w:t>
            </w:r>
          </w:p>
        </w:tc>
      </w:tr>
      <w:tr>
        <w:tblPrEx>
          <w:tblBorders>
            <w:top w:val="single" w:color="000000" w:sz="6"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38" w:hRule="atLeast"/>
          <w:jc w:val="center"/>
        </w:trPr>
        <w:tc>
          <w:tcPr>
            <w:tcW w:w="362" w:type="pct"/>
            <w:vMerge w:val="restart"/>
            <w:shd w:val="clear" w:color="auto" w:fill="FFFFFF"/>
            <w:vAlign w:val="center"/>
          </w:tcPr>
          <w:p>
            <w:pPr>
              <w:pStyle w:val="93"/>
              <w:spacing w:before="24" w:after="24"/>
              <w:rPr>
                <w:rFonts w:ascii="Times New Roman" w:hAnsi="Times New Roman" w:cs="Times New Roman"/>
                <w:kern w:val="0"/>
              </w:rPr>
            </w:pPr>
            <w:r>
              <w:rPr>
                <w:rFonts w:ascii="Times New Roman" w:hAnsi="Times New Roman" w:cs="Times New Roman"/>
              </w:rPr>
              <w:t>1</w:t>
            </w:r>
          </w:p>
        </w:tc>
        <w:tc>
          <w:tcPr>
            <w:tcW w:w="1047" w:type="pct"/>
            <w:vMerge w:val="restart"/>
            <w:shd w:val="clear" w:color="auto" w:fill="FFFFFF"/>
            <w:vAlign w:val="center"/>
          </w:tcPr>
          <w:p>
            <w:pPr>
              <w:pStyle w:val="93"/>
              <w:spacing w:before="24" w:after="24"/>
              <w:rPr>
                <w:rFonts w:ascii="Times New Roman" w:hAnsi="Times New Roman" w:cs="Times New Roman"/>
                <w:kern w:val="0"/>
              </w:rPr>
            </w:pPr>
            <w:r>
              <w:rPr>
                <w:rFonts w:hint="eastAsia" w:ascii="Times New Roman" w:hAnsi="Times New Roman" w:cs="Times New Roman"/>
                <w:kern w:val="0"/>
              </w:rPr>
              <w:t>G1</w:t>
            </w:r>
            <w:r>
              <w:rPr>
                <w:rFonts w:hint="eastAsia" w:ascii="Times New Roman" w:hAnsi="Times New Roman" w:cs="Times New Roman"/>
                <w:color w:val="000000" w:themeColor="text1"/>
              </w:rPr>
              <w:t>（天然气热水锅炉）</w:t>
            </w:r>
          </w:p>
        </w:tc>
        <w:tc>
          <w:tcPr>
            <w:tcW w:w="594" w:type="pct"/>
            <w:shd w:val="clear" w:color="auto" w:fill="FFFFFF"/>
            <w:vAlign w:val="center"/>
          </w:tcPr>
          <w:p>
            <w:pPr>
              <w:rPr>
                <w:rFonts w:eastAsia="宋体" w:cs="Times New Roman"/>
                <w:color w:val="000000" w:themeColor="text1"/>
                <w:sz w:val="21"/>
              </w:rPr>
            </w:pPr>
            <w:r>
              <w:rPr>
                <w:rFonts w:hint="eastAsia" w:eastAsia="宋体" w:cs="Times New Roman"/>
                <w:color w:val="000000" w:themeColor="text1"/>
                <w:sz w:val="21"/>
              </w:rPr>
              <w:t>颗粒物</w:t>
            </w:r>
          </w:p>
        </w:tc>
        <w:tc>
          <w:tcPr>
            <w:tcW w:w="1102" w:type="pct"/>
            <w:shd w:val="clear" w:color="auto" w:fill="FFFFFF"/>
            <w:vAlign w:val="center"/>
          </w:tcPr>
          <w:p>
            <w:pPr>
              <w:adjustRightInd w:val="0"/>
              <w:snapToGrid w:val="0"/>
              <w:ind w:firstLine="210" w:firstLineChars="100"/>
              <w:jc w:val="center"/>
              <w:rPr>
                <w:rFonts w:eastAsia="宋体" w:cs="Times New Roman"/>
                <w:sz w:val="21"/>
              </w:rPr>
            </w:pPr>
            <w:r>
              <w:rPr>
                <w:rFonts w:eastAsia="宋体" w:cs="Times New Roman"/>
                <w:sz w:val="21"/>
              </w:rPr>
              <w:t>4.4mg/m</w:t>
            </w:r>
            <w:r>
              <w:rPr>
                <w:rFonts w:eastAsia="宋体" w:cs="Times New Roman"/>
                <w:sz w:val="21"/>
                <w:vertAlign w:val="superscript"/>
              </w:rPr>
              <w:t>3</w:t>
            </w:r>
          </w:p>
        </w:tc>
        <w:tc>
          <w:tcPr>
            <w:tcW w:w="961" w:type="pct"/>
            <w:shd w:val="clear" w:color="auto" w:fill="FFFFFF"/>
            <w:vAlign w:val="center"/>
          </w:tcPr>
          <w:p>
            <w:pPr>
              <w:pStyle w:val="93"/>
              <w:spacing w:before="24" w:after="24"/>
              <w:rPr>
                <w:rFonts w:ascii="Times New Roman" w:hAnsi="Times New Roman" w:cs="Times New Roman"/>
                <w:kern w:val="0"/>
              </w:rPr>
            </w:pPr>
            <w:r>
              <w:rPr>
                <w:rFonts w:hint="eastAsia" w:ascii="Times New Roman" w:hAnsi="Times New Roman" w:cs="Times New Roman"/>
                <w:kern w:val="0"/>
              </w:rPr>
              <w:t>0.004</w:t>
            </w:r>
            <w:r>
              <w:rPr>
                <w:rFonts w:ascii="Times New Roman" w:hAnsi="Times New Roman" w:cs="Times New Roman"/>
                <w:kern w:val="0"/>
              </w:rPr>
              <w:t>kg/h</w:t>
            </w:r>
          </w:p>
        </w:tc>
        <w:tc>
          <w:tcPr>
            <w:tcW w:w="934" w:type="pct"/>
            <w:shd w:val="clear" w:color="auto" w:fill="FFFFFF"/>
            <w:vAlign w:val="center"/>
          </w:tcPr>
          <w:p>
            <w:pPr>
              <w:pStyle w:val="93"/>
              <w:spacing w:before="24"/>
              <w:rPr>
                <w:rFonts w:ascii="Times New Roman" w:hAnsi="Times New Roman" w:cs="Times New Roman"/>
                <w:color w:val="000000" w:themeColor="text1"/>
              </w:rPr>
            </w:pPr>
            <w:r>
              <w:rPr>
                <w:rFonts w:ascii="Times New Roman" w:hAnsi="Times New Roman" w:cs="Times New Roman"/>
                <w:kern w:val="0"/>
              </w:rPr>
              <w:t>0.008</w:t>
            </w:r>
            <w:r>
              <w:rPr>
                <w:rFonts w:ascii="Times New Roman" w:hAnsi="Times New Roman" w:cs="Times New Roman"/>
              </w:rPr>
              <w:t>t/a</w:t>
            </w:r>
          </w:p>
        </w:tc>
      </w:tr>
      <w:tr>
        <w:tblPrEx>
          <w:tblBorders>
            <w:top w:val="single" w:color="000000" w:sz="6"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38" w:hRule="atLeast"/>
          <w:jc w:val="center"/>
        </w:trPr>
        <w:tc>
          <w:tcPr>
            <w:tcW w:w="362" w:type="pct"/>
            <w:vMerge w:val="continue"/>
            <w:shd w:val="clear" w:color="auto" w:fill="FFFFFF"/>
            <w:vAlign w:val="center"/>
          </w:tcPr>
          <w:p>
            <w:pPr>
              <w:pStyle w:val="93"/>
              <w:spacing w:before="24" w:after="24"/>
              <w:rPr>
                <w:rFonts w:ascii="Times New Roman" w:hAnsi="Times New Roman" w:cs="Times New Roman"/>
              </w:rPr>
            </w:pPr>
          </w:p>
        </w:tc>
        <w:tc>
          <w:tcPr>
            <w:tcW w:w="1047" w:type="pct"/>
            <w:vMerge w:val="continue"/>
            <w:shd w:val="clear" w:color="auto" w:fill="FFFFFF"/>
            <w:vAlign w:val="center"/>
          </w:tcPr>
          <w:p>
            <w:pPr>
              <w:pStyle w:val="93"/>
              <w:spacing w:before="24" w:after="24"/>
              <w:rPr>
                <w:rFonts w:ascii="Times New Roman" w:hAnsi="Times New Roman" w:cs="Times New Roman"/>
                <w:color w:val="000000" w:themeColor="text1"/>
              </w:rPr>
            </w:pPr>
          </w:p>
        </w:tc>
        <w:tc>
          <w:tcPr>
            <w:tcW w:w="594" w:type="pct"/>
            <w:shd w:val="clear" w:color="auto" w:fill="FFFFFF"/>
            <w:vAlign w:val="center"/>
          </w:tcPr>
          <w:p>
            <w:pPr>
              <w:jc w:val="center"/>
              <w:rPr>
                <w:rFonts w:eastAsia="宋体" w:cs="Times New Roman"/>
                <w:color w:val="000000" w:themeColor="text1"/>
                <w:sz w:val="21"/>
              </w:rPr>
            </w:pPr>
            <w:r>
              <w:rPr>
                <w:rFonts w:hint="eastAsia" w:eastAsia="宋体" w:cs="Times New Roman"/>
                <w:color w:val="000000" w:themeColor="text1"/>
                <w:sz w:val="21"/>
              </w:rPr>
              <w:t>SO</w:t>
            </w:r>
            <w:r>
              <w:rPr>
                <w:rFonts w:hint="eastAsia" w:eastAsia="宋体" w:cs="Times New Roman"/>
                <w:color w:val="000000" w:themeColor="text1"/>
                <w:sz w:val="21"/>
                <w:vertAlign w:val="subscript"/>
              </w:rPr>
              <w:t>2</w:t>
            </w:r>
          </w:p>
        </w:tc>
        <w:tc>
          <w:tcPr>
            <w:tcW w:w="1102" w:type="pct"/>
            <w:shd w:val="clear" w:color="auto" w:fill="FFFFFF"/>
            <w:vAlign w:val="center"/>
          </w:tcPr>
          <w:p>
            <w:pPr>
              <w:adjustRightInd w:val="0"/>
              <w:snapToGrid w:val="0"/>
              <w:ind w:firstLine="210" w:firstLineChars="100"/>
              <w:jc w:val="center"/>
              <w:rPr>
                <w:rFonts w:eastAsia="宋体" w:cs="Times New Roman"/>
                <w:sz w:val="21"/>
              </w:rPr>
            </w:pPr>
            <w:r>
              <w:rPr>
                <w:rFonts w:eastAsia="宋体" w:cs="Times New Roman"/>
                <w:sz w:val="21"/>
              </w:rPr>
              <w:t>36mg/m</w:t>
            </w:r>
            <w:r>
              <w:rPr>
                <w:rFonts w:eastAsia="宋体" w:cs="Times New Roman"/>
                <w:sz w:val="21"/>
                <w:vertAlign w:val="superscript"/>
              </w:rPr>
              <w:t>3</w:t>
            </w:r>
          </w:p>
        </w:tc>
        <w:tc>
          <w:tcPr>
            <w:tcW w:w="961" w:type="pct"/>
            <w:shd w:val="clear" w:color="auto" w:fill="FFFFFF"/>
            <w:vAlign w:val="center"/>
          </w:tcPr>
          <w:p>
            <w:pPr>
              <w:pStyle w:val="93"/>
              <w:spacing w:before="24" w:after="24"/>
              <w:rPr>
                <w:rFonts w:ascii="Times New Roman" w:hAnsi="Times New Roman" w:cs="Times New Roman"/>
                <w:kern w:val="0"/>
              </w:rPr>
            </w:pPr>
            <w:r>
              <w:rPr>
                <w:rFonts w:hint="eastAsia" w:ascii="Times New Roman" w:hAnsi="Times New Roman" w:cs="Times New Roman"/>
                <w:kern w:val="0"/>
              </w:rPr>
              <w:t>0.011</w:t>
            </w:r>
            <w:r>
              <w:rPr>
                <w:rFonts w:ascii="Times New Roman" w:hAnsi="Times New Roman" w:cs="Times New Roman"/>
                <w:kern w:val="0"/>
              </w:rPr>
              <w:t>kg/h</w:t>
            </w:r>
          </w:p>
        </w:tc>
        <w:tc>
          <w:tcPr>
            <w:tcW w:w="934" w:type="pct"/>
            <w:shd w:val="clear" w:color="auto" w:fill="FFFFFF"/>
            <w:vAlign w:val="center"/>
          </w:tcPr>
          <w:p>
            <w:pPr>
              <w:pStyle w:val="93"/>
              <w:spacing w:before="24"/>
              <w:rPr>
                <w:rFonts w:ascii="Times New Roman" w:hAnsi="Times New Roman" w:cs="Times New Roman"/>
                <w:color w:val="000000" w:themeColor="text1"/>
              </w:rPr>
            </w:pPr>
            <w:r>
              <w:rPr>
                <w:rFonts w:ascii="Times New Roman" w:hAnsi="Times New Roman" w:cs="Times New Roman"/>
                <w:kern w:val="0"/>
              </w:rPr>
              <w:t>0.044</w:t>
            </w:r>
            <w:r>
              <w:rPr>
                <w:rFonts w:ascii="Times New Roman" w:hAnsi="Times New Roman" w:cs="Times New Roman"/>
              </w:rPr>
              <w:t>t/a</w:t>
            </w:r>
          </w:p>
        </w:tc>
      </w:tr>
      <w:tr>
        <w:tblPrEx>
          <w:tblBorders>
            <w:top w:val="single" w:color="000000" w:sz="6"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38" w:hRule="atLeast"/>
          <w:jc w:val="center"/>
        </w:trPr>
        <w:tc>
          <w:tcPr>
            <w:tcW w:w="362" w:type="pct"/>
            <w:vMerge w:val="continue"/>
            <w:shd w:val="clear" w:color="auto" w:fill="FFFFFF"/>
            <w:vAlign w:val="center"/>
          </w:tcPr>
          <w:p>
            <w:pPr>
              <w:pStyle w:val="93"/>
              <w:spacing w:before="24" w:after="24"/>
              <w:rPr>
                <w:rFonts w:ascii="Times New Roman" w:hAnsi="Times New Roman" w:cs="Times New Roman"/>
              </w:rPr>
            </w:pPr>
          </w:p>
        </w:tc>
        <w:tc>
          <w:tcPr>
            <w:tcW w:w="1047" w:type="pct"/>
            <w:vMerge w:val="continue"/>
            <w:shd w:val="clear" w:color="auto" w:fill="FFFFFF"/>
            <w:vAlign w:val="center"/>
          </w:tcPr>
          <w:p>
            <w:pPr>
              <w:pStyle w:val="93"/>
              <w:spacing w:before="24" w:after="24"/>
              <w:rPr>
                <w:rFonts w:ascii="Times New Roman" w:hAnsi="Times New Roman" w:cs="Times New Roman"/>
                <w:color w:val="000000" w:themeColor="text1"/>
              </w:rPr>
            </w:pPr>
          </w:p>
        </w:tc>
        <w:tc>
          <w:tcPr>
            <w:tcW w:w="594" w:type="pct"/>
            <w:shd w:val="clear" w:color="auto" w:fill="FFFFFF"/>
            <w:vAlign w:val="center"/>
          </w:tcPr>
          <w:p>
            <w:pPr>
              <w:jc w:val="center"/>
              <w:rPr>
                <w:rFonts w:eastAsia="宋体" w:cs="Times New Roman"/>
                <w:color w:val="000000" w:themeColor="text1"/>
                <w:sz w:val="21"/>
              </w:rPr>
            </w:pPr>
            <w:r>
              <w:rPr>
                <w:rFonts w:hint="eastAsia" w:eastAsia="宋体" w:cs="Times New Roman"/>
                <w:color w:val="000000" w:themeColor="text1"/>
                <w:sz w:val="21"/>
              </w:rPr>
              <w:t>NO</w:t>
            </w:r>
            <w:r>
              <w:rPr>
                <w:rFonts w:hint="eastAsia" w:eastAsia="宋体" w:cs="Times New Roman"/>
                <w:color w:val="000000" w:themeColor="text1"/>
                <w:sz w:val="21"/>
                <w:vertAlign w:val="subscript"/>
              </w:rPr>
              <w:t>x</w:t>
            </w:r>
          </w:p>
        </w:tc>
        <w:tc>
          <w:tcPr>
            <w:tcW w:w="1102" w:type="pct"/>
            <w:shd w:val="clear" w:color="auto" w:fill="FFFFFF"/>
            <w:vAlign w:val="center"/>
          </w:tcPr>
          <w:p>
            <w:pPr>
              <w:adjustRightInd w:val="0"/>
              <w:snapToGrid w:val="0"/>
              <w:ind w:firstLine="210" w:firstLineChars="100"/>
              <w:jc w:val="center"/>
              <w:rPr>
                <w:rFonts w:eastAsia="宋体" w:cs="Times New Roman"/>
                <w:sz w:val="21"/>
              </w:rPr>
            </w:pPr>
            <w:r>
              <w:rPr>
                <w:rFonts w:eastAsia="宋体" w:cs="Times New Roman"/>
                <w:sz w:val="21"/>
              </w:rPr>
              <w:t>84mg/m</w:t>
            </w:r>
            <w:r>
              <w:rPr>
                <w:rFonts w:eastAsia="宋体" w:cs="Times New Roman"/>
                <w:sz w:val="21"/>
                <w:vertAlign w:val="superscript"/>
              </w:rPr>
              <w:t>3</w:t>
            </w:r>
          </w:p>
        </w:tc>
        <w:tc>
          <w:tcPr>
            <w:tcW w:w="961" w:type="pct"/>
            <w:shd w:val="clear" w:color="auto" w:fill="FFFFFF"/>
            <w:vAlign w:val="center"/>
          </w:tcPr>
          <w:p>
            <w:pPr>
              <w:pStyle w:val="93"/>
              <w:spacing w:before="24" w:after="24"/>
              <w:rPr>
                <w:rFonts w:ascii="Times New Roman" w:hAnsi="Times New Roman" w:cs="Times New Roman"/>
                <w:kern w:val="0"/>
              </w:rPr>
            </w:pPr>
            <w:r>
              <w:rPr>
                <w:rFonts w:hint="eastAsia" w:ascii="Times New Roman" w:hAnsi="Times New Roman" w:cs="Times New Roman"/>
                <w:kern w:val="0"/>
              </w:rPr>
              <w:t>0.027</w:t>
            </w:r>
            <w:r>
              <w:rPr>
                <w:rFonts w:ascii="Times New Roman" w:hAnsi="Times New Roman" w:cs="Times New Roman"/>
                <w:kern w:val="0"/>
              </w:rPr>
              <w:t>kg/h</w:t>
            </w:r>
          </w:p>
        </w:tc>
        <w:tc>
          <w:tcPr>
            <w:tcW w:w="934" w:type="pct"/>
            <w:shd w:val="clear" w:color="auto" w:fill="FFFFFF"/>
            <w:vAlign w:val="center"/>
          </w:tcPr>
          <w:p>
            <w:pPr>
              <w:pStyle w:val="93"/>
              <w:spacing w:before="24"/>
              <w:rPr>
                <w:rFonts w:ascii="Times New Roman" w:hAnsi="Times New Roman" w:cs="Times New Roman"/>
                <w:color w:val="000000" w:themeColor="text1"/>
              </w:rPr>
            </w:pPr>
            <w:r>
              <w:rPr>
                <w:rFonts w:ascii="Times New Roman" w:hAnsi="Times New Roman" w:cs="Times New Roman"/>
                <w:kern w:val="0"/>
              </w:rPr>
              <w:t>0.11</w:t>
            </w:r>
            <w:r>
              <w:rPr>
                <w:rFonts w:ascii="Times New Roman" w:hAnsi="Times New Roman" w:cs="Times New Roman"/>
              </w:rPr>
              <w:t>t/a</w:t>
            </w:r>
          </w:p>
        </w:tc>
      </w:tr>
      <w:tr>
        <w:tblPrEx>
          <w:tblBorders>
            <w:top w:val="single" w:color="000000" w:sz="6"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38" w:hRule="atLeast"/>
          <w:jc w:val="center"/>
        </w:trPr>
        <w:tc>
          <w:tcPr>
            <w:tcW w:w="362" w:type="pct"/>
            <w:vMerge w:val="restart"/>
            <w:shd w:val="clear" w:color="auto" w:fill="FFFFFF"/>
            <w:vAlign w:val="center"/>
          </w:tcPr>
          <w:p>
            <w:pPr>
              <w:pStyle w:val="93"/>
              <w:spacing w:before="24" w:after="24"/>
              <w:rPr>
                <w:rFonts w:ascii="Times New Roman" w:hAnsi="Times New Roman" w:cs="Times New Roman"/>
              </w:rPr>
            </w:pPr>
            <w:r>
              <w:rPr>
                <w:rFonts w:hint="eastAsia" w:ascii="Times New Roman" w:hAnsi="Times New Roman" w:cs="Times New Roman"/>
              </w:rPr>
              <w:t>2</w:t>
            </w:r>
          </w:p>
        </w:tc>
        <w:tc>
          <w:tcPr>
            <w:tcW w:w="1047" w:type="pct"/>
            <w:vMerge w:val="restart"/>
            <w:shd w:val="clear" w:color="auto" w:fill="FFFFFF"/>
            <w:vAlign w:val="center"/>
          </w:tcPr>
          <w:p>
            <w:pPr>
              <w:pStyle w:val="93"/>
              <w:spacing w:before="24" w:after="24"/>
              <w:rPr>
                <w:rFonts w:ascii="Times New Roman" w:hAnsi="Times New Roman" w:cs="Times New Roman"/>
                <w:color w:val="000000" w:themeColor="text1"/>
              </w:rPr>
            </w:pPr>
            <w:r>
              <w:rPr>
                <w:rFonts w:hint="eastAsia" w:ascii="Times New Roman" w:hAnsi="Times New Roman" w:cs="Times New Roman"/>
                <w:color w:val="000000" w:themeColor="text1"/>
              </w:rPr>
              <w:t>G3（天然气热水锅炉）</w:t>
            </w:r>
          </w:p>
        </w:tc>
        <w:tc>
          <w:tcPr>
            <w:tcW w:w="594" w:type="pct"/>
            <w:shd w:val="clear" w:color="auto" w:fill="FFFFFF"/>
            <w:vAlign w:val="center"/>
          </w:tcPr>
          <w:p>
            <w:pPr>
              <w:rPr>
                <w:rFonts w:eastAsia="宋体" w:cs="Times New Roman"/>
                <w:color w:val="000000" w:themeColor="text1"/>
                <w:sz w:val="21"/>
              </w:rPr>
            </w:pPr>
            <w:r>
              <w:rPr>
                <w:rFonts w:hint="eastAsia" w:eastAsia="宋体" w:cs="Times New Roman"/>
                <w:color w:val="000000" w:themeColor="text1"/>
                <w:sz w:val="21"/>
              </w:rPr>
              <w:t>颗粒物</w:t>
            </w:r>
          </w:p>
        </w:tc>
        <w:tc>
          <w:tcPr>
            <w:tcW w:w="1102" w:type="pct"/>
            <w:shd w:val="clear" w:color="auto" w:fill="FFFFFF"/>
            <w:vAlign w:val="center"/>
          </w:tcPr>
          <w:p>
            <w:pPr>
              <w:adjustRightInd w:val="0"/>
              <w:snapToGrid w:val="0"/>
              <w:ind w:firstLine="210" w:firstLineChars="100"/>
              <w:jc w:val="center"/>
              <w:rPr>
                <w:rFonts w:eastAsia="宋体" w:cs="Times New Roman"/>
                <w:sz w:val="21"/>
              </w:rPr>
            </w:pPr>
            <w:r>
              <w:rPr>
                <w:rFonts w:eastAsia="宋体" w:cs="Times New Roman"/>
                <w:sz w:val="21"/>
              </w:rPr>
              <w:t>4.4mg/m</w:t>
            </w:r>
            <w:r>
              <w:rPr>
                <w:rFonts w:eastAsia="宋体" w:cs="Times New Roman"/>
                <w:sz w:val="21"/>
                <w:vertAlign w:val="superscript"/>
              </w:rPr>
              <w:t>3</w:t>
            </w:r>
          </w:p>
        </w:tc>
        <w:tc>
          <w:tcPr>
            <w:tcW w:w="961" w:type="pct"/>
            <w:shd w:val="clear" w:color="auto" w:fill="FFFFFF"/>
            <w:vAlign w:val="center"/>
          </w:tcPr>
          <w:p>
            <w:pPr>
              <w:pStyle w:val="93"/>
              <w:spacing w:before="24" w:after="24"/>
              <w:rPr>
                <w:rFonts w:ascii="Times New Roman" w:hAnsi="Times New Roman" w:cs="Times New Roman"/>
                <w:kern w:val="0"/>
              </w:rPr>
            </w:pPr>
            <w:r>
              <w:rPr>
                <w:rFonts w:hint="eastAsia" w:ascii="Times New Roman" w:hAnsi="Times New Roman" w:cs="Times New Roman"/>
                <w:kern w:val="0"/>
              </w:rPr>
              <w:t>0.004</w:t>
            </w:r>
            <w:r>
              <w:rPr>
                <w:rFonts w:ascii="Times New Roman" w:hAnsi="Times New Roman" w:cs="Times New Roman"/>
                <w:kern w:val="0"/>
              </w:rPr>
              <w:t>kg/h</w:t>
            </w:r>
          </w:p>
        </w:tc>
        <w:tc>
          <w:tcPr>
            <w:tcW w:w="934" w:type="pct"/>
            <w:shd w:val="clear" w:color="auto" w:fill="FFFFFF"/>
            <w:vAlign w:val="center"/>
          </w:tcPr>
          <w:p>
            <w:pPr>
              <w:pStyle w:val="93"/>
              <w:spacing w:before="24"/>
              <w:rPr>
                <w:rFonts w:ascii="Times New Roman" w:hAnsi="Times New Roman" w:cs="Times New Roman"/>
                <w:color w:val="000000" w:themeColor="text1"/>
              </w:rPr>
            </w:pPr>
            <w:r>
              <w:rPr>
                <w:rFonts w:ascii="Times New Roman" w:hAnsi="Times New Roman" w:cs="Times New Roman"/>
                <w:kern w:val="0"/>
              </w:rPr>
              <w:t>0.008</w:t>
            </w:r>
            <w:r>
              <w:rPr>
                <w:rFonts w:ascii="Times New Roman" w:hAnsi="Times New Roman" w:cs="Times New Roman"/>
              </w:rPr>
              <w:t>t/a</w:t>
            </w:r>
          </w:p>
        </w:tc>
      </w:tr>
      <w:tr>
        <w:tblPrEx>
          <w:tblBorders>
            <w:top w:val="single" w:color="000000" w:sz="6"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38" w:hRule="atLeast"/>
          <w:jc w:val="center"/>
        </w:trPr>
        <w:tc>
          <w:tcPr>
            <w:tcW w:w="362" w:type="pct"/>
            <w:vMerge w:val="continue"/>
            <w:shd w:val="clear" w:color="auto" w:fill="FFFFFF"/>
            <w:vAlign w:val="center"/>
          </w:tcPr>
          <w:p>
            <w:pPr>
              <w:pStyle w:val="93"/>
              <w:spacing w:before="24" w:after="24"/>
              <w:rPr>
                <w:rFonts w:ascii="Times New Roman" w:hAnsi="Times New Roman" w:cs="Times New Roman"/>
              </w:rPr>
            </w:pPr>
          </w:p>
        </w:tc>
        <w:tc>
          <w:tcPr>
            <w:tcW w:w="1047" w:type="pct"/>
            <w:vMerge w:val="continue"/>
            <w:shd w:val="clear" w:color="auto" w:fill="FFFFFF"/>
            <w:vAlign w:val="center"/>
          </w:tcPr>
          <w:p>
            <w:pPr>
              <w:pStyle w:val="93"/>
              <w:spacing w:before="24" w:after="24"/>
              <w:rPr>
                <w:rFonts w:ascii="Times New Roman" w:hAnsi="Times New Roman" w:cs="Times New Roman"/>
                <w:color w:val="000000" w:themeColor="text1"/>
              </w:rPr>
            </w:pPr>
          </w:p>
        </w:tc>
        <w:tc>
          <w:tcPr>
            <w:tcW w:w="594" w:type="pct"/>
            <w:shd w:val="clear" w:color="auto" w:fill="FFFFFF"/>
            <w:vAlign w:val="center"/>
          </w:tcPr>
          <w:p>
            <w:pPr>
              <w:jc w:val="center"/>
              <w:rPr>
                <w:rFonts w:eastAsia="宋体" w:cs="Times New Roman"/>
                <w:color w:val="000000" w:themeColor="text1"/>
                <w:sz w:val="21"/>
              </w:rPr>
            </w:pPr>
            <w:r>
              <w:rPr>
                <w:rFonts w:hint="eastAsia" w:eastAsia="宋体" w:cs="Times New Roman"/>
                <w:color w:val="000000" w:themeColor="text1"/>
                <w:sz w:val="21"/>
              </w:rPr>
              <w:t>SO2</w:t>
            </w:r>
          </w:p>
        </w:tc>
        <w:tc>
          <w:tcPr>
            <w:tcW w:w="1102" w:type="pct"/>
            <w:shd w:val="clear" w:color="auto" w:fill="FFFFFF"/>
            <w:vAlign w:val="center"/>
          </w:tcPr>
          <w:p>
            <w:pPr>
              <w:adjustRightInd w:val="0"/>
              <w:snapToGrid w:val="0"/>
              <w:ind w:firstLine="210" w:firstLineChars="100"/>
              <w:jc w:val="center"/>
              <w:rPr>
                <w:rFonts w:eastAsia="宋体" w:cs="Times New Roman"/>
                <w:sz w:val="21"/>
              </w:rPr>
            </w:pPr>
            <w:r>
              <w:rPr>
                <w:rFonts w:eastAsia="宋体" w:cs="Times New Roman"/>
                <w:sz w:val="21"/>
              </w:rPr>
              <w:t>36mg/m</w:t>
            </w:r>
            <w:r>
              <w:rPr>
                <w:rFonts w:eastAsia="宋体" w:cs="Times New Roman"/>
                <w:sz w:val="21"/>
                <w:vertAlign w:val="superscript"/>
              </w:rPr>
              <w:t>3</w:t>
            </w:r>
          </w:p>
        </w:tc>
        <w:tc>
          <w:tcPr>
            <w:tcW w:w="961" w:type="pct"/>
            <w:shd w:val="clear" w:color="auto" w:fill="FFFFFF"/>
            <w:vAlign w:val="center"/>
          </w:tcPr>
          <w:p>
            <w:pPr>
              <w:pStyle w:val="93"/>
              <w:spacing w:before="24" w:after="24"/>
              <w:rPr>
                <w:rFonts w:ascii="Times New Roman" w:hAnsi="Times New Roman" w:cs="Times New Roman"/>
                <w:kern w:val="0"/>
              </w:rPr>
            </w:pPr>
            <w:r>
              <w:rPr>
                <w:rFonts w:hint="eastAsia" w:ascii="Times New Roman" w:hAnsi="Times New Roman" w:cs="Times New Roman"/>
                <w:kern w:val="0"/>
              </w:rPr>
              <w:t>0.011</w:t>
            </w:r>
            <w:r>
              <w:rPr>
                <w:rFonts w:ascii="Times New Roman" w:hAnsi="Times New Roman" w:cs="Times New Roman"/>
                <w:kern w:val="0"/>
              </w:rPr>
              <w:t>kg/h</w:t>
            </w:r>
          </w:p>
        </w:tc>
        <w:tc>
          <w:tcPr>
            <w:tcW w:w="934" w:type="pct"/>
            <w:shd w:val="clear" w:color="auto" w:fill="FFFFFF"/>
            <w:vAlign w:val="center"/>
          </w:tcPr>
          <w:p>
            <w:pPr>
              <w:pStyle w:val="93"/>
              <w:spacing w:before="24"/>
              <w:rPr>
                <w:rFonts w:ascii="Times New Roman" w:hAnsi="Times New Roman" w:cs="Times New Roman"/>
                <w:color w:val="000000" w:themeColor="text1"/>
              </w:rPr>
            </w:pPr>
            <w:r>
              <w:rPr>
                <w:rFonts w:ascii="Times New Roman" w:hAnsi="Times New Roman" w:cs="Times New Roman"/>
                <w:kern w:val="0"/>
              </w:rPr>
              <w:t>0.044</w:t>
            </w:r>
            <w:r>
              <w:rPr>
                <w:rFonts w:ascii="Times New Roman" w:hAnsi="Times New Roman" w:cs="Times New Roman"/>
              </w:rPr>
              <w:t>t/a</w:t>
            </w:r>
          </w:p>
        </w:tc>
      </w:tr>
      <w:tr>
        <w:tblPrEx>
          <w:tblBorders>
            <w:top w:val="single" w:color="000000" w:sz="6"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38" w:hRule="atLeast"/>
          <w:jc w:val="center"/>
        </w:trPr>
        <w:tc>
          <w:tcPr>
            <w:tcW w:w="362" w:type="pct"/>
            <w:vMerge w:val="continue"/>
            <w:shd w:val="clear" w:color="auto" w:fill="FFFFFF"/>
            <w:vAlign w:val="center"/>
          </w:tcPr>
          <w:p>
            <w:pPr>
              <w:pStyle w:val="93"/>
              <w:spacing w:before="24" w:after="24"/>
              <w:rPr>
                <w:rFonts w:ascii="Times New Roman" w:hAnsi="Times New Roman" w:cs="Times New Roman"/>
              </w:rPr>
            </w:pPr>
          </w:p>
        </w:tc>
        <w:tc>
          <w:tcPr>
            <w:tcW w:w="1047" w:type="pct"/>
            <w:vMerge w:val="continue"/>
            <w:shd w:val="clear" w:color="auto" w:fill="FFFFFF"/>
            <w:vAlign w:val="center"/>
          </w:tcPr>
          <w:p>
            <w:pPr>
              <w:pStyle w:val="93"/>
              <w:spacing w:before="24" w:after="24"/>
              <w:rPr>
                <w:rFonts w:ascii="Times New Roman" w:hAnsi="Times New Roman" w:cs="Times New Roman"/>
                <w:color w:val="000000" w:themeColor="text1"/>
              </w:rPr>
            </w:pPr>
          </w:p>
        </w:tc>
        <w:tc>
          <w:tcPr>
            <w:tcW w:w="594" w:type="pct"/>
            <w:shd w:val="clear" w:color="auto" w:fill="FFFFFF"/>
            <w:vAlign w:val="center"/>
          </w:tcPr>
          <w:p>
            <w:pPr>
              <w:jc w:val="center"/>
              <w:rPr>
                <w:rFonts w:eastAsia="宋体" w:cs="Times New Roman"/>
                <w:color w:val="000000" w:themeColor="text1"/>
                <w:sz w:val="21"/>
              </w:rPr>
            </w:pPr>
            <w:r>
              <w:rPr>
                <w:rFonts w:hint="eastAsia" w:eastAsia="宋体" w:cs="Times New Roman"/>
                <w:color w:val="000000" w:themeColor="text1"/>
                <w:sz w:val="21"/>
              </w:rPr>
              <w:t>NOx</w:t>
            </w:r>
          </w:p>
        </w:tc>
        <w:tc>
          <w:tcPr>
            <w:tcW w:w="1102" w:type="pct"/>
            <w:shd w:val="clear" w:color="auto" w:fill="FFFFFF"/>
            <w:vAlign w:val="center"/>
          </w:tcPr>
          <w:p>
            <w:pPr>
              <w:adjustRightInd w:val="0"/>
              <w:snapToGrid w:val="0"/>
              <w:ind w:firstLine="210" w:firstLineChars="100"/>
              <w:jc w:val="center"/>
              <w:rPr>
                <w:rFonts w:eastAsia="宋体" w:cs="Times New Roman"/>
                <w:sz w:val="21"/>
              </w:rPr>
            </w:pPr>
            <w:r>
              <w:rPr>
                <w:rFonts w:eastAsia="宋体" w:cs="Times New Roman"/>
                <w:sz w:val="21"/>
              </w:rPr>
              <w:t>84mg/m</w:t>
            </w:r>
            <w:r>
              <w:rPr>
                <w:rFonts w:eastAsia="宋体" w:cs="Times New Roman"/>
                <w:sz w:val="21"/>
                <w:vertAlign w:val="superscript"/>
              </w:rPr>
              <w:t>3</w:t>
            </w:r>
          </w:p>
        </w:tc>
        <w:tc>
          <w:tcPr>
            <w:tcW w:w="961" w:type="pct"/>
            <w:shd w:val="clear" w:color="auto" w:fill="FFFFFF"/>
            <w:vAlign w:val="center"/>
          </w:tcPr>
          <w:p>
            <w:pPr>
              <w:pStyle w:val="93"/>
              <w:spacing w:before="24" w:after="24"/>
              <w:rPr>
                <w:rFonts w:ascii="Times New Roman" w:hAnsi="Times New Roman" w:cs="Times New Roman"/>
                <w:kern w:val="0"/>
              </w:rPr>
            </w:pPr>
            <w:r>
              <w:rPr>
                <w:rFonts w:hint="eastAsia" w:ascii="Times New Roman" w:hAnsi="Times New Roman" w:cs="Times New Roman"/>
                <w:kern w:val="0"/>
              </w:rPr>
              <w:t>0.027</w:t>
            </w:r>
            <w:r>
              <w:rPr>
                <w:rFonts w:ascii="Times New Roman" w:hAnsi="Times New Roman" w:cs="Times New Roman"/>
                <w:kern w:val="0"/>
              </w:rPr>
              <w:t>kg/h</w:t>
            </w:r>
          </w:p>
        </w:tc>
        <w:tc>
          <w:tcPr>
            <w:tcW w:w="934" w:type="pct"/>
            <w:shd w:val="clear" w:color="auto" w:fill="FFFFFF"/>
            <w:vAlign w:val="center"/>
          </w:tcPr>
          <w:p>
            <w:pPr>
              <w:pStyle w:val="93"/>
              <w:spacing w:before="24"/>
              <w:rPr>
                <w:rFonts w:ascii="Times New Roman" w:hAnsi="Times New Roman" w:cs="Times New Roman"/>
                <w:color w:val="000000" w:themeColor="text1"/>
              </w:rPr>
            </w:pPr>
            <w:r>
              <w:rPr>
                <w:rFonts w:ascii="Times New Roman" w:hAnsi="Times New Roman" w:cs="Times New Roman"/>
                <w:kern w:val="0"/>
              </w:rPr>
              <w:t>0.11</w:t>
            </w:r>
            <w:r>
              <w:rPr>
                <w:rFonts w:ascii="Times New Roman" w:hAnsi="Times New Roman" w:cs="Times New Roman"/>
              </w:rPr>
              <w:t>t/a</w:t>
            </w:r>
          </w:p>
        </w:tc>
      </w:tr>
      <w:tr>
        <w:tblPrEx>
          <w:tblBorders>
            <w:top w:val="single" w:color="000000" w:sz="6"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38" w:hRule="atLeast"/>
          <w:jc w:val="center"/>
        </w:trPr>
        <w:tc>
          <w:tcPr>
            <w:tcW w:w="362" w:type="pct"/>
            <w:shd w:val="clear" w:color="auto" w:fill="FFFFFF"/>
            <w:vAlign w:val="center"/>
          </w:tcPr>
          <w:p>
            <w:pPr>
              <w:pStyle w:val="93"/>
              <w:spacing w:before="24" w:after="24"/>
              <w:rPr>
                <w:rFonts w:ascii="Times New Roman" w:hAnsi="Times New Roman" w:cs="Times New Roman"/>
              </w:rPr>
            </w:pPr>
            <w:r>
              <w:rPr>
                <w:rFonts w:hint="eastAsia" w:ascii="Times New Roman" w:hAnsi="Times New Roman" w:cs="Times New Roman"/>
              </w:rPr>
              <w:t>3</w:t>
            </w:r>
          </w:p>
        </w:tc>
        <w:tc>
          <w:tcPr>
            <w:tcW w:w="1047" w:type="pct"/>
            <w:shd w:val="clear" w:color="auto" w:fill="FFFFFF"/>
            <w:vAlign w:val="center"/>
          </w:tcPr>
          <w:p>
            <w:pPr>
              <w:pStyle w:val="93"/>
              <w:spacing w:before="24" w:after="24"/>
              <w:rPr>
                <w:rFonts w:ascii="Times New Roman" w:hAnsi="Times New Roman" w:cs="Times New Roman"/>
                <w:color w:val="000000" w:themeColor="text1"/>
              </w:rPr>
            </w:pPr>
            <w:r>
              <w:rPr>
                <w:rFonts w:hint="eastAsia" w:ascii="Times New Roman" w:hAnsi="Times New Roman" w:cs="Times New Roman"/>
                <w:color w:val="000000" w:themeColor="text1"/>
              </w:rPr>
              <w:t>G2（食堂油烟）</w:t>
            </w:r>
          </w:p>
        </w:tc>
        <w:tc>
          <w:tcPr>
            <w:tcW w:w="594" w:type="pct"/>
            <w:shd w:val="clear" w:color="auto" w:fill="FFFFFF"/>
            <w:vAlign w:val="center"/>
          </w:tcPr>
          <w:p>
            <w:pPr>
              <w:jc w:val="center"/>
              <w:rPr>
                <w:rFonts w:eastAsia="宋体" w:cs="Times New Roman"/>
                <w:color w:val="000000" w:themeColor="text1"/>
                <w:sz w:val="21"/>
              </w:rPr>
            </w:pPr>
            <w:r>
              <w:rPr>
                <w:rFonts w:eastAsia="宋体" w:cs="Times New Roman"/>
                <w:color w:val="000000" w:themeColor="text1"/>
                <w:sz w:val="21"/>
              </w:rPr>
              <w:t>油烟</w:t>
            </w:r>
          </w:p>
        </w:tc>
        <w:tc>
          <w:tcPr>
            <w:tcW w:w="1102" w:type="pct"/>
            <w:shd w:val="clear" w:color="auto" w:fill="FFFFFF"/>
            <w:vAlign w:val="center"/>
          </w:tcPr>
          <w:p>
            <w:pPr>
              <w:adjustRightInd w:val="0"/>
              <w:snapToGrid w:val="0"/>
              <w:ind w:firstLine="210" w:firstLineChars="100"/>
              <w:jc w:val="center"/>
              <w:rPr>
                <w:rFonts w:eastAsia="宋体" w:cs="Times New Roman"/>
                <w:sz w:val="21"/>
              </w:rPr>
            </w:pPr>
            <w:r>
              <w:rPr>
                <w:rFonts w:hint="eastAsia" w:eastAsia="宋体" w:cs="Times New Roman"/>
                <w:sz w:val="21"/>
              </w:rPr>
              <w:t>0.5</w:t>
            </w:r>
            <w:r>
              <w:rPr>
                <w:rFonts w:eastAsia="宋体" w:cs="Times New Roman"/>
                <w:sz w:val="21"/>
              </w:rPr>
              <w:t>mg/m</w:t>
            </w:r>
            <w:r>
              <w:rPr>
                <w:rFonts w:eastAsia="宋体" w:cs="Times New Roman"/>
                <w:sz w:val="21"/>
                <w:vertAlign w:val="superscript"/>
              </w:rPr>
              <w:t>3</w:t>
            </w:r>
          </w:p>
        </w:tc>
        <w:tc>
          <w:tcPr>
            <w:tcW w:w="961" w:type="pct"/>
            <w:shd w:val="clear" w:color="auto" w:fill="FFFFFF"/>
            <w:vAlign w:val="center"/>
          </w:tcPr>
          <w:p>
            <w:pPr>
              <w:pStyle w:val="93"/>
              <w:spacing w:before="24" w:after="24"/>
              <w:rPr>
                <w:rFonts w:ascii="Times New Roman" w:hAnsi="Times New Roman" w:cs="Times New Roman"/>
                <w:kern w:val="0"/>
              </w:rPr>
            </w:pPr>
            <w:r>
              <w:rPr>
                <w:rFonts w:hint="eastAsia" w:ascii="Times New Roman" w:hAnsi="Times New Roman" w:cs="Times New Roman"/>
                <w:kern w:val="0"/>
              </w:rPr>
              <w:t>0.005</w:t>
            </w:r>
            <w:r>
              <w:rPr>
                <w:rFonts w:ascii="Times New Roman" w:hAnsi="Times New Roman" w:cs="Times New Roman"/>
                <w:kern w:val="0"/>
              </w:rPr>
              <w:t>kg/h</w:t>
            </w:r>
          </w:p>
        </w:tc>
        <w:tc>
          <w:tcPr>
            <w:tcW w:w="934" w:type="pct"/>
            <w:shd w:val="clear" w:color="auto" w:fill="FFFFFF"/>
            <w:vAlign w:val="center"/>
          </w:tcPr>
          <w:p>
            <w:pPr>
              <w:pStyle w:val="93"/>
              <w:spacing w:before="24"/>
              <w:rPr>
                <w:rFonts w:ascii="Times New Roman" w:hAnsi="Times New Roman" w:cs="Times New Roman"/>
                <w:color w:val="000000" w:themeColor="text1"/>
              </w:rPr>
            </w:pPr>
            <w:r>
              <w:rPr>
                <w:rFonts w:hint="eastAsia" w:ascii="Times New Roman" w:hAnsi="Times New Roman" w:cs="Times New Roman"/>
              </w:rPr>
              <w:t>0.0073</w:t>
            </w:r>
            <w:r>
              <w:rPr>
                <w:rFonts w:ascii="Times New Roman" w:hAnsi="Times New Roman" w:cs="Times New Roman"/>
              </w:rPr>
              <w:t>t/a</w:t>
            </w:r>
          </w:p>
        </w:tc>
      </w:tr>
      <w:tr>
        <w:tblPrEx>
          <w:tblBorders>
            <w:top w:val="single" w:color="000000" w:sz="6"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38" w:hRule="atLeast"/>
          <w:jc w:val="center"/>
        </w:trPr>
        <w:tc>
          <w:tcPr>
            <w:tcW w:w="1409" w:type="pct"/>
            <w:gridSpan w:val="2"/>
            <w:vMerge w:val="restart"/>
            <w:shd w:val="clear" w:color="auto" w:fill="FFFFFF"/>
            <w:vAlign w:val="center"/>
          </w:tcPr>
          <w:p>
            <w:pPr>
              <w:pStyle w:val="93"/>
              <w:spacing w:before="24" w:after="24"/>
              <w:rPr>
                <w:rFonts w:ascii="Times New Roman" w:hAnsi="Times New Roman" w:cs="Times New Roman"/>
                <w:kern w:val="0"/>
              </w:rPr>
            </w:pPr>
            <w:r>
              <w:rPr>
                <w:rFonts w:ascii="Times New Roman" w:hAnsi="Times New Roman" w:cs="Times New Roman"/>
              </w:rPr>
              <w:t>主要排放口合计</w:t>
            </w:r>
          </w:p>
        </w:tc>
        <w:tc>
          <w:tcPr>
            <w:tcW w:w="2657" w:type="pct"/>
            <w:gridSpan w:val="3"/>
            <w:shd w:val="clear" w:color="auto" w:fill="FFFFFF"/>
            <w:vAlign w:val="center"/>
          </w:tcPr>
          <w:p>
            <w:pPr>
              <w:jc w:val="center"/>
              <w:rPr>
                <w:rFonts w:eastAsia="宋体" w:cs="Times New Roman"/>
                <w:color w:val="000000" w:themeColor="text1"/>
                <w:sz w:val="21"/>
              </w:rPr>
            </w:pPr>
            <w:r>
              <w:rPr>
                <w:rFonts w:hint="eastAsia" w:eastAsia="宋体" w:cs="Times New Roman"/>
                <w:color w:val="000000" w:themeColor="text1"/>
                <w:sz w:val="21"/>
              </w:rPr>
              <w:t>颗粒物</w:t>
            </w:r>
          </w:p>
        </w:tc>
        <w:tc>
          <w:tcPr>
            <w:tcW w:w="934" w:type="pct"/>
            <w:shd w:val="clear" w:color="auto" w:fill="FFFFFF"/>
            <w:vAlign w:val="center"/>
          </w:tcPr>
          <w:p>
            <w:pPr>
              <w:pStyle w:val="93"/>
              <w:spacing w:before="24"/>
              <w:rPr>
                <w:rFonts w:ascii="Times New Roman" w:hAnsi="Times New Roman" w:cs="Times New Roman"/>
                <w:color w:val="000000" w:themeColor="text1"/>
              </w:rPr>
            </w:pPr>
            <w:r>
              <w:rPr>
                <w:rFonts w:hint="eastAsia" w:ascii="Times New Roman" w:hAnsi="Times New Roman" w:cs="Times New Roman"/>
              </w:rPr>
              <w:t>0.016</w:t>
            </w:r>
            <w:r>
              <w:rPr>
                <w:rFonts w:ascii="Times New Roman" w:hAnsi="Times New Roman" w:cs="Times New Roman"/>
              </w:rPr>
              <w:t>t/a</w:t>
            </w:r>
          </w:p>
        </w:tc>
      </w:tr>
      <w:tr>
        <w:tblPrEx>
          <w:tblBorders>
            <w:top w:val="single" w:color="000000" w:sz="6"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38" w:hRule="atLeast"/>
          <w:jc w:val="center"/>
        </w:trPr>
        <w:tc>
          <w:tcPr>
            <w:tcW w:w="1409" w:type="pct"/>
            <w:gridSpan w:val="2"/>
            <w:vMerge w:val="continue"/>
            <w:shd w:val="clear" w:color="auto" w:fill="FFFFFF"/>
            <w:vAlign w:val="center"/>
          </w:tcPr>
          <w:p>
            <w:pPr>
              <w:pStyle w:val="93"/>
              <w:spacing w:before="24" w:after="24"/>
              <w:rPr>
                <w:rFonts w:ascii="Times New Roman" w:hAnsi="Times New Roman" w:cs="Times New Roman"/>
              </w:rPr>
            </w:pPr>
          </w:p>
        </w:tc>
        <w:tc>
          <w:tcPr>
            <w:tcW w:w="2657" w:type="pct"/>
            <w:gridSpan w:val="3"/>
            <w:shd w:val="clear" w:color="auto" w:fill="FFFFFF"/>
            <w:vAlign w:val="center"/>
          </w:tcPr>
          <w:p>
            <w:pPr>
              <w:jc w:val="center"/>
              <w:rPr>
                <w:rFonts w:eastAsia="宋体" w:cs="Times New Roman"/>
                <w:color w:val="000000" w:themeColor="text1"/>
                <w:sz w:val="21"/>
              </w:rPr>
            </w:pPr>
            <w:r>
              <w:rPr>
                <w:rFonts w:hint="eastAsia" w:eastAsia="宋体" w:cs="Times New Roman"/>
                <w:color w:val="000000" w:themeColor="text1"/>
                <w:sz w:val="21"/>
              </w:rPr>
              <w:t>SO</w:t>
            </w:r>
            <w:r>
              <w:rPr>
                <w:rFonts w:hint="eastAsia" w:eastAsia="宋体" w:cs="Times New Roman"/>
                <w:color w:val="000000" w:themeColor="text1"/>
                <w:sz w:val="21"/>
                <w:vertAlign w:val="subscript"/>
              </w:rPr>
              <w:t>2</w:t>
            </w:r>
          </w:p>
        </w:tc>
        <w:tc>
          <w:tcPr>
            <w:tcW w:w="934" w:type="pct"/>
            <w:shd w:val="clear" w:color="auto" w:fill="FFFFFF"/>
            <w:vAlign w:val="center"/>
          </w:tcPr>
          <w:p>
            <w:pPr>
              <w:pStyle w:val="93"/>
              <w:spacing w:before="24"/>
              <w:rPr>
                <w:rFonts w:ascii="Times New Roman" w:hAnsi="Times New Roman" w:cs="Times New Roman"/>
                <w:color w:val="000000" w:themeColor="text1"/>
              </w:rPr>
            </w:pPr>
            <w:r>
              <w:rPr>
                <w:rFonts w:hint="eastAsia" w:ascii="Times New Roman" w:hAnsi="Times New Roman" w:cs="Times New Roman"/>
              </w:rPr>
              <w:t>0.088</w:t>
            </w:r>
            <w:r>
              <w:rPr>
                <w:rFonts w:ascii="Times New Roman" w:hAnsi="Times New Roman" w:cs="Times New Roman"/>
              </w:rPr>
              <w:t>t/a</w:t>
            </w:r>
          </w:p>
        </w:tc>
      </w:tr>
      <w:tr>
        <w:tblPrEx>
          <w:tblBorders>
            <w:top w:val="single" w:color="000000" w:sz="6"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38" w:hRule="atLeast"/>
          <w:jc w:val="center"/>
        </w:trPr>
        <w:tc>
          <w:tcPr>
            <w:tcW w:w="1409" w:type="pct"/>
            <w:gridSpan w:val="2"/>
            <w:vMerge w:val="continue"/>
            <w:shd w:val="clear" w:color="auto" w:fill="FFFFFF"/>
            <w:vAlign w:val="center"/>
          </w:tcPr>
          <w:p>
            <w:pPr>
              <w:pStyle w:val="93"/>
              <w:spacing w:before="24" w:after="24"/>
              <w:rPr>
                <w:rFonts w:ascii="Times New Roman" w:hAnsi="Times New Roman" w:cs="Times New Roman"/>
              </w:rPr>
            </w:pPr>
          </w:p>
        </w:tc>
        <w:tc>
          <w:tcPr>
            <w:tcW w:w="2657" w:type="pct"/>
            <w:gridSpan w:val="3"/>
            <w:shd w:val="clear" w:color="auto" w:fill="FFFFFF"/>
            <w:vAlign w:val="center"/>
          </w:tcPr>
          <w:p>
            <w:pPr>
              <w:jc w:val="center"/>
              <w:rPr>
                <w:rFonts w:eastAsia="宋体" w:cs="Times New Roman"/>
                <w:color w:val="000000" w:themeColor="text1"/>
                <w:sz w:val="21"/>
              </w:rPr>
            </w:pPr>
            <w:r>
              <w:rPr>
                <w:rFonts w:hint="eastAsia" w:eastAsia="宋体" w:cs="Times New Roman"/>
                <w:color w:val="000000" w:themeColor="text1"/>
                <w:sz w:val="21"/>
              </w:rPr>
              <w:t>NOx</w:t>
            </w:r>
          </w:p>
        </w:tc>
        <w:tc>
          <w:tcPr>
            <w:tcW w:w="934" w:type="pct"/>
            <w:shd w:val="clear" w:color="auto" w:fill="FFFFFF"/>
            <w:vAlign w:val="center"/>
          </w:tcPr>
          <w:p>
            <w:pPr>
              <w:pStyle w:val="93"/>
              <w:spacing w:before="24"/>
              <w:rPr>
                <w:rFonts w:ascii="Times New Roman" w:hAnsi="Times New Roman" w:cs="Times New Roman"/>
                <w:color w:val="000000" w:themeColor="text1"/>
              </w:rPr>
            </w:pPr>
            <w:r>
              <w:rPr>
                <w:rFonts w:hint="eastAsia" w:ascii="Times New Roman" w:hAnsi="Times New Roman" w:cs="Times New Roman"/>
              </w:rPr>
              <w:t>0.22</w:t>
            </w:r>
            <w:r>
              <w:rPr>
                <w:rFonts w:ascii="Times New Roman" w:hAnsi="Times New Roman" w:cs="Times New Roman"/>
              </w:rPr>
              <w:t>t/a</w:t>
            </w:r>
          </w:p>
        </w:tc>
      </w:tr>
      <w:tr>
        <w:tblPrEx>
          <w:tblBorders>
            <w:top w:val="single" w:color="000000" w:sz="6"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38" w:hRule="atLeast"/>
          <w:jc w:val="center"/>
        </w:trPr>
        <w:tc>
          <w:tcPr>
            <w:tcW w:w="1409" w:type="pct"/>
            <w:gridSpan w:val="2"/>
            <w:vMerge w:val="continue"/>
            <w:shd w:val="clear" w:color="auto" w:fill="FFFFFF"/>
            <w:vAlign w:val="center"/>
          </w:tcPr>
          <w:p>
            <w:pPr>
              <w:pStyle w:val="93"/>
              <w:spacing w:before="24" w:after="24"/>
              <w:rPr>
                <w:rFonts w:ascii="Times New Roman" w:hAnsi="Times New Roman" w:cs="Times New Roman"/>
              </w:rPr>
            </w:pPr>
          </w:p>
        </w:tc>
        <w:tc>
          <w:tcPr>
            <w:tcW w:w="2657" w:type="pct"/>
            <w:gridSpan w:val="3"/>
            <w:shd w:val="clear" w:color="auto" w:fill="FFFFFF"/>
            <w:vAlign w:val="center"/>
          </w:tcPr>
          <w:p>
            <w:pPr>
              <w:jc w:val="center"/>
              <w:rPr>
                <w:rFonts w:eastAsia="宋体" w:cs="Times New Roman"/>
                <w:color w:val="000000" w:themeColor="text1"/>
                <w:sz w:val="21"/>
              </w:rPr>
            </w:pPr>
            <w:r>
              <w:rPr>
                <w:rFonts w:eastAsia="宋体" w:cs="Times New Roman"/>
                <w:color w:val="000000" w:themeColor="text1"/>
                <w:sz w:val="21"/>
              </w:rPr>
              <w:t>油烟</w:t>
            </w:r>
          </w:p>
        </w:tc>
        <w:tc>
          <w:tcPr>
            <w:tcW w:w="934" w:type="pct"/>
            <w:shd w:val="clear" w:color="auto" w:fill="FFFFFF"/>
            <w:vAlign w:val="center"/>
          </w:tcPr>
          <w:p>
            <w:pPr>
              <w:pStyle w:val="93"/>
              <w:spacing w:before="24"/>
              <w:rPr>
                <w:rFonts w:ascii="Times New Roman" w:hAnsi="Times New Roman" w:cs="Times New Roman"/>
                <w:color w:val="000000" w:themeColor="text1"/>
              </w:rPr>
            </w:pPr>
            <w:r>
              <w:rPr>
                <w:rFonts w:hint="eastAsia" w:ascii="Times New Roman" w:hAnsi="Times New Roman" w:cs="Times New Roman"/>
              </w:rPr>
              <w:t>0.0073</w:t>
            </w:r>
            <w:r>
              <w:rPr>
                <w:rFonts w:ascii="Times New Roman" w:hAnsi="Times New Roman" w:cs="Times New Roman"/>
              </w:rPr>
              <w:t>t/a</w:t>
            </w:r>
          </w:p>
        </w:tc>
      </w:tr>
      <w:tr>
        <w:tblPrEx>
          <w:tblBorders>
            <w:top w:val="single" w:color="000000" w:sz="6"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38" w:hRule="atLeast"/>
          <w:jc w:val="center"/>
        </w:trPr>
        <w:tc>
          <w:tcPr>
            <w:tcW w:w="5000" w:type="pct"/>
            <w:gridSpan w:val="6"/>
            <w:shd w:val="clear" w:color="auto" w:fill="FFFFFF"/>
            <w:vAlign w:val="center"/>
          </w:tcPr>
          <w:p>
            <w:pPr>
              <w:pStyle w:val="93"/>
              <w:spacing w:before="24"/>
              <w:rPr>
                <w:rFonts w:ascii="Times New Roman" w:hAnsi="Times New Roman" w:cs="Times New Roman"/>
                <w:color w:val="000000" w:themeColor="text1"/>
              </w:rPr>
            </w:pPr>
            <w:r>
              <w:rPr>
                <w:rFonts w:ascii="Times New Roman" w:hAnsi="Times New Roman" w:cs="Times New Roman"/>
                <w:color w:val="000000" w:themeColor="text1"/>
              </w:rPr>
              <w:t>备注</w:t>
            </w:r>
            <w:r>
              <w:rPr>
                <w:rFonts w:hint="eastAsia" w:ascii="Times New Roman" w:hAnsi="Times New Roman" w:cs="Times New Roman"/>
                <w:color w:val="000000" w:themeColor="text1"/>
              </w:rPr>
              <w:t>：天然气热水锅炉共4台，分别位于精神科大楼旁一备一用、老年呵护大楼一备一用，则本项目锅炉废气总排放量按照2台的来计算</w:t>
            </w:r>
          </w:p>
        </w:tc>
      </w:tr>
    </w:tbl>
    <w:p>
      <w:pPr>
        <w:jc w:val="center"/>
        <w:rPr>
          <w:rFonts w:hAnsi="宋体" w:cs="Times New Roman"/>
          <w:b/>
          <w:bCs/>
          <w:color w:val="000000" w:themeColor="text1"/>
          <w:szCs w:val="24"/>
        </w:rPr>
      </w:pPr>
      <w:r>
        <w:rPr>
          <w:rFonts w:hAnsi="宋体" w:cs="Times New Roman"/>
          <w:b/>
          <w:bCs/>
          <w:color w:val="000000" w:themeColor="text1"/>
          <w:szCs w:val="24"/>
        </w:rPr>
        <w:t>表</w:t>
      </w:r>
      <w:r>
        <w:rPr>
          <w:rFonts w:hAnsi="宋体" w:cs="Times New Roman"/>
          <w:b/>
          <w:bCs/>
          <w:color w:val="000000" w:themeColor="text1"/>
          <w:szCs w:val="24"/>
        </w:rPr>
        <w:fldChar w:fldCharType="begin"/>
      </w:r>
      <w:r>
        <w:rPr>
          <w:rFonts w:hAnsi="宋体" w:cs="Times New Roman"/>
          <w:b/>
          <w:bCs/>
          <w:color w:val="000000" w:themeColor="text1"/>
          <w:szCs w:val="24"/>
        </w:rPr>
        <w:instrText xml:space="preserve"> STYLEREF 2 \s </w:instrText>
      </w:r>
      <w:r>
        <w:rPr>
          <w:rFonts w:hAnsi="宋体" w:cs="Times New Roman"/>
          <w:b/>
          <w:bCs/>
          <w:color w:val="000000" w:themeColor="text1"/>
          <w:szCs w:val="24"/>
        </w:rPr>
        <w:fldChar w:fldCharType="separate"/>
      </w:r>
      <w:r>
        <w:rPr>
          <w:rFonts w:hAnsi="宋体" w:cs="Times New Roman"/>
          <w:b/>
          <w:bCs/>
          <w:color w:val="000000" w:themeColor="text1"/>
          <w:szCs w:val="24"/>
        </w:rPr>
        <w:t>5.2</w:t>
      </w:r>
      <w:r>
        <w:rPr>
          <w:rFonts w:hAnsi="宋体" w:cs="Times New Roman"/>
          <w:b/>
          <w:bCs/>
          <w:color w:val="000000" w:themeColor="text1"/>
          <w:szCs w:val="24"/>
        </w:rPr>
        <w:fldChar w:fldCharType="end"/>
      </w:r>
      <w:r>
        <w:rPr>
          <w:rFonts w:hAnsi="宋体" w:cs="Times New Roman"/>
          <w:b/>
          <w:bCs/>
          <w:color w:val="000000" w:themeColor="text1"/>
          <w:szCs w:val="24"/>
        </w:rPr>
        <w:noBreakHyphen/>
      </w:r>
      <w:r>
        <w:rPr>
          <w:rFonts w:hAnsi="宋体" w:cs="Times New Roman"/>
          <w:b/>
          <w:bCs/>
          <w:color w:val="000000" w:themeColor="text1"/>
          <w:szCs w:val="24"/>
        </w:rPr>
        <w:fldChar w:fldCharType="begin"/>
      </w:r>
      <w:r>
        <w:rPr>
          <w:rFonts w:hAnsi="宋体" w:cs="Times New Roman"/>
          <w:b/>
          <w:bCs/>
          <w:color w:val="000000" w:themeColor="text1"/>
          <w:szCs w:val="24"/>
        </w:rPr>
        <w:instrText xml:space="preserve"> SEQ 表 \* ARABIC \s 2 </w:instrText>
      </w:r>
      <w:r>
        <w:rPr>
          <w:rFonts w:hAnsi="宋体" w:cs="Times New Roman"/>
          <w:b/>
          <w:bCs/>
          <w:color w:val="000000" w:themeColor="text1"/>
          <w:szCs w:val="24"/>
        </w:rPr>
        <w:fldChar w:fldCharType="separate"/>
      </w:r>
      <w:r>
        <w:rPr>
          <w:rFonts w:hAnsi="宋体" w:cs="Times New Roman"/>
          <w:b/>
          <w:bCs/>
          <w:color w:val="000000" w:themeColor="text1"/>
          <w:szCs w:val="24"/>
        </w:rPr>
        <w:t>19</w:t>
      </w:r>
      <w:r>
        <w:rPr>
          <w:rFonts w:hAnsi="宋体" w:cs="Times New Roman"/>
          <w:b/>
          <w:bCs/>
          <w:color w:val="000000" w:themeColor="text1"/>
          <w:szCs w:val="24"/>
        </w:rPr>
        <w:fldChar w:fldCharType="end"/>
      </w:r>
      <w:r>
        <w:rPr>
          <w:rFonts w:hAnsi="宋体" w:cs="Times New Roman"/>
          <w:b/>
          <w:bCs/>
          <w:color w:val="000000" w:themeColor="text1"/>
          <w:szCs w:val="24"/>
        </w:rPr>
        <w:t>大气污染物</w:t>
      </w:r>
      <w:r>
        <w:rPr>
          <w:rFonts w:hint="eastAsia" w:hAnsi="宋体" w:cs="Times New Roman"/>
          <w:b/>
          <w:bCs/>
          <w:color w:val="000000" w:themeColor="text1"/>
          <w:szCs w:val="24"/>
        </w:rPr>
        <w:t>无</w:t>
      </w:r>
      <w:r>
        <w:rPr>
          <w:rFonts w:hAnsi="宋体" w:cs="Times New Roman"/>
          <w:b/>
          <w:bCs/>
          <w:color w:val="000000" w:themeColor="text1"/>
          <w:szCs w:val="24"/>
        </w:rPr>
        <w:t>组织排放量核算表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8"/>
        <w:gridCol w:w="907"/>
        <w:gridCol w:w="919"/>
        <w:gridCol w:w="2422"/>
        <w:gridCol w:w="2484"/>
        <w:gridCol w:w="1210"/>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jc w:val="center"/>
        </w:trPr>
        <w:tc>
          <w:tcPr>
            <w:tcW w:w="279" w:type="pct"/>
            <w:vMerge w:val="restart"/>
            <w:vAlign w:val="center"/>
          </w:tcPr>
          <w:p>
            <w:pPr>
              <w:pStyle w:val="93"/>
              <w:spacing w:before="24" w:after="24"/>
              <w:rPr>
                <w:rFonts w:ascii="Times New Roman" w:hAnsi="Times New Roman" w:cs="Times New Roman"/>
                <w:kern w:val="0"/>
              </w:rPr>
            </w:pPr>
            <w:r>
              <w:rPr>
                <w:rFonts w:ascii="Times New Roman" w:hAnsi="Times New Roman" w:cs="Times New Roman"/>
              </w:rPr>
              <w:t>序号</w:t>
            </w:r>
          </w:p>
        </w:tc>
        <w:tc>
          <w:tcPr>
            <w:tcW w:w="470" w:type="pct"/>
            <w:vMerge w:val="restart"/>
            <w:vAlign w:val="center"/>
          </w:tcPr>
          <w:p>
            <w:pPr>
              <w:pStyle w:val="93"/>
              <w:spacing w:before="24" w:after="24"/>
              <w:rPr>
                <w:rFonts w:ascii="Times New Roman" w:hAnsi="Times New Roman" w:cs="Times New Roman"/>
                <w:kern w:val="0"/>
              </w:rPr>
            </w:pPr>
            <w:r>
              <w:rPr>
                <w:rFonts w:ascii="Times New Roman" w:hAnsi="Times New Roman" w:cs="Times New Roman"/>
              </w:rPr>
              <w:t>产污环节</w:t>
            </w:r>
          </w:p>
        </w:tc>
        <w:tc>
          <w:tcPr>
            <w:tcW w:w="476" w:type="pct"/>
            <w:vMerge w:val="restart"/>
            <w:vAlign w:val="center"/>
          </w:tcPr>
          <w:p>
            <w:pPr>
              <w:pStyle w:val="93"/>
              <w:spacing w:before="24" w:after="24"/>
              <w:rPr>
                <w:rFonts w:ascii="Times New Roman" w:hAnsi="Times New Roman" w:cs="Times New Roman"/>
                <w:kern w:val="0"/>
              </w:rPr>
            </w:pPr>
            <w:r>
              <w:rPr>
                <w:rFonts w:ascii="Times New Roman" w:hAnsi="Times New Roman" w:cs="Times New Roman"/>
              </w:rPr>
              <w:t>污染物</w:t>
            </w:r>
          </w:p>
        </w:tc>
        <w:tc>
          <w:tcPr>
            <w:tcW w:w="1255" w:type="pct"/>
            <w:vMerge w:val="restart"/>
            <w:vAlign w:val="center"/>
          </w:tcPr>
          <w:p>
            <w:pPr>
              <w:pStyle w:val="93"/>
              <w:spacing w:before="24" w:after="24"/>
              <w:rPr>
                <w:rFonts w:ascii="Times New Roman" w:hAnsi="Times New Roman" w:cs="Times New Roman"/>
                <w:kern w:val="0"/>
              </w:rPr>
            </w:pPr>
            <w:r>
              <w:rPr>
                <w:rFonts w:ascii="Times New Roman" w:hAnsi="Times New Roman" w:cs="Times New Roman"/>
              </w:rPr>
              <w:t>主要污染防治措施</w:t>
            </w:r>
          </w:p>
        </w:tc>
        <w:tc>
          <w:tcPr>
            <w:tcW w:w="1914" w:type="pct"/>
            <w:gridSpan w:val="2"/>
            <w:vAlign w:val="center"/>
          </w:tcPr>
          <w:p>
            <w:pPr>
              <w:pStyle w:val="93"/>
              <w:spacing w:before="24" w:after="24"/>
              <w:rPr>
                <w:rFonts w:ascii="Times New Roman" w:hAnsi="Times New Roman" w:cs="Times New Roman"/>
                <w:kern w:val="0"/>
              </w:rPr>
            </w:pPr>
            <w:r>
              <w:rPr>
                <w:rFonts w:ascii="Times New Roman" w:hAnsi="Times New Roman" w:cs="Times New Roman"/>
              </w:rPr>
              <w:t>国家或地方污染物排放标准</w:t>
            </w:r>
          </w:p>
        </w:tc>
        <w:tc>
          <w:tcPr>
            <w:tcW w:w="606" w:type="pct"/>
            <w:vMerge w:val="restart"/>
            <w:vAlign w:val="center"/>
          </w:tcPr>
          <w:p>
            <w:pPr>
              <w:pStyle w:val="93"/>
              <w:spacing w:before="24" w:after="24"/>
              <w:rPr>
                <w:rFonts w:ascii="Times New Roman" w:hAnsi="Times New Roman" w:cs="Times New Roman"/>
                <w:kern w:val="0"/>
              </w:rPr>
            </w:pPr>
            <w:r>
              <w:rPr>
                <w:rFonts w:ascii="Times New Roman" w:hAnsi="Times New Roman" w:cs="Times New Roman"/>
              </w:rPr>
              <w:t>年排放量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1" w:hRule="atLeast"/>
          <w:jc w:val="center"/>
        </w:trPr>
        <w:tc>
          <w:tcPr>
            <w:tcW w:w="279" w:type="pct"/>
            <w:vMerge w:val="continue"/>
            <w:vAlign w:val="center"/>
          </w:tcPr>
          <w:p>
            <w:pPr>
              <w:widowControl/>
              <w:jc w:val="left"/>
              <w:rPr>
                <w:rFonts w:eastAsia="宋体"/>
                <w:color w:val="000000"/>
                <w:kern w:val="0"/>
                <w:sz w:val="21"/>
              </w:rPr>
            </w:pPr>
          </w:p>
        </w:tc>
        <w:tc>
          <w:tcPr>
            <w:tcW w:w="470" w:type="pct"/>
            <w:vMerge w:val="continue"/>
            <w:vAlign w:val="center"/>
          </w:tcPr>
          <w:p>
            <w:pPr>
              <w:widowControl/>
              <w:jc w:val="left"/>
              <w:rPr>
                <w:rFonts w:eastAsia="宋体"/>
                <w:color w:val="000000"/>
                <w:kern w:val="0"/>
                <w:sz w:val="21"/>
              </w:rPr>
            </w:pPr>
          </w:p>
        </w:tc>
        <w:tc>
          <w:tcPr>
            <w:tcW w:w="476" w:type="pct"/>
            <w:vMerge w:val="continue"/>
            <w:vAlign w:val="center"/>
          </w:tcPr>
          <w:p>
            <w:pPr>
              <w:widowControl/>
              <w:jc w:val="left"/>
              <w:rPr>
                <w:rFonts w:eastAsia="宋体"/>
                <w:color w:val="000000"/>
                <w:kern w:val="0"/>
                <w:sz w:val="21"/>
              </w:rPr>
            </w:pPr>
          </w:p>
        </w:tc>
        <w:tc>
          <w:tcPr>
            <w:tcW w:w="1255" w:type="pct"/>
            <w:vMerge w:val="continue"/>
            <w:vAlign w:val="center"/>
          </w:tcPr>
          <w:p>
            <w:pPr>
              <w:widowControl/>
              <w:jc w:val="left"/>
              <w:rPr>
                <w:rFonts w:eastAsia="宋体"/>
                <w:color w:val="000000"/>
                <w:kern w:val="0"/>
                <w:sz w:val="21"/>
              </w:rPr>
            </w:pPr>
          </w:p>
        </w:tc>
        <w:tc>
          <w:tcPr>
            <w:tcW w:w="1287" w:type="pct"/>
            <w:vAlign w:val="center"/>
          </w:tcPr>
          <w:p>
            <w:pPr>
              <w:pStyle w:val="93"/>
              <w:spacing w:before="24" w:after="24"/>
              <w:rPr>
                <w:rFonts w:ascii="Times New Roman" w:hAnsi="Times New Roman" w:cs="Times New Roman"/>
                <w:kern w:val="0"/>
              </w:rPr>
            </w:pPr>
            <w:r>
              <w:rPr>
                <w:rFonts w:ascii="Times New Roman" w:hAnsi="Times New Roman" w:cs="Times New Roman"/>
              </w:rPr>
              <w:t>标准名称</w:t>
            </w:r>
          </w:p>
        </w:tc>
        <w:tc>
          <w:tcPr>
            <w:tcW w:w="627" w:type="pct"/>
            <w:vAlign w:val="center"/>
          </w:tcPr>
          <w:p>
            <w:pPr>
              <w:pStyle w:val="93"/>
              <w:spacing w:before="24" w:after="24"/>
              <w:rPr>
                <w:rFonts w:ascii="Times New Roman" w:hAnsi="Times New Roman" w:cs="Times New Roman"/>
                <w:kern w:val="0"/>
              </w:rPr>
            </w:pPr>
            <w:r>
              <w:rPr>
                <w:rFonts w:ascii="Times New Roman" w:hAnsi="Times New Roman" w:cs="Times New Roman"/>
              </w:rPr>
              <w:t>浓度限值</w:t>
            </w:r>
          </w:p>
        </w:tc>
        <w:tc>
          <w:tcPr>
            <w:tcW w:w="606" w:type="pct"/>
            <w:vMerge w:val="continue"/>
            <w:vAlign w:val="center"/>
          </w:tcPr>
          <w:p>
            <w:pPr>
              <w:widowControl/>
              <w:jc w:val="left"/>
              <w:rPr>
                <w:rFonts w:eastAsia="宋体"/>
                <w:color w:val="000000"/>
                <w:kern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4" w:hRule="atLeast"/>
          <w:jc w:val="center"/>
        </w:trPr>
        <w:tc>
          <w:tcPr>
            <w:tcW w:w="279" w:type="pct"/>
            <w:vMerge w:val="restart"/>
            <w:vAlign w:val="center"/>
          </w:tcPr>
          <w:p>
            <w:pPr>
              <w:pStyle w:val="93"/>
              <w:spacing w:before="24" w:after="24"/>
              <w:rPr>
                <w:rFonts w:ascii="Times New Roman" w:hAnsi="Times New Roman" w:cs="Times New Roman"/>
                <w:kern w:val="0"/>
              </w:rPr>
            </w:pPr>
            <w:r>
              <w:rPr>
                <w:rFonts w:ascii="Times New Roman" w:hAnsi="Times New Roman" w:cs="Times New Roman"/>
              </w:rPr>
              <w:t>1</w:t>
            </w:r>
          </w:p>
        </w:tc>
        <w:tc>
          <w:tcPr>
            <w:tcW w:w="470" w:type="pct"/>
            <w:vMerge w:val="restart"/>
            <w:vAlign w:val="center"/>
          </w:tcPr>
          <w:p>
            <w:pPr>
              <w:pStyle w:val="93"/>
              <w:spacing w:before="24" w:after="24"/>
              <w:rPr>
                <w:rFonts w:ascii="Times New Roman" w:hAnsi="Times New Roman" w:cs="Times New Roman"/>
                <w:kern w:val="0"/>
              </w:rPr>
            </w:pPr>
            <w:r>
              <w:rPr>
                <w:rFonts w:hint="eastAsia" w:ascii="Times New Roman" w:hAnsi="Times New Roman" w:cs="Times New Roman"/>
                <w:kern w:val="0"/>
              </w:rPr>
              <w:t>污水处理站恶臭</w:t>
            </w:r>
          </w:p>
        </w:tc>
        <w:tc>
          <w:tcPr>
            <w:tcW w:w="476" w:type="pct"/>
            <w:vAlign w:val="center"/>
          </w:tcPr>
          <w:p>
            <w:pPr>
              <w:jc w:val="center"/>
              <w:rPr>
                <w:rFonts w:eastAsia="宋体" w:cs="Times New Roman"/>
                <w:sz w:val="21"/>
              </w:rPr>
            </w:pPr>
            <w:r>
              <w:rPr>
                <w:sz w:val="21"/>
              </w:rPr>
              <w:t>NH</w:t>
            </w:r>
            <w:r>
              <w:rPr>
                <w:sz w:val="21"/>
                <w:vertAlign w:val="subscript"/>
              </w:rPr>
              <w:t>3</w:t>
            </w:r>
          </w:p>
        </w:tc>
        <w:tc>
          <w:tcPr>
            <w:tcW w:w="1255" w:type="pct"/>
            <w:vMerge w:val="restart"/>
            <w:vAlign w:val="center"/>
          </w:tcPr>
          <w:p>
            <w:pPr>
              <w:pStyle w:val="93"/>
              <w:spacing w:before="24" w:after="24"/>
              <w:rPr>
                <w:rFonts w:ascii="Times New Roman" w:hAnsi="Times New Roman" w:cs="Times New Roman"/>
                <w:kern w:val="0"/>
              </w:rPr>
            </w:pPr>
            <w:r>
              <w:rPr>
                <w:rFonts w:ascii="Times New Roman" w:cs="Times New Roman"/>
              </w:rPr>
              <w:t>建设单位将自建的污水处理站设于室内，并定期喷洒化学除臭剂以消毒除臭气，该法处理效率约为</w:t>
            </w:r>
            <w:r>
              <w:rPr>
                <w:rFonts w:ascii="Times New Roman" w:hAnsi="Times New Roman" w:cs="Times New Roman"/>
              </w:rPr>
              <w:t>80%</w:t>
            </w:r>
          </w:p>
        </w:tc>
        <w:tc>
          <w:tcPr>
            <w:tcW w:w="1287" w:type="pct"/>
            <w:vMerge w:val="restart"/>
            <w:vAlign w:val="center"/>
          </w:tcPr>
          <w:p>
            <w:pPr>
              <w:pStyle w:val="93"/>
              <w:spacing w:before="24" w:after="24"/>
              <w:rPr>
                <w:rFonts w:ascii="Times New Roman" w:hAnsi="Times New Roman" w:cs="Times New Roman"/>
                <w:kern w:val="0"/>
              </w:rPr>
            </w:pPr>
            <w:r>
              <w:rPr>
                <w:rFonts w:hint="eastAsia" w:cs="Times New Roman"/>
                <w:kern w:val="0"/>
              </w:rPr>
              <w:t>《医疗机构水污染物排放标准》（GB18466-2005）表3污水处理站周边大气污染物最该允许浓度标准限值要求</w:t>
            </w:r>
          </w:p>
        </w:tc>
        <w:tc>
          <w:tcPr>
            <w:tcW w:w="627" w:type="pct"/>
            <w:vAlign w:val="center"/>
          </w:tcPr>
          <w:p>
            <w:pPr>
              <w:pStyle w:val="93"/>
              <w:spacing w:before="24" w:after="24"/>
              <w:rPr>
                <w:rFonts w:ascii="Times New Roman" w:hAnsi="Times New Roman" w:cs="Times New Roman"/>
                <w:kern w:val="0"/>
              </w:rPr>
            </w:pPr>
            <w:r>
              <w:rPr>
                <w:rFonts w:hint="eastAsia" w:ascii="Times New Roman" w:hAnsi="Times New Roman" w:cs="Times New Roman"/>
                <w:kern w:val="0"/>
              </w:rPr>
              <w:t>1</w:t>
            </w:r>
            <w:r>
              <w:rPr>
                <w:rFonts w:ascii="Times New Roman" w:hAnsi="Times New Roman" w:cs="Times New Roman"/>
                <w:kern w:val="0"/>
              </w:rPr>
              <w:t>mg/m</w:t>
            </w:r>
            <w:r>
              <w:rPr>
                <w:rFonts w:ascii="Times New Roman" w:hAnsi="Times New Roman" w:cs="Times New Roman"/>
                <w:kern w:val="0"/>
                <w:vertAlign w:val="superscript"/>
              </w:rPr>
              <w:t>3</w:t>
            </w:r>
          </w:p>
        </w:tc>
        <w:tc>
          <w:tcPr>
            <w:tcW w:w="606" w:type="pct"/>
            <w:vAlign w:val="center"/>
          </w:tcPr>
          <w:p>
            <w:pPr>
              <w:pStyle w:val="93"/>
              <w:spacing w:before="24" w:after="24"/>
              <w:rPr>
                <w:rFonts w:ascii="Times New Roman" w:hAnsi="Times New Roman" w:cs="Times New Roman"/>
                <w:kern w:val="0"/>
              </w:rPr>
            </w:pPr>
            <w:r>
              <w:rPr>
                <w:rFonts w:ascii="Times New Roman" w:hAnsi="Times New Roman" w:cs="Times New Roman" w:eastAsiaTheme="minorEastAsia"/>
              </w:rPr>
              <w:t>0.00034t</w:t>
            </w:r>
            <w:r>
              <w:rPr>
                <w:rFonts w:hint="eastAsia" w:ascii="Times New Roman" w:hAnsi="Times New Roman" w:cs="Times New Roman" w:eastAsiaTheme="minorEastAsia"/>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98" w:hRule="atLeast"/>
          <w:jc w:val="center"/>
        </w:trPr>
        <w:tc>
          <w:tcPr>
            <w:tcW w:w="279" w:type="pct"/>
            <w:vMerge w:val="continue"/>
            <w:vAlign w:val="center"/>
          </w:tcPr>
          <w:p>
            <w:pPr>
              <w:pStyle w:val="93"/>
              <w:spacing w:before="24" w:after="24"/>
              <w:rPr>
                <w:rFonts w:ascii="Times New Roman" w:hAnsi="Times New Roman" w:cs="Times New Roman"/>
              </w:rPr>
            </w:pPr>
          </w:p>
        </w:tc>
        <w:tc>
          <w:tcPr>
            <w:tcW w:w="470" w:type="pct"/>
            <w:vMerge w:val="continue"/>
            <w:vAlign w:val="center"/>
          </w:tcPr>
          <w:p>
            <w:pPr>
              <w:pStyle w:val="93"/>
              <w:spacing w:before="24" w:after="24"/>
              <w:rPr>
                <w:rFonts w:ascii="Times New Roman" w:hAnsi="Times New Roman" w:cs="Times New Roman"/>
              </w:rPr>
            </w:pPr>
          </w:p>
        </w:tc>
        <w:tc>
          <w:tcPr>
            <w:tcW w:w="476" w:type="pct"/>
            <w:vAlign w:val="center"/>
          </w:tcPr>
          <w:p>
            <w:pPr>
              <w:pStyle w:val="14"/>
              <w:adjustRightInd w:val="0"/>
              <w:snapToGrid w:val="0"/>
              <w:spacing w:line="240" w:lineRule="auto"/>
              <w:rPr>
                <w:rFonts w:cs="Times New Roman"/>
                <w:b w:val="0"/>
                <w:sz w:val="21"/>
                <w:szCs w:val="21"/>
              </w:rPr>
            </w:pPr>
            <w:r>
              <w:rPr>
                <w:b w:val="0"/>
                <w:sz w:val="21"/>
                <w:szCs w:val="21"/>
              </w:rPr>
              <w:t>H</w:t>
            </w:r>
            <w:r>
              <w:rPr>
                <w:b w:val="0"/>
                <w:sz w:val="21"/>
                <w:szCs w:val="21"/>
                <w:vertAlign w:val="subscript"/>
              </w:rPr>
              <w:t>2</w:t>
            </w:r>
            <w:r>
              <w:rPr>
                <w:b w:val="0"/>
                <w:sz w:val="21"/>
                <w:szCs w:val="21"/>
              </w:rPr>
              <w:t>S</w:t>
            </w:r>
          </w:p>
        </w:tc>
        <w:tc>
          <w:tcPr>
            <w:tcW w:w="1255" w:type="pct"/>
            <w:vMerge w:val="continue"/>
            <w:vAlign w:val="center"/>
          </w:tcPr>
          <w:p>
            <w:pPr>
              <w:pStyle w:val="93"/>
              <w:spacing w:before="24" w:after="24"/>
              <w:rPr>
                <w:rFonts w:ascii="Times New Roman" w:hAnsi="Times New Roman" w:cs="Times New Roman"/>
              </w:rPr>
            </w:pPr>
          </w:p>
        </w:tc>
        <w:tc>
          <w:tcPr>
            <w:tcW w:w="1287" w:type="pct"/>
            <w:vMerge w:val="continue"/>
            <w:vAlign w:val="center"/>
          </w:tcPr>
          <w:p>
            <w:pPr>
              <w:pStyle w:val="93"/>
              <w:spacing w:before="24" w:after="24"/>
              <w:rPr>
                <w:rFonts w:ascii="Times New Roman" w:hAnsi="Times New Roman" w:cs="Times New Roman"/>
              </w:rPr>
            </w:pPr>
          </w:p>
        </w:tc>
        <w:tc>
          <w:tcPr>
            <w:tcW w:w="627" w:type="pct"/>
            <w:vAlign w:val="center"/>
          </w:tcPr>
          <w:p>
            <w:pPr>
              <w:pStyle w:val="93"/>
              <w:spacing w:before="24" w:after="24"/>
              <w:rPr>
                <w:rFonts w:ascii="Times New Roman" w:hAnsi="Times New Roman" w:cs="Times New Roman"/>
              </w:rPr>
            </w:pPr>
            <w:r>
              <w:rPr>
                <w:rFonts w:hint="eastAsia" w:ascii="Times New Roman" w:hAnsi="Times New Roman" w:cs="Times New Roman"/>
              </w:rPr>
              <w:t>0.03</w:t>
            </w:r>
            <w:r>
              <w:rPr>
                <w:rFonts w:ascii="Times New Roman" w:hAnsi="Times New Roman" w:cs="Times New Roman"/>
              </w:rPr>
              <w:t>mg/m</w:t>
            </w:r>
            <w:r>
              <w:rPr>
                <w:rFonts w:ascii="Times New Roman" w:hAnsi="Times New Roman" w:cs="Times New Roman"/>
                <w:vertAlign w:val="superscript"/>
              </w:rPr>
              <w:t>3</w:t>
            </w:r>
          </w:p>
        </w:tc>
        <w:tc>
          <w:tcPr>
            <w:tcW w:w="606" w:type="pct"/>
            <w:vAlign w:val="center"/>
          </w:tcPr>
          <w:p>
            <w:pPr>
              <w:pStyle w:val="93"/>
              <w:spacing w:before="24"/>
              <w:rPr>
                <w:rFonts w:ascii="Times New Roman" w:hAnsi="Times New Roman" w:cs="Times New Roman"/>
                <w:color w:val="000000" w:themeColor="text1"/>
              </w:rPr>
            </w:pPr>
            <w:r>
              <w:rPr>
                <w:rFonts w:ascii="Times New Roman" w:hAnsi="Times New Roman" w:cs="Times New Roman" w:eastAsiaTheme="minorEastAsia"/>
              </w:rPr>
              <w:t>0.008t</w:t>
            </w:r>
            <w:r>
              <w:rPr>
                <w:rFonts w:hint="eastAsia" w:ascii="Times New Roman" w:hAnsi="Times New Roman" w:cs="Times New Roman" w:eastAsiaTheme="minorEastAsia"/>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0" w:hRule="atLeast"/>
          <w:jc w:val="center"/>
        </w:trPr>
        <w:tc>
          <w:tcPr>
            <w:tcW w:w="5000" w:type="pct"/>
            <w:gridSpan w:val="7"/>
            <w:vAlign w:val="center"/>
          </w:tcPr>
          <w:p>
            <w:pPr>
              <w:pStyle w:val="93"/>
              <w:spacing w:before="24" w:after="24"/>
              <w:rPr>
                <w:rFonts w:ascii="Times New Roman" w:hAnsi="Times New Roman" w:cs="Times New Roman"/>
                <w:kern w:val="0"/>
              </w:rPr>
            </w:pPr>
            <w:r>
              <w:rPr>
                <w:rFonts w:ascii="Times New Roman" w:hAnsi="Times New Roman" w:cs="Times New Roman"/>
              </w:rPr>
              <w:t>无组织排放总计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1225" w:type="pct"/>
            <w:gridSpan w:val="3"/>
            <w:vMerge w:val="restart"/>
            <w:vAlign w:val="center"/>
          </w:tcPr>
          <w:p>
            <w:pPr>
              <w:pStyle w:val="93"/>
              <w:spacing w:before="24" w:after="24"/>
              <w:rPr>
                <w:rFonts w:ascii="Times New Roman" w:hAnsi="Times New Roman" w:cs="Times New Roman"/>
                <w:kern w:val="0"/>
              </w:rPr>
            </w:pPr>
            <w:r>
              <w:rPr>
                <w:rFonts w:ascii="Times New Roman" w:hAnsi="Times New Roman" w:cs="Times New Roman"/>
              </w:rPr>
              <w:t>无组织排放总计</w:t>
            </w:r>
          </w:p>
        </w:tc>
        <w:tc>
          <w:tcPr>
            <w:tcW w:w="2542" w:type="pct"/>
            <w:gridSpan w:val="2"/>
            <w:vAlign w:val="center"/>
          </w:tcPr>
          <w:p>
            <w:pPr>
              <w:jc w:val="center"/>
              <w:rPr>
                <w:rFonts w:eastAsia="宋体" w:cs="Times New Roman"/>
                <w:sz w:val="21"/>
              </w:rPr>
            </w:pPr>
            <w:r>
              <w:rPr>
                <w:sz w:val="21"/>
              </w:rPr>
              <w:t>NH</w:t>
            </w:r>
            <w:r>
              <w:rPr>
                <w:sz w:val="21"/>
                <w:vertAlign w:val="subscript"/>
              </w:rPr>
              <w:t>3</w:t>
            </w:r>
          </w:p>
        </w:tc>
        <w:tc>
          <w:tcPr>
            <w:tcW w:w="1233" w:type="pct"/>
            <w:gridSpan w:val="2"/>
            <w:vAlign w:val="center"/>
          </w:tcPr>
          <w:p>
            <w:pPr>
              <w:pStyle w:val="93"/>
              <w:spacing w:before="24" w:after="24"/>
              <w:rPr>
                <w:rFonts w:ascii="Times New Roman" w:hAnsi="Times New Roman" w:cs="Times New Roman"/>
                <w:kern w:val="0"/>
              </w:rPr>
            </w:pPr>
            <w:r>
              <w:rPr>
                <w:rFonts w:ascii="Times New Roman" w:hAnsi="Times New Roman" w:cs="Times New Roman" w:eastAsiaTheme="minorEastAsia"/>
              </w:rPr>
              <w:t>0.00034t</w:t>
            </w:r>
            <w:r>
              <w:rPr>
                <w:rFonts w:hint="eastAsia" w:ascii="Times New Roman" w:hAnsi="Times New Roman" w:cs="Times New Roman" w:eastAsiaTheme="minorEastAsia"/>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1225" w:type="pct"/>
            <w:gridSpan w:val="3"/>
            <w:vMerge w:val="continue"/>
            <w:vAlign w:val="center"/>
          </w:tcPr>
          <w:p>
            <w:pPr>
              <w:pStyle w:val="93"/>
              <w:spacing w:before="24" w:after="24"/>
              <w:rPr>
                <w:rFonts w:ascii="Times New Roman" w:hAnsi="Times New Roman" w:cs="Times New Roman"/>
              </w:rPr>
            </w:pPr>
          </w:p>
        </w:tc>
        <w:tc>
          <w:tcPr>
            <w:tcW w:w="2542" w:type="pct"/>
            <w:gridSpan w:val="2"/>
            <w:vAlign w:val="center"/>
          </w:tcPr>
          <w:p>
            <w:pPr>
              <w:pStyle w:val="14"/>
              <w:adjustRightInd w:val="0"/>
              <w:snapToGrid w:val="0"/>
              <w:spacing w:line="240" w:lineRule="auto"/>
              <w:rPr>
                <w:rFonts w:cs="Times New Roman"/>
                <w:b w:val="0"/>
                <w:sz w:val="21"/>
                <w:szCs w:val="21"/>
              </w:rPr>
            </w:pPr>
            <w:r>
              <w:rPr>
                <w:b w:val="0"/>
                <w:sz w:val="21"/>
                <w:szCs w:val="21"/>
              </w:rPr>
              <w:t>H</w:t>
            </w:r>
            <w:r>
              <w:rPr>
                <w:b w:val="0"/>
                <w:sz w:val="21"/>
                <w:szCs w:val="21"/>
                <w:vertAlign w:val="subscript"/>
              </w:rPr>
              <w:t>2</w:t>
            </w:r>
            <w:r>
              <w:rPr>
                <w:b w:val="0"/>
                <w:sz w:val="21"/>
                <w:szCs w:val="21"/>
              </w:rPr>
              <w:t>S</w:t>
            </w:r>
          </w:p>
        </w:tc>
        <w:tc>
          <w:tcPr>
            <w:tcW w:w="1233" w:type="pct"/>
            <w:gridSpan w:val="2"/>
            <w:vAlign w:val="center"/>
          </w:tcPr>
          <w:p>
            <w:pPr>
              <w:pStyle w:val="93"/>
              <w:spacing w:before="24"/>
              <w:rPr>
                <w:rFonts w:ascii="Times New Roman" w:hAnsi="Times New Roman" w:cs="Times New Roman"/>
                <w:color w:val="000000" w:themeColor="text1"/>
              </w:rPr>
            </w:pPr>
            <w:r>
              <w:rPr>
                <w:rFonts w:ascii="Times New Roman" w:hAnsi="Times New Roman" w:cs="Times New Roman" w:eastAsiaTheme="minorEastAsia"/>
              </w:rPr>
              <w:t>0.008t</w:t>
            </w:r>
            <w:r>
              <w:rPr>
                <w:rFonts w:hint="eastAsia" w:ascii="Times New Roman" w:hAnsi="Times New Roman" w:cs="Times New Roman" w:eastAsiaTheme="minorEastAsia"/>
              </w:rPr>
              <w:t>/a</w:t>
            </w:r>
          </w:p>
        </w:tc>
      </w:tr>
    </w:tbl>
    <w:p>
      <w:pPr>
        <w:jc w:val="center"/>
        <w:rPr>
          <w:b/>
          <w:color w:val="000000" w:themeColor="text1"/>
          <w:szCs w:val="24"/>
        </w:rPr>
      </w:pPr>
      <w:r>
        <w:rPr>
          <w:b/>
          <w:color w:val="000000" w:themeColor="text1"/>
          <w:szCs w:val="24"/>
        </w:rPr>
        <w:t>表</w:t>
      </w:r>
      <w:r>
        <w:rPr>
          <w:b/>
          <w:color w:val="000000" w:themeColor="text1"/>
          <w:szCs w:val="24"/>
        </w:rPr>
        <w:fldChar w:fldCharType="begin"/>
      </w:r>
      <w:r>
        <w:rPr>
          <w:b/>
          <w:color w:val="000000" w:themeColor="text1"/>
          <w:szCs w:val="24"/>
        </w:rPr>
        <w:instrText xml:space="preserve"> STYLEREF 2 \s </w:instrText>
      </w:r>
      <w:r>
        <w:rPr>
          <w:b/>
          <w:color w:val="000000" w:themeColor="text1"/>
          <w:szCs w:val="24"/>
        </w:rPr>
        <w:fldChar w:fldCharType="separate"/>
      </w:r>
      <w:r>
        <w:rPr>
          <w:b/>
          <w:color w:val="000000" w:themeColor="text1"/>
          <w:szCs w:val="24"/>
        </w:rPr>
        <w:t>5.2</w:t>
      </w:r>
      <w:r>
        <w:rPr>
          <w:b/>
          <w:color w:val="000000" w:themeColor="text1"/>
          <w:szCs w:val="24"/>
        </w:rPr>
        <w:fldChar w:fldCharType="end"/>
      </w:r>
      <w:r>
        <w:rPr>
          <w:b/>
          <w:color w:val="000000" w:themeColor="text1"/>
          <w:szCs w:val="24"/>
        </w:rPr>
        <w:noBreakHyphen/>
      </w:r>
      <w:r>
        <w:rPr>
          <w:b/>
          <w:color w:val="000000" w:themeColor="text1"/>
          <w:szCs w:val="24"/>
        </w:rPr>
        <w:fldChar w:fldCharType="begin"/>
      </w:r>
      <w:r>
        <w:rPr>
          <w:b/>
          <w:color w:val="000000" w:themeColor="text1"/>
          <w:szCs w:val="24"/>
        </w:rPr>
        <w:instrText xml:space="preserve"> SEQ 表 \* ARABIC \s 2 </w:instrText>
      </w:r>
      <w:r>
        <w:rPr>
          <w:b/>
          <w:color w:val="000000" w:themeColor="text1"/>
          <w:szCs w:val="24"/>
        </w:rPr>
        <w:fldChar w:fldCharType="separate"/>
      </w:r>
      <w:r>
        <w:rPr>
          <w:b/>
          <w:color w:val="000000" w:themeColor="text1"/>
          <w:szCs w:val="24"/>
        </w:rPr>
        <w:t>20</w:t>
      </w:r>
      <w:r>
        <w:rPr>
          <w:b/>
          <w:color w:val="000000" w:themeColor="text1"/>
          <w:szCs w:val="24"/>
        </w:rPr>
        <w:fldChar w:fldCharType="end"/>
      </w:r>
      <w:r>
        <w:rPr>
          <w:rFonts w:hint="eastAsia"/>
          <w:b/>
          <w:color w:val="000000" w:themeColor="text1"/>
          <w:szCs w:val="24"/>
        </w:rPr>
        <w:t xml:space="preserve"> </w:t>
      </w:r>
      <w:r>
        <w:rPr>
          <w:rFonts w:hint="eastAsia"/>
          <w:b/>
          <w:bCs/>
          <w:color w:val="000000" w:themeColor="text1"/>
          <w:kern w:val="0"/>
          <w:szCs w:val="24"/>
        </w:rPr>
        <w:t>大气污染物年排放量核算表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1"/>
        <w:gridCol w:w="3646"/>
        <w:gridCol w:w="3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130" w:type="pct"/>
            <w:vAlign w:val="center"/>
          </w:tcPr>
          <w:p>
            <w:pPr>
              <w:pStyle w:val="93"/>
              <w:spacing w:before="24"/>
              <w:rPr>
                <w:rFonts w:ascii="Times New Roman" w:hAnsi="Times New Roman" w:cs="Times New Roman"/>
                <w:color w:val="000000" w:themeColor="text1"/>
              </w:rPr>
            </w:pPr>
            <w:r>
              <w:rPr>
                <w:rFonts w:hint="eastAsia" w:cs="Times New Roman"/>
                <w:color w:val="000000" w:themeColor="text1"/>
              </w:rPr>
              <w:t>序号</w:t>
            </w:r>
          </w:p>
        </w:tc>
        <w:tc>
          <w:tcPr>
            <w:tcW w:w="1889" w:type="pct"/>
            <w:vAlign w:val="center"/>
          </w:tcPr>
          <w:p>
            <w:pPr>
              <w:pStyle w:val="93"/>
              <w:spacing w:before="24"/>
              <w:rPr>
                <w:rFonts w:ascii="Times New Roman" w:hAnsi="Times New Roman" w:cs="Times New Roman"/>
                <w:color w:val="000000" w:themeColor="text1"/>
              </w:rPr>
            </w:pPr>
            <w:r>
              <w:rPr>
                <w:rFonts w:hint="eastAsia" w:cs="Times New Roman"/>
                <w:color w:val="000000" w:themeColor="text1"/>
              </w:rPr>
              <w:t>污染物</w:t>
            </w:r>
          </w:p>
        </w:tc>
        <w:tc>
          <w:tcPr>
            <w:tcW w:w="1981" w:type="pct"/>
            <w:vAlign w:val="center"/>
          </w:tcPr>
          <w:p>
            <w:pPr>
              <w:pStyle w:val="93"/>
              <w:spacing w:before="24"/>
              <w:rPr>
                <w:rFonts w:ascii="Times New Roman" w:hAnsi="Times New Roman" w:cs="Times New Roman"/>
                <w:color w:val="000000" w:themeColor="text1"/>
              </w:rPr>
            </w:pPr>
            <w:r>
              <w:rPr>
                <w:rFonts w:hint="eastAsia" w:cs="Times New Roman"/>
                <w:color w:val="000000" w:themeColor="text1"/>
              </w:rPr>
              <w:t>年排放量</w:t>
            </w:r>
            <w:r>
              <w:rPr>
                <w:rFonts w:ascii="Times New Roman" w:hAnsi="Times New Roman" w:cs="Times New Roman"/>
                <w:color w:val="000000" w:themeColor="text1"/>
              </w:rPr>
              <w:t>/</w:t>
            </w:r>
            <w:r>
              <w:rPr>
                <w:rFonts w:hint="eastAsia" w:cs="Times New Roman"/>
                <w:color w:val="000000" w:themeColor="text1"/>
              </w:rPr>
              <w:t>（</w:t>
            </w:r>
            <w:r>
              <w:rPr>
                <w:rFonts w:ascii="Times New Roman" w:hAnsi="Times New Roman" w:cs="Times New Roman"/>
                <w:color w:val="000000" w:themeColor="text1"/>
              </w:rPr>
              <w:t>t/a</w:t>
            </w:r>
            <w:r>
              <w:rPr>
                <w:rFonts w:hint="eastAsia" w:cs="Times New Roman"/>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130" w:type="pct"/>
            <w:vAlign w:val="center"/>
          </w:tcPr>
          <w:p>
            <w:pPr>
              <w:pStyle w:val="93"/>
              <w:spacing w:before="24"/>
              <w:rPr>
                <w:rFonts w:ascii="Times New Roman" w:hAnsi="Times New Roman" w:cs="Times New Roman"/>
                <w:color w:val="000000" w:themeColor="text1"/>
              </w:rPr>
            </w:pPr>
            <w:r>
              <w:rPr>
                <w:rFonts w:ascii="Times New Roman" w:hAnsi="Times New Roman" w:cs="Times New Roman"/>
                <w:color w:val="000000" w:themeColor="text1"/>
              </w:rPr>
              <w:t>1</w:t>
            </w:r>
          </w:p>
        </w:tc>
        <w:tc>
          <w:tcPr>
            <w:tcW w:w="1889" w:type="pct"/>
            <w:vAlign w:val="center"/>
          </w:tcPr>
          <w:p>
            <w:pPr>
              <w:jc w:val="center"/>
              <w:rPr>
                <w:rFonts w:eastAsia="宋体" w:cs="Times New Roman"/>
                <w:color w:val="000000" w:themeColor="text1"/>
                <w:sz w:val="21"/>
              </w:rPr>
            </w:pPr>
            <w:r>
              <w:rPr>
                <w:rFonts w:hint="eastAsia" w:eastAsia="宋体" w:cs="Times New Roman"/>
                <w:color w:val="000000" w:themeColor="text1"/>
                <w:sz w:val="21"/>
              </w:rPr>
              <w:t>颗粒物</w:t>
            </w:r>
          </w:p>
        </w:tc>
        <w:tc>
          <w:tcPr>
            <w:tcW w:w="1981" w:type="pct"/>
            <w:vAlign w:val="center"/>
          </w:tcPr>
          <w:p>
            <w:pPr>
              <w:pStyle w:val="93"/>
              <w:spacing w:before="24"/>
              <w:rPr>
                <w:rFonts w:ascii="Times New Roman" w:hAnsi="Times New Roman" w:cs="Times New Roman"/>
                <w:color w:val="000000" w:themeColor="text1"/>
              </w:rPr>
            </w:pPr>
            <w:r>
              <w:rPr>
                <w:rFonts w:hint="eastAsia" w:ascii="Times New Roman" w:hAnsi="Times New Roman" w:cs="Times New Roman"/>
              </w:rPr>
              <w:t>0.016</w:t>
            </w:r>
            <w:r>
              <w:rPr>
                <w:rFonts w:ascii="Times New Roman" w:hAnsi="Times New Roman" w:cs="Times New Roma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130" w:type="pct"/>
            <w:vAlign w:val="center"/>
          </w:tcPr>
          <w:p>
            <w:pPr>
              <w:pStyle w:val="93"/>
              <w:spacing w:before="24"/>
              <w:rPr>
                <w:rFonts w:ascii="Times New Roman" w:hAnsi="Times New Roman" w:cs="Times New Roman"/>
                <w:color w:val="000000" w:themeColor="text1"/>
              </w:rPr>
            </w:pPr>
            <w:r>
              <w:rPr>
                <w:rFonts w:ascii="Times New Roman" w:hAnsi="Times New Roman" w:cs="Times New Roman"/>
                <w:color w:val="000000" w:themeColor="text1"/>
              </w:rPr>
              <w:t>2</w:t>
            </w:r>
          </w:p>
        </w:tc>
        <w:tc>
          <w:tcPr>
            <w:tcW w:w="1889" w:type="pct"/>
            <w:vAlign w:val="center"/>
          </w:tcPr>
          <w:p>
            <w:pPr>
              <w:jc w:val="center"/>
              <w:rPr>
                <w:rFonts w:eastAsia="宋体" w:cs="Times New Roman"/>
                <w:color w:val="000000" w:themeColor="text1"/>
                <w:sz w:val="21"/>
              </w:rPr>
            </w:pPr>
            <w:r>
              <w:rPr>
                <w:rFonts w:hint="eastAsia" w:eastAsia="宋体" w:cs="Times New Roman"/>
                <w:color w:val="000000" w:themeColor="text1"/>
                <w:sz w:val="21"/>
              </w:rPr>
              <w:t>SO</w:t>
            </w:r>
            <w:r>
              <w:rPr>
                <w:rFonts w:hint="eastAsia" w:eastAsia="宋体" w:cs="Times New Roman"/>
                <w:color w:val="000000" w:themeColor="text1"/>
                <w:sz w:val="21"/>
                <w:vertAlign w:val="subscript"/>
              </w:rPr>
              <w:t>2</w:t>
            </w:r>
          </w:p>
        </w:tc>
        <w:tc>
          <w:tcPr>
            <w:tcW w:w="1981" w:type="pct"/>
            <w:vAlign w:val="center"/>
          </w:tcPr>
          <w:p>
            <w:pPr>
              <w:pStyle w:val="93"/>
              <w:spacing w:before="24"/>
              <w:rPr>
                <w:rFonts w:ascii="Times New Roman" w:hAnsi="Times New Roman" w:cs="Times New Roman"/>
                <w:color w:val="000000" w:themeColor="text1"/>
              </w:rPr>
            </w:pPr>
            <w:r>
              <w:rPr>
                <w:rFonts w:hint="eastAsia" w:ascii="Times New Roman" w:hAnsi="Times New Roman" w:cs="Times New Roman"/>
              </w:rPr>
              <w:t>0.088</w:t>
            </w:r>
            <w:r>
              <w:rPr>
                <w:rFonts w:ascii="Times New Roman" w:hAnsi="Times New Roman" w:cs="Times New Roma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130" w:type="pct"/>
            <w:vAlign w:val="center"/>
          </w:tcPr>
          <w:p>
            <w:pPr>
              <w:pStyle w:val="93"/>
              <w:spacing w:before="24"/>
              <w:rPr>
                <w:rFonts w:ascii="Times New Roman" w:hAnsi="Times New Roman" w:cs="Times New Roman"/>
                <w:color w:val="000000" w:themeColor="text1"/>
              </w:rPr>
            </w:pPr>
            <w:r>
              <w:rPr>
                <w:rFonts w:ascii="Times New Roman" w:hAnsi="Times New Roman" w:cs="Times New Roman"/>
                <w:color w:val="000000" w:themeColor="text1"/>
              </w:rPr>
              <w:t>3</w:t>
            </w:r>
          </w:p>
        </w:tc>
        <w:tc>
          <w:tcPr>
            <w:tcW w:w="1889" w:type="pct"/>
            <w:vAlign w:val="center"/>
          </w:tcPr>
          <w:p>
            <w:pPr>
              <w:jc w:val="center"/>
              <w:rPr>
                <w:rFonts w:eastAsia="宋体" w:cs="Times New Roman"/>
                <w:color w:val="000000" w:themeColor="text1"/>
                <w:sz w:val="21"/>
              </w:rPr>
            </w:pPr>
            <w:r>
              <w:rPr>
                <w:rFonts w:hint="eastAsia" w:eastAsia="宋体" w:cs="Times New Roman"/>
                <w:color w:val="000000" w:themeColor="text1"/>
                <w:sz w:val="21"/>
              </w:rPr>
              <w:t>NOx</w:t>
            </w:r>
          </w:p>
        </w:tc>
        <w:tc>
          <w:tcPr>
            <w:tcW w:w="1981" w:type="pct"/>
            <w:vAlign w:val="center"/>
          </w:tcPr>
          <w:p>
            <w:pPr>
              <w:pStyle w:val="93"/>
              <w:spacing w:before="24"/>
              <w:rPr>
                <w:rFonts w:ascii="Times New Roman" w:hAnsi="Times New Roman" w:cs="Times New Roman"/>
                <w:color w:val="000000" w:themeColor="text1"/>
              </w:rPr>
            </w:pPr>
            <w:r>
              <w:rPr>
                <w:rFonts w:hint="eastAsia" w:ascii="Times New Roman" w:hAnsi="Times New Roman" w:cs="Times New Roman"/>
              </w:rPr>
              <w:t>0.22</w:t>
            </w:r>
            <w:r>
              <w:rPr>
                <w:rFonts w:ascii="Times New Roman" w:hAnsi="Times New Roman" w:cs="Times New Roma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130" w:type="pct"/>
            <w:vAlign w:val="center"/>
          </w:tcPr>
          <w:p>
            <w:pPr>
              <w:pStyle w:val="93"/>
              <w:spacing w:before="24"/>
              <w:rPr>
                <w:rFonts w:ascii="Times New Roman" w:hAnsi="Times New Roman" w:cs="Times New Roman"/>
                <w:color w:val="000000" w:themeColor="text1"/>
              </w:rPr>
            </w:pPr>
            <w:r>
              <w:rPr>
                <w:rFonts w:ascii="Times New Roman" w:hAnsi="Times New Roman" w:cs="Times New Roman"/>
                <w:color w:val="000000" w:themeColor="text1"/>
              </w:rPr>
              <w:t>4</w:t>
            </w:r>
          </w:p>
        </w:tc>
        <w:tc>
          <w:tcPr>
            <w:tcW w:w="1889" w:type="pct"/>
            <w:vAlign w:val="center"/>
          </w:tcPr>
          <w:p>
            <w:pPr>
              <w:jc w:val="center"/>
              <w:rPr>
                <w:rFonts w:eastAsia="宋体" w:cs="Times New Roman"/>
                <w:color w:val="000000" w:themeColor="text1"/>
                <w:sz w:val="21"/>
              </w:rPr>
            </w:pPr>
            <w:r>
              <w:rPr>
                <w:rFonts w:eastAsia="宋体" w:cs="Times New Roman"/>
                <w:color w:val="000000" w:themeColor="text1"/>
                <w:sz w:val="21"/>
              </w:rPr>
              <w:t>油烟</w:t>
            </w:r>
          </w:p>
        </w:tc>
        <w:tc>
          <w:tcPr>
            <w:tcW w:w="1981" w:type="pct"/>
            <w:vAlign w:val="center"/>
          </w:tcPr>
          <w:p>
            <w:pPr>
              <w:pStyle w:val="93"/>
              <w:spacing w:before="24"/>
              <w:rPr>
                <w:rFonts w:ascii="Times New Roman" w:hAnsi="Times New Roman" w:cs="Times New Roman"/>
                <w:color w:val="000000" w:themeColor="text1"/>
              </w:rPr>
            </w:pPr>
            <w:r>
              <w:rPr>
                <w:rFonts w:hint="eastAsia" w:ascii="Times New Roman" w:hAnsi="Times New Roman" w:cs="Times New Roman"/>
              </w:rPr>
              <w:t>0.0073</w:t>
            </w:r>
            <w:r>
              <w:rPr>
                <w:rFonts w:ascii="Times New Roman" w:hAnsi="Times New Roman" w:cs="Times New Roma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130" w:type="pct"/>
            <w:vAlign w:val="center"/>
          </w:tcPr>
          <w:p>
            <w:pPr>
              <w:pStyle w:val="93"/>
              <w:spacing w:before="24"/>
              <w:rPr>
                <w:rFonts w:ascii="Times New Roman" w:hAnsi="Times New Roman" w:cs="Times New Roman"/>
                <w:color w:val="000000" w:themeColor="text1"/>
              </w:rPr>
            </w:pPr>
            <w:r>
              <w:rPr>
                <w:rFonts w:hint="eastAsia" w:ascii="Times New Roman" w:hAnsi="Times New Roman" w:cs="Times New Roman"/>
                <w:color w:val="000000" w:themeColor="text1"/>
              </w:rPr>
              <w:t>5</w:t>
            </w:r>
          </w:p>
        </w:tc>
        <w:tc>
          <w:tcPr>
            <w:tcW w:w="1889" w:type="pct"/>
            <w:vAlign w:val="center"/>
          </w:tcPr>
          <w:p>
            <w:pPr>
              <w:jc w:val="center"/>
              <w:rPr>
                <w:rFonts w:eastAsia="宋体" w:cs="Times New Roman"/>
                <w:sz w:val="21"/>
              </w:rPr>
            </w:pPr>
            <w:r>
              <w:rPr>
                <w:sz w:val="21"/>
              </w:rPr>
              <w:t>NH</w:t>
            </w:r>
            <w:r>
              <w:rPr>
                <w:sz w:val="21"/>
                <w:vertAlign w:val="subscript"/>
              </w:rPr>
              <w:t>3</w:t>
            </w:r>
          </w:p>
        </w:tc>
        <w:tc>
          <w:tcPr>
            <w:tcW w:w="1981" w:type="pct"/>
            <w:vAlign w:val="center"/>
          </w:tcPr>
          <w:p>
            <w:pPr>
              <w:pStyle w:val="93"/>
              <w:spacing w:before="24" w:after="24"/>
              <w:rPr>
                <w:rFonts w:ascii="Times New Roman" w:hAnsi="Times New Roman" w:cs="Times New Roman"/>
                <w:kern w:val="0"/>
              </w:rPr>
            </w:pPr>
            <w:r>
              <w:rPr>
                <w:rFonts w:ascii="Times New Roman" w:hAnsi="Times New Roman" w:cs="Times New Roman" w:eastAsiaTheme="minorEastAsia"/>
              </w:rPr>
              <w:t>0.00034t</w:t>
            </w:r>
            <w:r>
              <w:rPr>
                <w:rFonts w:hint="eastAsia" w:ascii="Times New Roman" w:hAnsi="Times New Roman" w:cs="Times New Roman" w:eastAsiaTheme="minorEastAsia"/>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130" w:type="pct"/>
            <w:vAlign w:val="center"/>
          </w:tcPr>
          <w:p>
            <w:pPr>
              <w:pStyle w:val="93"/>
              <w:spacing w:before="24"/>
              <w:rPr>
                <w:rFonts w:ascii="Times New Roman" w:hAnsi="Times New Roman" w:cs="Times New Roman"/>
                <w:color w:val="000000" w:themeColor="text1"/>
              </w:rPr>
            </w:pPr>
            <w:r>
              <w:rPr>
                <w:rFonts w:hint="eastAsia" w:ascii="Times New Roman" w:hAnsi="Times New Roman" w:cs="Times New Roman"/>
                <w:color w:val="000000" w:themeColor="text1"/>
              </w:rPr>
              <w:t>6</w:t>
            </w:r>
          </w:p>
        </w:tc>
        <w:tc>
          <w:tcPr>
            <w:tcW w:w="1889" w:type="pct"/>
            <w:vAlign w:val="center"/>
          </w:tcPr>
          <w:p>
            <w:pPr>
              <w:pStyle w:val="14"/>
              <w:adjustRightInd w:val="0"/>
              <w:snapToGrid w:val="0"/>
              <w:spacing w:line="240" w:lineRule="auto"/>
              <w:rPr>
                <w:rFonts w:cs="Times New Roman"/>
                <w:b w:val="0"/>
                <w:sz w:val="21"/>
                <w:szCs w:val="21"/>
              </w:rPr>
            </w:pPr>
            <w:r>
              <w:rPr>
                <w:b w:val="0"/>
                <w:sz w:val="21"/>
                <w:szCs w:val="21"/>
              </w:rPr>
              <w:t>H</w:t>
            </w:r>
            <w:r>
              <w:rPr>
                <w:b w:val="0"/>
                <w:sz w:val="21"/>
                <w:szCs w:val="21"/>
                <w:vertAlign w:val="subscript"/>
              </w:rPr>
              <w:t>2</w:t>
            </w:r>
            <w:r>
              <w:rPr>
                <w:b w:val="0"/>
                <w:sz w:val="21"/>
                <w:szCs w:val="21"/>
              </w:rPr>
              <w:t>S</w:t>
            </w:r>
          </w:p>
        </w:tc>
        <w:tc>
          <w:tcPr>
            <w:tcW w:w="1981" w:type="pct"/>
            <w:vAlign w:val="center"/>
          </w:tcPr>
          <w:p>
            <w:pPr>
              <w:pStyle w:val="93"/>
              <w:spacing w:before="24"/>
              <w:rPr>
                <w:rFonts w:ascii="Times New Roman" w:hAnsi="Times New Roman" w:cs="Times New Roman"/>
                <w:color w:val="000000" w:themeColor="text1"/>
              </w:rPr>
            </w:pPr>
            <w:r>
              <w:rPr>
                <w:rFonts w:ascii="Times New Roman" w:hAnsi="Times New Roman" w:cs="Times New Roman" w:eastAsiaTheme="minorEastAsia"/>
              </w:rPr>
              <w:t>0.008t</w:t>
            </w:r>
            <w:r>
              <w:rPr>
                <w:rFonts w:hint="eastAsia" w:ascii="Times New Roman" w:hAnsi="Times New Roman" w:cs="Times New Roman" w:eastAsiaTheme="minorEastAsia"/>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130" w:type="pct"/>
            <w:vAlign w:val="center"/>
          </w:tcPr>
          <w:p>
            <w:pPr>
              <w:pStyle w:val="93"/>
              <w:spacing w:before="24"/>
              <w:rPr>
                <w:rFonts w:ascii="Times New Roman" w:hAnsi="Times New Roman" w:cs="Times New Roman"/>
                <w:color w:val="000000" w:themeColor="text1"/>
              </w:rPr>
            </w:pPr>
            <w:r>
              <w:rPr>
                <w:rFonts w:hint="eastAsia" w:ascii="Times New Roman" w:hAnsi="Times New Roman" w:cs="Times New Roman"/>
                <w:color w:val="000000" w:themeColor="text1"/>
              </w:rPr>
              <w:t>7</w:t>
            </w:r>
          </w:p>
        </w:tc>
        <w:tc>
          <w:tcPr>
            <w:tcW w:w="1889" w:type="pct"/>
            <w:vAlign w:val="center"/>
          </w:tcPr>
          <w:p>
            <w:pPr>
              <w:pStyle w:val="93"/>
              <w:spacing w:before="24"/>
              <w:rPr>
                <w:rFonts w:ascii="Times New Roman" w:hAnsi="Times New Roman" w:cs="Times New Roman"/>
                <w:color w:val="000000" w:themeColor="text1"/>
              </w:rPr>
            </w:pPr>
            <w:r>
              <w:rPr>
                <w:rFonts w:ascii="Times New Roman" w:hAnsi="Times New Roman" w:cs="Times New Roman"/>
                <w:color w:val="000000" w:themeColor="text1"/>
              </w:rPr>
              <w:t>……</w:t>
            </w:r>
          </w:p>
        </w:tc>
        <w:tc>
          <w:tcPr>
            <w:tcW w:w="1981" w:type="pct"/>
            <w:vAlign w:val="center"/>
          </w:tcPr>
          <w:p>
            <w:pPr>
              <w:pStyle w:val="93"/>
              <w:spacing w:before="24"/>
              <w:rPr>
                <w:rFonts w:ascii="Times New Roman" w:hAnsi="Times New Roman" w:cs="Times New Roman"/>
                <w:color w:val="000000" w:themeColor="text1"/>
              </w:rPr>
            </w:pPr>
            <w:r>
              <w:rPr>
                <w:rFonts w:hint="eastAsia" w:ascii="Times New Roman" w:hAnsi="Times New Roman" w:cs="Times New Roman"/>
                <w:color w:val="000000" w:themeColor="text1"/>
              </w:rPr>
              <w:t>/</w:t>
            </w:r>
          </w:p>
        </w:tc>
      </w:tr>
    </w:tbl>
    <w:p>
      <w:pPr>
        <w:pStyle w:val="5"/>
      </w:pPr>
      <w:r>
        <w:rPr>
          <w:rFonts w:hint="eastAsia"/>
        </w:rPr>
        <w:t>地下水环境影响分析</w:t>
      </w:r>
    </w:p>
    <w:p>
      <w:pPr>
        <w:spacing w:line="360" w:lineRule="auto"/>
        <w:ind w:firstLine="480" w:firstLineChars="200"/>
        <w:rPr>
          <w:rFonts w:cs="Times New Roman"/>
          <w:color w:val="000000" w:themeColor="text1"/>
        </w:rPr>
      </w:pPr>
      <w:r>
        <w:rPr>
          <w:rFonts w:cs="Times New Roman"/>
          <w:color w:val="000000" w:themeColor="text1"/>
        </w:rPr>
        <w:t>根据</w:t>
      </w:r>
      <w:r>
        <w:rPr>
          <w:rFonts w:hint="eastAsia" w:cs="Times New Roman"/>
          <w:color w:val="000000" w:themeColor="text1"/>
        </w:rPr>
        <w:t>《环境影响评价技术导则  地下水环境》（HJ610-2016）有关规定，本项目属于</w:t>
      </w:r>
      <w:r>
        <w:rPr>
          <w:rFonts w:cs="Times New Roman"/>
          <w:color w:val="000000" w:themeColor="text1"/>
        </w:rPr>
        <w:t>Ⅳ类建设项目（除需要编制报告书的三甲医院为Ⅲ类项目，其余均为Ⅳ类项目</w:t>
      </w:r>
      <w:r>
        <w:rPr>
          <w:rFonts w:hint="eastAsia" w:cs="Times New Roman"/>
          <w:color w:val="000000" w:themeColor="text1"/>
        </w:rPr>
        <w:t>），</w:t>
      </w:r>
      <w:r>
        <w:rPr>
          <w:rFonts w:cs="Times New Roman"/>
          <w:color w:val="000000" w:themeColor="text1"/>
        </w:rPr>
        <w:t>本项目不属于三甲医院</w:t>
      </w:r>
      <w:r>
        <w:rPr>
          <w:rFonts w:hint="eastAsia" w:cs="Times New Roman"/>
          <w:color w:val="000000" w:themeColor="text1"/>
        </w:rPr>
        <w:t>，</w:t>
      </w:r>
      <w:r>
        <w:rPr>
          <w:rFonts w:cs="Times New Roman"/>
          <w:color w:val="000000" w:themeColor="text1"/>
        </w:rPr>
        <w:t>因此为Ⅳ类项目</w:t>
      </w:r>
      <w:r>
        <w:rPr>
          <w:rFonts w:hint="eastAsia" w:cs="Times New Roman"/>
          <w:color w:val="000000" w:themeColor="text1"/>
        </w:rPr>
        <w:t>，</w:t>
      </w:r>
      <w:r>
        <w:rPr>
          <w:rFonts w:cs="Times New Roman"/>
          <w:color w:val="000000" w:themeColor="text1"/>
        </w:rPr>
        <w:t>根据导则之规定</w:t>
      </w:r>
      <w:r>
        <w:rPr>
          <w:rFonts w:hint="eastAsia" w:cs="Times New Roman"/>
          <w:color w:val="000000" w:themeColor="text1"/>
        </w:rPr>
        <w:t>，</w:t>
      </w:r>
      <w:r>
        <w:rPr>
          <w:rFonts w:cs="Times New Roman"/>
          <w:color w:val="000000" w:themeColor="text1"/>
        </w:rPr>
        <w:t>Ⅳ类项目不开展地下水环境影响评级，且项目营运期不取地下水</w:t>
      </w:r>
      <w:r>
        <w:rPr>
          <w:rFonts w:hint="eastAsia" w:cs="Times New Roman"/>
          <w:color w:val="000000" w:themeColor="text1"/>
        </w:rPr>
        <w:t>，</w:t>
      </w:r>
      <w:r>
        <w:rPr>
          <w:rFonts w:cs="Times New Roman"/>
          <w:color w:val="000000" w:themeColor="text1"/>
        </w:rPr>
        <w:t>亦不向地下注水</w:t>
      </w:r>
      <w:r>
        <w:rPr>
          <w:rFonts w:hint="eastAsia" w:cs="Times New Roman"/>
          <w:color w:val="000000" w:themeColor="text1"/>
        </w:rPr>
        <w:t>，</w:t>
      </w:r>
      <w:r>
        <w:rPr>
          <w:rFonts w:cs="Times New Roman"/>
          <w:color w:val="000000" w:themeColor="text1"/>
        </w:rPr>
        <w:t>项目营运期废水能够进入市政污水管网</w:t>
      </w:r>
      <w:r>
        <w:rPr>
          <w:rFonts w:hint="eastAsia" w:cs="Times New Roman"/>
          <w:color w:val="000000" w:themeColor="text1"/>
        </w:rPr>
        <w:t>，</w:t>
      </w:r>
      <w:r>
        <w:rPr>
          <w:rFonts w:cs="Times New Roman"/>
          <w:color w:val="000000" w:themeColor="text1"/>
        </w:rPr>
        <w:t>因此对地下水影响相对不明显</w:t>
      </w:r>
      <w:r>
        <w:rPr>
          <w:rFonts w:hint="eastAsia" w:cs="Times New Roman"/>
          <w:color w:val="000000" w:themeColor="text1"/>
        </w:rPr>
        <w:t>，</w:t>
      </w:r>
      <w:r>
        <w:rPr>
          <w:rFonts w:cs="Times New Roman"/>
          <w:color w:val="000000" w:themeColor="text1"/>
        </w:rPr>
        <w:t>因此本环评针对地下水环境影响评价从简</w:t>
      </w:r>
      <w:r>
        <w:rPr>
          <w:rFonts w:hint="eastAsia" w:cs="Times New Roman"/>
          <w:color w:val="000000" w:themeColor="text1"/>
        </w:rPr>
        <w:t>，</w:t>
      </w:r>
      <w:r>
        <w:rPr>
          <w:rFonts w:cs="Times New Roman"/>
          <w:color w:val="000000" w:themeColor="text1"/>
        </w:rPr>
        <w:t>仅提出相应的地下水防治措施</w:t>
      </w:r>
      <w:r>
        <w:rPr>
          <w:rFonts w:hint="eastAsia" w:cs="Times New Roman"/>
          <w:color w:val="000000" w:themeColor="text1"/>
        </w:rPr>
        <w:t>。</w:t>
      </w:r>
    </w:p>
    <w:p>
      <w:pPr>
        <w:spacing w:line="360" w:lineRule="auto"/>
        <w:ind w:firstLine="480" w:firstLineChars="200"/>
        <w:rPr>
          <w:rFonts w:ascii="宋体" w:hAnsi="宋体"/>
          <w:szCs w:val="24"/>
        </w:rPr>
      </w:pPr>
      <w:r>
        <w:rPr>
          <w:rFonts w:ascii="宋体" w:hAnsi="宋体"/>
          <w:szCs w:val="24"/>
        </w:rPr>
        <w:t>本项目不采用地下水作为水源，其营运期无地下开采等动工作业，其污染地下水的可能性主要为项目污水的少量渗漏。若发生渗漏，污染物肯能会穿过包气带进入浅层地下水，对浅层地下水的产生一定污染。</w:t>
      </w:r>
    </w:p>
    <w:p>
      <w:pPr>
        <w:spacing w:line="360" w:lineRule="auto"/>
        <w:ind w:firstLine="480" w:firstLineChars="200"/>
        <w:rPr>
          <w:rFonts w:ascii="宋体" w:hAnsi="宋体"/>
          <w:szCs w:val="24"/>
        </w:rPr>
      </w:pPr>
      <w:r>
        <w:rPr>
          <w:rFonts w:hint="eastAsia" w:ascii="宋体" w:hAnsi="宋体"/>
          <w:szCs w:val="24"/>
        </w:rPr>
        <w:t>本项目污水经处理后排入污水管网进入马壕污水处理厂处理，处理达标后排入东风湖。污水管网和厂区污水处理厂做好防渗处理后，项目污水不会污染到区域地下水，对区域地下水水质环境影响甚微。</w:t>
      </w:r>
    </w:p>
    <w:p>
      <w:pPr>
        <w:spacing w:line="360" w:lineRule="auto"/>
        <w:ind w:firstLine="480" w:firstLineChars="200"/>
        <w:rPr>
          <w:rFonts w:ascii="宋体" w:hAnsi="宋体"/>
          <w:szCs w:val="24"/>
        </w:rPr>
      </w:pPr>
      <w:r>
        <w:rPr>
          <w:rFonts w:hint="eastAsia" w:ascii="宋体" w:hAnsi="宋体"/>
          <w:szCs w:val="24"/>
        </w:rPr>
        <w:t>本项目对可能产生地下水影响的</w:t>
      </w:r>
      <w:r>
        <w:rPr>
          <w:rFonts w:ascii="宋体" w:hAnsi="宋体"/>
          <w:szCs w:val="24"/>
        </w:rPr>
        <w:t>各项途径均进行有效预防，在确保各项防渗措施得以落实，并加强维护和项目环境管理的前提下，可有效控制项目内的污水渗漏现象，因此项目运营期不会对区域地下水环境产生不良影响。</w:t>
      </w:r>
    </w:p>
    <w:p>
      <w:pPr>
        <w:pStyle w:val="5"/>
      </w:pPr>
      <w:r>
        <w:rPr>
          <w:rFonts w:hint="eastAsia"/>
        </w:rPr>
        <w:t>声环境影响分析</w:t>
      </w:r>
    </w:p>
    <w:p>
      <w:pPr>
        <w:spacing w:line="360" w:lineRule="auto"/>
        <w:ind w:firstLine="480" w:firstLineChars="200"/>
      </w:pPr>
      <w:r>
        <w:rPr>
          <w:rFonts w:hint="eastAsia"/>
        </w:rPr>
        <w:t>（1）门诊社会噪声环境影响分析</w:t>
      </w:r>
    </w:p>
    <w:p>
      <w:pPr>
        <w:spacing w:line="360" w:lineRule="auto"/>
        <w:ind w:firstLine="480" w:firstLineChars="200"/>
        <w:rPr>
          <w:rFonts w:hAnsi="宋体" w:eastAsia="宋体" w:cs="Times New Roman"/>
          <w:szCs w:val="24"/>
        </w:rPr>
      </w:pPr>
      <w:r>
        <w:rPr>
          <w:rFonts w:hAnsi="宋体" w:eastAsia="宋体" w:cs="Times New Roman"/>
          <w:szCs w:val="24"/>
        </w:rPr>
        <w:t>门诊部就诊人员的嘈杂声可达</w:t>
      </w:r>
      <w:r>
        <w:rPr>
          <w:rFonts w:eastAsia="宋体" w:cs="Times New Roman"/>
          <w:szCs w:val="24"/>
        </w:rPr>
        <w:t>60~65dB(A)</w:t>
      </w:r>
      <w:r>
        <w:rPr>
          <w:rFonts w:hAnsi="宋体" w:eastAsia="宋体" w:cs="Times New Roman"/>
          <w:szCs w:val="24"/>
        </w:rPr>
        <w:t>。由于医院是需要保持安静的场所，人员活动时一般会有意识地保持安静；另外本项目就诊人员主要在门急诊医技大楼的一层大厅相对集中，嘈杂声较大，经各楼层隔声和距离衰减后不会对周围环境产生太大影响。</w:t>
      </w:r>
    </w:p>
    <w:p>
      <w:pPr>
        <w:spacing w:line="360" w:lineRule="auto"/>
        <w:ind w:firstLine="480" w:firstLineChars="200"/>
        <w:rPr>
          <w:rFonts w:hAnsi="宋体" w:eastAsia="宋体" w:cs="Times New Roman"/>
          <w:szCs w:val="24"/>
        </w:rPr>
      </w:pPr>
      <w:r>
        <w:rPr>
          <w:rFonts w:hint="eastAsia" w:hAnsi="宋体" w:eastAsia="宋体" w:cs="Times New Roman"/>
          <w:szCs w:val="24"/>
        </w:rPr>
        <w:t>（2）医院内设备噪声影响分析</w:t>
      </w:r>
    </w:p>
    <w:p>
      <w:pPr>
        <w:spacing w:line="360" w:lineRule="auto"/>
        <w:ind w:firstLine="480" w:firstLineChars="200"/>
        <w:rPr>
          <w:rFonts w:hAnsi="宋体" w:eastAsia="宋体" w:cs="Times New Roman"/>
          <w:szCs w:val="24"/>
        </w:rPr>
      </w:pPr>
      <w:r>
        <w:rPr>
          <w:rFonts w:hint="eastAsia" w:hAnsi="宋体" w:eastAsia="宋体" w:cs="Times New Roman"/>
          <w:szCs w:val="24"/>
        </w:rPr>
        <w:t>本项目营运期主要设备的噪声为医院内动力设备，详细见下表所示。</w:t>
      </w:r>
    </w:p>
    <w:p>
      <w:pPr>
        <w:pStyle w:val="14"/>
        <w:spacing w:line="240" w:lineRule="auto"/>
        <w:rPr>
          <w:rFonts w:hAnsi="宋体" w:cs="Times New Roman"/>
          <w:szCs w:val="24"/>
        </w:rPr>
      </w:pPr>
      <w:r>
        <w:rPr>
          <w:rFonts w:hint="eastAsia" w:hAnsi="宋体" w:cs="Times New Roman"/>
          <w:szCs w:val="24"/>
        </w:rPr>
        <w:t>表</w:t>
      </w:r>
      <w:r>
        <w:rPr>
          <w:rFonts w:hAnsi="宋体" w:cs="Times New Roman"/>
          <w:szCs w:val="24"/>
        </w:rPr>
        <w:fldChar w:fldCharType="begin"/>
      </w:r>
      <w:r>
        <w:rPr>
          <w:rFonts w:hAnsi="宋体" w:cs="Times New Roman"/>
          <w:szCs w:val="24"/>
        </w:rPr>
        <w:instrText xml:space="preserve"> </w:instrText>
      </w:r>
      <w:r>
        <w:rPr>
          <w:rFonts w:hint="eastAsia" w:hAnsi="宋体" w:cs="Times New Roman"/>
          <w:szCs w:val="24"/>
        </w:rPr>
        <w:instrText xml:space="preserve">STYLEREF 2 \s</w:instrText>
      </w:r>
      <w:r>
        <w:rPr>
          <w:rFonts w:hAnsi="宋体" w:cs="Times New Roman"/>
          <w:szCs w:val="24"/>
        </w:rPr>
        <w:instrText xml:space="preserve"> </w:instrText>
      </w:r>
      <w:r>
        <w:rPr>
          <w:rFonts w:hAnsi="宋体" w:cs="Times New Roman"/>
          <w:szCs w:val="24"/>
        </w:rPr>
        <w:fldChar w:fldCharType="separate"/>
      </w:r>
      <w:r>
        <w:rPr>
          <w:rFonts w:hAnsi="宋体" w:cs="Times New Roman"/>
          <w:szCs w:val="24"/>
        </w:rPr>
        <w:t>5.2</w:t>
      </w:r>
      <w:r>
        <w:rPr>
          <w:rFonts w:hAnsi="宋体" w:cs="Times New Roman"/>
          <w:szCs w:val="24"/>
        </w:rPr>
        <w:fldChar w:fldCharType="end"/>
      </w:r>
      <w:r>
        <w:rPr>
          <w:rFonts w:hAnsi="宋体" w:cs="Times New Roman"/>
          <w:szCs w:val="24"/>
        </w:rPr>
        <w:noBreakHyphen/>
      </w:r>
      <w:r>
        <w:rPr>
          <w:rFonts w:hAnsi="宋体" w:cs="Times New Roman"/>
          <w:szCs w:val="24"/>
        </w:rPr>
        <w:fldChar w:fldCharType="begin"/>
      </w:r>
      <w:r>
        <w:rPr>
          <w:rFonts w:hAnsi="宋体" w:cs="Times New Roman"/>
          <w:szCs w:val="24"/>
        </w:rPr>
        <w:instrText xml:space="preserve"> </w:instrText>
      </w:r>
      <w:r>
        <w:rPr>
          <w:rFonts w:hint="eastAsia" w:hAnsi="宋体" w:cs="Times New Roman"/>
          <w:szCs w:val="24"/>
        </w:rPr>
        <w:instrText xml:space="preserve">SEQ 表 \* ARABIC \s 2</w:instrText>
      </w:r>
      <w:r>
        <w:rPr>
          <w:rFonts w:hAnsi="宋体" w:cs="Times New Roman"/>
          <w:szCs w:val="24"/>
        </w:rPr>
        <w:instrText xml:space="preserve"> </w:instrText>
      </w:r>
      <w:r>
        <w:rPr>
          <w:rFonts w:hAnsi="宋体" w:cs="Times New Roman"/>
          <w:szCs w:val="24"/>
        </w:rPr>
        <w:fldChar w:fldCharType="separate"/>
      </w:r>
      <w:r>
        <w:rPr>
          <w:rFonts w:hAnsi="宋体" w:cs="Times New Roman"/>
          <w:szCs w:val="24"/>
        </w:rPr>
        <w:t>21</w:t>
      </w:r>
      <w:r>
        <w:rPr>
          <w:rFonts w:hAnsi="宋体" w:cs="Times New Roman"/>
          <w:szCs w:val="24"/>
        </w:rPr>
        <w:fldChar w:fldCharType="end"/>
      </w:r>
      <w:r>
        <w:rPr>
          <w:rFonts w:hint="eastAsia" w:hAnsi="宋体" w:cs="Times New Roman"/>
          <w:szCs w:val="24"/>
        </w:rPr>
        <w:t xml:space="preserve">   噪声源强一览表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154"/>
        <w:gridCol w:w="2644"/>
        <w:gridCol w:w="1695"/>
        <w:gridCol w:w="315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6" w:type="pct"/>
            <w:vAlign w:val="center"/>
          </w:tcPr>
          <w:p>
            <w:pPr>
              <w:snapToGrid w:val="0"/>
              <w:jc w:val="center"/>
              <w:rPr>
                <w:color w:val="000000" w:themeColor="text1"/>
                <w:sz w:val="21"/>
              </w:rPr>
            </w:pPr>
            <w:r>
              <w:rPr>
                <w:rFonts w:hAnsi="宋体"/>
                <w:color w:val="000000" w:themeColor="text1"/>
                <w:sz w:val="21"/>
              </w:rPr>
              <w:t>设备名称</w:t>
            </w:r>
          </w:p>
        </w:tc>
        <w:tc>
          <w:tcPr>
            <w:tcW w:w="1370" w:type="pct"/>
            <w:vAlign w:val="center"/>
          </w:tcPr>
          <w:p>
            <w:pPr>
              <w:snapToGrid w:val="0"/>
              <w:jc w:val="center"/>
              <w:rPr>
                <w:color w:val="000000" w:themeColor="text1"/>
                <w:sz w:val="21"/>
              </w:rPr>
            </w:pPr>
            <w:r>
              <w:rPr>
                <w:rFonts w:hint="eastAsia"/>
                <w:color w:val="000000" w:themeColor="text1"/>
                <w:sz w:val="21"/>
              </w:rPr>
              <w:t>设备位置</w:t>
            </w:r>
          </w:p>
        </w:tc>
        <w:tc>
          <w:tcPr>
            <w:tcW w:w="878" w:type="pct"/>
            <w:vAlign w:val="center"/>
          </w:tcPr>
          <w:p>
            <w:pPr>
              <w:snapToGrid w:val="0"/>
              <w:jc w:val="center"/>
              <w:rPr>
                <w:color w:val="000000" w:themeColor="text1"/>
                <w:sz w:val="21"/>
              </w:rPr>
            </w:pPr>
            <w:r>
              <w:rPr>
                <w:rFonts w:hint="eastAsia"/>
                <w:color w:val="000000" w:themeColor="text1"/>
                <w:sz w:val="21"/>
              </w:rPr>
              <w:t>运行时间</w:t>
            </w:r>
          </w:p>
        </w:tc>
        <w:tc>
          <w:tcPr>
            <w:tcW w:w="1636" w:type="pct"/>
            <w:vAlign w:val="center"/>
          </w:tcPr>
          <w:p>
            <w:pPr>
              <w:snapToGrid w:val="0"/>
              <w:jc w:val="center"/>
              <w:rPr>
                <w:color w:val="000000" w:themeColor="text1"/>
                <w:sz w:val="21"/>
              </w:rPr>
            </w:pPr>
            <w:r>
              <w:rPr>
                <w:rFonts w:hAnsi="宋体"/>
                <w:color w:val="000000" w:themeColor="text1"/>
                <w:sz w:val="21"/>
              </w:rPr>
              <w:t>噪声值范围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6" w:type="pct"/>
            <w:vAlign w:val="center"/>
          </w:tcPr>
          <w:p>
            <w:pPr>
              <w:pStyle w:val="36"/>
              <w:snapToGrid w:val="0"/>
              <w:jc w:val="center"/>
              <w:rPr>
                <w:color w:val="000000" w:themeColor="text1"/>
                <w:szCs w:val="21"/>
              </w:rPr>
            </w:pPr>
            <w:r>
              <w:rPr>
                <w:rFonts w:hAnsi="宋体"/>
                <w:color w:val="000000" w:themeColor="text1"/>
                <w:szCs w:val="21"/>
              </w:rPr>
              <w:t>排风机</w:t>
            </w:r>
          </w:p>
        </w:tc>
        <w:tc>
          <w:tcPr>
            <w:tcW w:w="1370" w:type="pct"/>
            <w:vAlign w:val="center"/>
          </w:tcPr>
          <w:p>
            <w:pPr>
              <w:pStyle w:val="36"/>
              <w:snapToGrid w:val="0"/>
              <w:jc w:val="center"/>
              <w:rPr>
                <w:color w:val="000000" w:themeColor="text1"/>
                <w:szCs w:val="21"/>
              </w:rPr>
            </w:pPr>
            <w:r>
              <w:rPr>
                <w:color w:val="000000" w:themeColor="text1"/>
                <w:szCs w:val="21"/>
              </w:rPr>
              <w:t>住院楼</w:t>
            </w:r>
          </w:p>
        </w:tc>
        <w:tc>
          <w:tcPr>
            <w:tcW w:w="878" w:type="pct"/>
            <w:vAlign w:val="center"/>
          </w:tcPr>
          <w:p>
            <w:pPr>
              <w:snapToGrid w:val="0"/>
              <w:jc w:val="center"/>
              <w:rPr>
                <w:color w:val="000000" w:themeColor="text1"/>
                <w:sz w:val="21"/>
              </w:rPr>
            </w:pPr>
            <w:r>
              <w:rPr>
                <w:rFonts w:hint="eastAsia"/>
                <w:color w:val="000000" w:themeColor="text1"/>
                <w:sz w:val="21"/>
              </w:rPr>
              <w:t>根据车流量间歇使用</w:t>
            </w:r>
          </w:p>
        </w:tc>
        <w:tc>
          <w:tcPr>
            <w:tcW w:w="1636" w:type="pct"/>
            <w:vAlign w:val="center"/>
          </w:tcPr>
          <w:p>
            <w:pPr>
              <w:snapToGrid w:val="0"/>
              <w:jc w:val="center"/>
              <w:rPr>
                <w:color w:val="000000" w:themeColor="text1"/>
                <w:sz w:val="21"/>
              </w:rPr>
            </w:pPr>
            <w:r>
              <w:rPr>
                <w:rFonts w:hint="eastAsia"/>
                <w:color w:val="000000" w:themeColor="text1"/>
                <w:sz w:val="21"/>
              </w:rPr>
              <w:t>70~80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6" w:type="pct"/>
            <w:vAlign w:val="center"/>
          </w:tcPr>
          <w:p>
            <w:pPr>
              <w:snapToGrid w:val="0"/>
              <w:jc w:val="center"/>
              <w:rPr>
                <w:color w:val="000000" w:themeColor="text1"/>
                <w:sz w:val="21"/>
              </w:rPr>
            </w:pPr>
            <w:r>
              <w:rPr>
                <w:rFonts w:hAnsi="宋体"/>
                <w:color w:val="000000" w:themeColor="text1"/>
                <w:sz w:val="21"/>
              </w:rPr>
              <w:t>中央空调</w:t>
            </w:r>
          </w:p>
        </w:tc>
        <w:tc>
          <w:tcPr>
            <w:tcW w:w="1370" w:type="pct"/>
            <w:vAlign w:val="center"/>
          </w:tcPr>
          <w:p>
            <w:pPr>
              <w:snapToGrid w:val="0"/>
              <w:jc w:val="center"/>
              <w:rPr>
                <w:color w:val="000000" w:themeColor="text1"/>
                <w:sz w:val="21"/>
              </w:rPr>
            </w:pPr>
            <w:r>
              <w:rPr>
                <w:color w:val="000000" w:themeColor="text1"/>
                <w:sz w:val="21"/>
              </w:rPr>
              <w:t>住院楼</w:t>
            </w:r>
          </w:p>
        </w:tc>
        <w:tc>
          <w:tcPr>
            <w:tcW w:w="878" w:type="pct"/>
            <w:vMerge w:val="restart"/>
            <w:vAlign w:val="center"/>
          </w:tcPr>
          <w:p>
            <w:pPr>
              <w:snapToGrid w:val="0"/>
              <w:jc w:val="center"/>
              <w:rPr>
                <w:color w:val="000000" w:themeColor="text1"/>
                <w:sz w:val="21"/>
              </w:rPr>
            </w:pPr>
            <w:r>
              <w:rPr>
                <w:rFonts w:hint="eastAsia"/>
                <w:color w:val="000000" w:themeColor="text1"/>
                <w:sz w:val="21"/>
              </w:rPr>
              <w:t>——</w:t>
            </w:r>
          </w:p>
        </w:tc>
        <w:tc>
          <w:tcPr>
            <w:tcW w:w="1636" w:type="pct"/>
            <w:vAlign w:val="center"/>
          </w:tcPr>
          <w:p>
            <w:pPr>
              <w:snapToGrid w:val="0"/>
              <w:jc w:val="center"/>
              <w:rPr>
                <w:color w:val="000000" w:themeColor="text1"/>
                <w:sz w:val="21"/>
              </w:rPr>
            </w:pPr>
            <w:r>
              <w:rPr>
                <w:rFonts w:hint="eastAsia"/>
                <w:color w:val="000000" w:themeColor="text1"/>
                <w:sz w:val="21"/>
              </w:rPr>
              <w:t>70</w:t>
            </w:r>
            <w:r>
              <w:rPr>
                <w:rFonts w:hAnsi="宋体"/>
                <w:color w:val="000000" w:themeColor="text1"/>
                <w:sz w:val="21"/>
              </w:rPr>
              <w:t>～</w:t>
            </w:r>
            <w:r>
              <w:rPr>
                <w:rFonts w:hint="eastAsia"/>
                <w:color w:val="000000" w:themeColor="text1"/>
                <w:sz w:val="21"/>
              </w:rPr>
              <w:t>75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6" w:type="pct"/>
            <w:vAlign w:val="center"/>
          </w:tcPr>
          <w:p>
            <w:pPr>
              <w:snapToGrid w:val="0"/>
              <w:jc w:val="center"/>
              <w:rPr>
                <w:color w:val="000000" w:themeColor="text1"/>
                <w:sz w:val="21"/>
              </w:rPr>
            </w:pPr>
            <w:r>
              <w:rPr>
                <w:rFonts w:hAnsi="宋体"/>
                <w:color w:val="000000" w:themeColor="text1"/>
                <w:sz w:val="21"/>
              </w:rPr>
              <w:t>中央空调冷却塔</w:t>
            </w:r>
          </w:p>
        </w:tc>
        <w:tc>
          <w:tcPr>
            <w:tcW w:w="1370" w:type="pct"/>
            <w:vAlign w:val="center"/>
          </w:tcPr>
          <w:p>
            <w:pPr>
              <w:snapToGrid w:val="0"/>
              <w:jc w:val="center"/>
              <w:rPr>
                <w:color w:val="000000" w:themeColor="text1"/>
                <w:sz w:val="21"/>
              </w:rPr>
            </w:pPr>
            <w:r>
              <w:rPr>
                <w:rFonts w:hint="eastAsia"/>
                <w:color w:val="000000" w:themeColor="text1"/>
                <w:sz w:val="21"/>
              </w:rPr>
              <w:t>建筑物顶部中部</w:t>
            </w:r>
          </w:p>
        </w:tc>
        <w:tc>
          <w:tcPr>
            <w:tcW w:w="878" w:type="pct"/>
            <w:vMerge w:val="continue"/>
            <w:vAlign w:val="center"/>
          </w:tcPr>
          <w:p>
            <w:pPr>
              <w:snapToGrid w:val="0"/>
              <w:jc w:val="center"/>
              <w:rPr>
                <w:color w:val="000000" w:themeColor="text1"/>
                <w:sz w:val="21"/>
              </w:rPr>
            </w:pPr>
          </w:p>
        </w:tc>
        <w:tc>
          <w:tcPr>
            <w:tcW w:w="1636" w:type="pct"/>
            <w:vAlign w:val="center"/>
          </w:tcPr>
          <w:p>
            <w:pPr>
              <w:snapToGrid w:val="0"/>
              <w:jc w:val="center"/>
              <w:rPr>
                <w:color w:val="000000" w:themeColor="text1"/>
                <w:sz w:val="21"/>
              </w:rPr>
            </w:pPr>
            <w:r>
              <w:rPr>
                <w:rFonts w:hint="eastAsia"/>
                <w:color w:val="000000" w:themeColor="text1"/>
                <w:sz w:val="21"/>
              </w:rPr>
              <w:t>75</w:t>
            </w:r>
            <w:r>
              <w:rPr>
                <w:rFonts w:hAnsi="宋体"/>
                <w:color w:val="000000" w:themeColor="text1"/>
                <w:sz w:val="21"/>
              </w:rPr>
              <w:t>～</w:t>
            </w:r>
            <w:r>
              <w:rPr>
                <w:rFonts w:hint="eastAsia"/>
                <w:color w:val="000000" w:themeColor="text1"/>
                <w:sz w:val="21"/>
              </w:rPr>
              <w:t>80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6" w:type="pct"/>
            <w:vAlign w:val="center"/>
          </w:tcPr>
          <w:p>
            <w:pPr>
              <w:snapToGrid w:val="0"/>
              <w:jc w:val="center"/>
              <w:rPr>
                <w:rFonts w:hAnsi="宋体"/>
                <w:color w:val="000000" w:themeColor="text1"/>
                <w:sz w:val="21"/>
              </w:rPr>
            </w:pPr>
            <w:r>
              <w:rPr>
                <w:rFonts w:hint="eastAsia" w:hAnsi="宋体"/>
                <w:color w:val="000000" w:themeColor="text1"/>
                <w:sz w:val="21"/>
              </w:rPr>
              <w:t>电梯</w:t>
            </w:r>
          </w:p>
        </w:tc>
        <w:tc>
          <w:tcPr>
            <w:tcW w:w="1370" w:type="pct"/>
            <w:vAlign w:val="center"/>
          </w:tcPr>
          <w:p>
            <w:pPr>
              <w:snapToGrid w:val="0"/>
              <w:jc w:val="center"/>
              <w:rPr>
                <w:color w:val="000000" w:themeColor="text1"/>
                <w:sz w:val="21"/>
              </w:rPr>
            </w:pPr>
            <w:r>
              <w:rPr>
                <w:rFonts w:hint="eastAsia"/>
                <w:color w:val="000000" w:themeColor="text1"/>
                <w:sz w:val="21"/>
              </w:rPr>
              <w:t>各建筑物内部</w:t>
            </w:r>
          </w:p>
        </w:tc>
        <w:tc>
          <w:tcPr>
            <w:tcW w:w="878" w:type="pct"/>
            <w:vAlign w:val="center"/>
          </w:tcPr>
          <w:p>
            <w:pPr>
              <w:snapToGrid w:val="0"/>
              <w:jc w:val="center"/>
              <w:rPr>
                <w:color w:val="000000" w:themeColor="text1"/>
                <w:sz w:val="21"/>
              </w:rPr>
            </w:pPr>
            <w:r>
              <w:rPr>
                <w:rFonts w:hint="eastAsia"/>
                <w:color w:val="000000" w:themeColor="text1"/>
                <w:sz w:val="21"/>
              </w:rPr>
              <w:t>根据人流量间歇使用</w:t>
            </w:r>
          </w:p>
        </w:tc>
        <w:tc>
          <w:tcPr>
            <w:tcW w:w="1636" w:type="pct"/>
            <w:vAlign w:val="center"/>
          </w:tcPr>
          <w:p>
            <w:pPr>
              <w:snapToGrid w:val="0"/>
              <w:jc w:val="center"/>
              <w:rPr>
                <w:color w:val="000000" w:themeColor="text1"/>
                <w:sz w:val="21"/>
              </w:rPr>
            </w:pPr>
            <w:r>
              <w:rPr>
                <w:rFonts w:hint="eastAsia"/>
                <w:color w:val="000000" w:themeColor="text1"/>
                <w:sz w:val="21"/>
              </w:rPr>
              <w:t>70</w:t>
            </w:r>
            <w:r>
              <w:rPr>
                <w:rFonts w:hAnsi="宋体"/>
                <w:color w:val="000000" w:themeColor="text1"/>
                <w:sz w:val="21"/>
              </w:rPr>
              <w:t>～</w:t>
            </w:r>
            <w:r>
              <w:rPr>
                <w:color w:val="000000" w:themeColor="text1"/>
                <w:sz w:val="21"/>
              </w:rPr>
              <w:t>7</w:t>
            </w:r>
            <w:r>
              <w:rPr>
                <w:rFonts w:hint="eastAsia"/>
                <w:color w:val="000000" w:themeColor="text1"/>
                <w:sz w:val="21"/>
              </w:rPr>
              <w:t>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6" w:type="pct"/>
            <w:vAlign w:val="center"/>
          </w:tcPr>
          <w:p>
            <w:pPr>
              <w:snapToGrid w:val="0"/>
              <w:jc w:val="center"/>
              <w:rPr>
                <w:rFonts w:hAnsi="宋体"/>
                <w:color w:val="000000" w:themeColor="text1"/>
                <w:sz w:val="21"/>
              </w:rPr>
            </w:pPr>
            <w:r>
              <w:rPr>
                <w:rFonts w:hint="eastAsia" w:hAnsi="宋体"/>
                <w:color w:val="000000" w:themeColor="text1"/>
                <w:sz w:val="21"/>
              </w:rPr>
              <w:t>柴油发电机</w:t>
            </w:r>
          </w:p>
        </w:tc>
        <w:tc>
          <w:tcPr>
            <w:tcW w:w="1370" w:type="pct"/>
            <w:vAlign w:val="center"/>
          </w:tcPr>
          <w:p>
            <w:pPr>
              <w:snapToGrid w:val="0"/>
              <w:jc w:val="center"/>
              <w:rPr>
                <w:color w:val="000000" w:themeColor="text1"/>
                <w:sz w:val="21"/>
              </w:rPr>
            </w:pPr>
            <w:r>
              <w:rPr>
                <w:rFonts w:hint="eastAsia"/>
                <w:color w:val="000000" w:themeColor="text1"/>
                <w:sz w:val="21"/>
              </w:rPr>
              <w:t>柴油发电房内</w:t>
            </w:r>
          </w:p>
        </w:tc>
        <w:tc>
          <w:tcPr>
            <w:tcW w:w="878" w:type="pct"/>
            <w:vAlign w:val="center"/>
          </w:tcPr>
          <w:p>
            <w:pPr>
              <w:snapToGrid w:val="0"/>
              <w:jc w:val="center"/>
              <w:rPr>
                <w:color w:val="000000" w:themeColor="text1"/>
                <w:sz w:val="21"/>
              </w:rPr>
            </w:pPr>
            <w:r>
              <w:rPr>
                <w:rFonts w:hint="eastAsia"/>
                <w:color w:val="000000" w:themeColor="text1"/>
                <w:sz w:val="21"/>
              </w:rPr>
              <w:t>临时使用</w:t>
            </w:r>
          </w:p>
        </w:tc>
        <w:tc>
          <w:tcPr>
            <w:tcW w:w="1636" w:type="pct"/>
            <w:vAlign w:val="center"/>
          </w:tcPr>
          <w:p>
            <w:pPr>
              <w:snapToGrid w:val="0"/>
              <w:jc w:val="center"/>
              <w:rPr>
                <w:color w:val="000000" w:themeColor="text1"/>
                <w:sz w:val="21"/>
              </w:rPr>
            </w:pPr>
            <w:r>
              <w:rPr>
                <w:rFonts w:hint="eastAsia"/>
                <w:color w:val="000000" w:themeColor="text1"/>
                <w:sz w:val="21"/>
              </w:rPr>
              <w:t>90~95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6" w:type="pct"/>
            <w:vAlign w:val="center"/>
          </w:tcPr>
          <w:p>
            <w:pPr>
              <w:snapToGrid w:val="0"/>
              <w:jc w:val="center"/>
              <w:rPr>
                <w:rFonts w:hAnsi="宋体"/>
                <w:color w:val="000000" w:themeColor="text1"/>
                <w:sz w:val="21"/>
              </w:rPr>
            </w:pPr>
            <w:r>
              <w:rPr>
                <w:rFonts w:hint="eastAsia" w:hAnsi="宋体"/>
                <w:color w:val="000000" w:themeColor="text1"/>
                <w:sz w:val="21"/>
              </w:rPr>
              <w:t>水泵</w:t>
            </w:r>
          </w:p>
        </w:tc>
        <w:tc>
          <w:tcPr>
            <w:tcW w:w="1370" w:type="pct"/>
            <w:vAlign w:val="center"/>
          </w:tcPr>
          <w:p>
            <w:pPr>
              <w:snapToGrid w:val="0"/>
              <w:jc w:val="center"/>
              <w:rPr>
                <w:color w:val="000000" w:themeColor="text1"/>
                <w:sz w:val="21"/>
              </w:rPr>
            </w:pPr>
            <w:r>
              <w:rPr>
                <w:rFonts w:hint="eastAsia"/>
                <w:color w:val="000000" w:themeColor="text1"/>
                <w:sz w:val="21"/>
              </w:rPr>
              <w:t>泵房</w:t>
            </w:r>
          </w:p>
        </w:tc>
        <w:tc>
          <w:tcPr>
            <w:tcW w:w="878" w:type="pct"/>
            <w:vAlign w:val="center"/>
          </w:tcPr>
          <w:p>
            <w:pPr>
              <w:snapToGrid w:val="0"/>
              <w:jc w:val="center"/>
              <w:rPr>
                <w:color w:val="000000" w:themeColor="text1"/>
                <w:sz w:val="21"/>
              </w:rPr>
            </w:pPr>
            <w:r>
              <w:rPr>
                <w:rFonts w:hint="eastAsia"/>
                <w:color w:val="000000" w:themeColor="text1"/>
                <w:sz w:val="21"/>
              </w:rPr>
              <w:t>加压水泵</w:t>
            </w:r>
          </w:p>
        </w:tc>
        <w:tc>
          <w:tcPr>
            <w:tcW w:w="1636" w:type="pct"/>
            <w:vAlign w:val="center"/>
          </w:tcPr>
          <w:p>
            <w:pPr>
              <w:snapToGrid w:val="0"/>
              <w:jc w:val="center"/>
              <w:rPr>
                <w:color w:val="000000" w:themeColor="text1"/>
                <w:sz w:val="21"/>
              </w:rPr>
            </w:pPr>
            <w:r>
              <w:rPr>
                <w:rFonts w:hint="eastAsia"/>
                <w:color w:val="000000" w:themeColor="text1"/>
                <w:sz w:val="21"/>
              </w:rPr>
              <w:t>75~80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6" w:type="pct"/>
            <w:vAlign w:val="center"/>
          </w:tcPr>
          <w:p>
            <w:pPr>
              <w:snapToGrid w:val="0"/>
              <w:jc w:val="center"/>
              <w:rPr>
                <w:rFonts w:hAnsi="宋体"/>
                <w:color w:val="000000" w:themeColor="text1"/>
                <w:sz w:val="21"/>
              </w:rPr>
            </w:pPr>
            <w:r>
              <w:rPr>
                <w:rFonts w:hint="eastAsia" w:hAnsi="宋体"/>
                <w:color w:val="000000" w:themeColor="text1"/>
                <w:sz w:val="21"/>
              </w:rPr>
              <w:t>锅炉</w:t>
            </w:r>
          </w:p>
        </w:tc>
        <w:tc>
          <w:tcPr>
            <w:tcW w:w="1370" w:type="pct"/>
            <w:vAlign w:val="center"/>
          </w:tcPr>
          <w:p>
            <w:pPr>
              <w:snapToGrid w:val="0"/>
              <w:jc w:val="center"/>
              <w:rPr>
                <w:color w:val="000000" w:themeColor="text1"/>
                <w:sz w:val="21"/>
              </w:rPr>
            </w:pPr>
            <w:r>
              <w:rPr>
                <w:rFonts w:hint="eastAsia"/>
                <w:color w:val="000000" w:themeColor="text1"/>
                <w:sz w:val="21"/>
              </w:rPr>
              <w:t>锅炉房内</w:t>
            </w:r>
          </w:p>
        </w:tc>
        <w:tc>
          <w:tcPr>
            <w:tcW w:w="878" w:type="pct"/>
            <w:vAlign w:val="center"/>
          </w:tcPr>
          <w:p>
            <w:pPr>
              <w:snapToGrid w:val="0"/>
              <w:jc w:val="center"/>
              <w:rPr>
                <w:color w:val="000000" w:themeColor="text1"/>
                <w:sz w:val="21"/>
              </w:rPr>
            </w:pPr>
            <w:r>
              <w:rPr>
                <w:rFonts w:hint="eastAsia"/>
                <w:color w:val="000000" w:themeColor="text1"/>
                <w:sz w:val="21"/>
              </w:rPr>
              <w:t>风机、泵</w:t>
            </w:r>
          </w:p>
        </w:tc>
        <w:tc>
          <w:tcPr>
            <w:tcW w:w="1636" w:type="pct"/>
            <w:vAlign w:val="center"/>
          </w:tcPr>
          <w:p>
            <w:pPr>
              <w:snapToGrid w:val="0"/>
              <w:jc w:val="center"/>
              <w:rPr>
                <w:color w:val="000000" w:themeColor="text1"/>
                <w:sz w:val="21"/>
              </w:rPr>
            </w:pPr>
            <w:r>
              <w:rPr>
                <w:rFonts w:hint="eastAsia"/>
                <w:color w:val="000000" w:themeColor="text1"/>
                <w:sz w:val="21"/>
              </w:rPr>
              <w:t>85~90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6" w:type="pct"/>
            <w:vAlign w:val="center"/>
          </w:tcPr>
          <w:p>
            <w:pPr>
              <w:jc w:val="center"/>
              <w:rPr>
                <w:color w:val="000000" w:themeColor="text1"/>
                <w:sz w:val="21"/>
              </w:rPr>
            </w:pPr>
            <w:r>
              <w:rPr>
                <w:color w:val="000000" w:themeColor="text1"/>
                <w:sz w:val="21"/>
              </w:rPr>
              <w:t>人流</w:t>
            </w:r>
          </w:p>
        </w:tc>
        <w:tc>
          <w:tcPr>
            <w:tcW w:w="1370" w:type="pct"/>
            <w:vAlign w:val="center"/>
          </w:tcPr>
          <w:p>
            <w:pPr>
              <w:jc w:val="center"/>
              <w:rPr>
                <w:color w:val="000000" w:themeColor="text1"/>
                <w:sz w:val="21"/>
              </w:rPr>
            </w:pPr>
            <w:r>
              <w:rPr>
                <w:rFonts w:hint="eastAsia"/>
                <w:color w:val="000000" w:themeColor="text1"/>
                <w:sz w:val="21"/>
              </w:rPr>
              <w:t>/</w:t>
            </w:r>
          </w:p>
        </w:tc>
        <w:tc>
          <w:tcPr>
            <w:tcW w:w="878" w:type="pct"/>
            <w:vAlign w:val="center"/>
          </w:tcPr>
          <w:p>
            <w:pPr>
              <w:jc w:val="center"/>
              <w:rPr>
                <w:color w:val="000000" w:themeColor="text1"/>
                <w:sz w:val="21"/>
              </w:rPr>
            </w:pPr>
            <w:r>
              <w:rPr>
                <w:color w:val="000000" w:themeColor="text1"/>
                <w:sz w:val="21"/>
              </w:rPr>
              <w:t>门急诊楼</w:t>
            </w:r>
          </w:p>
        </w:tc>
        <w:tc>
          <w:tcPr>
            <w:tcW w:w="1636" w:type="pct"/>
            <w:vAlign w:val="center"/>
          </w:tcPr>
          <w:p>
            <w:pPr>
              <w:snapToGrid w:val="0"/>
              <w:jc w:val="center"/>
              <w:rPr>
                <w:color w:val="000000" w:themeColor="text1"/>
                <w:sz w:val="21"/>
              </w:rPr>
            </w:pPr>
            <w:r>
              <w:rPr>
                <w:rFonts w:hint="eastAsia"/>
                <w:color w:val="000000" w:themeColor="text1"/>
                <w:sz w:val="21"/>
              </w:rPr>
              <w:t>65~70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6" w:type="pct"/>
            <w:vAlign w:val="center"/>
          </w:tcPr>
          <w:p>
            <w:pPr>
              <w:jc w:val="center"/>
              <w:rPr>
                <w:color w:val="000000" w:themeColor="text1"/>
                <w:sz w:val="21"/>
              </w:rPr>
            </w:pPr>
            <w:r>
              <w:rPr>
                <w:color w:val="000000" w:themeColor="text1"/>
                <w:sz w:val="21"/>
              </w:rPr>
              <w:t>车辆</w:t>
            </w:r>
          </w:p>
        </w:tc>
        <w:tc>
          <w:tcPr>
            <w:tcW w:w="1370" w:type="pct"/>
            <w:vAlign w:val="center"/>
          </w:tcPr>
          <w:p>
            <w:pPr>
              <w:jc w:val="center"/>
              <w:rPr>
                <w:color w:val="000000" w:themeColor="text1"/>
                <w:sz w:val="21"/>
              </w:rPr>
            </w:pPr>
            <w:r>
              <w:rPr>
                <w:rFonts w:hint="eastAsia"/>
                <w:color w:val="000000" w:themeColor="text1"/>
                <w:sz w:val="21"/>
              </w:rPr>
              <w:t>/</w:t>
            </w:r>
          </w:p>
        </w:tc>
        <w:tc>
          <w:tcPr>
            <w:tcW w:w="878" w:type="pct"/>
            <w:vAlign w:val="center"/>
          </w:tcPr>
          <w:p>
            <w:pPr>
              <w:jc w:val="center"/>
              <w:rPr>
                <w:color w:val="000000" w:themeColor="text1"/>
                <w:sz w:val="21"/>
              </w:rPr>
            </w:pPr>
            <w:r>
              <w:rPr>
                <w:color w:val="000000" w:themeColor="text1"/>
                <w:sz w:val="21"/>
              </w:rPr>
              <w:t>停车场</w:t>
            </w:r>
          </w:p>
        </w:tc>
        <w:tc>
          <w:tcPr>
            <w:tcW w:w="1636" w:type="pct"/>
            <w:vAlign w:val="center"/>
          </w:tcPr>
          <w:p>
            <w:pPr>
              <w:snapToGrid w:val="0"/>
              <w:jc w:val="center"/>
              <w:rPr>
                <w:color w:val="000000" w:themeColor="text1"/>
                <w:sz w:val="21"/>
              </w:rPr>
            </w:pPr>
            <w:r>
              <w:rPr>
                <w:rFonts w:hint="eastAsia"/>
                <w:color w:val="000000" w:themeColor="text1"/>
                <w:sz w:val="21"/>
              </w:rPr>
              <w:t>65~70</w:t>
            </w:r>
          </w:p>
        </w:tc>
      </w:tr>
    </w:tbl>
    <w:p>
      <w:pPr>
        <w:pStyle w:val="14"/>
        <w:adjustRightInd w:val="0"/>
        <w:snapToGrid w:val="0"/>
        <w:ind w:firstLine="480" w:firstLineChars="200"/>
        <w:jc w:val="left"/>
        <w:rPr>
          <w:rFonts w:hAnsi="宋体" w:cs="Times New Roman"/>
          <w:b w:val="0"/>
          <w:szCs w:val="24"/>
        </w:rPr>
      </w:pPr>
      <w:r>
        <w:rPr>
          <w:rFonts w:hAnsi="宋体" w:cs="Times New Roman"/>
          <w:b w:val="0"/>
          <w:szCs w:val="24"/>
        </w:rPr>
        <w:t>本项目为补办环评</w:t>
      </w:r>
      <w:r>
        <w:rPr>
          <w:rFonts w:hint="eastAsia" w:hAnsi="宋体" w:cs="Times New Roman"/>
          <w:b w:val="0"/>
          <w:szCs w:val="24"/>
        </w:rPr>
        <w:t>，</w:t>
      </w:r>
      <w:r>
        <w:rPr>
          <w:rFonts w:hAnsi="宋体" w:cs="Times New Roman"/>
          <w:b w:val="0"/>
          <w:szCs w:val="24"/>
        </w:rPr>
        <w:t>本项目在运营</w:t>
      </w:r>
      <w:r>
        <w:rPr>
          <w:rFonts w:hint="eastAsia" w:hAnsi="宋体" w:cs="Times New Roman"/>
          <w:b w:val="0"/>
          <w:szCs w:val="24"/>
        </w:rPr>
        <w:t>时，</w:t>
      </w:r>
      <w:r>
        <w:rPr>
          <w:rFonts w:hAnsi="宋体" w:cs="Times New Roman"/>
          <w:b w:val="0"/>
          <w:szCs w:val="24"/>
        </w:rPr>
        <w:t>特委托湖南精准通检测技术有限公司于</w:t>
      </w:r>
      <w:r>
        <w:rPr>
          <w:rFonts w:hint="eastAsia" w:hAnsi="宋体" w:cs="Times New Roman"/>
          <w:b w:val="0"/>
          <w:szCs w:val="24"/>
        </w:rPr>
        <w:t>2019.8.1~2019.8.2对本项目厂界的噪声进行现场监测，根据</w:t>
      </w:r>
      <w:r>
        <w:fldChar w:fldCharType="begin"/>
      </w:r>
      <w:r>
        <w:instrText xml:space="preserve"> REF _Ref25071567 \h  \* MERGEFORMAT </w:instrText>
      </w:r>
      <w:r>
        <w:fldChar w:fldCharType="separate"/>
      </w:r>
      <w:r>
        <w:rPr>
          <w:rFonts w:hint="eastAsia"/>
          <w:b w:val="0"/>
          <w:color w:val="000000" w:themeColor="text1"/>
        </w:rPr>
        <w:t>表</w:t>
      </w:r>
      <w:r>
        <w:rPr>
          <w:b w:val="0"/>
          <w:color w:val="000000" w:themeColor="text1"/>
        </w:rPr>
        <w:t>4.2</w:t>
      </w:r>
      <w:r>
        <w:rPr>
          <w:b w:val="0"/>
          <w:color w:val="000000" w:themeColor="text1"/>
        </w:rPr>
        <w:noBreakHyphen/>
      </w:r>
      <w:r>
        <w:rPr>
          <w:b w:val="0"/>
          <w:color w:val="000000" w:themeColor="text1"/>
        </w:rPr>
        <w:t>5</w:t>
      </w:r>
      <w:r>
        <w:rPr>
          <w:b w:val="0"/>
          <w:color w:val="000000" w:themeColor="text1"/>
        </w:rPr>
        <w:fldChar w:fldCharType="end"/>
      </w:r>
      <w:r>
        <w:rPr>
          <w:rFonts w:hAnsi="宋体" w:cs="Times New Roman"/>
          <w:b w:val="0"/>
          <w:szCs w:val="24"/>
        </w:rPr>
        <w:t>可知</w:t>
      </w:r>
      <w:r>
        <w:rPr>
          <w:rFonts w:hint="eastAsia" w:hAnsi="宋体" w:cs="Times New Roman"/>
          <w:b w:val="0"/>
          <w:szCs w:val="24"/>
        </w:rPr>
        <w:t>，</w:t>
      </w:r>
      <w:r>
        <w:rPr>
          <w:rFonts w:hAnsi="宋体" w:cs="Times New Roman"/>
          <w:b w:val="0"/>
          <w:szCs w:val="24"/>
        </w:rPr>
        <w:t>本项目厂界北面</w:t>
      </w:r>
      <w:r>
        <w:rPr>
          <w:rFonts w:hint="eastAsia" w:hAnsi="宋体" w:cs="Times New Roman"/>
          <w:b w:val="0"/>
          <w:szCs w:val="24"/>
        </w:rPr>
        <w:t>、</w:t>
      </w:r>
      <w:r>
        <w:rPr>
          <w:rFonts w:hAnsi="宋体" w:cs="Times New Roman"/>
          <w:b w:val="0"/>
          <w:szCs w:val="24"/>
        </w:rPr>
        <w:t>东面</w:t>
      </w:r>
      <w:r>
        <w:rPr>
          <w:rFonts w:hint="eastAsia" w:hAnsi="宋体" w:cs="Times New Roman"/>
          <w:b w:val="0"/>
          <w:szCs w:val="24"/>
        </w:rPr>
        <w:t>、</w:t>
      </w:r>
      <w:r>
        <w:rPr>
          <w:rFonts w:hAnsi="宋体" w:cs="Times New Roman"/>
          <w:b w:val="0"/>
          <w:szCs w:val="24"/>
        </w:rPr>
        <w:t>南面和西面可满足</w:t>
      </w:r>
      <w:r>
        <w:rPr>
          <w:rFonts w:hint="eastAsia"/>
          <w:b w:val="0"/>
          <w:color w:val="000000" w:themeColor="text1"/>
        </w:rPr>
        <w:t>《声环境质量标准》（GB3096-2008）2类标准。</w:t>
      </w:r>
    </w:p>
    <w:p>
      <w:pPr>
        <w:pStyle w:val="14"/>
        <w:ind w:firstLine="480" w:firstLineChars="200"/>
        <w:jc w:val="left"/>
        <w:rPr>
          <w:rFonts w:hAnsi="宋体" w:cs="Times New Roman"/>
          <w:b w:val="0"/>
          <w:szCs w:val="24"/>
        </w:rPr>
      </w:pPr>
      <w:r>
        <w:rPr>
          <w:rFonts w:hint="eastAsia" w:hAnsi="宋体" w:cs="Times New Roman"/>
          <w:b w:val="0"/>
          <w:szCs w:val="24"/>
        </w:rPr>
        <w:t>（3）机动车噪声分析</w:t>
      </w:r>
    </w:p>
    <w:p>
      <w:pPr>
        <w:spacing w:line="360" w:lineRule="auto"/>
        <w:ind w:firstLine="480" w:firstLineChars="200"/>
      </w:pPr>
      <w:r>
        <w:rPr>
          <w:rFonts w:hint="eastAsia"/>
        </w:rPr>
        <w:t>医院内交通噪声主要是看病人员汽车（基本为小型车）出入的交通噪声，一般时速在10km/h，则其噪声约为65~70dB（A）。由于车辆进出时间随机，一般都是单独车辆进出，因此本评价预测某一车辆进出车库时噪声对周围环境的影响。</w:t>
      </w:r>
    </w:p>
    <w:p>
      <w:pPr>
        <w:pStyle w:val="14"/>
        <w:spacing w:line="240" w:lineRule="auto"/>
      </w:pPr>
      <w:r>
        <w:rPr>
          <w:rFonts w:hint="eastAsia"/>
        </w:rPr>
        <w:t>表</w:t>
      </w:r>
      <w:r>
        <w:fldChar w:fldCharType="begin"/>
      </w:r>
      <w:r>
        <w:instrText xml:space="preserve"> STYLEREF 2 \s </w:instrText>
      </w:r>
      <w:r>
        <w:fldChar w:fldCharType="separate"/>
      </w:r>
      <w: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22</w:t>
      </w:r>
      <w:r>
        <w:fldChar w:fldCharType="end"/>
      </w:r>
      <w:r>
        <w:rPr>
          <w:rFonts w:hint="eastAsia"/>
        </w:rPr>
        <w:t xml:space="preserve">  汽车行驶噪声随距离衰减计算结果  单位：dB（A）</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65"/>
        <w:gridCol w:w="965"/>
        <w:gridCol w:w="965"/>
        <w:gridCol w:w="965"/>
        <w:gridCol w:w="965"/>
        <w:gridCol w:w="965"/>
        <w:gridCol w:w="965"/>
        <w:gridCol w:w="965"/>
        <w:gridCol w:w="965"/>
        <w:gridCol w:w="96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0" w:hRule="atLeast"/>
        </w:trPr>
        <w:tc>
          <w:tcPr>
            <w:tcW w:w="500" w:type="pct"/>
            <w:vAlign w:val="center"/>
          </w:tcPr>
          <w:p>
            <w:pPr>
              <w:jc w:val="center"/>
              <w:rPr>
                <w:rFonts w:eastAsia="宋体" w:cs="Times New Roman"/>
                <w:sz w:val="21"/>
              </w:rPr>
            </w:pPr>
            <w:r>
              <w:rPr>
                <w:rFonts w:cs="Times New Roman"/>
                <w:sz w:val="21"/>
              </w:rPr>
              <w:t>距离</w:t>
            </w:r>
          </w:p>
        </w:tc>
        <w:tc>
          <w:tcPr>
            <w:tcW w:w="500" w:type="pct"/>
            <w:vAlign w:val="center"/>
          </w:tcPr>
          <w:p>
            <w:pPr>
              <w:jc w:val="center"/>
              <w:rPr>
                <w:rFonts w:eastAsia="宋体" w:cs="Times New Roman"/>
                <w:sz w:val="21"/>
              </w:rPr>
            </w:pPr>
            <w:r>
              <w:rPr>
                <w:rFonts w:cs="Times New Roman"/>
                <w:sz w:val="21"/>
              </w:rPr>
              <w:t>源强</w:t>
            </w:r>
          </w:p>
        </w:tc>
        <w:tc>
          <w:tcPr>
            <w:tcW w:w="500" w:type="pct"/>
            <w:vAlign w:val="center"/>
          </w:tcPr>
          <w:p>
            <w:pPr>
              <w:jc w:val="center"/>
              <w:rPr>
                <w:rFonts w:eastAsia="宋体" w:cs="Times New Roman"/>
                <w:sz w:val="21"/>
              </w:rPr>
            </w:pPr>
            <w:r>
              <w:rPr>
                <w:rFonts w:cs="Times New Roman"/>
                <w:sz w:val="21"/>
              </w:rPr>
              <w:t>5m</w:t>
            </w:r>
          </w:p>
        </w:tc>
        <w:tc>
          <w:tcPr>
            <w:tcW w:w="500" w:type="pct"/>
            <w:vAlign w:val="center"/>
          </w:tcPr>
          <w:p>
            <w:pPr>
              <w:jc w:val="center"/>
              <w:rPr>
                <w:rFonts w:eastAsia="宋体" w:cs="Times New Roman"/>
                <w:sz w:val="21"/>
              </w:rPr>
            </w:pPr>
            <w:r>
              <w:rPr>
                <w:rFonts w:cs="Times New Roman"/>
                <w:sz w:val="21"/>
              </w:rPr>
              <w:t>10m</w:t>
            </w:r>
          </w:p>
        </w:tc>
        <w:tc>
          <w:tcPr>
            <w:tcW w:w="500" w:type="pct"/>
            <w:vAlign w:val="center"/>
          </w:tcPr>
          <w:p>
            <w:pPr>
              <w:jc w:val="center"/>
              <w:rPr>
                <w:rFonts w:eastAsia="宋体" w:cs="Times New Roman"/>
                <w:sz w:val="21"/>
              </w:rPr>
            </w:pPr>
            <w:r>
              <w:rPr>
                <w:rFonts w:cs="Times New Roman"/>
                <w:sz w:val="21"/>
              </w:rPr>
              <w:t>15m</w:t>
            </w:r>
          </w:p>
        </w:tc>
        <w:tc>
          <w:tcPr>
            <w:tcW w:w="500" w:type="pct"/>
            <w:vAlign w:val="center"/>
          </w:tcPr>
          <w:p>
            <w:pPr>
              <w:jc w:val="center"/>
              <w:rPr>
                <w:rFonts w:eastAsia="宋体" w:cs="Times New Roman"/>
                <w:sz w:val="21"/>
              </w:rPr>
            </w:pPr>
            <w:r>
              <w:rPr>
                <w:rFonts w:cs="Times New Roman"/>
                <w:sz w:val="21"/>
              </w:rPr>
              <w:t>20m</w:t>
            </w:r>
          </w:p>
        </w:tc>
        <w:tc>
          <w:tcPr>
            <w:tcW w:w="500" w:type="pct"/>
            <w:vAlign w:val="center"/>
          </w:tcPr>
          <w:p>
            <w:pPr>
              <w:jc w:val="center"/>
              <w:rPr>
                <w:rFonts w:eastAsia="宋体" w:cs="Times New Roman"/>
                <w:sz w:val="21"/>
              </w:rPr>
            </w:pPr>
            <w:r>
              <w:rPr>
                <w:rFonts w:cs="Times New Roman"/>
                <w:sz w:val="21"/>
              </w:rPr>
              <w:t>25m</w:t>
            </w:r>
          </w:p>
        </w:tc>
        <w:tc>
          <w:tcPr>
            <w:tcW w:w="500" w:type="pct"/>
            <w:vAlign w:val="center"/>
          </w:tcPr>
          <w:p>
            <w:pPr>
              <w:jc w:val="center"/>
              <w:rPr>
                <w:rFonts w:eastAsia="宋体" w:cs="Times New Roman"/>
                <w:sz w:val="21"/>
              </w:rPr>
            </w:pPr>
            <w:r>
              <w:rPr>
                <w:rFonts w:cs="Times New Roman"/>
                <w:sz w:val="21"/>
              </w:rPr>
              <w:t>30m</w:t>
            </w:r>
          </w:p>
        </w:tc>
        <w:tc>
          <w:tcPr>
            <w:tcW w:w="500" w:type="pct"/>
            <w:vAlign w:val="center"/>
          </w:tcPr>
          <w:p>
            <w:pPr>
              <w:jc w:val="center"/>
              <w:rPr>
                <w:rFonts w:eastAsia="宋体" w:cs="Times New Roman"/>
                <w:sz w:val="21"/>
              </w:rPr>
            </w:pPr>
            <w:r>
              <w:rPr>
                <w:rFonts w:cs="Times New Roman"/>
                <w:sz w:val="21"/>
              </w:rPr>
              <w:t>35m</w:t>
            </w:r>
          </w:p>
        </w:tc>
        <w:tc>
          <w:tcPr>
            <w:tcW w:w="500" w:type="pct"/>
            <w:vAlign w:val="center"/>
          </w:tcPr>
          <w:p>
            <w:pPr>
              <w:jc w:val="center"/>
              <w:rPr>
                <w:rFonts w:eastAsia="宋体" w:cs="Times New Roman"/>
                <w:sz w:val="21"/>
              </w:rPr>
            </w:pPr>
            <w:r>
              <w:rPr>
                <w:rFonts w:cs="Times New Roman"/>
                <w:sz w:val="21"/>
              </w:rPr>
              <w:t>40m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500" w:type="pct"/>
            <w:vAlign w:val="center"/>
          </w:tcPr>
          <w:p>
            <w:pPr>
              <w:jc w:val="center"/>
              <w:rPr>
                <w:rFonts w:eastAsia="宋体" w:cs="Times New Roman"/>
                <w:sz w:val="21"/>
              </w:rPr>
            </w:pPr>
            <w:r>
              <w:rPr>
                <w:rFonts w:cs="Times New Roman"/>
                <w:sz w:val="21"/>
              </w:rPr>
              <w:t>噪声值</w:t>
            </w:r>
          </w:p>
        </w:tc>
        <w:tc>
          <w:tcPr>
            <w:tcW w:w="500" w:type="pct"/>
            <w:vAlign w:val="center"/>
          </w:tcPr>
          <w:p>
            <w:pPr>
              <w:jc w:val="center"/>
              <w:rPr>
                <w:rFonts w:eastAsia="宋体" w:cs="Times New Roman"/>
                <w:sz w:val="21"/>
              </w:rPr>
            </w:pPr>
            <w:r>
              <w:rPr>
                <w:rFonts w:cs="Times New Roman"/>
                <w:sz w:val="21"/>
              </w:rPr>
              <w:t>70</w:t>
            </w:r>
          </w:p>
        </w:tc>
        <w:tc>
          <w:tcPr>
            <w:tcW w:w="500" w:type="pct"/>
            <w:vAlign w:val="center"/>
          </w:tcPr>
          <w:p>
            <w:pPr>
              <w:jc w:val="center"/>
              <w:rPr>
                <w:rFonts w:eastAsia="宋体" w:cs="Times New Roman"/>
                <w:sz w:val="21"/>
              </w:rPr>
            </w:pPr>
            <w:r>
              <w:rPr>
                <w:rFonts w:cs="Times New Roman"/>
                <w:sz w:val="21"/>
              </w:rPr>
              <w:t>56</w:t>
            </w:r>
          </w:p>
        </w:tc>
        <w:tc>
          <w:tcPr>
            <w:tcW w:w="500" w:type="pct"/>
            <w:vAlign w:val="center"/>
          </w:tcPr>
          <w:p>
            <w:pPr>
              <w:jc w:val="center"/>
              <w:rPr>
                <w:rFonts w:eastAsia="宋体" w:cs="Times New Roman"/>
                <w:sz w:val="21"/>
              </w:rPr>
            </w:pPr>
            <w:r>
              <w:rPr>
                <w:rFonts w:cs="Times New Roman"/>
                <w:sz w:val="21"/>
              </w:rPr>
              <w:t>50</w:t>
            </w:r>
          </w:p>
        </w:tc>
        <w:tc>
          <w:tcPr>
            <w:tcW w:w="500" w:type="pct"/>
            <w:vAlign w:val="center"/>
          </w:tcPr>
          <w:p>
            <w:pPr>
              <w:jc w:val="center"/>
              <w:rPr>
                <w:rFonts w:eastAsia="宋体" w:cs="Times New Roman"/>
                <w:sz w:val="21"/>
              </w:rPr>
            </w:pPr>
            <w:r>
              <w:rPr>
                <w:rFonts w:cs="Times New Roman"/>
                <w:sz w:val="21"/>
              </w:rPr>
              <w:t>46.5</w:t>
            </w:r>
          </w:p>
        </w:tc>
        <w:tc>
          <w:tcPr>
            <w:tcW w:w="500" w:type="pct"/>
            <w:vAlign w:val="center"/>
          </w:tcPr>
          <w:p>
            <w:pPr>
              <w:jc w:val="center"/>
              <w:rPr>
                <w:rFonts w:eastAsia="宋体" w:cs="Times New Roman"/>
                <w:sz w:val="21"/>
              </w:rPr>
            </w:pPr>
            <w:r>
              <w:rPr>
                <w:rFonts w:cs="Times New Roman"/>
                <w:sz w:val="21"/>
              </w:rPr>
              <w:t>44</w:t>
            </w:r>
          </w:p>
        </w:tc>
        <w:tc>
          <w:tcPr>
            <w:tcW w:w="500" w:type="pct"/>
            <w:vAlign w:val="center"/>
          </w:tcPr>
          <w:p>
            <w:pPr>
              <w:jc w:val="center"/>
              <w:rPr>
                <w:rFonts w:eastAsia="宋体" w:cs="Times New Roman"/>
                <w:sz w:val="21"/>
              </w:rPr>
            </w:pPr>
            <w:r>
              <w:rPr>
                <w:rFonts w:cs="Times New Roman"/>
                <w:sz w:val="21"/>
              </w:rPr>
              <w:t>42</w:t>
            </w:r>
          </w:p>
        </w:tc>
        <w:tc>
          <w:tcPr>
            <w:tcW w:w="500" w:type="pct"/>
            <w:vAlign w:val="center"/>
          </w:tcPr>
          <w:p>
            <w:pPr>
              <w:jc w:val="center"/>
              <w:rPr>
                <w:rFonts w:eastAsia="宋体" w:cs="Times New Roman"/>
                <w:sz w:val="21"/>
              </w:rPr>
            </w:pPr>
            <w:r>
              <w:rPr>
                <w:rFonts w:cs="Times New Roman"/>
                <w:sz w:val="21"/>
              </w:rPr>
              <w:t>40.5</w:t>
            </w:r>
          </w:p>
        </w:tc>
        <w:tc>
          <w:tcPr>
            <w:tcW w:w="500" w:type="pct"/>
            <w:vAlign w:val="center"/>
          </w:tcPr>
          <w:p>
            <w:pPr>
              <w:jc w:val="center"/>
              <w:rPr>
                <w:rFonts w:eastAsia="宋体" w:cs="Times New Roman"/>
                <w:sz w:val="21"/>
              </w:rPr>
            </w:pPr>
            <w:r>
              <w:rPr>
                <w:rFonts w:cs="Times New Roman"/>
                <w:sz w:val="21"/>
              </w:rPr>
              <w:t>39</w:t>
            </w:r>
          </w:p>
        </w:tc>
        <w:tc>
          <w:tcPr>
            <w:tcW w:w="500" w:type="pct"/>
            <w:vAlign w:val="center"/>
          </w:tcPr>
          <w:p>
            <w:pPr>
              <w:jc w:val="center"/>
              <w:rPr>
                <w:rFonts w:eastAsia="宋体" w:cs="Times New Roman"/>
                <w:sz w:val="21"/>
              </w:rPr>
            </w:pPr>
            <w:r>
              <w:rPr>
                <w:rFonts w:cs="Times New Roman"/>
                <w:sz w:val="21"/>
              </w:rPr>
              <w:t>38</w:t>
            </w:r>
          </w:p>
        </w:tc>
      </w:tr>
    </w:tbl>
    <w:p>
      <w:pPr>
        <w:spacing w:line="360" w:lineRule="auto"/>
        <w:ind w:firstLine="480" w:firstLineChars="200"/>
        <w:rPr>
          <w:rFonts w:cs="Times New Roman"/>
          <w:szCs w:val="24"/>
        </w:rPr>
      </w:pPr>
      <w:r>
        <w:rPr>
          <w:rFonts w:cs="Times New Roman"/>
          <w:szCs w:val="24"/>
        </w:rPr>
        <w:t>由预测结果可知，汽车行驶噪声在10m外的噪声值已衰减为50dB(A)，基本能满足《工业企业厂界环境噪声排放标准》（GB12348-2008）中边界外噪声2类标准的要求，且由于墙体等屏障衰减作用，住院楼等受其影响将不明显。</w:t>
      </w:r>
    </w:p>
    <w:p>
      <w:pPr>
        <w:spacing w:line="360" w:lineRule="auto"/>
        <w:ind w:firstLine="480" w:firstLineChars="200"/>
        <w:rPr>
          <w:rFonts w:cs="Times New Roman"/>
          <w:szCs w:val="24"/>
        </w:rPr>
      </w:pPr>
      <w:r>
        <w:rPr>
          <w:rFonts w:cs="Times New Roman"/>
          <w:szCs w:val="24"/>
        </w:rPr>
        <w:t>鸣笛的噪声源强为78～84dB(A)，为保证医院内特殊环境，医院内道路及车库应设置禁止鸣笛标志，以避免鸣笛噪声对病人的影响。</w:t>
      </w:r>
    </w:p>
    <w:p>
      <w:pPr>
        <w:spacing w:line="360" w:lineRule="auto"/>
        <w:ind w:firstLine="480" w:firstLineChars="200"/>
        <w:rPr>
          <w:rFonts w:cs="Times New Roman"/>
          <w:szCs w:val="24"/>
        </w:rPr>
      </w:pPr>
      <w:r>
        <w:rPr>
          <w:rFonts w:hAnsi="宋体" w:cs="Times New Roman"/>
          <w:szCs w:val="24"/>
        </w:rPr>
        <w:t>同时建设单位应合理设置医院内进出通道，将集中停车场尽量安排在外围和主要进出通道两旁，同时限制区内行驶的机动车辆和车速，对进入车辆禁鸣，可有效降低噪声，减少对院内病人影响。</w:t>
      </w:r>
    </w:p>
    <w:p>
      <w:pPr>
        <w:spacing w:line="360" w:lineRule="auto"/>
        <w:ind w:firstLine="480" w:firstLineChars="200"/>
        <w:rPr>
          <w:rFonts w:ascii="宋体" w:hAnsi="宋体"/>
          <w:szCs w:val="24"/>
        </w:rPr>
      </w:pPr>
      <w:r>
        <w:rPr>
          <w:rFonts w:hint="eastAsia" w:ascii="宋体" w:hAnsi="宋体"/>
          <w:szCs w:val="24"/>
        </w:rPr>
        <w:t>综上所述，</w:t>
      </w:r>
      <w:r>
        <w:rPr>
          <w:rFonts w:ascii="宋体" w:hAnsi="宋体"/>
          <w:szCs w:val="24"/>
        </w:rPr>
        <w:t>项目通过对各噪声源采取有效的隔声、减振、消声、吸声、距离衰减等控制措施后，</w:t>
      </w:r>
      <w:r>
        <w:rPr>
          <w:rFonts w:hint="eastAsia" w:ascii="宋体" w:hAnsi="宋体"/>
          <w:szCs w:val="24"/>
        </w:rPr>
        <w:t>各场</w:t>
      </w:r>
      <w:r>
        <w:rPr>
          <w:rFonts w:ascii="宋体" w:hAnsi="宋体"/>
          <w:szCs w:val="24"/>
        </w:rPr>
        <w:t>界噪声可达到《工业企业厂界环境噪声排放标准》（</w:t>
      </w:r>
      <w:r>
        <w:rPr>
          <w:szCs w:val="24"/>
        </w:rPr>
        <w:t>GB 12348-2008</w:t>
      </w:r>
      <w:r>
        <w:rPr>
          <w:rFonts w:ascii="宋体" w:hAnsi="宋体"/>
          <w:szCs w:val="24"/>
        </w:rPr>
        <w:t>）</w:t>
      </w:r>
      <w:r>
        <w:rPr>
          <w:szCs w:val="24"/>
        </w:rPr>
        <w:t>2</w:t>
      </w:r>
      <w:r>
        <w:rPr>
          <w:rFonts w:ascii="宋体" w:hAnsi="宋体"/>
          <w:szCs w:val="24"/>
        </w:rPr>
        <w:t>类</w:t>
      </w:r>
      <w:r>
        <w:rPr>
          <w:rFonts w:hint="eastAsia" w:ascii="宋体" w:hAnsi="宋体"/>
          <w:szCs w:val="24"/>
        </w:rPr>
        <w:t>标准</w:t>
      </w:r>
      <w:r>
        <w:rPr>
          <w:rFonts w:ascii="宋体" w:hAnsi="宋体"/>
          <w:szCs w:val="24"/>
        </w:rPr>
        <w:t>，对周围环境影响较小。</w:t>
      </w:r>
    </w:p>
    <w:p>
      <w:pPr>
        <w:pStyle w:val="5"/>
      </w:pPr>
      <w:r>
        <w:rPr>
          <w:rFonts w:hint="eastAsia"/>
        </w:rPr>
        <w:t>固废环境影响分析</w:t>
      </w:r>
    </w:p>
    <w:p>
      <w:pPr>
        <w:pStyle w:val="56"/>
      </w:pPr>
      <w:r>
        <w:rPr>
          <w:rFonts w:hint="eastAsia"/>
        </w:rPr>
        <w:t>固体废物来源及产生量</w:t>
      </w:r>
    </w:p>
    <w:p>
      <w:pPr>
        <w:pStyle w:val="145"/>
        <w:spacing w:line="360" w:lineRule="auto"/>
        <w:ind w:firstLine="480" w:firstLineChars="200"/>
        <w:rPr>
          <w:sz w:val="24"/>
          <w:szCs w:val="24"/>
        </w:rPr>
      </w:pPr>
      <w:r>
        <w:rPr>
          <w:rFonts w:hAnsi="宋体"/>
          <w:sz w:val="24"/>
          <w:szCs w:val="24"/>
        </w:rPr>
        <w:t>医院固体废物是多种多样的，包括有机的、无机的，医院产生的固体废物根据其性质大致可分为：一般固体废物、医疗废物和污水处理站的污泥。</w:t>
      </w:r>
    </w:p>
    <w:p>
      <w:pPr>
        <w:pStyle w:val="145"/>
        <w:spacing w:line="360" w:lineRule="auto"/>
        <w:ind w:firstLine="480" w:firstLineChars="200"/>
        <w:rPr>
          <w:sz w:val="24"/>
          <w:szCs w:val="24"/>
        </w:rPr>
      </w:pPr>
      <w:r>
        <w:rPr>
          <w:rFonts w:hAnsi="宋体"/>
          <w:sz w:val="24"/>
          <w:szCs w:val="24"/>
        </w:rPr>
        <w:t>（</w:t>
      </w:r>
      <w:r>
        <w:rPr>
          <w:sz w:val="24"/>
          <w:szCs w:val="24"/>
        </w:rPr>
        <w:t>1</w:t>
      </w:r>
      <w:r>
        <w:rPr>
          <w:rFonts w:hAnsi="宋体"/>
          <w:sz w:val="24"/>
          <w:szCs w:val="24"/>
        </w:rPr>
        <w:t>）一般性固体废物</w:t>
      </w:r>
    </w:p>
    <w:p>
      <w:pPr>
        <w:spacing w:line="360" w:lineRule="auto"/>
        <w:ind w:firstLine="200"/>
        <w:rPr>
          <w:rFonts w:cs="Times New Roman"/>
          <w:szCs w:val="24"/>
        </w:rPr>
      </w:pPr>
      <w:r>
        <w:rPr>
          <w:rFonts w:hAnsi="宋体" w:cs="Times New Roman"/>
          <w:szCs w:val="24"/>
        </w:rPr>
        <w:t>一般性固体废物主要包括：</w:t>
      </w:r>
      <w:r>
        <w:rPr>
          <w:rFonts w:hAnsi="宋体" w:eastAsia="宋体" w:cs="Times New Roman"/>
          <w:szCs w:val="24"/>
        </w:rPr>
        <w:t>①</w:t>
      </w:r>
      <w:r>
        <w:rPr>
          <w:rFonts w:hAnsi="宋体" w:cs="Times New Roman"/>
          <w:szCs w:val="24"/>
        </w:rPr>
        <w:t>渣土类，如清扫院落的渣土等。</w:t>
      </w:r>
      <w:r>
        <w:rPr>
          <w:rFonts w:hAnsi="宋体" w:eastAsia="宋体" w:cs="Times New Roman"/>
          <w:szCs w:val="24"/>
        </w:rPr>
        <w:t>②</w:t>
      </w:r>
      <w:r>
        <w:rPr>
          <w:rFonts w:hAnsi="宋体" w:cs="Times New Roman"/>
          <w:szCs w:val="24"/>
        </w:rPr>
        <w:t>普通生活垃圾、厨房食堂的废弃物、剩饭剩菜等，果皮果核，废纸废塑料及其它废物。</w:t>
      </w:r>
      <w:r>
        <w:rPr>
          <w:rFonts w:hAnsi="宋体" w:eastAsia="宋体" w:cs="Times New Roman"/>
          <w:szCs w:val="24"/>
        </w:rPr>
        <w:t>③</w:t>
      </w:r>
      <w:r>
        <w:rPr>
          <w:rFonts w:hAnsi="宋体" w:cs="Times New Roman"/>
          <w:szCs w:val="24"/>
        </w:rPr>
        <w:t>包装材料，瓶、罐、盒类等遗弃物。</w:t>
      </w:r>
      <w:r>
        <w:rPr>
          <w:rFonts w:hAnsi="宋体" w:eastAsia="宋体" w:cs="Times New Roman"/>
          <w:szCs w:val="24"/>
        </w:rPr>
        <w:t>④</w:t>
      </w:r>
      <w:r>
        <w:rPr>
          <w:rFonts w:hAnsi="宋体" w:cs="Times New Roman"/>
          <w:szCs w:val="24"/>
        </w:rPr>
        <w:t>草木类，枯草落叶、干枝朽木等。</w:t>
      </w:r>
    </w:p>
    <w:p>
      <w:pPr>
        <w:adjustRightInd w:val="0"/>
        <w:snapToGrid w:val="0"/>
        <w:spacing w:line="360" w:lineRule="auto"/>
        <w:ind w:firstLine="480" w:firstLineChars="200"/>
        <w:rPr>
          <w:rFonts w:cs="Times New Roman"/>
          <w:szCs w:val="24"/>
        </w:rPr>
      </w:pPr>
      <w:r>
        <w:rPr>
          <w:rFonts w:hAnsi="宋体" w:cs="Times New Roman"/>
          <w:szCs w:val="24"/>
        </w:rPr>
        <w:t>主要危害：</w:t>
      </w:r>
    </w:p>
    <w:p>
      <w:pPr>
        <w:adjustRightInd w:val="0"/>
        <w:snapToGrid w:val="0"/>
        <w:spacing w:line="360" w:lineRule="auto"/>
        <w:ind w:firstLine="480" w:firstLineChars="200"/>
        <w:rPr>
          <w:rFonts w:cs="Times New Roman"/>
          <w:szCs w:val="24"/>
        </w:rPr>
      </w:pPr>
      <w:r>
        <w:rPr>
          <w:rFonts w:hAnsi="宋体" w:cs="Times New Roman"/>
          <w:szCs w:val="24"/>
        </w:rPr>
        <w:t>此类固废如不及时收集清理、外运处理，随地分散堆放将影响医院的清洁卫生。堆积长久，将发酵腐败，特别是高气温，高湿度季节挥发释放出有毒有害气体和散发出恶臭，并滋生蚊蝇，传播细菌、疾病，危害身体健康，影响大气环境质量。</w:t>
      </w:r>
    </w:p>
    <w:p>
      <w:pPr>
        <w:adjustRightInd w:val="0"/>
        <w:snapToGrid w:val="0"/>
        <w:spacing w:line="360" w:lineRule="auto"/>
        <w:ind w:firstLine="480" w:firstLineChars="200"/>
        <w:rPr>
          <w:rFonts w:cs="Times New Roman"/>
          <w:szCs w:val="24"/>
        </w:rPr>
      </w:pPr>
      <w:r>
        <w:rPr>
          <w:rFonts w:cs="Times New Roman"/>
          <w:szCs w:val="24"/>
        </w:rPr>
        <w:t xml:space="preserve">措施：本项目对于纸张、塑料、金属等可回收的垃圾分别放置，给以明确标识，并加大宣传力度，让人们自觉养成好的分类放置习惯。医院内设置垃圾站集中收集生活垃圾，定期由环卫部门送垃圾填埋场填埋，对环境影响不大。餐厨垃圾，根据岳阳市人民政府于2019年3月1日印发的《岳阳市人民政府关于加强市城区餐厨剩余物监管的通告》（岳政告【2019】1号），通告中要求“餐厨剩余物产生单位要与有关企业签订餐厨剩余物收集、运输协议或直接运送到指定地点，严禁将餐厨剩余物交给生猪养殖场户或个人。餐厨剩余物收集运输单位要建立台账，真实、完整记录收集运输餐厨剩余物的来源、数量、去向等情况。餐厨剩余物处理企业要建立台账，详细记录相关情况，并按照相关技术标准和要求进行处置。”医院的餐厨垃圾尚未按照要求处置。 </w:t>
      </w:r>
    </w:p>
    <w:p>
      <w:pPr>
        <w:adjustRightInd w:val="0"/>
        <w:snapToGrid w:val="0"/>
        <w:spacing w:line="360" w:lineRule="auto"/>
        <w:ind w:firstLine="480" w:firstLineChars="200"/>
        <w:rPr>
          <w:rFonts w:hAnsi="宋体" w:cs="Times New Roman"/>
          <w:color w:val="000000" w:themeColor="text1"/>
          <w:szCs w:val="24"/>
        </w:rPr>
      </w:pPr>
      <w:r>
        <w:rPr>
          <w:rFonts w:hint="eastAsia" w:hAnsi="宋体" w:cs="Times New Roman"/>
          <w:color w:val="000000" w:themeColor="text1"/>
          <w:szCs w:val="24"/>
        </w:rPr>
        <w:t>本环评建议用密闭容器、垃圾袋收集后暂存于食堂垃圾储存处，贮存周期不超过1天，委托有相关资质单位处理。</w:t>
      </w:r>
    </w:p>
    <w:p>
      <w:pPr>
        <w:adjustRightInd w:val="0"/>
        <w:snapToGrid w:val="0"/>
        <w:spacing w:line="360" w:lineRule="auto"/>
        <w:ind w:firstLine="480" w:firstLineChars="200"/>
        <w:rPr>
          <w:rFonts w:hAnsi="宋体" w:cs="Times New Roman"/>
          <w:szCs w:val="24"/>
        </w:rPr>
      </w:pPr>
      <w:r>
        <w:rPr>
          <w:rFonts w:hint="eastAsia" w:hAnsi="宋体" w:cs="Times New Roman"/>
          <w:szCs w:val="24"/>
        </w:rPr>
        <w:t>（2）医疗废物</w:t>
      </w:r>
    </w:p>
    <w:p>
      <w:pPr>
        <w:adjustRightInd w:val="0"/>
        <w:snapToGrid w:val="0"/>
        <w:spacing w:line="360" w:lineRule="auto"/>
        <w:ind w:firstLine="480" w:firstLineChars="200"/>
        <w:rPr>
          <w:rFonts w:hAnsi="宋体" w:cs="Times New Roman"/>
          <w:szCs w:val="24"/>
        </w:rPr>
      </w:pPr>
      <w:r>
        <w:rPr>
          <w:rFonts w:hint="eastAsia" w:hAnsi="宋体" w:cs="Times New Roman"/>
          <w:szCs w:val="24"/>
        </w:rPr>
        <w:t>医疗废物是医疗卫生机构在医疗、预防、保健以及其他相关活动中产生的具有直接或者间接感染性、毒性以及其他危害性的废物，是污染程度及危害程度最广泛、最严重的一类危险废物。医疗废物作为一种危害性极大的危险废物，关系着广大人民群众的健康安全，其治理已受到国家相关部门的关注。2003年6月，国务院出台了</w:t>
      </w:r>
      <w:r>
        <w:rPr>
          <w:rFonts w:hAnsi="宋体" w:cs="Times New Roman"/>
          <w:szCs w:val="24"/>
        </w:rPr>
        <w:t>《医疗废物管理条例》，对医疗废物做出了严格的法规</w:t>
      </w:r>
      <w:r>
        <w:rPr>
          <w:rFonts w:hint="eastAsia" w:hAnsi="宋体" w:cs="Times New Roman"/>
          <w:szCs w:val="24"/>
        </w:rPr>
        <w:t>。</w:t>
      </w:r>
    </w:p>
    <w:p>
      <w:pPr>
        <w:adjustRightInd w:val="0"/>
        <w:snapToGrid w:val="0"/>
        <w:spacing w:line="360" w:lineRule="auto"/>
        <w:ind w:firstLine="480" w:firstLineChars="200"/>
        <w:rPr>
          <w:rFonts w:hAnsi="宋体" w:cs="Times New Roman"/>
          <w:szCs w:val="24"/>
        </w:rPr>
      </w:pPr>
      <w:r>
        <w:rPr>
          <w:rFonts w:hint="eastAsia" w:hAnsi="宋体" w:cs="Times New Roman"/>
          <w:szCs w:val="24"/>
        </w:rPr>
        <w:t>医疗废物主要包括：</w:t>
      </w:r>
    </w:p>
    <w:p>
      <w:pPr>
        <w:adjustRightInd w:val="0"/>
        <w:snapToGrid w:val="0"/>
        <w:spacing w:line="360" w:lineRule="auto"/>
        <w:ind w:firstLine="480" w:firstLineChars="200"/>
        <w:rPr>
          <w:rFonts w:hAnsi="宋体" w:cs="Times New Roman"/>
          <w:szCs w:val="24"/>
        </w:rPr>
      </w:pPr>
      <w:r>
        <w:rPr>
          <w:rFonts w:hint="eastAsia" w:cs="Times New Roman" w:asciiTheme="minorEastAsia" w:hAnsiTheme="minorEastAsia"/>
          <w:szCs w:val="24"/>
        </w:rPr>
        <w:t>①医院感染性废物：</w:t>
      </w:r>
      <w:r>
        <w:rPr>
          <w:rFonts w:cs="Times New Roman" w:asciiTheme="minorEastAsia" w:hAnsiTheme="minorEastAsia"/>
          <w:szCs w:val="24"/>
        </w:rPr>
        <w:t>被病人血液、体液、排泄物污染的物品，包括：棉球、棉签、引流棉条、纱布及其他各种敷料；一次性使用卫生用品、一次性使用医疗用品及一次性医疗器械；废弃的被服；其他被病人血液、体液、排泄物污染的物品</w:t>
      </w:r>
      <w:r>
        <w:rPr>
          <w:rFonts w:hint="eastAsia" w:cs="Times New Roman" w:asciiTheme="minorEastAsia" w:hAnsiTheme="minorEastAsia"/>
          <w:szCs w:val="24"/>
        </w:rPr>
        <w:t>；</w:t>
      </w:r>
      <w:r>
        <w:rPr>
          <w:rFonts w:hAnsi="宋体" w:cs="Times New Roman"/>
          <w:szCs w:val="24"/>
        </w:rPr>
        <w:t>废弃的血液、血清</w:t>
      </w:r>
      <w:r>
        <w:rPr>
          <w:rFonts w:hint="eastAsia" w:hAnsi="宋体" w:cs="Times New Roman"/>
          <w:szCs w:val="24"/>
        </w:rPr>
        <w:t>；</w:t>
      </w:r>
      <w:r>
        <w:rPr>
          <w:rFonts w:hAnsi="宋体" w:cs="Times New Roman"/>
          <w:szCs w:val="24"/>
        </w:rPr>
        <w:t>使用后的一次性使用医疗用品及一次性医疗器械。</w:t>
      </w:r>
    </w:p>
    <w:p>
      <w:pPr>
        <w:adjustRightInd w:val="0"/>
        <w:snapToGrid w:val="0"/>
        <w:spacing w:line="360" w:lineRule="auto"/>
        <w:ind w:firstLine="480" w:firstLineChars="200"/>
        <w:rPr>
          <w:rFonts w:cs="Times New Roman" w:asciiTheme="minorEastAsia" w:hAnsiTheme="minorEastAsia"/>
          <w:szCs w:val="24"/>
        </w:rPr>
      </w:pPr>
      <w:r>
        <w:rPr>
          <w:rFonts w:hint="eastAsia" w:cs="Times New Roman" w:asciiTheme="minorEastAsia" w:hAnsiTheme="minorEastAsia"/>
          <w:szCs w:val="24"/>
        </w:rPr>
        <w:t>②</w:t>
      </w:r>
      <w:r>
        <w:rPr>
          <w:rFonts w:cs="Times New Roman" w:asciiTheme="minorEastAsia" w:hAnsiTheme="minorEastAsia"/>
          <w:szCs w:val="24"/>
        </w:rPr>
        <w:t>损伤性废物</w:t>
      </w:r>
      <w:r>
        <w:rPr>
          <w:rFonts w:hint="eastAsia" w:cs="Times New Roman" w:asciiTheme="minorEastAsia" w:hAnsiTheme="minorEastAsia"/>
          <w:szCs w:val="24"/>
        </w:rPr>
        <w:t>：</w:t>
      </w:r>
      <w:r>
        <w:rPr>
          <w:rFonts w:cs="Times New Roman" w:asciiTheme="minorEastAsia" w:hAnsiTheme="minorEastAsia"/>
          <w:szCs w:val="24"/>
        </w:rPr>
        <w:t>医用针头、缝合针</w:t>
      </w:r>
      <w:r>
        <w:rPr>
          <w:rFonts w:hint="eastAsia" w:cs="Times New Roman" w:asciiTheme="minorEastAsia" w:hAnsiTheme="minorEastAsia"/>
          <w:szCs w:val="24"/>
        </w:rPr>
        <w:t>；</w:t>
      </w:r>
      <w:r>
        <w:rPr>
          <w:rFonts w:cs="Times New Roman" w:asciiTheme="minorEastAsia" w:hAnsiTheme="minorEastAsia"/>
          <w:szCs w:val="24"/>
        </w:rPr>
        <w:t>各类医用锐器</w:t>
      </w:r>
      <w:r>
        <w:rPr>
          <w:rFonts w:hint="eastAsia" w:cs="Times New Roman" w:asciiTheme="minorEastAsia" w:hAnsiTheme="minorEastAsia"/>
          <w:szCs w:val="24"/>
        </w:rPr>
        <w:t>；</w:t>
      </w:r>
      <w:r>
        <w:rPr>
          <w:rFonts w:cs="Times New Roman" w:asciiTheme="minorEastAsia" w:hAnsiTheme="minorEastAsia"/>
          <w:szCs w:val="24"/>
        </w:rPr>
        <w:t>载玻片、玻璃试管、玻璃安瓿等</w:t>
      </w:r>
      <w:r>
        <w:rPr>
          <w:rFonts w:hint="eastAsia" w:cs="Times New Roman" w:asciiTheme="minorEastAsia" w:hAnsiTheme="minorEastAsia"/>
          <w:szCs w:val="24"/>
        </w:rPr>
        <w:t>。</w:t>
      </w:r>
    </w:p>
    <w:p>
      <w:pPr>
        <w:adjustRightInd w:val="0"/>
        <w:snapToGrid w:val="0"/>
        <w:spacing w:line="360" w:lineRule="auto"/>
        <w:ind w:firstLine="480" w:firstLineChars="200"/>
        <w:rPr>
          <w:rFonts w:cs="Times New Roman" w:asciiTheme="minorEastAsia" w:hAnsiTheme="minorEastAsia"/>
          <w:szCs w:val="24"/>
        </w:rPr>
      </w:pPr>
      <w:r>
        <w:rPr>
          <w:rFonts w:hint="eastAsia" w:cs="Times New Roman" w:asciiTheme="minorEastAsia" w:hAnsiTheme="minorEastAsia"/>
          <w:szCs w:val="24"/>
        </w:rPr>
        <w:t>③</w:t>
      </w:r>
      <w:r>
        <w:rPr>
          <w:rFonts w:cs="Times New Roman" w:asciiTheme="minorEastAsia" w:hAnsiTheme="minorEastAsia"/>
          <w:szCs w:val="24"/>
        </w:rPr>
        <w:t>化学性废物</w:t>
      </w:r>
      <w:r>
        <w:rPr>
          <w:rFonts w:hint="eastAsia" w:cs="Times New Roman" w:asciiTheme="minorEastAsia" w:hAnsiTheme="minorEastAsia"/>
          <w:szCs w:val="24"/>
        </w:rPr>
        <w:t>：</w:t>
      </w:r>
      <w:r>
        <w:rPr>
          <w:rFonts w:cs="Times New Roman" w:asciiTheme="minorEastAsia" w:hAnsiTheme="minorEastAsia"/>
          <w:szCs w:val="24"/>
        </w:rPr>
        <w:t>废弃的汞血压计、汞温度计</w:t>
      </w:r>
      <w:r>
        <w:rPr>
          <w:rFonts w:hint="eastAsia" w:cs="Times New Roman" w:asciiTheme="minorEastAsia" w:hAnsiTheme="minorEastAsia"/>
          <w:szCs w:val="24"/>
        </w:rPr>
        <w:t>、</w:t>
      </w:r>
      <w:r>
        <w:rPr>
          <w:rFonts w:cs="Times New Roman" w:asciiTheme="minorEastAsia" w:hAnsiTheme="minorEastAsia"/>
          <w:szCs w:val="24"/>
        </w:rPr>
        <w:t>废弃的84消毒剂。</w:t>
      </w:r>
    </w:p>
    <w:p>
      <w:pPr>
        <w:adjustRightInd w:val="0"/>
        <w:snapToGrid w:val="0"/>
        <w:spacing w:line="360" w:lineRule="auto"/>
        <w:ind w:firstLine="480" w:firstLineChars="200"/>
        <w:rPr>
          <w:rFonts w:hAnsi="宋体" w:cs="Times New Roman"/>
          <w:szCs w:val="24"/>
        </w:rPr>
      </w:pPr>
      <w:r>
        <w:rPr>
          <w:rFonts w:cs="Times New Roman" w:asciiTheme="minorEastAsia" w:hAnsiTheme="minorEastAsia"/>
          <w:szCs w:val="24"/>
        </w:rPr>
        <w:t>④</w:t>
      </w:r>
      <w:r>
        <w:rPr>
          <w:rFonts w:hAnsi="宋体" w:cs="Times New Roman"/>
          <w:szCs w:val="24"/>
        </w:rPr>
        <w:t>药物性废物</w:t>
      </w:r>
      <w:r>
        <w:rPr>
          <w:rFonts w:hint="eastAsia" w:hAnsi="宋体" w:cs="Times New Roman"/>
          <w:szCs w:val="24"/>
        </w:rPr>
        <w:t>：</w:t>
      </w:r>
      <w:r>
        <w:rPr>
          <w:rFonts w:hAnsi="宋体" w:cs="Times New Roman"/>
          <w:szCs w:val="24"/>
        </w:rPr>
        <w:t>废弃的一般性药品</w:t>
      </w:r>
    </w:p>
    <w:p>
      <w:pPr>
        <w:spacing w:line="360" w:lineRule="auto"/>
        <w:ind w:firstLine="480" w:firstLineChars="200"/>
      </w:pPr>
      <w:r>
        <w:rPr>
          <w:rFonts w:hint="eastAsia" w:hAnsi="宋体" w:cs="Times New Roman"/>
          <w:szCs w:val="24"/>
        </w:rPr>
        <w:t>主要危害：</w:t>
      </w:r>
      <w:r>
        <w:rPr>
          <w:rFonts w:ascii="宋体" w:hAnsi="宋体"/>
          <w:szCs w:val="24"/>
        </w:rPr>
        <w:t>医疗废物的巨大危害表现在它所含的病菌是普通生活垃圾的几十倍甚至上千倍，最显而易见的危害性就是它的传染性。令人担忧的是大量的医疗废物并没有被消毒或深加工，而是直接流失到了社会上。如一次性医疗器械二次使用、一次性注射器简单水洗后便改制成其他塑料制品等，这些改头换面的医疗垃圾将病菌散布在我们的饮用水、生活用品甚至空气中。医疗垃圾的危害还表现在可能因为处理方法不当而成为潜在的健康隐患。据资料介绍，医疗垃圾如与生活垃圾混装焚烧会产生黑色、恶臭的气体，而这种气体中会含有二恶英等致癌物；如将之随意填埋，要经过几百年才能够降解，严重危害生态环境。</w:t>
      </w:r>
    </w:p>
    <w:p>
      <w:pPr>
        <w:spacing w:line="360" w:lineRule="auto"/>
        <w:ind w:firstLine="480" w:firstLineChars="200"/>
        <w:rPr>
          <w:rFonts w:cs="Times New Roman"/>
        </w:rPr>
      </w:pPr>
      <w:r>
        <w:rPr>
          <w:rFonts w:hAnsi="宋体" w:cs="Times New Roman"/>
          <w:szCs w:val="24"/>
        </w:rPr>
        <w:t>措施：医院对医疗废物的管理严格执行《医疗废物管理条例》，及时收集本单位产生的医疗废物，并按照类别分置于防渗漏、防锐器穿透的专用包装物或者密闭的容器内。医疗废物专用包装物、容器，应当有明显的警示标识和警示说明。医院需建立医疗废物的暂时贮存设施、设备</w:t>
      </w:r>
      <w:r>
        <w:rPr>
          <w:rFonts w:hAnsi="宋体" w:cs="Times New Roman"/>
          <w:color w:val="000000" w:themeColor="text1"/>
          <w:szCs w:val="24"/>
        </w:rPr>
        <w:t>（</w:t>
      </w:r>
      <w:r>
        <w:rPr>
          <w:rFonts w:hAnsi="宋体"/>
          <w:bCs/>
          <w:color w:val="000000" w:themeColor="text1"/>
          <w:szCs w:val="24"/>
        </w:rPr>
        <w:t>设置医疗废物暂存间，位于老年呵护大楼旁</w:t>
      </w:r>
      <w:r>
        <w:rPr>
          <w:rFonts w:hint="eastAsia" w:hAnsi="宋体"/>
          <w:bCs/>
          <w:color w:val="000000" w:themeColor="text1"/>
          <w:szCs w:val="24"/>
        </w:rPr>
        <w:t>（为独立的密闭小房间）</w:t>
      </w:r>
      <w:r>
        <w:rPr>
          <w:rFonts w:hAnsi="宋体"/>
          <w:bCs/>
          <w:color w:val="000000" w:themeColor="text1"/>
          <w:szCs w:val="24"/>
        </w:rPr>
        <w:t>，面积为</w:t>
      </w:r>
      <w:r>
        <w:rPr>
          <w:rFonts w:hint="eastAsia"/>
          <w:bCs/>
          <w:color w:val="000000" w:themeColor="text1"/>
          <w:szCs w:val="24"/>
        </w:rPr>
        <w:t>10</w:t>
      </w:r>
      <w:r>
        <w:rPr>
          <w:bCs/>
          <w:color w:val="000000" w:themeColor="text1"/>
          <w:szCs w:val="24"/>
        </w:rPr>
        <w:t>m</w:t>
      </w:r>
      <w:r>
        <w:rPr>
          <w:bCs/>
          <w:color w:val="000000" w:themeColor="text1"/>
          <w:szCs w:val="24"/>
          <w:vertAlign w:val="superscript"/>
        </w:rPr>
        <w:t>2</w:t>
      </w:r>
      <w:r>
        <w:rPr>
          <w:rFonts w:hAnsi="宋体"/>
          <w:bCs/>
          <w:color w:val="000000" w:themeColor="text1"/>
          <w:szCs w:val="24"/>
        </w:rPr>
        <w:t>，</w:t>
      </w:r>
      <w:r>
        <w:rPr>
          <w:rFonts w:hint="eastAsia" w:hAnsi="宋体"/>
          <w:bCs/>
          <w:color w:val="000000" w:themeColor="text1"/>
          <w:szCs w:val="24"/>
        </w:rPr>
        <w:t>并</w:t>
      </w:r>
      <w:r>
        <w:rPr>
          <w:rFonts w:hAnsi="宋体"/>
          <w:color w:val="000000" w:themeColor="text1"/>
          <w:kern w:val="0"/>
          <w:szCs w:val="24"/>
        </w:rPr>
        <w:t>定期由岳阳市方向固废安全处置有限公司收集处置。</w:t>
      </w:r>
      <w:r>
        <w:rPr>
          <w:rFonts w:hint="eastAsia" w:hAnsi="宋体" w:cs="Times New Roman"/>
          <w:bCs/>
          <w:color w:val="000000" w:themeColor="text1"/>
          <w:szCs w:val="24"/>
        </w:rPr>
        <w:t>）</w:t>
      </w:r>
      <w:r>
        <w:rPr>
          <w:rFonts w:hAnsi="宋体" w:cs="Times New Roman"/>
          <w:szCs w:val="24"/>
        </w:rPr>
        <w:t>不得露天存放医疗废物，医疗废物的暂时贮存设施、设备应当定期消毒和清洁，必须满足《危险废物贮存污染控制标准》（</w:t>
      </w:r>
      <w:r>
        <w:rPr>
          <w:rFonts w:cs="Times New Roman"/>
          <w:szCs w:val="24"/>
        </w:rPr>
        <w:t>GB18597-2001</w:t>
      </w:r>
      <w:r>
        <w:rPr>
          <w:rFonts w:hAnsi="宋体" w:cs="Times New Roman"/>
          <w:szCs w:val="24"/>
        </w:rPr>
        <w:t>）。医院内医疗固废定期交由岳阳市方向固废安全处置有限公司统一收集后集中处置，具体的收集运输由方向固废统一安排。</w:t>
      </w:r>
    </w:p>
    <w:p>
      <w:pPr>
        <w:spacing w:line="360" w:lineRule="auto"/>
        <w:ind w:firstLine="480" w:firstLineChars="200"/>
        <w:rPr>
          <w:rFonts w:hAnsi="宋体" w:cs="Times New Roman"/>
          <w:szCs w:val="24"/>
        </w:rPr>
      </w:pPr>
      <w:r>
        <w:rPr>
          <w:rFonts w:hint="eastAsia" w:hAnsi="宋体" w:cs="Times New Roman"/>
          <w:szCs w:val="24"/>
        </w:rPr>
        <w:t>项目医疗固废采取上述措施</w:t>
      </w:r>
      <w:r>
        <w:rPr>
          <w:rFonts w:hAnsi="宋体" w:cs="Times New Roman"/>
          <w:szCs w:val="24"/>
        </w:rPr>
        <w:t>，对环境影响</w:t>
      </w:r>
      <w:r>
        <w:rPr>
          <w:rFonts w:hint="eastAsia" w:hAnsi="宋体" w:cs="Times New Roman"/>
          <w:szCs w:val="24"/>
        </w:rPr>
        <w:t>较小</w:t>
      </w:r>
      <w:r>
        <w:rPr>
          <w:rFonts w:hAnsi="宋体" w:cs="Times New Roman"/>
          <w:szCs w:val="24"/>
        </w:rPr>
        <w:t>。</w:t>
      </w:r>
    </w:p>
    <w:p>
      <w:pPr>
        <w:adjustRightInd w:val="0"/>
        <w:snapToGrid w:val="0"/>
        <w:spacing w:line="360" w:lineRule="auto"/>
        <w:ind w:firstLine="480" w:firstLineChars="200"/>
        <w:rPr>
          <w:rFonts w:hAnsi="宋体" w:cs="Times New Roman"/>
          <w:szCs w:val="24"/>
        </w:rPr>
      </w:pPr>
      <w:r>
        <w:rPr>
          <w:rFonts w:hint="eastAsia" w:hAnsi="宋体" w:cs="Times New Roman"/>
          <w:szCs w:val="24"/>
        </w:rPr>
        <w:t>（3）污水处理站产生的污泥</w:t>
      </w:r>
    </w:p>
    <w:p>
      <w:pPr>
        <w:adjustRightInd w:val="0"/>
        <w:snapToGrid w:val="0"/>
        <w:spacing w:line="360" w:lineRule="auto"/>
        <w:ind w:firstLine="480" w:firstLineChars="200"/>
        <w:rPr>
          <w:rFonts w:hAnsi="宋体" w:cs="Times New Roman"/>
          <w:szCs w:val="24"/>
        </w:rPr>
      </w:pPr>
      <w:r>
        <w:rPr>
          <w:rFonts w:hint="eastAsia" w:hAnsi="宋体" w:cs="Times New Roman"/>
          <w:szCs w:val="24"/>
        </w:rPr>
        <w:t>本项目的污泥主要来自于调节池和沉淀池。</w:t>
      </w:r>
    </w:p>
    <w:p>
      <w:pPr>
        <w:adjustRightInd w:val="0"/>
        <w:snapToGrid w:val="0"/>
        <w:spacing w:line="360" w:lineRule="auto"/>
        <w:ind w:firstLine="480" w:firstLineChars="200"/>
        <w:rPr>
          <w:rFonts w:hAnsi="宋体" w:cs="Times New Roman"/>
          <w:szCs w:val="24"/>
        </w:rPr>
      </w:pPr>
      <w:r>
        <w:rPr>
          <w:rFonts w:hint="eastAsia" w:hAnsi="宋体" w:cs="Times New Roman"/>
          <w:szCs w:val="24"/>
        </w:rPr>
        <w:t>主要危害：医院的污水处理站污泥如不及时清运会产生恶臭影响，由于污水中含有大量病原微生物和寄生虫卵，其中相当一部分转移到了污泥中，使污泥也具有了传染性。</w:t>
      </w:r>
    </w:p>
    <w:p>
      <w:pPr>
        <w:adjustRightInd w:val="0"/>
        <w:snapToGrid w:val="0"/>
        <w:spacing w:line="360" w:lineRule="auto"/>
        <w:ind w:firstLine="480" w:firstLineChars="200"/>
        <w:rPr>
          <w:rFonts w:hAnsi="宋体" w:cs="Times New Roman"/>
          <w:szCs w:val="24"/>
        </w:rPr>
      </w:pPr>
      <w:r>
        <w:rPr>
          <w:rFonts w:hint="eastAsia" w:hAnsi="宋体" w:cs="Times New Roman"/>
          <w:szCs w:val="24"/>
        </w:rPr>
        <w:t>措施：本项目加强对污泥的管理，对清掏的污泥进行脱水消毒处理，处理后的污泥委托有资质的单位进行处理，对环境影响较小。</w:t>
      </w:r>
    </w:p>
    <w:p>
      <w:pPr>
        <w:spacing w:line="360" w:lineRule="auto"/>
        <w:ind w:firstLine="480" w:firstLineChars="200"/>
        <w:rPr>
          <w:rFonts w:cs="Times New Roman"/>
          <w:szCs w:val="24"/>
        </w:rPr>
      </w:pPr>
      <w:r>
        <w:rPr>
          <w:rFonts w:hAnsi="宋体" w:cs="Times New Roman"/>
          <w:szCs w:val="24"/>
        </w:rPr>
        <w:t>岳阳市方向固废安全处置有限公司，是岳阳市政府唯一特许经营的医疗固废安全处置中心。公司年处理医疗垃圾</w:t>
      </w:r>
      <w:r>
        <w:rPr>
          <w:rFonts w:cs="Times New Roman"/>
          <w:szCs w:val="24"/>
        </w:rPr>
        <w:t>2000</w:t>
      </w:r>
      <w:r>
        <w:rPr>
          <w:rFonts w:hAnsi="宋体" w:cs="Times New Roman"/>
          <w:szCs w:val="24"/>
        </w:rPr>
        <w:t>吨，总投资为</w:t>
      </w:r>
      <w:r>
        <w:rPr>
          <w:rFonts w:cs="Times New Roman"/>
          <w:szCs w:val="24"/>
        </w:rPr>
        <w:t>3395</w:t>
      </w:r>
      <w:r>
        <w:rPr>
          <w:rFonts w:hAnsi="宋体" w:cs="Times New Roman"/>
          <w:szCs w:val="24"/>
        </w:rPr>
        <w:t>万元。服务范围覆盖岳阳行政区域内（</w:t>
      </w:r>
      <w:r>
        <w:rPr>
          <w:rFonts w:cs="Times New Roman"/>
          <w:szCs w:val="24"/>
        </w:rPr>
        <w:t>6</w:t>
      </w:r>
      <w:r>
        <w:rPr>
          <w:rFonts w:hAnsi="宋体" w:cs="Times New Roman"/>
          <w:szCs w:val="24"/>
        </w:rPr>
        <w:t>县</w:t>
      </w:r>
      <w:r>
        <w:rPr>
          <w:rFonts w:cs="Times New Roman"/>
          <w:szCs w:val="24"/>
        </w:rPr>
        <w:t>4</w:t>
      </w:r>
      <w:r>
        <w:rPr>
          <w:rFonts w:hAnsi="宋体" w:cs="Times New Roman"/>
          <w:szCs w:val="24"/>
        </w:rPr>
        <w:t>区）的所有医疗卫生机构。处置设施采用国家环保总局推荐的</w:t>
      </w:r>
      <w:r>
        <w:rPr>
          <w:rFonts w:cs="Times New Roman"/>
          <w:szCs w:val="24"/>
        </w:rPr>
        <w:t>“</w:t>
      </w:r>
      <w:r>
        <w:rPr>
          <w:rFonts w:hAnsi="宋体" w:cs="Times New Roman"/>
          <w:szCs w:val="24"/>
        </w:rPr>
        <w:t>热解炉、二次燃烧、烟气急冷、尾气除酸净化</w:t>
      </w:r>
      <w:r>
        <w:rPr>
          <w:rFonts w:cs="Times New Roman"/>
          <w:szCs w:val="24"/>
        </w:rPr>
        <w:t>”</w:t>
      </w:r>
      <w:r>
        <w:rPr>
          <w:rFonts w:hAnsi="宋体" w:cs="Times New Roman"/>
          <w:szCs w:val="24"/>
        </w:rPr>
        <w:t>工艺，其整套技术和主要设备从韩国引进（</w:t>
      </w:r>
      <w:r>
        <w:rPr>
          <w:rFonts w:cs="Times New Roman"/>
          <w:szCs w:val="24"/>
        </w:rPr>
        <w:t>CAS CONTROL AIR SYSTEM</w:t>
      </w:r>
      <w:r>
        <w:rPr>
          <w:rFonts w:hAnsi="宋体" w:cs="Times New Roman"/>
          <w:szCs w:val="24"/>
        </w:rPr>
        <w:t>）专利技术，在同等处理规模中，公司具有领先的水平。能确保医疗和工业垃圾的安全处置，不会对周边环境产生二次污染。岳阳市方向固废安全处置公司资质主要见附件。</w:t>
      </w:r>
    </w:p>
    <w:p>
      <w:pPr>
        <w:spacing w:line="360" w:lineRule="auto"/>
        <w:ind w:firstLine="480" w:firstLineChars="200"/>
        <w:rPr>
          <w:rFonts w:ascii="宋体" w:hAnsi="宋体"/>
          <w:szCs w:val="24"/>
        </w:rPr>
      </w:pPr>
      <w:r>
        <w:rPr>
          <w:rFonts w:hint="eastAsia" w:ascii="宋体" w:hAnsi="宋体"/>
          <w:szCs w:val="24"/>
        </w:rPr>
        <w:t>建设单位委托其处置本项目产生的医疗废物，符合固体废物污染防治法和《医疗废物管理条例》等相关国家医疗废物处置规定要求，是可行的。</w:t>
      </w:r>
    </w:p>
    <w:p>
      <w:pPr>
        <w:spacing w:line="360" w:lineRule="auto"/>
        <w:ind w:firstLine="480" w:firstLineChars="200"/>
        <w:rPr>
          <w:rFonts w:ascii="宋体" w:hAnsi="宋体"/>
          <w:szCs w:val="24"/>
        </w:rPr>
      </w:pPr>
      <w:r>
        <w:rPr>
          <w:rFonts w:hint="eastAsia" w:ascii="宋体" w:hAnsi="宋体"/>
          <w:szCs w:val="24"/>
        </w:rPr>
        <w:t>综上所述，本项目产生的固体废物均能得到安全处置，对周围环境影响较小。</w:t>
      </w:r>
    </w:p>
    <w:p>
      <w:pPr>
        <w:pStyle w:val="5"/>
      </w:pPr>
      <w:r>
        <w:rPr>
          <w:rFonts w:hint="eastAsia"/>
        </w:rPr>
        <w:t>土壤环境影响分析</w:t>
      </w:r>
    </w:p>
    <w:p>
      <w:pPr>
        <w:spacing w:line="360" w:lineRule="auto"/>
        <w:ind w:firstLine="480" w:firstLineChars="200"/>
        <w:rPr>
          <w:rFonts w:cs="Times New Roman" w:hAnsiTheme="minorEastAsia"/>
          <w:color w:val="000000" w:themeColor="text1"/>
        </w:rPr>
      </w:pPr>
      <w:r>
        <w:rPr>
          <w:rFonts w:cs="Times New Roman"/>
          <w:color w:val="000000" w:themeColor="text1"/>
        </w:rPr>
        <w:t>根据《</w:t>
      </w:r>
      <w:r>
        <w:rPr>
          <w:rFonts w:hAnsi="宋体" w:cs="Times New Roman"/>
          <w:color w:val="000000" w:themeColor="text1"/>
        </w:rPr>
        <w:t>环境影响评价技术导则</w:t>
      </w:r>
      <w:r>
        <w:rPr>
          <w:rFonts w:cs="Times New Roman"/>
          <w:color w:val="000000" w:themeColor="text1"/>
        </w:rPr>
        <w:t>—</w:t>
      </w:r>
      <w:r>
        <w:rPr>
          <w:rFonts w:hAnsi="宋体" w:cs="Times New Roman"/>
          <w:color w:val="000000" w:themeColor="text1"/>
        </w:rPr>
        <w:t>土壤环境（试行）</w:t>
      </w:r>
      <w:r>
        <w:rPr>
          <w:rFonts w:cs="Times New Roman"/>
          <w:color w:val="000000" w:themeColor="text1"/>
        </w:rPr>
        <w:t>》</w:t>
      </w:r>
      <w:r>
        <w:rPr>
          <w:rFonts w:hAnsi="宋体" w:cs="Times New Roman"/>
          <w:color w:val="000000" w:themeColor="text1"/>
        </w:rPr>
        <w:t>（</w:t>
      </w:r>
      <w:r>
        <w:rPr>
          <w:rFonts w:cs="Times New Roman"/>
          <w:color w:val="000000" w:themeColor="text1"/>
        </w:rPr>
        <w:t>HJ964-2018</w:t>
      </w:r>
      <w:r>
        <w:rPr>
          <w:rFonts w:hAnsi="宋体" w:cs="Times New Roman"/>
          <w:color w:val="000000" w:themeColor="text1"/>
        </w:rPr>
        <w:t>），查附录</w:t>
      </w:r>
      <w:r>
        <w:rPr>
          <w:rFonts w:cs="Times New Roman"/>
          <w:color w:val="000000" w:themeColor="text1"/>
        </w:rPr>
        <w:t>A</w:t>
      </w:r>
      <w:r>
        <w:rPr>
          <w:rFonts w:hAnsi="宋体" w:cs="Times New Roman"/>
          <w:color w:val="000000" w:themeColor="text1"/>
        </w:rPr>
        <w:t>土壤环境影响评价项目类别，本项目属于其他行业，则项目类别为</w:t>
      </w:r>
      <w:r>
        <w:rPr>
          <w:rFonts w:cs="Times New Roman"/>
          <w:color w:val="000000" w:themeColor="text1"/>
        </w:rPr>
        <w:t>Ⅳ</w:t>
      </w:r>
      <w:r>
        <w:rPr>
          <w:rFonts w:cs="Times New Roman" w:hAnsiTheme="minorEastAsia"/>
          <w:color w:val="000000" w:themeColor="text1"/>
        </w:rPr>
        <w:t>类。根查阅</w:t>
      </w:r>
      <w:r>
        <w:rPr>
          <w:rFonts w:cs="Times New Roman"/>
          <w:color w:val="000000" w:themeColor="text1"/>
        </w:rPr>
        <w:t>《</w:t>
      </w:r>
      <w:r>
        <w:rPr>
          <w:rFonts w:hAnsi="宋体" w:cs="Times New Roman"/>
          <w:color w:val="000000" w:themeColor="text1"/>
        </w:rPr>
        <w:t>环境影响评价技术导则</w:t>
      </w:r>
      <w:r>
        <w:rPr>
          <w:rFonts w:cs="Times New Roman"/>
          <w:color w:val="000000" w:themeColor="text1"/>
        </w:rPr>
        <w:t>—</w:t>
      </w:r>
      <w:r>
        <w:rPr>
          <w:rFonts w:hAnsi="宋体" w:cs="Times New Roman"/>
          <w:color w:val="000000" w:themeColor="text1"/>
        </w:rPr>
        <w:t>土壤环境（试行）</w:t>
      </w:r>
      <w:r>
        <w:rPr>
          <w:rFonts w:cs="Times New Roman"/>
          <w:color w:val="000000" w:themeColor="text1"/>
        </w:rPr>
        <w:t>》</w:t>
      </w:r>
      <w:r>
        <w:rPr>
          <w:rFonts w:hAnsi="宋体" w:cs="Times New Roman"/>
          <w:color w:val="000000" w:themeColor="text1"/>
        </w:rPr>
        <w:t>（</w:t>
      </w:r>
      <w:r>
        <w:rPr>
          <w:rFonts w:cs="Times New Roman"/>
          <w:color w:val="000000" w:themeColor="text1"/>
        </w:rPr>
        <w:t>HJ964-2018</w:t>
      </w:r>
      <w:r>
        <w:rPr>
          <w:rFonts w:hAnsi="宋体" w:cs="Times New Roman"/>
          <w:color w:val="000000" w:themeColor="text1"/>
        </w:rPr>
        <w:t>）</w:t>
      </w:r>
      <w:r>
        <w:rPr>
          <w:rFonts w:cs="Times New Roman"/>
          <w:color w:val="000000" w:themeColor="text1"/>
        </w:rPr>
        <w:t>4.2.2</w:t>
      </w:r>
      <w:r>
        <w:rPr>
          <w:rFonts w:hAnsi="宋体" w:cs="Times New Roman"/>
          <w:color w:val="000000" w:themeColor="text1"/>
        </w:rPr>
        <w:t>中规定</w:t>
      </w:r>
      <w:r>
        <w:rPr>
          <w:rFonts w:cs="Times New Roman"/>
          <w:color w:val="000000" w:themeColor="text1"/>
        </w:rPr>
        <w:t>“</w:t>
      </w:r>
      <w:r>
        <w:rPr>
          <w:rFonts w:hAnsi="宋体" w:cs="Times New Roman"/>
          <w:color w:val="000000" w:themeColor="text1"/>
        </w:rPr>
        <w:t>根据行业特征、工艺特点或规模大小等将建设项目类别分为</w:t>
      </w:r>
      <w:r>
        <w:rPr>
          <w:rFonts w:cs="Times New Roman"/>
          <w:color w:val="000000" w:themeColor="text1"/>
        </w:rPr>
        <w:t>Ⅰ</w:t>
      </w:r>
      <w:r>
        <w:rPr>
          <w:rFonts w:cs="Times New Roman" w:hAnsiTheme="minorEastAsia"/>
          <w:color w:val="000000" w:themeColor="text1"/>
        </w:rPr>
        <w:t>类、</w:t>
      </w:r>
      <w:r>
        <w:rPr>
          <w:rFonts w:cs="Times New Roman"/>
          <w:color w:val="000000" w:themeColor="text1"/>
        </w:rPr>
        <w:t>Ⅱ</w:t>
      </w:r>
      <w:r>
        <w:rPr>
          <w:rFonts w:cs="Times New Roman" w:hAnsiTheme="minorEastAsia"/>
          <w:color w:val="000000" w:themeColor="text1"/>
        </w:rPr>
        <w:t>类、</w:t>
      </w:r>
      <w:r>
        <w:rPr>
          <w:rFonts w:cs="Times New Roman"/>
          <w:color w:val="000000" w:themeColor="text1"/>
        </w:rPr>
        <w:t>Ⅲ</w:t>
      </w:r>
      <w:r>
        <w:rPr>
          <w:rFonts w:cs="Times New Roman" w:hAnsiTheme="minorEastAsia"/>
          <w:color w:val="000000" w:themeColor="text1"/>
        </w:rPr>
        <w:t>类、</w:t>
      </w:r>
      <w:r>
        <w:rPr>
          <w:rFonts w:cs="Times New Roman"/>
          <w:color w:val="000000" w:themeColor="text1"/>
        </w:rPr>
        <w:t>Ⅳ</w:t>
      </w:r>
      <w:r>
        <w:rPr>
          <w:rFonts w:cs="Times New Roman" w:hAnsiTheme="minorEastAsia"/>
          <w:color w:val="000000" w:themeColor="text1"/>
        </w:rPr>
        <w:t>类，见附录</w:t>
      </w:r>
      <w:r>
        <w:rPr>
          <w:rFonts w:cs="Times New Roman"/>
          <w:color w:val="000000" w:themeColor="text1"/>
        </w:rPr>
        <w:t>A</w:t>
      </w:r>
      <w:r>
        <w:rPr>
          <w:rFonts w:cs="Times New Roman" w:hAnsiTheme="minorEastAsia"/>
          <w:color w:val="000000" w:themeColor="text1"/>
        </w:rPr>
        <w:t>，其中</w:t>
      </w:r>
      <w:r>
        <w:rPr>
          <w:rFonts w:cs="Times New Roman"/>
          <w:color w:val="000000" w:themeColor="text1"/>
        </w:rPr>
        <w:t>Ⅳ</w:t>
      </w:r>
      <w:r>
        <w:rPr>
          <w:rFonts w:cs="Times New Roman" w:hAnsiTheme="minorEastAsia"/>
          <w:color w:val="000000" w:themeColor="text1"/>
        </w:rPr>
        <w:t>类建设项目可不开展土壤环境影响评价；导则中有提出</w:t>
      </w:r>
      <w:r>
        <w:rPr>
          <w:rFonts w:hint="eastAsia" w:cs="Times New Roman" w:hAnsiTheme="minorEastAsia"/>
          <w:color w:val="000000" w:themeColor="text1"/>
        </w:rPr>
        <w:t>，</w:t>
      </w:r>
      <w:r>
        <w:rPr>
          <w:rFonts w:cs="Times New Roman" w:hAnsiTheme="minorEastAsia"/>
          <w:color w:val="000000" w:themeColor="text1"/>
        </w:rPr>
        <w:t>自身为敏感目标的建设项目，可根据需要仅对土壤环境现状进行调查</w:t>
      </w:r>
      <w:r>
        <w:rPr>
          <w:rFonts w:cs="Times New Roman"/>
          <w:color w:val="000000" w:themeColor="text1"/>
        </w:rPr>
        <w:t>”</w:t>
      </w:r>
      <w:r>
        <w:rPr>
          <w:rFonts w:hint="eastAsia" w:cs="Times New Roman"/>
          <w:color w:val="000000" w:themeColor="text1"/>
        </w:rPr>
        <w:t>，</w:t>
      </w:r>
      <w:r>
        <w:rPr>
          <w:rFonts w:cs="Times New Roman" w:hAnsiTheme="minorEastAsia"/>
          <w:color w:val="000000" w:themeColor="text1"/>
        </w:rPr>
        <w:t>本项目为医院建设项目，属于自身为敏感目标的建设项目</w:t>
      </w:r>
      <w:r>
        <w:rPr>
          <w:rFonts w:hint="eastAsia" w:cs="Times New Roman" w:hAnsiTheme="minorEastAsia"/>
          <w:color w:val="000000" w:themeColor="text1"/>
        </w:rPr>
        <w:t>，</w:t>
      </w:r>
      <w:r>
        <w:rPr>
          <w:rFonts w:cs="Times New Roman" w:hAnsiTheme="minorEastAsia"/>
          <w:color w:val="000000" w:themeColor="text1"/>
        </w:rPr>
        <w:t>则对本项目地土壤进行了监测及现场调查</w:t>
      </w:r>
      <w:r>
        <w:rPr>
          <w:rFonts w:hint="eastAsia" w:cs="Times New Roman" w:hAnsiTheme="minorEastAsia"/>
          <w:color w:val="000000" w:themeColor="text1"/>
        </w:rPr>
        <w:t>。</w:t>
      </w:r>
    </w:p>
    <w:p>
      <w:pPr>
        <w:spacing w:line="360" w:lineRule="auto"/>
        <w:ind w:firstLine="480" w:firstLineChars="200"/>
        <w:rPr>
          <w:rFonts w:cs="Times New Roman"/>
          <w:color w:val="000000" w:themeColor="text1"/>
        </w:rPr>
      </w:pPr>
      <w:r>
        <w:rPr>
          <w:rFonts w:hint="eastAsia" w:cs="Times New Roman" w:hAnsiTheme="minorEastAsia"/>
          <w:color w:val="000000" w:themeColor="text1"/>
        </w:rPr>
        <w:t>根据表4.2-7可知，本项目现有土壤监测数据可满足</w:t>
      </w:r>
      <w:r>
        <w:rPr>
          <w:rFonts w:cs="Times New Roman"/>
          <w:color w:val="000000" w:themeColor="text1"/>
        </w:rPr>
        <w:t>《土壤环境质量建设用地土壤污染风险管控标准（试行）》（GB36600-2018）中第一类用地筛选值标准要求。</w:t>
      </w:r>
    </w:p>
    <w:p>
      <w:pPr>
        <w:spacing w:line="360" w:lineRule="auto"/>
        <w:ind w:firstLine="480" w:firstLineChars="200"/>
      </w:pPr>
      <w:r>
        <w:rPr>
          <w:rFonts w:ascii="宋体" w:hAnsi="宋体"/>
        </w:rPr>
        <w:t>项目废气主要污染因子为</w:t>
      </w:r>
      <w:r>
        <w:t>H</w:t>
      </w:r>
      <w:r>
        <w:rPr>
          <w:vertAlign w:val="subscript"/>
        </w:rPr>
        <w:t>2</w:t>
      </w:r>
      <w:r>
        <w:t>S</w:t>
      </w:r>
      <w:r>
        <w:rPr>
          <w:rFonts w:ascii="宋体" w:hAnsi="宋体"/>
        </w:rPr>
        <w:t>和</w:t>
      </w:r>
      <w:r>
        <w:t>NH</w:t>
      </w:r>
      <w:r>
        <w:rPr>
          <w:vertAlign w:val="subscript"/>
        </w:rPr>
        <w:t>3</w:t>
      </w:r>
      <w:r>
        <w:rPr>
          <w:rFonts w:hint="eastAsia"/>
        </w:rPr>
        <w:t>、SO</w:t>
      </w:r>
      <w:r>
        <w:rPr>
          <w:rFonts w:hint="eastAsia"/>
          <w:vertAlign w:val="subscript"/>
        </w:rPr>
        <w:t>2</w:t>
      </w:r>
      <w:r>
        <w:rPr>
          <w:rFonts w:hint="eastAsia"/>
        </w:rPr>
        <w:t>、NO</w:t>
      </w:r>
      <w:r>
        <w:rPr>
          <w:rFonts w:hint="eastAsia"/>
          <w:vertAlign w:val="subscript"/>
        </w:rPr>
        <w:t>X</w:t>
      </w:r>
      <w:r>
        <w:rPr>
          <w:rFonts w:hint="eastAsia"/>
        </w:rPr>
        <w:t>、颗粒物</w:t>
      </w:r>
      <w:r>
        <w:rPr>
          <w:rFonts w:ascii="宋体" w:hAnsi="宋体"/>
        </w:rPr>
        <w:t>，排放量较少。该类废气污染因子大部分在空气中会与尘埃等颗粒物结合或被其他物质分解，极少量会降落至地面，随着时间的推移被土壤自行分解，不会发生富集现象，因此，废气对土壤环境影很小。</w:t>
      </w:r>
    </w:p>
    <w:p>
      <w:pPr>
        <w:spacing w:line="360" w:lineRule="auto"/>
        <w:ind w:firstLine="480" w:firstLineChars="200"/>
      </w:pPr>
      <w:r>
        <w:rPr>
          <w:rFonts w:ascii="宋体" w:hAnsi="宋体"/>
          <w:color w:val="000000" w:themeColor="text1"/>
        </w:rPr>
        <w:t>项目废水主要污染因子为</w:t>
      </w:r>
      <w:r>
        <w:rPr>
          <w:color w:val="000000" w:themeColor="text1"/>
        </w:rPr>
        <w:t>pH</w:t>
      </w:r>
      <w:r>
        <w:rPr>
          <w:rFonts w:ascii="宋体" w:hAnsi="宋体"/>
          <w:color w:val="000000" w:themeColor="text1"/>
        </w:rPr>
        <w:t>、</w:t>
      </w:r>
      <w:r>
        <w:rPr>
          <w:color w:val="000000" w:themeColor="text1"/>
        </w:rPr>
        <w:t>COD</w:t>
      </w:r>
      <w:r>
        <w:rPr>
          <w:rFonts w:ascii="宋体" w:hAnsi="宋体"/>
          <w:color w:val="000000" w:themeColor="text1"/>
        </w:rPr>
        <w:t>、</w:t>
      </w:r>
      <w:r>
        <w:rPr>
          <w:color w:val="000000" w:themeColor="text1"/>
        </w:rPr>
        <w:t>BOD</w:t>
      </w:r>
      <w:r>
        <w:rPr>
          <w:color w:val="000000" w:themeColor="text1"/>
          <w:vertAlign w:val="subscript"/>
        </w:rPr>
        <w:t>5</w:t>
      </w:r>
      <w:r>
        <w:rPr>
          <w:rFonts w:ascii="宋体" w:hAnsi="宋体"/>
          <w:color w:val="000000" w:themeColor="text1"/>
        </w:rPr>
        <w:t>、氨氮、</w:t>
      </w:r>
      <w:r>
        <w:rPr>
          <w:color w:val="000000" w:themeColor="text1"/>
        </w:rPr>
        <w:t>SS</w:t>
      </w:r>
      <w:r>
        <w:rPr>
          <w:rFonts w:ascii="宋体" w:hAnsi="宋体"/>
          <w:color w:val="000000" w:themeColor="text1"/>
        </w:rPr>
        <w:t>、总氮、总磷</w:t>
      </w:r>
      <w:r>
        <w:rPr>
          <w:rFonts w:hint="eastAsia" w:ascii="宋体" w:hAnsi="宋体"/>
          <w:color w:val="000000" w:themeColor="text1"/>
        </w:rPr>
        <w:t>、</w:t>
      </w:r>
      <w:r>
        <w:rPr>
          <w:rFonts w:ascii="宋体" w:hAnsi="宋体"/>
          <w:bCs/>
          <w:color w:val="000000" w:themeColor="text1"/>
        </w:rPr>
        <w:t>阴离子表面活性剂</w:t>
      </w:r>
      <w:r>
        <w:rPr>
          <w:rFonts w:hint="eastAsia" w:ascii="宋体" w:hAnsi="宋体"/>
          <w:bCs/>
          <w:color w:val="000000" w:themeColor="text1"/>
        </w:rPr>
        <w:t>、</w:t>
      </w:r>
      <w:r>
        <w:rPr>
          <w:rFonts w:ascii="宋体" w:hAnsi="宋体"/>
          <w:bCs/>
          <w:color w:val="000000" w:themeColor="text1"/>
        </w:rPr>
        <w:t>总余氯</w:t>
      </w:r>
      <w:r>
        <w:rPr>
          <w:rFonts w:ascii="宋体" w:hAnsi="宋体"/>
        </w:rPr>
        <w:t>等，院内布设有医疗废水处理站</w:t>
      </w:r>
      <w:r>
        <w:rPr>
          <w:rFonts w:hint="eastAsia" w:ascii="宋体" w:hAnsi="宋体"/>
        </w:rPr>
        <w:t>、</w:t>
      </w:r>
      <w:r>
        <w:rPr>
          <w:rFonts w:ascii="宋体" w:hAnsi="宋体"/>
        </w:rPr>
        <w:t>化粪池和隔油沉淀池等。</w:t>
      </w:r>
      <w:r>
        <w:rPr>
          <w:rFonts w:hint="eastAsia" w:ascii="宋体" w:hAnsi="宋体"/>
        </w:rPr>
        <w:t>全院</w:t>
      </w:r>
      <w:r>
        <w:rPr>
          <w:rFonts w:ascii="宋体" w:hAnsi="宋体"/>
        </w:rPr>
        <w:t>已严格按照设计规范要求采取防渗措施和事故应急措施，将少量跑冒滴漏的废水污染物截留，正常情况下不会污染土壤；如若发生防渗膜失效等非正常情况，污染物可能会透过防渗膜从而污染土壤。因此建设单位应该采取严格有效的防渗措施，一旦发生非正常情况，立即采取相应的应急处理措施，切断污染源，可将事故影响减小至最低。</w:t>
      </w:r>
    </w:p>
    <w:p>
      <w:pPr>
        <w:spacing w:line="360" w:lineRule="auto"/>
        <w:ind w:firstLine="480" w:firstLineChars="200"/>
      </w:pPr>
      <w:r>
        <w:rPr>
          <w:rFonts w:ascii="宋体" w:hAnsi="宋体"/>
        </w:rPr>
        <w:t>固体废物有污泥、</w:t>
      </w:r>
      <w:r>
        <w:rPr>
          <w:rFonts w:hint="eastAsia" w:ascii="宋体" w:hAnsi="宋体"/>
        </w:rPr>
        <w:t>医疗</w:t>
      </w:r>
      <w:r>
        <w:rPr>
          <w:rFonts w:ascii="宋体" w:hAnsi="宋体"/>
        </w:rPr>
        <w:t>废物、生活垃圾等，均不在场内长期存放。</w:t>
      </w:r>
      <w:r>
        <w:rPr>
          <w:rFonts w:hint="eastAsia" w:ascii="宋体" w:hAnsi="宋体"/>
        </w:rPr>
        <w:t>医疗</w:t>
      </w:r>
      <w:r>
        <w:rPr>
          <w:rFonts w:ascii="宋体" w:hAnsi="宋体"/>
        </w:rPr>
        <w:t>废物和脱水污泥贮存在可以防风、防雨、防渗的危险废物暂存间内，避免雨水直接接触物料。</w:t>
      </w:r>
    </w:p>
    <w:p>
      <w:pPr>
        <w:spacing w:line="360" w:lineRule="auto"/>
        <w:ind w:firstLine="480" w:firstLineChars="200"/>
      </w:pPr>
      <w:r>
        <w:rPr>
          <w:rFonts w:ascii="宋体" w:hAnsi="宋体"/>
        </w:rPr>
        <w:t>本项目对废水、固废严格控制，同时对厂区可能产生污染的区域均按要求进行相应等级的防渗，事故情况下立即采取相应的应急处理措施。切断污染源，采取措施后，项目运营期对土壤环境的影响较小。</w:t>
      </w:r>
    </w:p>
    <w:p>
      <w:pPr>
        <w:pStyle w:val="5"/>
      </w:pPr>
      <w:r>
        <w:t>辐射管理要求</w:t>
      </w:r>
    </w:p>
    <w:p>
      <w:pPr>
        <w:spacing w:line="360" w:lineRule="auto"/>
        <w:ind w:firstLine="480" w:firstLineChars="200"/>
        <w:rPr>
          <w:rFonts w:hAnsi="宋体"/>
        </w:rPr>
      </w:pPr>
      <w:r>
        <w:rPr>
          <w:rFonts w:hint="eastAsia"/>
        </w:rPr>
        <w:t>岳阳市康复医院建成后，</w:t>
      </w:r>
      <w:r>
        <w:rPr>
          <w:rFonts w:hint="eastAsia" w:hAnsi="宋体"/>
        </w:rPr>
        <w:t>院内配有X线影像扫描系统、X光机等放射性仪器、B超等设备，该类项目诊断时产生的X射线和散射X射线，对工作人员和患者的身体造成一定辐射危害。X射线机未加高压时不会产生电离辐射。上述放射性仪器在运行过程中，应做好以下环保工作：</w:t>
      </w:r>
    </w:p>
    <w:p>
      <w:pPr>
        <w:adjustRightInd w:val="0"/>
        <w:snapToGrid w:val="0"/>
        <w:spacing w:line="360" w:lineRule="auto"/>
        <w:ind w:firstLine="480" w:firstLineChars="200"/>
        <w:rPr>
          <w:rFonts w:hAnsi="宋体"/>
        </w:rPr>
      </w:pPr>
      <w:r>
        <w:rPr>
          <w:rFonts w:hint="eastAsia" w:asciiTheme="minorEastAsia" w:hAnsiTheme="minorEastAsia"/>
        </w:rPr>
        <w:t>①</w:t>
      </w:r>
      <w:r>
        <w:rPr>
          <w:rFonts w:hint="eastAsia" w:hAnsi="宋体"/>
        </w:rPr>
        <w:t>应健全完善各项辐射管理规章制度和应急预案，并严格遵守执行，相关制度应上墙粘贴；按要求做好放射诊疗机房的屏蔽、联锁、警示、应急、通风等措施，确保环境辐射安全；在机房门外和走廊设置辐射警示标志，防止无关人员随意接近。</w:t>
      </w:r>
    </w:p>
    <w:p>
      <w:pPr>
        <w:adjustRightInd w:val="0"/>
        <w:snapToGrid w:val="0"/>
        <w:spacing w:line="360" w:lineRule="auto"/>
        <w:ind w:firstLine="480" w:firstLineChars="200"/>
        <w:rPr>
          <w:rFonts w:hAnsi="宋体"/>
        </w:rPr>
      </w:pPr>
      <w:r>
        <w:rPr>
          <w:rFonts w:hint="eastAsia" w:asciiTheme="minorEastAsia" w:hAnsiTheme="minorEastAsia"/>
        </w:rPr>
        <w:t>②</w:t>
      </w:r>
      <w:r>
        <w:rPr>
          <w:rFonts w:hint="eastAsia" w:hAnsi="宋体"/>
        </w:rPr>
        <w:t>加强辐射工作人员的职业培训、安全防护和健康管理。辐射工作人员必须经过环保主管部门组织的辐射安全防护培训、持证上岗；定期对辐射工作人员进行医学检查，配备个人防护用品和个人计量剂，建立个人计量和健康档案，发现职业禁忌，必须停止放射工作。</w:t>
      </w:r>
    </w:p>
    <w:p>
      <w:pPr>
        <w:adjustRightInd w:val="0"/>
        <w:snapToGrid w:val="0"/>
        <w:spacing w:line="360" w:lineRule="auto"/>
        <w:ind w:firstLine="480" w:firstLineChars="200"/>
        <w:rPr>
          <w:rFonts w:hAnsi="宋体"/>
        </w:rPr>
      </w:pPr>
      <w:r>
        <w:rPr>
          <w:rFonts w:hint="eastAsia" w:asciiTheme="minorEastAsia" w:hAnsiTheme="minorEastAsia"/>
        </w:rPr>
        <w:t>③</w:t>
      </w:r>
      <w:r>
        <w:rPr>
          <w:rFonts w:hAnsi="宋体"/>
        </w:rPr>
        <w:t>摄影机房中有用线束朝向的墙壁应有2mm铅当量的防护厚度，其他侧墙壁应有1mm血铅当量的防护厚度。透视机房各侧墙壁应有1mm铅当量的防护厚度。机房的门、窗必须合理设置，并有其所在墙壁相同的防护厚度。</w:t>
      </w:r>
    </w:p>
    <w:p>
      <w:pPr>
        <w:adjustRightInd w:val="0"/>
        <w:snapToGrid w:val="0"/>
        <w:spacing w:line="360" w:lineRule="auto"/>
        <w:ind w:firstLine="480" w:firstLineChars="200"/>
        <w:rPr>
          <w:rFonts w:hAnsi="宋体"/>
        </w:rPr>
      </w:pPr>
      <w:r>
        <w:rPr>
          <w:rFonts w:hint="eastAsia" w:asciiTheme="minorEastAsia" w:hAnsiTheme="minorEastAsia"/>
        </w:rPr>
        <w:t>④</w:t>
      </w:r>
      <w:r>
        <w:rPr>
          <w:rFonts w:hAnsi="宋体"/>
        </w:rPr>
        <w:t>机房内布局要合理，不得堆放与诊断工作无关的杂物。机房要保持良好的通风。机房门外要有电离辐射标志，并安设醒目的工作指示灯。</w:t>
      </w:r>
    </w:p>
    <w:p>
      <w:pPr>
        <w:adjustRightInd w:val="0"/>
        <w:snapToGrid w:val="0"/>
        <w:spacing w:line="360" w:lineRule="auto"/>
        <w:ind w:firstLine="480" w:firstLineChars="200"/>
        <w:rPr>
          <w:rFonts w:hAnsi="宋体"/>
        </w:rPr>
      </w:pPr>
      <w:r>
        <w:rPr>
          <w:rFonts w:hint="eastAsia" w:asciiTheme="minorEastAsia" w:hAnsiTheme="minorEastAsia"/>
        </w:rPr>
        <w:t>⑤</w:t>
      </w:r>
      <w:r>
        <w:rPr>
          <w:rFonts w:hAnsi="宋体"/>
        </w:rPr>
        <w:t>受检者的候诊位置要选择恰当，并有相应的防护措施。</w:t>
      </w:r>
    </w:p>
    <w:p>
      <w:pPr>
        <w:adjustRightInd w:val="0"/>
        <w:snapToGrid w:val="0"/>
        <w:spacing w:line="360" w:lineRule="auto"/>
        <w:ind w:firstLine="480" w:firstLineChars="200"/>
        <w:rPr>
          <w:rFonts w:hAnsi="宋体"/>
        </w:rPr>
      </w:pPr>
      <w:r>
        <w:rPr>
          <w:rFonts w:hint="eastAsia" w:asciiTheme="minorEastAsia" w:hAnsiTheme="minorEastAsia"/>
        </w:rPr>
        <w:t>⑥</w:t>
      </w:r>
      <w:r>
        <w:rPr>
          <w:rFonts w:hAnsi="宋体"/>
        </w:rPr>
        <w:t>X射线机摄影操作台应安置在具有0.5mm铅当量防护厚度的防护设施内。</w:t>
      </w:r>
    </w:p>
    <w:p>
      <w:pPr>
        <w:adjustRightInd w:val="0"/>
        <w:snapToGrid w:val="0"/>
        <w:spacing w:line="360" w:lineRule="auto"/>
        <w:ind w:firstLine="480" w:firstLineChars="200"/>
        <w:rPr>
          <w:rFonts w:hAnsi="宋体"/>
        </w:rPr>
      </w:pPr>
      <w:r>
        <w:rPr>
          <w:rFonts w:hint="eastAsia" w:asciiTheme="minorEastAsia" w:hAnsiTheme="minorEastAsia"/>
        </w:rPr>
        <w:t>⑦</w:t>
      </w:r>
      <w:r>
        <w:rPr>
          <w:rFonts w:hAnsi="宋体"/>
        </w:rPr>
        <w:t>每台X射线机应配备适量的符合防护要求的各种辅助防护用品，如铅橡胶手套、铅橡胶围裙、铅防护座椅等。</w:t>
      </w:r>
    </w:p>
    <w:p>
      <w:pPr>
        <w:adjustRightInd w:val="0"/>
        <w:snapToGrid w:val="0"/>
        <w:spacing w:line="360" w:lineRule="auto"/>
        <w:ind w:firstLine="480" w:firstLineChars="200"/>
        <w:rPr>
          <w:rFonts w:hAnsi="宋体"/>
        </w:rPr>
      </w:pPr>
      <w:r>
        <w:rPr>
          <w:rFonts w:hint="eastAsia" w:asciiTheme="minorEastAsia" w:hAnsiTheme="minorEastAsia"/>
        </w:rPr>
        <w:t>⑧</w:t>
      </w:r>
      <w:r>
        <w:rPr>
          <w:rFonts w:hAnsi="宋体"/>
        </w:rPr>
        <w:t>各X射线机房内应注意配备专门供受检者使用的各种辅助防护用品，以及固定特殊受检者体位的各种设备。</w:t>
      </w:r>
    </w:p>
    <w:p>
      <w:pPr>
        <w:adjustRightInd w:val="0"/>
        <w:snapToGrid w:val="0"/>
        <w:spacing w:line="360" w:lineRule="auto"/>
        <w:ind w:firstLine="480" w:firstLineChars="200"/>
        <w:rPr>
          <w:rFonts w:hAnsi="宋体"/>
        </w:rPr>
      </w:pPr>
      <w:r>
        <w:rPr>
          <w:rFonts w:hint="eastAsia" w:asciiTheme="minorEastAsia" w:hAnsiTheme="minorEastAsia"/>
        </w:rPr>
        <w:t>⑨</w:t>
      </w:r>
      <w:r>
        <w:rPr>
          <w:rFonts w:hint="eastAsia" w:hAnsi="宋体"/>
        </w:rPr>
        <w:t>定期开展设备工作场所和周围环境区域辐射水平监测。</w:t>
      </w:r>
    </w:p>
    <w:p>
      <w:pPr>
        <w:adjustRightInd w:val="0"/>
        <w:snapToGrid w:val="0"/>
        <w:spacing w:line="360" w:lineRule="auto"/>
        <w:ind w:firstLine="480" w:firstLineChars="200"/>
        <w:rPr>
          <w:rFonts w:cs="Times New Roman"/>
          <w:color w:val="000000" w:themeColor="text1"/>
        </w:rPr>
      </w:pPr>
      <w:r>
        <w:rPr>
          <w:rFonts w:hint="eastAsia" w:asciiTheme="minorEastAsia" w:hAnsiTheme="minorEastAsia"/>
        </w:rPr>
        <w:t>⑩</w:t>
      </w:r>
      <w:r>
        <w:rPr>
          <w:rFonts w:hint="eastAsia" w:hAnsi="宋体"/>
        </w:rPr>
        <w:t>同时项目建设过程中应预留辐射放射污水预处理池位置，各辐射放射性设备建议布局在地下室专门用房内。</w:t>
      </w:r>
    </w:p>
    <w:p>
      <w:pPr>
        <w:adjustRightInd w:val="0"/>
        <w:snapToGrid w:val="0"/>
        <w:spacing w:line="360" w:lineRule="auto"/>
        <w:ind w:firstLine="480" w:firstLineChars="200"/>
        <w:rPr>
          <w:rFonts w:hAnsi="宋体" w:cs="Times New Roman"/>
          <w:szCs w:val="24"/>
        </w:rPr>
      </w:pPr>
      <w:r>
        <w:rPr>
          <w:rFonts w:hint="eastAsia" w:hAnsi="宋体"/>
        </w:rPr>
        <w:t>岳阳市康复医院建成后，根据《中华人民共和国环境影响评价法》、《放射性环境管理办法》以及《放射性同位素与射线装置安全许可管理办法》需委托有资质的机构进行医院的辐射环境影响评价专项评价。</w:t>
      </w:r>
    </w:p>
    <w:p>
      <w:pPr>
        <w:pStyle w:val="14"/>
        <w:spacing w:line="240" w:lineRule="auto"/>
        <w:rPr>
          <w:sz w:val="21"/>
          <w:szCs w:val="21"/>
        </w:rPr>
      </w:pPr>
    </w:p>
    <w:p>
      <w:pPr>
        <w:pStyle w:val="5"/>
      </w:pPr>
      <w:r>
        <w:rPr>
          <w:rFonts w:hint="eastAsia"/>
        </w:rPr>
        <w:t>外环境对本项目的影响分析</w:t>
      </w:r>
    </w:p>
    <w:p>
      <w:pPr>
        <w:spacing w:line="360" w:lineRule="auto"/>
        <w:ind w:firstLine="480" w:firstLineChars="200"/>
        <w:rPr>
          <w:rFonts w:cs="Times New Roman"/>
          <w:szCs w:val="24"/>
        </w:rPr>
      </w:pPr>
      <w:r>
        <w:rPr>
          <w:rFonts w:cs="Times New Roman"/>
          <w:szCs w:val="24"/>
        </w:rPr>
        <w:t>本项目周围主要以居民区、学校为主项目南侧为福颐路，因此外环境中可能对本项目产生影响的污染因素为福颐路的交通噪声和汽车尾气。本项目为医院建设项目，本身为环境敏感目标，对外环境中的各种污染因素比较敏感，因此有必要就外环境对本项目的影响进行分析。</w:t>
      </w:r>
    </w:p>
    <w:p>
      <w:pPr>
        <w:spacing w:line="360" w:lineRule="auto"/>
        <w:ind w:firstLine="480" w:firstLineChars="200"/>
        <w:rPr>
          <w:rFonts w:cs="Times New Roman"/>
          <w:szCs w:val="24"/>
        </w:rPr>
      </w:pPr>
      <w:r>
        <w:rPr>
          <w:rFonts w:cs="Times New Roman"/>
          <w:szCs w:val="24"/>
        </w:rPr>
        <w:t>（1）机动车废气的影响</w:t>
      </w:r>
    </w:p>
    <w:p>
      <w:pPr>
        <w:spacing w:line="360" w:lineRule="auto"/>
        <w:ind w:firstLine="480" w:firstLineChars="200"/>
        <w:rPr>
          <w:rFonts w:cs="Times New Roman"/>
          <w:szCs w:val="24"/>
        </w:rPr>
      </w:pPr>
      <w:r>
        <w:rPr>
          <w:rFonts w:cs="Times New Roman"/>
          <w:szCs w:val="24"/>
        </w:rPr>
        <w:t>经调查研究，当车流量在5000辆/h以下时，汽车尾气源强按欧</w:t>
      </w:r>
      <w:r>
        <w:rPr>
          <w:rFonts w:eastAsia="宋体" w:cs="Times New Roman"/>
          <w:szCs w:val="24"/>
        </w:rPr>
        <w:t>Ⅰ</w:t>
      </w:r>
      <w:r>
        <w:rPr>
          <w:rFonts w:cs="Times New Roman"/>
          <w:szCs w:val="24"/>
        </w:rPr>
        <w:t>标准考虑，不同气象条件下其影响范围一般在0~15米之间。本项目紧靠福颐路，从现状调查的情况来看，目前福颐路车流量较小，项目所在区域福颐路机动车尾气排放不会对本项目产生明显不良影响，其影响是可以接受的。</w:t>
      </w:r>
    </w:p>
    <w:p>
      <w:pPr>
        <w:spacing w:line="360" w:lineRule="auto"/>
        <w:ind w:firstLine="480" w:firstLineChars="200"/>
        <w:rPr>
          <w:rFonts w:cs="Times New Roman"/>
          <w:szCs w:val="24"/>
        </w:rPr>
      </w:pPr>
      <w:r>
        <w:rPr>
          <w:rFonts w:cs="Times New Roman"/>
          <w:szCs w:val="24"/>
        </w:rPr>
        <w:t>（2）交通噪声的影响</w:t>
      </w:r>
    </w:p>
    <w:p>
      <w:pPr>
        <w:spacing w:line="360" w:lineRule="auto"/>
        <w:ind w:firstLine="480" w:firstLineChars="200"/>
        <w:rPr>
          <w:rFonts w:cs="Times New Roman"/>
          <w:szCs w:val="24"/>
        </w:rPr>
      </w:pPr>
      <w:r>
        <w:rPr>
          <w:rFonts w:cs="Times New Roman"/>
          <w:szCs w:val="24"/>
        </w:rPr>
        <w:t>由表4.2-5声环境质量现状监测可知，项目医院东、南、西、北昼间和夜监测结果均达到</w:t>
      </w:r>
      <w:r>
        <w:rPr>
          <w:rFonts w:cs="Times New Roman"/>
          <w:color w:val="000000" w:themeColor="text1"/>
          <w:szCs w:val="24"/>
        </w:rPr>
        <w:t>《声环境质量标准》（GB3096-2008）2类标准限值昼间</w:t>
      </w:r>
      <w:r>
        <w:rPr>
          <w:rFonts w:cs="Times New Roman"/>
          <w:szCs w:val="24"/>
        </w:rPr>
        <w:t>60dB</w:t>
      </w:r>
      <w:r>
        <w:rPr>
          <w:rFonts w:hAnsi="宋体" w:cs="Times New Roman"/>
          <w:szCs w:val="24"/>
        </w:rPr>
        <w:t>（</w:t>
      </w:r>
      <w:r>
        <w:rPr>
          <w:rFonts w:cs="Times New Roman"/>
          <w:szCs w:val="24"/>
        </w:rPr>
        <w:t>A</w:t>
      </w:r>
      <w:r>
        <w:rPr>
          <w:rFonts w:hAnsi="宋体" w:cs="Times New Roman"/>
          <w:szCs w:val="24"/>
        </w:rPr>
        <w:t>）、夜间</w:t>
      </w:r>
      <w:r>
        <w:rPr>
          <w:rFonts w:cs="Times New Roman"/>
          <w:szCs w:val="24"/>
        </w:rPr>
        <w:t>50dB</w:t>
      </w:r>
      <w:r>
        <w:rPr>
          <w:rFonts w:hAnsi="宋体" w:cs="Times New Roman"/>
          <w:szCs w:val="24"/>
        </w:rPr>
        <w:t>（</w:t>
      </w:r>
      <w:r>
        <w:rPr>
          <w:rFonts w:cs="Times New Roman"/>
          <w:szCs w:val="24"/>
        </w:rPr>
        <w:t>A</w:t>
      </w:r>
      <w:r>
        <w:rPr>
          <w:rFonts w:hAnsi="宋体" w:cs="Times New Roman"/>
          <w:szCs w:val="24"/>
        </w:rPr>
        <w:t>）的要求。项目南面紧靠福颐路，其车流量较小，根据检测结果可知，福颐路机动车所发出的噪声不会对本项目产生不良影响，其影响是可以接受的。</w:t>
      </w:r>
    </w:p>
    <w:p>
      <w:pPr>
        <w:spacing w:line="360" w:lineRule="auto"/>
        <w:ind w:firstLine="480" w:firstLineChars="200"/>
        <w:rPr>
          <w:rFonts w:cs="Times New Roman"/>
          <w:szCs w:val="24"/>
        </w:rPr>
      </w:pPr>
      <w:r>
        <w:rPr>
          <w:rFonts w:hAnsi="宋体" w:cs="Times New Roman"/>
          <w:szCs w:val="24"/>
        </w:rPr>
        <w:t>（</w:t>
      </w:r>
      <w:r>
        <w:rPr>
          <w:rFonts w:cs="Times New Roman"/>
          <w:szCs w:val="24"/>
        </w:rPr>
        <w:t>3</w:t>
      </w:r>
      <w:r>
        <w:rPr>
          <w:rFonts w:hAnsi="宋体" w:cs="Times New Roman"/>
          <w:szCs w:val="24"/>
        </w:rPr>
        <w:t>）生活污染的影响</w:t>
      </w:r>
    </w:p>
    <w:p>
      <w:pPr>
        <w:spacing w:line="360" w:lineRule="auto"/>
        <w:ind w:firstLine="480" w:firstLineChars="200"/>
        <w:rPr>
          <w:rFonts w:cs="Times New Roman"/>
          <w:szCs w:val="24"/>
        </w:rPr>
        <w:sectPr>
          <w:pgSz w:w="11911" w:h="16838"/>
          <w:pgMar w:top="1060" w:right="958" w:bottom="1338" w:left="1519" w:header="720" w:footer="720" w:gutter="0"/>
          <w:cols w:space="0" w:num="1"/>
        </w:sectPr>
      </w:pPr>
      <w:r>
        <w:rPr>
          <w:rFonts w:hAnsi="宋体" w:cs="Times New Roman"/>
          <w:szCs w:val="24"/>
        </w:rPr>
        <w:t>本项目生活污染源主要来自项目周边的居民生活产生的油烟废气及生活污水排放，由于厨房油烟废气一般均配备家用抽油烟机处理后排放，生活污水经收集后排入市政污水管网进一步处理，上述生活污染源不会对本项目产生明显的影响。</w:t>
      </w:r>
    </w:p>
    <w:p>
      <w:pPr>
        <w:pStyle w:val="2"/>
        <w:adjustRightInd w:val="0"/>
        <w:snapToGrid w:val="0"/>
        <w:spacing w:line="360" w:lineRule="auto"/>
        <w:rPr>
          <w:color w:val="000000" w:themeColor="text1"/>
        </w:rPr>
      </w:pPr>
      <w:bookmarkStart w:id="186" w:name="_Toc25826498"/>
      <w:bookmarkStart w:id="187" w:name="_Toc532763219"/>
      <w:bookmarkStart w:id="188" w:name="_Toc532498755"/>
      <w:bookmarkStart w:id="189" w:name="_Toc532376162"/>
      <w:bookmarkStart w:id="190" w:name="_Toc532497676"/>
      <w:r>
        <w:rPr>
          <w:rFonts w:hint="eastAsia"/>
          <w:color w:val="000000" w:themeColor="text1"/>
        </w:rPr>
        <w:t>环境保护措施及可行性分析</w:t>
      </w:r>
      <w:bookmarkEnd w:id="186"/>
      <w:bookmarkEnd w:id="187"/>
      <w:bookmarkEnd w:id="188"/>
      <w:bookmarkEnd w:id="189"/>
      <w:bookmarkEnd w:id="190"/>
    </w:p>
    <w:p>
      <w:pPr>
        <w:pStyle w:val="4"/>
        <w:adjustRightInd w:val="0"/>
        <w:snapToGrid w:val="0"/>
        <w:rPr>
          <w:color w:val="000000" w:themeColor="text1"/>
        </w:rPr>
      </w:pPr>
      <w:bookmarkStart w:id="191" w:name="_Toc532763221"/>
      <w:bookmarkStart w:id="192" w:name="_Toc532497683"/>
      <w:bookmarkStart w:id="193" w:name="_Toc532376164"/>
      <w:bookmarkStart w:id="194" w:name="_Toc532498757"/>
      <w:bookmarkStart w:id="195" w:name="_Toc25826499"/>
      <w:r>
        <w:rPr>
          <w:rFonts w:hint="eastAsia"/>
          <w:color w:val="000000" w:themeColor="text1"/>
        </w:rPr>
        <w:t>运营期污染防治措施</w:t>
      </w:r>
      <w:bookmarkEnd w:id="191"/>
      <w:bookmarkEnd w:id="192"/>
      <w:bookmarkEnd w:id="193"/>
      <w:bookmarkEnd w:id="194"/>
      <w:bookmarkEnd w:id="195"/>
    </w:p>
    <w:p>
      <w:pPr>
        <w:pStyle w:val="5"/>
        <w:rPr>
          <w:color w:val="000000" w:themeColor="text1"/>
        </w:rPr>
      </w:pPr>
      <w:bookmarkStart w:id="196" w:name="_Toc532497684"/>
      <w:r>
        <w:rPr>
          <w:rFonts w:hint="eastAsia"/>
          <w:color w:val="000000" w:themeColor="text1"/>
        </w:rPr>
        <w:t>大气污染防治措施</w:t>
      </w:r>
      <w:bookmarkEnd w:id="196"/>
    </w:p>
    <w:p>
      <w:pPr>
        <w:pStyle w:val="38"/>
        <w:adjustRightInd w:val="0"/>
        <w:snapToGrid w:val="0"/>
        <w:spacing w:after="0" w:line="360" w:lineRule="auto"/>
        <w:ind w:left="-125" w:leftChars="-52" w:firstLine="600" w:firstLineChars="250"/>
      </w:pPr>
      <w:r>
        <w:t>（</w:t>
      </w:r>
      <w:r>
        <w:rPr>
          <w:rFonts w:hint="eastAsia"/>
        </w:rPr>
        <w:t>1</w:t>
      </w:r>
      <w:r>
        <w:t>）</w:t>
      </w:r>
      <w:r>
        <w:rPr>
          <w:rFonts w:hint="eastAsia"/>
        </w:rPr>
        <w:t>食堂油烟</w:t>
      </w:r>
    </w:p>
    <w:p>
      <w:pPr>
        <w:pStyle w:val="38"/>
        <w:adjustRightInd w:val="0"/>
        <w:snapToGrid w:val="0"/>
        <w:spacing w:after="0" w:line="360" w:lineRule="auto"/>
        <w:ind w:left="-125" w:leftChars="-52" w:firstLine="600" w:firstLineChars="250"/>
      </w:pPr>
      <w:r>
        <w:rPr>
          <w:rFonts w:hint="eastAsia"/>
        </w:rPr>
        <w:t>为解决厨房油烟废气污染，改善操作人员工作环境，医院已对餐厅厨房安装油烟净化装置，油烟净化装置的去除率不低于85%。经油烟净化器处理后的油烟废气通过内置排气筒引至楼顶排放，定期对油烟净化器进行维护，使之在最佳工况下运行。</w:t>
      </w:r>
    </w:p>
    <w:p>
      <w:pPr>
        <w:pStyle w:val="38"/>
        <w:adjustRightInd w:val="0"/>
        <w:snapToGrid w:val="0"/>
        <w:spacing w:after="0" w:line="360" w:lineRule="auto"/>
        <w:ind w:left="-125" w:leftChars="-52" w:firstLine="600" w:firstLineChars="250"/>
        <w:rPr>
          <w:color w:val="000000" w:themeColor="text1"/>
        </w:rPr>
      </w:pPr>
      <w:r>
        <w:rPr>
          <w:rFonts w:hint="eastAsia"/>
          <w:color w:val="000000" w:themeColor="text1"/>
        </w:rPr>
        <w:t>采取以上措施后餐厅油烟排放浓度为0.5mg/m</w:t>
      </w:r>
      <w:r>
        <w:rPr>
          <w:color w:val="000000" w:themeColor="text1"/>
          <w:vertAlign w:val="superscript"/>
        </w:rPr>
        <w:t>3</w:t>
      </w:r>
      <w:r>
        <w:rPr>
          <w:rFonts w:hint="eastAsia"/>
          <w:color w:val="000000" w:themeColor="text1"/>
        </w:rPr>
        <w:t>，排放浓度满足《饮食业油烟排放标准》中对“大型”标准的规定和油烟最高允许排放浓度为2.0mg/m</w:t>
      </w:r>
      <w:r>
        <w:rPr>
          <w:color w:val="000000" w:themeColor="text1"/>
          <w:vertAlign w:val="superscript"/>
        </w:rPr>
        <w:t>3</w:t>
      </w:r>
      <w:r>
        <w:rPr>
          <w:rFonts w:hint="eastAsia"/>
          <w:color w:val="000000" w:themeColor="text1"/>
        </w:rPr>
        <w:t>要求，治理措施可行。</w:t>
      </w:r>
    </w:p>
    <w:p>
      <w:pPr>
        <w:pStyle w:val="38"/>
        <w:adjustRightInd w:val="0"/>
        <w:snapToGrid w:val="0"/>
        <w:spacing w:after="0" w:line="360" w:lineRule="auto"/>
        <w:ind w:left="-125" w:leftChars="-52" w:firstLine="600" w:firstLineChars="250"/>
      </w:pPr>
      <w:r>
        <w:rPr>
          <w:rFonts w:hint="eastAsia"/>
        </w:rPr>
        <w:t>（2）汽车尾气</w:t>
      </w:r>
    </w:p>
    <w:p>
      <w:pPr>
        <w:pStyle w:val="38"/>
        <w:adjustRightInd w:val="0"/>
        <w:snapToGrid w:val="0"/>
        <w:spacing w:after="0" w:line="360" w:lineRule="auto"/>
        <w:ind w:left="-125" w:leftChars="-52" w:firstLine="480" w:firstLineChars="200"/>
      </w:pPr>
      <w:r>
        <w:rPr>
          <w:rFonts w:hint="eastAsia"/>
        </w:rPr>
        <w:t>地面停车场通风性能好，且机动车尾气排放负荷较小，汽车尾气能很快被大气稀释，可在地面停车场附近设置绿化带来削减地面汽车尾气对环境的影响，采取以上措施后地面停车场汽车尾气对周围环境影响较小，治理措施可行。</w:t>
      </w:r>
    </w:p>
    <w:p>
      <w:pPr>
        <w:tabs>
          <w:tab w:val="left" w:pos="7092"/>
        </w:tabs>
        <w:adjustRightInd w:val="0"/>
        <w:snapToGrid w:val="0"/>
        <w:spacing w:line="360" w:lineRule="auto"/>
        <w:ind w:firstLine="360" w:firstLineChars="150"/>
      </w:pPr>
      <w:r>
        <w:t>（</w:t>
      </w:r>
      <w:r>
        <w:rPr>
          <w:rFonts w:hint="eastAsia"/>
        </w:rPr>
        <w:t>3</w:t>
      </w:r>
      <w:r>
        <w:t>）</w:t>
      </w:r>
      <w:r>
        <w:rPr>
          <w:rFonts w:hint="eastAsia"/>
        </w:rPr>
        <w:t>发电机废气</w:t>
      </w:r>
    </w:p>
    <w:p>
      <w:pPr>
        <w:pStyle w:val="38"/>
        <w:adjustRightInd w:val="0"/>
        <w:snapToGrid w:val="0"/>
        <w:spacing w:after="0" w:line="360" w:lineRule="auto"/>
        <w:ind w:left="-125" w:leftChars="-52" w:firstLine="480" w:firstLineChars="200"/>
        <w:rPr>
          <w:rFonts w:cs="Times New Roman"/>
          <w:kern w:val="0"/>
        </w:rPr>
      </w:pPr>
      <w:r>
        <w:rPr>
          <w:rFonts w:cs="Times New Roman"/>
        </w:rPr>
        <w:t>项目发电机尾气由内置专用烟道引至高空排放,能够满足《</w:t>
      </w:r>
      <w:r>
        <w:rPr>
          <w:rFonts w:hAnsi="Tahoma" w:cs="Times New Roman"/>
        </w:rPr>
        <w:t>非道路移动机械用柴油机排气污染物排放限值及测量方法</w:t>
      </w:r>
      <w:r>
        <w:rPr>
          <w:rFonts w:cs="Times New Roman"/>
        </w:rPr>
        <w:t>(</w:t>
      </w:r>
      <w:r>
        <w:rPr>
          <w:rFonts w:hAnsi="Tahoma" w:cs="Times New Roman"/>
        </w:rPr>
        <w:t>中国第三、四阶段）</w:t>
      </w:r>
      <w:r>
        <w:rPr>
          <w:rFonts w:cs="Times New Roman"/>
        </w:rPr>
        <w:t>》(GB 20891—2014)中第三阶段标准要求</w:t>
      </w:r>
      <w:r>
        <w:rPr>
          <w:rFonts w:cs="Times New Roman"/>
          <w:kern w:val="0"/>
        </w:rPr>
        <w:t>，措施可行</w:t>
      </w:r>
      <w:r>
        <w:rPr>
          <w:rFonts w:hint="eastAsia" w:cs="Times New Roman"/>
          <w:kern w:val="0"/>
        </w:rPr>
        <w:t>。</w:t>
      </w:r>
    </w:p>
    <w:p>
      <w:pPr>
        <w:pStyle w:val="38"/>
        <w:adjustRightInd w:val="0"/>
        <w:snapToGrid w:val="0"/>
        <w:spacing w:after="0" w:line="360" w:lineRule="auto"/>
        <w:ind w:left="-125" w:leftChars="-52" w:firstLine="480" w:firstLineChars="200"/>
        <w:rPr>
          <w:kern w:val="0"/>
        </w:rPr>
      </w:pPr>
      <w:r>
        <w:rPr>
          <w:rFonts w:hint="eastAsia"/>
          <w:kern w:val="0"/>
        </w:rPr>
        <w:t>（4）污水处理站废气</w:t>
      </w:r>
    </w:p>
    <w:p>
      <w:pPr>
        <w:spacing w:line="360" w:lineRule="auto"/>
        <w:ind w:firstLine="480" w:firstLineChars="200"/>
        <w:rPr>
          <w:color w:val="000000" w:themeColor="text1"/>
        </w:rPr>
      </w:pPr>
      <w:r>
        <w:rPr>
          <w:kern w:val="0"/>
        </w:rPr>
        <w:t>本项目医疗废物处理站建在密闭的建筑物内</w:t>
      </w:r>
      <w:r>
        <w:rPr>
          <w:rFonts w:hint="eastAsia"/>
          <w:kern w:val="0"/>
        </w:rPr>
        <w:t>，</w:t>
      </w:r>
      <w:r>
        <w:rPr>
          <w:rFonts w:hint="eastAsia"/>
        </w:rPr>
        <w:t>同时对污水处理站喷洒除臭剂。</w:t>
      </w:r>
      <w:r>
        <w:rPr>
          <w:rFonts w:hint="eastAsia"/>
          <w:kern w:val="0"/>
        </w:rPr>
        <w:t>化粪池和隔油沉淀池均为地埋式的，</w:t>
      </w:r>
      <w:r>
        <w:rPr>
          <w:rFonts w:hint="eastAsia"/>
        </w:rPr>
        <w:t>通过以上措施，根据现状监测结果，</w:t>
      </w:r>
      <w:r>
        <w:rPr>
          <w:rFonts w:hint="eastAsia"/>
          <w:color w:val="000000" w:themeColor="text1"/>
        </w:rPr>
        <w:t>无组织的满足《医疗机构水污染物排放标准》（</w:t>
      </w:r>
      <w:r>
        <w:rPr>
          <w:color w:val="000000" w:themeColor="text1"/>
        </w:rPr>
        <w:t>GB18466-2005</w:t>
      </w:r>
      <w:r>
        <w:rPr>
          <w:rFonts w:hint="eastAsia"/>
          <w:color w:val="000000" w:themeColor="text1"/>
        </w:rPr>
        <w:t>）表</w:t>
      </w:r>
      <w:r>
        <w:rPr>
          <w:color w:val="000000" w:themeColor="text1"/>
        </w:rPr>
        <w:t>3</w:t>
      </w:r>
      <w:r>
        <w:rPr>
          <w:rFonts w:hint="eastAsia"/>
          <w:color w:val="000000" w:themeColor="text1"/>
        </w:rPr>
        <w:t>中标准要求。因此院本部污水处理站恶臭对周边敏感影响</w:t>
      </w:r>
      <w:r>
        <w:rPr>
          <w:rFonts w:hint="eastAsia" w:hAnsi="宋体"/>
          <w:color w:val="000000" w:themeColor="text1"/>
        </w:rPr>
        <w:t>较小</w:t>
      </w:r>
      <w:r>
        <w:rPr>
          <w:rFonts w:hint="eastAsia"/>
          <w:color w:val="000000" w:themeColor="text1"/>
        </w:rPr>
        <w:t>。</w:t>
      </w:r>
    </w:p>
    <w:p>
      <w:pPr>
        <w:pStyle w:val="38"/>
        <w:adjustRightInd w:val="0"/>
        <w:snapToGrid w:val="0"/>
        <w:spacing w:after="0" w:line="360" w:lineRule="auto"/>
        <w:ind w:left="-125" w:leftChars="-52" w:firstLine="480" w:firstLineChars="200"/>
        <w:rPr>
          <w:rFonts w:eastAsia="宋体"/>
          <w:color w:val="000000" w:themeColor="text1"/>
        </w:rPr>
      </w:pPr>
      <w:r>
        <w:rPr>
          <w:rFonts w:hint="eastAsia" w:eastAsia="宋体"/>
          <w:color w:val="000000" w:themeColor="text1"/>
        </w:rPr>
        <w:t>（5）锅炉废气</w:t>
      </w:r>
    </w:p>
    <w:p>
      <w:pPr>
        <w:pStyle w:val="38"/>
        <w:adjustRightInd w:val="0"/>
        <w:snapToGrid w:val="0"/>
        <w:spacing w:after="0" w:line="360" w:lineRule="auto"/>
        <w:ind w:left="-125" w:leftChars="-52" w:firstLine="480" w:firstLineChars="200"/>
        <w:rPr>
          <w:rFonts w:cs="Times New Roman"/>
          <w:color w:val="000000" w:themeColor="text1"/>
          <w:szCs w:val="24"/>
        </w:rPr>
      </w:pPr>
      <w:r>
        <w:rPr>
          <w:rFonts w:hint="eastAsia" w:eastAsia="宋体"/>
          <w:color w:val="000000" w:themeColor="text1"/>
        </w:rPr>
        <w:t>本项目锅炉采用天然气，气源可靠清洁，从源头控制了锅炉污染物的产生，</w:t>
      </w:r>
      <w:r>
        <w:rPr>
          <w:rFonts w:cs="Times New Roman"/>
          <w:color w:val="000000" w:themeColor="text1"/>
          <w:kern w:val="0"/>
        </w:rPr>
        <w:t>本医院设置</w:t>
      </w:r>
      <w:r>
        <w:rPr>
          <w:rFonts w:hint="eastAsia" w:cs="Times New Roman"/>
          <w:color w:val="000000" w:themeColor="text1"/>
          <w:kern w:val="0"/>
        </w:rPr>
        <w:t>4</w:t>
      </w:r>
      <w:r>
        <w:rPr>
          <w:rFonts w:cs="Times New Roman"/>
          <w:color w:val="000000" w:themeColor="text1"/>
          <w:kern w:val="0"/>
        </w:rPr>
        <w:t>台</w:t>
      </w:r>
      <w:r>
        <w:rPr>
          <w:rFonts w:hint="eastAsia" w:cs="Times New Roman"/>
          <w:color w:val="000000" w:themeColor="text1"/>
          <w:kern w:val="0"/>
        </w:rPr>
        <w:t>功率为605kw的天然气热水锅炉，分别位于精神大楼旁（一备一用）和老年呵护大楼旁（一备一用）</w:t>
      </w:r>
      <w:r>
        <w:rPr>
          <w:rFonts w:hint="eastAsia"/>
          <w:color w:val="000000" w:themeColor="text1"/>
        </w:rPr>
        <w:t>，经过现场踏勘，精神大楼旁的天然气锅炉排气筒未达到</w:t>
      </w:r>
      <w:r>
        <w:rPr>
          <w:color w:val="000000" w:themeColor="text1"/>
        </w:rPr>
        <w:t>《锅炉大气污染物排放标准》（GB13271-20</w:t>
      </w:r>
      <w:r>
        <w:rPr>
          <w:rFonts w:hint="eastAsia"/>
          <w:color w:val="000000" w:themeColor="text1"/>
        </w:rPr>
        <w:t>14</w:t>
      </w:r>
      <w:r>
        <w:rPr>
          <w:color w:val="000000" w:themeColor="text1"/>
        </w:rPr>
        <w:t>）</w:t>
      </w:r>
      <w:r>
        <w:rPr>
          <w:rFonts w:hint="eastAsia"/>
          <w:color w:val="000000" w:themeColor="text1"/>
        </w:rPr>
        <w:t>中燃气锅炉排气筒高度的要求（</w:t>
      </w:r>
      <w:r>
        <w:rPr>
          <w:rFonts w:hint="eastAsia"/>
          <w:color w:val="000000" w:themeColor="text1"/>
          <w:u w:val="single"/>
        </w:rPr>
        <w:t>目前精神科大楼旁的排气筒高度为3m，标准中要求燃气锅炉的排气筒高度为8m</w:t>
      </w:r>
      <w:r>
        <w:rPr>
          <w:rFonts w:hint="eastAsia"/>
          <w:color w:val="000000" w:themeColor="text1"/>
        </w:rPr>
        <w:t>），需整改。</w:t>
      </w:r>
      <w:r>
        <w:rPr>
          <w:rFonts w:cs="Times New Roman"/>
          <w:color w:val="000000" w:themeColor="text1"/>
          <w:szCs w:val="24"/>
        </w:rPr>
        <w:t>本环评委托湖南精准通检测技术有限公司于2019.8.1~2019.8.2对锅炉排放口进行监测</w:t>
      </w:r>
      <w:r>
        <w:rPr>
          <w:rFonts w:hint="eastAsia" w:cs="Times New Roman"/>
          <w:color w:val="000000" w:themeColor="text1"/>
          <w:szCs w:val="24"/>
        </w:rPr>
        <w:t>，燃气锅炉烟气中颗粒物</w:t>
      </w:r>
      <w:r>
        <w:rPr>
          <w:rFonts w:cs="Times New Roman"/>
          <w:color w:val="000000" w:themeColor="text1"/>
          <w:szCs w:val="24"/>
        </w:rPr>
        <w:t>、SO</w:t>
      </w:r>
      <w:r>
        <w:rPr>
          <w:rFonts w:cs="Times New Roman"/>
          <w:color w:val="000000" w:themeColor="text1"/>
          <w:szCs w:val="24"/>
          <w:vertAlign w:val="subscript"/>
        </w:rPr>
        <w:t>2</w:t>
      </w:r>
      <w:r>
        <w:rPr>
          <w:rFonts w:hint="eastAsia" w:cs="Times New Roman"/>
          <w:color w:val="000000" w:themeColor="text1"/>
          <w:szCs w:val="24"/>
        </w:rPr>
        <w:t>、NOx最大</w:t>
      </w:r>
      <w:r>
        <w:rPr>
          <w:rFonts w:cs="Times New Roman"/>
          <w:color w:val="000000" w:themeColor="text1"/>
          <w:szCs w:val="24"/>
        </w:rPr>
        <w:t>排放浓度分别为</w:t>
      </w:r>
      <w:r>
        <w:rPr>
          <w:rFonts w:hint="eastAsia" w:cs="Times New Roman"/>
          <w:color w:val="000000" w:themeColor="text1"/>
          <w:szCs w:val="24"/>
        </w:rPr>
        <w:t>8.5</w:t>
      </w:r>
      <w:r>
        <w:rPr>
          <w:rFonts w:cs="Times New Roman"/>
          <w:color w:val="000000" w:themeColor="text1"/>
          <w:szCs w:val="24"/>
        </w:rPr>
        <w:t>mg/m</w:t>
      </w:r>
      <w:r>
        <w:rPr>
          <w:rFonts w:cs="Times New Roman"/>
          <w:color w:val="000000" w:themeColor="text1"/>
          <w:szCs w:val="24"/>
          <w:vertAlign w:val="superscript"/>
        </w:rPr>
        <w:t>3</w:t>
      </w:r>
      <w:r>
        <w:rPr>
          <w:rFonts w:cs="Times New Roman"/>
          <w:color w:val="000000" w:themeColor="text1"/>
          <w:szCs w:val="24"/>
        </w:rPr>
        <w:t>、</w:t>
      </w:r>
      <w:r>
        <w:rPr>
          <w:rFonts w:hint="eastAsia" w:cs="Times New Roman"/>
          <w:color w:val="000000" w:themeColor="text1"/>
          <w:szCs w:val="24"/>
        </w:rPr>
        <w:t>46</w:t>
      </w:r>
      <w:r>
        <w:rPr>
          <w:rFonts w:cs="Times New Roman"/>
          <w:color w:val="000000" w:themeColor="text1"/>
          <w:szCs w:val="24"/>
        </w:rPr>
        <w:t>mg/m</w:t>
      </w:r>
      <w:r>
        <w:rPr>
          <w:rFonts w:cs="Times New Roman"/>
          <w:color w:val="000000" w:themeColor="text1"/>
          <w:szCs w:val="24"/>
          <w:vertAlign w:val="superscript"/>
        </w:rPr>
        <w:t>3</w:t>
      </w:r>
      <w:r>
        <w:rPr>
          <w:rFonts w:cs="Times New Roman"/>
          <w:color w:val="000000" w:themeColor="text1"/>
          <w:szCs w:val="24"/>
        </w:rPr>
        <w:t>、</w:t>
      </w:r>
      <w:r>
        <w:rPr>
          <w:rFonts w:hint="eastAsia" w:cs="Times New Roman"/>
          <w:color w:val="000000" w:themeColor="text1"/>
          <w:szCs w:val="24"/>
        </w:rPr>
        <w:t>112</w:t>
      </w:r>
      <w:r>
        <w:rPr>
          <w:rFonts w:cs="Times New Roman"/>
          <w:color w:val="000000" w:themeColor="text1"/>
          <w:szCs w:val="24"/>
        </w:rPr>
        <w:t>mg/m</w:t>
      </w:r>
      <w:r>
        <w:rPr>
          <w:rFonts w:cs="Times New Roman"/>
          <w:color w:val="000000" w:themeColor="text1"/>
          <w:szCs w:val="24"/>
          <w:vertAlign w:val="superscript"/>
        </w:rPr>
        <w:t>3</w:t>
      </w:r>
      <w:r>
        <w:rPr>
          <w:rFonts w:hint="eastAsia" w:cs="Times New Roman"/>
          <w:color w:val="000000" w:themeColor="text1"/>
          <w:szCs w:val="24"/>
        </w:rPr>
        <w:t>，各污染物排放浓度均达到了</w:t>
      </w:r>
      <w:r>
        <w:rPr>
          <w:rFonts w:cs="Times New Roman"/>
          <w:color w:val="000000" w:themeColor="text1"/>
          <w:szCs w:val="24"/>
        </w:rPr>
        <w:t>《锅炉大气污染物排放标准》（GB13271-20</w:t>
      </w:r>
      <w:r>
        <w:rPr>
          <w:rFonts w:hint="eastAsia" w:cs="Times New Roman"/>
          <w:color w:val="000000" w:themeColor="text1"/>
          <w:szCs w:val="24"/>
        </w:rPr>
        <w:t>14</w:t>
      </w:r>
      <w:r>
        <w:rPr>
          <w:rFonts w:cs="Times New Roman"/>
          <w:color w:val="000000" w:themeColor="text1"/>
          <w:szCs w:val="24"/>
        </w:rPr>
        <w:t>）</w:t>
      </w:r>
      <w:r>
        <w:rPr>
          <w:rFonts w:hint="eastAsia" w:cs="Times New Roman"/>
          <w:color w:val="000000" w:themeColor="text1"/>
          <w:szCs w:val="24"/>
        </w:rPr>
        <w:t>表3中燃气锅炉排放标准要求。</w:t>
      </w:r>
    </w:p>
    <w:p>
      <w:pPr>
        <w:spacing w:line="360" w:lineRule="auto"/>
        <w:ind w:firstLine="480" w:firstLineChars="200"/>
        <w:rPr>
          <w:rFonts w:eastAsia="宋体"/>
          <w:color w:val="000000" w:themeColor="text1"/>
        </w:rPr>
      </w:pPr>
      <w:r>
        <w:rPr>
          <w:rFonts w:hint="eastAsia" w:eastAsia="宋体"/>
          <w:color w:val="000000" w:themeColor="text1"/>
        </w:rPr>
        <w:t>（6）垃圾站臭气的防治措施</w:t>
      </w:r>
    </w:p>
    <w:p>
      <w:pPr>
        <w:spacing w:line="360" w:lineRule="auto"/>
        <w:ind w:firstLine="480" w:firstLineChars="200"/>
        <w:rPr>
          <w:rFonts w:eastAsia="宋体" w:cs="Times New Roman"/>
          <w:color w:val="000000" w:themeColor="text1"/>
        </w:rPr>
      </w:pPr>
      <w:r>
        <w:rPr>
          <w:rFonts w:hint="eastAsia" w:eastAsia="宋体" w:cs="Times New Roman"/>
          <w:color w:val="000000" w:themeColor="text1"/>
        </w:rPr>
        <w:t>医院内</w:t>
      </w:r>
      <w:r>
        <w:rPr>
          <w:rFonts w:eastAsia="宋体" w:cs="Times New Roman"/>
          <w:color w:val="000000" w:themeColor="text1"/>
        </w:rPr>
        <w:t>实现生活垃圾袋装化，在每个单元出入口设置垃圾收集桶，由保洁人员每天定时进行收集，再由环卫部门定时清运至城市垃圾填埋场处置，做到日产日清。垃圾站周围需用乔灌木绿化隔离，减缓对</w:t>
      </w:r>
      <w:r>
        <w:rPr>
          <w:rFonts w:hint="eastAsia" w:eastAsia="宋体" w:cs="Times New Roman"/>
          <w:color w:val="000000" w:themeColor="text1"/>
        </w:rPr>
        <w:t>医院内部的影响。</w:t>
      </w:r>
    </w:p>
    <w:p>
      <w:pPr>
        <w:spacing w:line="360" w:lineRule="auto"/>
        <w:ind w:firstLine="480" w:firstLineChars="200"/>
        <w:rPr>
          <w:rFonts w:eastAsia="宋体"/>
          <w:color w:val="000000" w:themeColor="text1"/>
        </w:rPr>
      </w:pPr>
      <w:r>
        <w:rPr>
          <w:rFonts w:hint="eastAsia" w:eastAsia="宋体" w:cs="Times New Roman"/>
          <w:color w:val="000000" w:themeColor="text1"/>
        </w:rPr>
        <w:t>综上所述，项目在采取本环评建议的废气防治措施后，废气不会对周围大气环境产生明显的影响，处理措施可行。</w:t>
      </w:r>
    </w:p>
    <w:p>
      <w:pPr>
        <w:pStyle w:val="5"/>
      </w:pPr>
      <w:r>
        <w:t>废水治理措施及技术经济的可行性</w:t>
      </w:r>
    </w:p>
    <w:p>
      <w:pPr>
        <w:pStyle w:val="56"/>
      </w:pPr>
      <w:r>
        <w:t>医院废水收集及产生情况</w:t>
      </w:r>
    </w:p>
    <w:p>
      <w:pPr>
        <w:spacing w:line="360" w:lineRule="auto"/>
        <w:ind w:firstLine="480" w:firstLineChars="200"/>
        <w:rPr>
          <w:rFonts w:eastAsia="宋体" w:cs="Times New Roman"/>
          <w:u w:val="single"/>
          <w:lang w:val="zh-CN"/>
        </w:rPr>
      </w:pPr>
      <w:r>
        <w:t>本项目采用雨污分流</w:t>
      </w:r>
      <w:r>
        <w:rPr>
          <w:rFonts w:hint="eastAsia"/>
        </w:rPr>
        <w:t>、</w:t>
      </w:r>
      <w:r>
        <w:rPr>
          <w:rFonts w:hint="eastAsia" w:eastAsia="宋体" w:cs="Times New Roman"/>
          <w:lang w:val="zh-CN"/>
        </w:rPr>
        <w:t>污污分流制进行排水，设置独立的雨水、污水管道各一套。</w:t>
      </w:r>
    </w:p>
    <w:p>
      <w:pPr>
        <w:spacing w:line="360" w:lineRule="auto"/>
        <w:ind w:firstLine="480" w:firstLineChars="200"/>
      </w:pPr>
      <w:r>
        <w:t>医院内设独立的雨水收集系统</w:t>
      </w:r>
      <w:r>
        <w:rPr>
          <w:rFonts w:hint="eastAsia"/>
        </w:rPr>
        <w:t>，</w:t>
      </w:r>
      <w:r>
        <w:t>建筑屋面雨水经雨水斗收集排至室外雨水管网</w:t>
      </w:r>
      <w:r>
        <w:rPr>
          <w:rFonts w:hint="eastAsia"/>
        </w:rPr>
        <w:t>，</w:t>
      </w:r>
      <w:r>
        <w:t>地面道路雨水经雨水收集排至室外雨水管网</w:t>
      </w:r>
      <w:r>
        <w:rPr>
          <w:rFonts w:hint="eastAsia"/>
        </w:rPr>
        <w:t>，</w:t>
      </w:r>
      <w:r>
        <w:t>项目地雨水排至雨水收集池</w:t>
      </w:r>
      <w:r>
        <w:rPr>
          <w:rFonts w:hint="eastAsia"/>
        </w:rPr>
        <w:t>，</w:t>
      </w:r>
      <w:r>
        <w:t>再由潜水泵提升至室外雨水管网</w:t>
      </w:r>
      <w:r>
        <w:rPr>
          <w:rFonts w:hint="eastAsia"/>
        </w:rPr>
        <w:t>，</w:t>
      </w:r>
      <w:r>
        <w:t>最后由室外雨水管网排至设置的市政雨水管道由往北南流入福颐路雨水管网再由东往西汇入洞庭大道雨水管网最终流入东风湖</w:t>
      </w:r>
      <w:r>
        <w:rPr>
          <w:rFonts w:hint="eastAsia"/>
        </w:rPr>
        <w:t>。</w:t>
      </w:r>
    </w:p>
    <w:p>
      <w:pPr>
        <w:spacing w:line="360" w:lineRule="auto"/>
        <w:ind w:firstLine="480" w:firstLineChars="200"/>
      </w:pPr>
      <w:r>
        <w:rPr>
          <w:rFonts w:hint="eastAsia" w:cs="Times New Roman" w:hAnsiTheme="minorEastAsia"/>
          <w:color w:val="000000" w:themeColor="text1"/>
        </w:rPr>
        <w:t>本项目医院内实行污水分流措施，本医院的住院病人产生的废水、门诊病人产生的废水、洗衣房废水和医护人员的生活废水、检验室废水经过医院自建的污水处理站预处理，</w:t>
      </w:r>
      <w:r>
        <w:rPr>
          <w:rFonts w:cs="Times New Roman" w:hAnsiTheme="minorEastAsia"/>
          <w:color w:val="000000" w:themeColor="text1"/>
        </w:rPr>
        <w:t>达到《医疗机构水污染排放标准》（</w:t>
      </w:r>
      <w:r>
        <w:rPr>
          <w:rFonts w:cs="Times New Roman"/>
          <w:color w:val="000000" w:themeColor="text1"/>
        </w:rPr>
        <w:t>GB18466-2005</w:t>
      </w:r>
      <w:r>
        <w:rPr>
          <w:rFonts w:cs="Times New Roman" w:hAnsiTheme="minorEastAsia"/>
          <w:color w:val="000000" w:themeColor="text1"/>
        </w:rPr>
        <w:t>）表</w:t>
      </w:r>
      <w:r>
        <w:rPr>
          <w:rFonts w:cs="Times New Roman"/>
          <w:color w:val="000000" w:themeColor="text1"/>
        </w:rPr>
        <w:t>2</w:t>
      </w:r>
      <w:r>
        <w:rPr>
          <w:rFonts w:cs="Times New Roman" w:hAnsiTheme="minorEastAsia"/>
          <w:color w:val="000000" w:themeColor="text1"/>
        </w:rPr>
        <w:t>中</w:t>
      </w:r>
      <w:r>
        <w:rPr>
          <w:rFonts w:cs="Times New Roman"/>
          <w:color w:val="000000" w:themeColor="text1"/>
        </w:rPr>
        <w:t>“</w:t>
      </w:r>
      <w:r>
        <w:rPr>
          <w:rFonts w:cs="Times New Roman" w:hAnsiTheme="minorEastAsia"/>
          <w:color w:val="000000" w:themeColor="text1"/>
        </w:rPr>
        <w:t>预处理标准</w:t>
      </w:r>
      <w:r>
        <w:rPr>
          <w:rFonts w:cs="Times New Roman"/>
          <w:color w:val="000000" w:themeColor="text1"/>
        </w:rPr>
        <w:t>”</w:t>
      </w:r>
      <w:r>
        <w:rPr>
          <w:rFonts w:cs="Times New Roman" w:hAnsiTheme="minorEastAsia"/>
          <w:color w:val="000000" w:themeColor="text1"/>
        </w:rPr>
        <w:t>后排入市政排水管网，</w:t>
      </w:r>
      <w:r>
        <w:rPr>
          <w:rFonts w:hint="eastAsia" w:cs="Times New Roman" w:hAnsiTheme="minorEastAsia"/>
          <w:color w:val="000000" w:themeColor="text1"/>
        </w:rPr>
        <w:t>再</w:t>
      </w:r>
      <w:r>
        <w:rPr>
          <w:rFonts w:cs="Times New Roman" w:hAnsiTheme="minorEastAsia"/>
          <w:color w:val="000000" w:themeColor="text1"/>
        </w:rPr>
        <w:t>排入马壕污水处理厂处理</w:t>
      </w:r>
      <w:r>
        <w:rPr>
          <w:rFonts w:hint="eastAsia" w:cs="Times New Roman" w:hAnsiTheme="minorEastAsia"/>
          <w:color w:val="000000" w:themeColor="text1"/>
        </w:rPr>
        <w:t>，医院职工公寓废水经化粪池处理之后排入市政管网，再进入马壕污水处理厂处理。医院食堂废水经隔油沉淀池处理之后再进化粪池处理排入市政管网，再进入马壕污水处理厂处理。</w:t>
      </w:r>
    </w:p>
    <w:p>
      <w:pPr>
        <w:spacing w:line="360" w:lineRule="auto"/>
        <w:ind w:firstLine="480" w:firstLineChars="200"/>
      </w:pPr>
      <w:r>
        <w:rPr>
          <w:rFonts w:hint="eastAsia"/>
          <w:color w:val="000000" w:themeColor="text1"/>
        </w:rPr>
        <w:t>根据污水综合排放中的三级标准限值、</w:t>
      </w:r>
      <w:r>
        <w:rPr>
          <w:color w:val="000000" w:themeColor="text1"/>
        </w:rPr>
        <w:t>医疗机构水污染物</w:t>
      </w:r>
      <w:r>
        <w:rPr>
          <w:rFonts w:hint="eastAsia"/>
          <w:color w:val="000000" w:themeColor="text1"/>
        </w:rPr>
        <w:t>预处理</w:t>
      </w:r>
      <w:r>
        <w:rPr>
          <w:color w:val="000000" w:themeColor="text1"/>
        </w:rPr>
        <w:t>标准</w:t>
      </w:r>
      <w:r>
        <w:rPr>
          <w:rFonts w:hint="eastAsia"/>
          <w:color w:val="000000" w:themeColor="text1"/>
        </w:rPr>
        <w:t>以及根据《岳阳市马壕污水处理厂扩容建设项目》，</w:t>
      </w:r>
      <w:r>
        <w:rPr>
          <w:rFonts w:hint="eastAsia"/>
        </w:rPr>
        <w:t>马壕污水处理厂设计进水水质见下表。</w:t>
      </w:r>
    </w:p>
    <w:p>
      <w:pPr>
        <w:pStyle w:val="14"/>
        <w:spacing w:line="240" w:lineRule="auto"/>
      </w:pPr>
      <w:r>
        <w:rPr>
          <w:rFonts w:hint="eastAsia"/>
        </w:rPr>
        <w:t>表</w:t>
      </w:r>
      <w:r>
        <w:fldChar w:fldCharType="begin"/>
      </w:r>
      <w:r>
        <w:instrText xml:space="preserve"> STYLEREF 2 \s </w:instrText>
      </w:r>
      <w:r>
        <w:fldChar w:fldCharType="separate"/>
      </w:r>
      <w:r>
        <w:t>6.1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rPr>
          <w:rFonts w:hint="eastAsia"/>
          <w:szCs w:val="24"/>
        </w:rPr>
        <w:t>相关污水标准限值情况一览表</w:t>
      </w:r>
      <w:r>
        <w:rPr>
          <w:szCs w:val="24"/>
        </w:rPr>
        <w:t xml:space="preserve">  （</w:t>
      </w:r>
      <w:r>
        <w:rPr>
          <w:rFonts w:hint="eastAsia"/>
          <w:szCs w:val="24"/>
        </w:rPr>
        <w:t>单位：</w:t>
      </w:r>
      <w:r>
        <w:rPr>
          <w:szCs w:val="24"/>
        </w:rPr>
        <w:t>mg/L</w:t>
      </w:r>
      <w:r>
        <w:rPr>
          <w:rFonts w:hint="eastAsia"/>
          <w:szCs w:val="24"/>
        </w:rPr>
        <w:t>，pH除外</w:t>
      </w:r>
      <w:r>
        <w:rPr>
          <w:szCs w:val="24"/>
        </w:rPr>
        <w:t>）</w:t>
      </w:r>
    </w:p>
    <w:tbl>
      <w:tblPr>
        <w:tblStyle w:val="39"/>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567"/>
        <w:gridCol w:w="818"/>
        <w:gridCol w:w="1100"/>
        <w:gridCol w:w="1098"/>
        <w:gridCol w:w="1067"/>
        <w:gridCol w:w="1334"/>
        <w:gridCol w:w="1334"/>
        <w:gridCol w:w="133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812" w:type="pct"/>
            <w:vAlign w:val="center"/>
          </w:tcPr>
          <w:p>
            <w:pPr>
              <w:jc w:val="center"/>
              <w:rPr>
                <w:sz w:val="21"/>
              </w:rPr>
            </w:pPr>
            <w:r>
              <w:rPr>
                <w:sz w:val="21"/>
              </w:rPr>
              <w:t>污染物</w:t>
            </w:r>
          </w:p>
        </w:tc>
        <w:tc>
          <w:tcPr>
            <w:tcW w:w="424" w:type="pct"/>
            <w:vAlign w:val="center"/>
          </w:tcPr>
          <w:p>
            <w:pPr>
              <w:jc w:val="center"/>
              <w:rPr>
                <w:sz w:val="21"/>
              </w:rPr>
            </w:pPr>
            <w:r>
              <w:rPr>
                <w:sz w:val="21"/>
              </w:rPr>
              <w:t>pH</w:t>
            </w:r>
          </w:p>
        </w:tc>
        <w:tc>
          <w:tcPr>
            <w:tcW w:w="570" w:type="pct"/>
            <w:vAlign w:val="center"/>
          </w:tcPr>
          <w:p>
            <w:pPr>
              <w:jc w:val="center"/>
              <w:rPr>
                <w:sz w:val="21"/>
              </w:rPr>
            </w:pPr>
            <w:r>
              <w:rPr>
                <w:sz w:val="21"/>
              </w:rPr>
              <w:t>COD</w:t>
            </w:r>
          </w:p>
        </w:tc>
        <w:tc>
          <w:tcPr>
            <w:tcW w:w="569" w:type="pct"/>
            <w:vAlign w:val="center"/>
          </w:tcPr>
          <w:p>
            <w:pPr>
              <w:jc w:val="center"/>
              <w:rPr>
                <w:sz w:val="21"/>
              </w:rPr>
            </w:pPr>
            <w:r>
              <w:rPr>
                <w:sz w:val="21"/>
              </w:rPr>
              <w:t>BOD</w:t>
            </w:r>
            <w:r>
              <w:rPr>
                <w:sz w:val="21"/>
                <w:vertAlign w:val="subscript"/>
              </w:rPr>
              <w:t>5</w:t>
            </w:r>
          </w:p>
        </w:tc>
        <w:tc>
          <w:tcPr>
            <w:tcW w:w="553" w:type="pct"/>
            <w:vAlign w:val="center"/>
          </w:tcPr>
          <w:p>
            <w:pPr>
              <w:jc w:val="center"/>
              <w:rPr>
                <w:sz w:val="21"/>
              </w:rPr>
            </w:pPr>
            <w:r>
              <w:rPr>
                <w:sz w:val="21"/>
              </w:rPr>
              <w:t>SS</w:t>
            </w:r>
          </w:p>
        </w:tc>
        <w:tc>
          <w:tcPr>
            <w:tcW w:w="691" w:type="pct"/>
            <w:vAlign w:val="center"/>
          </w:tcPr>
          <w:p>
            <w:pPr>
              <w:jc w:val="center"/>
              <w:rPr>
                <w:sz w:val="21"/>
              </w:rPr>
            </w:pPr>
            <w:r>
              <w:rPr>
                <w:sz w:val="21"/>
              </w:rPr>
              <w:t>氨氮</w:t>
            </w:r>
          </w:p>
        </w:tc>
        <w:tc>
          <w:tcPr>
            <w:tcW w:w="691" w:type="pct"/>
            <w:vAlign w:val="center"/>
          </w:tcPr>
          <w:p>
            <w:pPr>
              <w:jc w:val="center"/>
              <w:rPr>
                <w:sz w:val="21"/>
              </w:rPr>
            </w:pPr>
            <w:r>
              <w:rPr>
                <w:rFonts w:hint="eastAsia"/>
                <w:sz w:val="21"/>
              </w:rPr>
              <w:t>总氮</w:t>
            </w:r>
          </w:p>
        </w:tc>
        <w:tc>
          <w:tcPr>
            <w:tcW w:w="690" w:type="pct"/>
            <w:vAlign w:val="center"/>
          </w:tcPr>
          <w:p>
            <w:pPr>
              <w:jc w:val="center"/>
              <w:rPr>
                <w:sz w:val="21"/>
              </w:rPr>
            </w:pPr>
            <w:r>
              <w:rPr>
                <w:rFonts w:hint="eastAsia"/>
                <w:sz w:val="21"/>
              </w:rPr>
              <w:t>总磷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2" w:hRule="exact"/>
          <w:jc w:val="center"/>
        </w:trPr>
        <w:tc>
          <w:tcPr>
            <w:tcW w:w="812" w:type="pct"/>
            <w:vAlign w:val="center"/>
          </w:tcPr>
          <w:p>
            <w:pPr>
              <w:jc w:val="center"/>
              <w:rPr>
                <w:sz w:val="21"/>
              </w:rPr>
            </w:pPr>
            <w:r>
              <w:rPr>
                <w:rFonts w:hint="eastAsia"/>
                <w:sz w:val="21"/>
              </w:rPr>
              <w:t>三级标准</w:t>
            </w:r>
          </w:p>
        </w:tc>
        <w:tc>
          <w:tcPr>
            <w:tcW w:w="424" w:type="pct"/>
            <w:vAlign w:val="center"/>
          </w:tcPr>
          <w:p>
            <w:pPr>
              <w:jc w:val="center"/>
              <w:rPr>
                <w:sz w:val="21"/>
              </w:rPr>
            </w:pPr>
            <w:r>
              <w:rPr>
                <w:sz w:val="21"/>
              </w:rPr>
              <w:t>6-9</w:t>
            </w:r>
          </w:p>
        </w:tc>
        <w:tc>
          <w:tcPr>
            <w:tcW w:w="570" w:type="pct"/>
            <w:vAlign w:val="center"/>
          </w:tcPr>
          <w:p>
            <w:pPr>
              <w:jc w:val="center"/>
              <w:rPr>
                <w:sz w:val="21"/>
              </w:rPr>
            </w:pPr>
            <w:r>
              <w:rPr>
                <w:rFonts w:hint="eastAsia"/>
                <w:sz w:val="21"/>
              </w:rPr>
              <w:t>500</w:t>
            </w:r>
          </w:p>
        </w:tc>
        <w:tc>
          <w:tcPr>
            <w:tcW w:w="569" w:type="pct"/>
            <w:vAlign w:val="center"/>
          </w:tcPr>
          <w:p>
            <w:pPr>
              <w:jc w:val="center"/>
              <w:rPr>
                <w:sz w:val="21"/>
              </w:rPr>
            </w:pPr>
            <w:r>
              <w:rPr>
                <w:rFonts w:hint="eastAsia"/>
                <w:sz w:val="21"/>
              </w:rPr>
              <w:t>300</w:t>
            </w:r>
          </w:p>
        </w:tc>
        <w:tc>
          <w:tcPr>
            <w:tcW w:w="553" w:type="pct"/>
            <w:vAlign w:val="center"/>
          </w:tcPr>
          <w:p>
            <w:pPr>
              <w:jc w:val="center"/>
              <w:rPr>
                <w:sz w:val="21"/>
              </w:rPr>
            </w:pPr>
            <w:r>
              <w:rPr>
                <w:rFonts w:hint="eastAsia"/>
                <w:sz w:val="21"/>
              </w:rPr>
              <w:t>400</w:t>
            </w:r>
          </w:p>
        </w:tc>
        <w:tc>
          <w:tcPr>
            <w:tcW w:w="691" w:type="pct"/>
          </w:tcPr>
          <w:p>
            <w:pPr>
              <w:jc w:val="center"/>
            </w:pPr>
            <w:r>
              <w:rPr>
                <w:rFonts w:hint="eastAsia"/>
                <w:sz w:val="21"/>
              </w:rPr>
              <w:t>—</w:t>
            </w:r>
          </w:p>
        </w:tc>
        <w:tc>
          <w:tcPr>
            <w:tcW w:w="691" w:type="pct"/>
          </w:tcPr>
          <w:p>
            <w:pPr>
              <w:jc w:val="center"/>
            </w:pPr>
            <w:r>
              <w:rPr>
                <w:rFonts w:hint="eastAsia"/>
                <w:sz w:val="21"/>
              </w:rPr>
              <w:t>—</w:t>
            </w:r>
          </w:p>
        </w:tc>
        <w:tc>
          <w:tcPr>
            <w:tcW w:w="690" w:type="pct"/>
          </w:tcPr>
          <w:p>
            <w:pPr>
              <w:jc w:val="center"/>
            </w:pPr>
            <w:r>
              <w:rPr>
                <w:rFonts w:hint="eastAsia"/>
                <w:sz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2" w:hRule="exact"/>
          <w:jc w:val="center"/>
        </w:trPr>
        <w:tc>
          <w:tcPr>
            <w:tcW w:w="812" w:type="pct"/>
            <w:vAlign w:val="center"/>
          </w:tcPr>
          <w:p>
            <w:pPr>
              <w:jc w:val="center"/>
              <w:rPr>
                <w:sz w:val="21"/>
              </w:rPr>
            </w:pPr>
            <w:r>
              <w:rPr>
                <w:rFonts w:hint="eastAsia"/>
                <w:sz w:val="21"/>
              </w:rPr>
              <w:t>预处理标准</w:t>
            </w:r>
          </w:p>
        </w:tc>
        <w:tc>
          <w:tcPr>
            <w:tcW w:w="424" w:type="pct"/>
            <w:vAlign w:val="center"/>
          </w:tcPr>
          <w:p>
            <w:pPr>
              <w:jc w:val="center"/>
              <w:rPr>
                <w:sz w:val="21"/>
              </w:rPr>
            </w:pPr>
            <w:r>
              <w:rPr>
                <w:sz w:val="21"/>
              </w:rPr>
              <w:t>6-9</w:t>
            </w:r>
          </w:p>
        </w:tc>
        <w:tc>
          <w:tcPr>
            <w:tcW w:w="570" w:type="pct"/>
            <w:vAlign w:val="center"/>
          </w:tcPr>
          <w:p>
            <w:pPr>
              <w:jc w:val="center"/>
              <w:rPr>
                <w:sz w:val="21"/>
              </w:rPr>
            </w:pPr>
            <w:r>
              <w:rPr>
                <w:rFonts w:hint="eastAsia"/>
                <w:sz w:val="21"/>
              </w:rPr>
              <w:t>250</w:t>
            </w:r>
          </w:p>
        </w:tc>
        <w:tc>
          <w:tcPr>
            <w:tcW w:w="569" w:type="pct"/>
            <w:vAlign w:val="center"/>
          </w:tcPr>
          <w:p>
            <w:pPr>
              <w:jc w:val="center"/>
              <w:rPr>
                <w:sz w:val="21"/>
              </w:rPr>
            </w:pPr>
            <w:r>
              <w:rPr>
                <w:rFonts w:hint="eastAsia"/>
                <w:sz w:val="21"/>
              </w:rPr>
              <w:t>100</w:t>
            </w:r>
          </w:p>
        </w:tc>
        <w:tc>
          <w:tcPr>
            <w:tcW w:w="553" w:type="pct"/>
            <w:vAlign w:val="center"/>
          </w:tcPr>
          <w:p>
            <w:pPr>
              <w:jc w:val="center"/>
              <w:rPr>
                <w:sz w:val="21"/>
              </w:rPr>
            </w:pPr>
            <w:r>
              <w:rPr>
                <w:rFonts w:hint="eastAsia"/>
                <w:sz w:val="21"/>
              </w:rPr>
              <w:t>60</w:t>
            </w:r>
          </w:p>
        </w:tc>
        <w:tc>
          <w:tcPr>
            <w:tcW w:w="691" w:type="pct"/>
          </w:tcPr>
          <w:p>
            <w:pPr>
              <w:jc w:val="center"/>
            </w:pPr>
            <w:r>
              <w:rPr>
                <w:rFonts w:hint="eastAsia"/>
                <w:sz w:val="21"/>
              </w:rPr>
              <w:t>—</w:t>
            </w:r>
          </w:p>
        </w:tc>
        <w:tc>
          <w:tcPr>
            <w:tcW w:w="691" w:type="pct"/>
          </w:tcPr>
          <w:p>
            <w:pPr>
              <w:jc w:val="center"/>
            </w:pPr>
            <w:r>
              <w:rPr>
                <w:rFonts w:hint="eastAsia"/>
                <w:sz w:val="21"/>
              </w:rPr>
              <w:t>—</w:t>
            </w:r>
          </w:p>
        </w:tc>
        <w:tc>
          <w:tcPr>
            <w:tcW w:w="690" w:type="pct"/>
          </w:tcPr>
          <w:p>
            <w:pPr>
              <w:jc w:val="center"/>
            </w:pPr>
            <w:r>
              <w:rPr>
                <w:rFonts w:hint="eastAsia"/>
                <w:sz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2" w:hRule="exact"/>
          <w:jc w:val="center"/>
        </w:trPr>
        <w:tc>
          <w:tcPr>
            <w:tcW w:w="812" w:type="pct"/>
            <w:vAlign w:val="center"/>
          </w:tcPr>
          <w:p>
            <w:pPr>
              <w:jc w:val="center"/>
              <w:rPr>
                <w:sz w:val="21"/>
              </w:rPr>
            </w:pPr>
            <w:r>
              <w:rPr>
                <w:rFonts w:hint="eastAsia"/>
                <w:sz w:val="21"/>
              </w:rPr>
              <w:t>接管标准</w:t>
            </w:r>
          </w:p>
        </w:tc>
        <w:tc>
          <w:tcPr>
            <w:tcW w:w="424" w:type="pct"/>
            <w:vAlign w:val="center"/>
          </w:tcPr>
          <w:p>
            <w:pPr>
              <w:jc w:val="center"/>
              <w:rPr>
                <w:sz w:val="21"/>
              </w:rPr>
            </w:pPr>
            <w:r>
              <w:rPr>
                <w:sz w:val="21"/>
              </w:rPr>
              <w:t>6-9</w:t>
            </w:r>
          </w:p>
        </w:tc>
        <w:tc>
          <w:tcPr>
            <w:tcW w:w="570" w:type="pct"/>
            <w:vAlign w:val="center"/>
          </w:tcPr>
          <w:p>
            <w:pPr>
              <w:jc w:val="center"/>
              <w:rPr>
                <w:sz w:val="21"/>
              </w:rPr>
            </w:pPr>
            <w:r>
              <w:rPr>
                <w:rFonts w:hint="eastAsia"/>
                <w:sz w:val="21"/>
              </w:rPr>
              <w:t>500</w:t>
            </w:r>
          </w:p>
        </w:tc>
        <w:tc>
          <w:tcPr>
            <w:tcW w:w="569" w:type="pct"/>
            <w:vAlign w:val="center"/>
          </w:tcPr>
          <w:p>
            <w:pPr>
              <w:jc w:val="center"/>
              <w:rPr>
                <w:sz w:val="21"/>
              </w:rPr>
            </w:pPr>
            <w:r>
              <w:rPr>
                <w:rFonts w:hint="eastAsia"/>
                <w:sz w:val="21"/>
              </w:rPr>
              <w:t>130</w:t>
            </w:r>
          </w:p>
        </w:tc>
        <w:tc>
          <w:tcPr>
            <w:tcW w:w="553" w:type="pct"/>
            <w:vAlign w:val="center"/>
          </w:tcPr>
          <w:p>
            <w:pPr>
              <w:jc w:val="center"/>
              <w:rPr>
                <w:sz w:val="21"/>
              </w:rPr>
            </w:pPr>
            <w:r>
              <w:rPr>
                <w:rFonts w:hint="eastAsia"/>
                <w:sz w:val="21"/>
              </w:rPr>
              <w:t>200</w:t>
            </w:r>
          </w:p>
        </w:tc>
        <w:tc>
          <w:tcPr>
            <w:tcW w:w="691" w:type="pct"/>
            <w:vAlign w:val="center"/>
          </w:tcPr>
          <w:p>
            <w:pPr>
              <w:jc w:val="center"/>
              <w:rPr>
                <w:sz w:val="21"/>
              </w:rPr>
            </w:pPr>
            <w:r>
              <w:rPr>
                <w:rFonts w:hint="eastAsia"/>
                <w:sz w:val="21"/>
              </w:rPr>
              <w:t>25</w:t>
            </w:r>
          </w:p>
        </w:tc>
        <w:tc>
          <w:tcPr>
            <w:tcW w:w="691" w:type="pct"/>
            <w:vAlign w:val="center"/>
          </w:tcPr>
          <w:p>
            <w:pPr>
              <w:jc w:val="center"/>
              <w:rPr>
                <w:sz w:val="21"/>
              </w:rPr>
            </w:pPr>
            <w:r>
              <w:rPr>
                <w:rFonts w:hint="eastAsia"/>
                <w:sz w:val="21"/>
              </w:rPr>
              <w:t>35</w:t>
            </w:r>
          </w:p>
        </w:tc>
        <w:tc>
          <w:tcPr>
            <w:tcW w:w="690" w:type="pct"/>
            <w:vAlign w:val="center"/>
          </w:tcPr>
          <w:p>
            <w:pPr>
              <w:jc w:val="center"/>
              <w:rPr>
                <w:sz w:val="21"/>
              </w:rPr>
            </w:pPr>
            <w:r>
              <w:rPr>
                <w:rFonts w:hint="eastAsia"/>
                <w:sz w:val="21"/>
              </w:rPr>
              <w:t>3.0</w:t>
            </w:r>
          </w:p>
        </w:tc>
      </w:tr>
    </w:tbl>
    <w:p>
      <w:pPr>
        <w:spacing w:line="360" w:lineRule="auto"/>
        <w:ind w:firstLine="480" w:firstLineChars="200"/>
      </w:pPr>
      <w:r>
        <w:rPr>
          <w:rFonts w:hint="eastAsia"/>
        </w:rPr>
        <w:t>本项目职工公寓废水和医院厨房废水排放量为</w:t>
      </w:r>
      <w:r>
        <w:rPr>
          <w:rFonts w:hint="eastAsia"/>
          <w:szCs w:val="24"/>
        </w:rPr>
        <w:t>23.8</w:t>
      </w:r>
      <w:r>
        <w:rPr>
          <w:szCs w:val="24"/>
        </w:rPr>
        <w:t>m</w:t>
      </w:r>
      <w:r>
        <w:rPr>
          <w:szCs w:val="24"/>
          <w:vertAlign w:val="superscript"/>
        </w:rPr>
        <w:t>3</w:t>
      </w:r>
      <w:r>
        <w:rPr>
          <w:szCs w:val="24"/>
        </w:rPr>
        <w:t>/d</w:t>
      </w:r>
      <w:r>
        <w:rPr>
          <w:rFonts w:hint="eastAsia"/>
          <w:szCs w:val="24"/>
        </w:rPr>
        <w:t>（8687</w:t>
      </w:r>
      <w:r>
        <w:rPr>
          <w:szCs w:val="24"/>
        </w:rPr>
        <w:t>m</w:t>
      </w:r>
      <w:r>
        <w:rPr>
          <w:szCs w:val="24"/>
          <w:vertAlign w:val="superscript"/>
        </w:rPr>
        <w:t>3</w:t>
      </w:r>
      <w:r>
        <w:rPr>
          <w:szCs w:val="24"/>
        </w:rPr>
        <w:t>/</w:t>
      </w:r>
      <w:r>
        <w:rPr>
          <w:rFonts w:hint="eastAsia"/>
          <w:szCs w:val="24"/>
        </w:rPr>
        <w:t>a）</w:t>
      </w:r>
      <w:r>
        <w:rPr>
          <w:rFonts w:hint="eastAsia"/>
          <w:color w:val="000000" w:themeColor="text1"/>
        </w:rPr>
        <w:t>，</w:t>
      </w:r>
      <w:r>
        <w:rPr>
          <w:rFonts w:hint="eastAsia"/>
        </w:rPr>
        <w:t>餐厅废水采用隔油沉淀池处理后排入化粪池，处理后COD</w:t>
      </w:r>
      <w:r>
        <w:rPr>
          <w:rFonts w:hint="eastAsia"/>
          <w:vertAlign w:val="subscript"/>
        </w:rPr>
        <w:t>Cr</w:t>
      </w:r>
      <w:r>
        <w:rPr>
          <w:rFonts w:hint="eastAsia"/>
        </w:rPr>
        <w:t>、BOD</w:t>
      </w:r>
      <w:r>
        <w:rPr>
          <w:rFonts w:hint="eastAsia"/>
          <w:vertAlign w:val="subscript"/>
        </w:rPr>
        <w:t>5</w:t>
      </w:r>
      <w:r>
        <w:rPr>
          <w:rFonts w:hint="eastAsia"/>
        </w:rPr>
        <w:t>、SS、氨氮、动植物油排放浓度为250mg/L、120mg/L、100mg/L、20mg/L、10mg/L，对照上述表格可知生活污水预处理后能够满足</w:t>
      </w:r>
      <w:r>
        <w:t>《污水综合排放标准》（GB8978-1996）中</w:t>
      </w:r>
      <w:r>
        <w:rPr>
          <w:rFonts w:hint="eastAsia"/>
        </w:rPr>
        <w:t>三</w:t>
      </w:r>
      <w:r>
        <w:t>级排放标准</w:t>
      </w:r>
      <w:r>
        <w:rPr>
          <w:rFonts w:hint="eastAsia"/>
        </w:rPr>
        <w:t>和马壕污水处理厂接管标准要求。</w:t>
      </w:r>
    </w:p>
    <w:p>
      <w:pPr>
        <w:spacing w:line="360" w:lineRule="auto"/>
        <w:ind w:firstLine="480" w:firstLineChars="200"/>
      </w:pPr>
      <w:r>
        <w:rPr>
          <w:rFonts w:hint="eastAsia"/>
        </w:rPr>
        <w:t>项目医疗废水排放量为</w:t>
      </w:r>
      <w:r>
        <w:rPr>
          <w:rFonts w:hint="eastAsia" w:cs="Times New Roman"/>
          <w:szCs w:val="24"/>
        </w:rPr>
        <w:t>327.457</w:t>
      </w:r>
      <w:r>
        <w:rPr>
          <w:rFonts w:cs="Times New Roman"/>
          <w:szCs w:val="24"/>
        </w:rPr>
        <w:t>m</w:t>
      </w:r>
      <w:r>
        <w:rPr>
          <w:rFonts w:cs="Times New Roman"/>
          <w:szCs w:val="24"/>
          <w:vertAlign w:val="superscript"/>
        </w:rPr>
        <w:t>3</w:t>
      </w:r>
      <w:r>
        <w:rPr>
          <w:rFonts w:cs="Times New Roman"/>
          <w:szCs w:val="24"/>
        </w:rPr>
        <w:t>/d（</w:t>
      </w:r>
      <w:r>
        <w:rPr>
          <w:rFonts w:hint="eastAsia" w:cs="Times New Roman"/>
          <w:szCs w:val="24"/>
        </w:rPr>
        <w:t>119521.8</w:t>
      </w:r>
      <w:r>
        <w:rPr>
          <w:rFonts w:cs="Times New Roman"/>
          <w:szCs w:val="24"/>
        </w:rPr>
        <w:t>m</w:t>
      </w:r>
      <w:r>
        <w:rPr>
          <w:rFonts w:cs="Times New Roman"/>
          <w:szCs w:val="24"/>
          <w:vertAlign w:val="superscript"/>
        </w:rPr>
        <w:t>3</w:t>
      </w:r>
      <w:r>
        <w:rPr>
          <w:rFonts w:cs="Times New Roman"/>
          <w:szCs w:val="24"/>
        </w:rPr>
        <w:t>/a）</w:t>
      </w:r>
      <w:r>
        <w:rPr>
          <w:rFonts w:hint="eastAsia"/>
        </w:rPr>
        <w:t>，医院内已建的污水处理站一级+二氧化氯消毒工艺处理后排入市政污水管网，经</w:t>
      </w:r>
      <w:r>
        <w:rPr>
          <w:rFonts w:cs="Times New Roman"/>
          <w:szCs w:val="24"/>
        </w:rPr>
        <w:t>根据岳阳市康复医院废水监测数据，确定医疗废水水质如下：COD：</w:t>
      </w:r>
      <w:r>
        <w:rPr>
          <w:rFonts w:hint="eastAsia" w:cs="Times New Roman"/>
          <w:szCs w:val="24"/>
        </w:rPr>
        <w:t>162</w:t>
      </w:r>
      <w:r>
        <w:rPr>
          <w:rFonts w:cs="Times New Roman"/>
          <w:szCs w:val="24"/>
        </w:rPr>
        <w:t>mg/L、BOD</w:t>
      </w:r>
      <w:r>
        <w:rPr>
          <w:rFonts w:cs="Times New Roman"/>
          <w:szCs w:val="24"/>
          <w:vertAlign w:val="subscript"/>
        </w:rPr>
        <w:t>5</w:t>
      </w:r>
      <w:r>
        <w:rPr>
          <w:rFonts w:cs="Times New Roman"/>
          <w:szCs w:val="24"/>
        </w:rPr>
        <w:t>：</w:t>
      </w:r>
      <w:r>
        <w:rPr>
          <w:rFonts w:hint="eastAsia" w:cs="Times New Roman"/>
          <w:szCs w:val="24"/>
        </w:rPr>
        <w:t>49.5</w:t>
      </w:r>
      <w:r>
        <w:rPr>
          <w:rFonts w:cs="Times New Roman"/>
          <w:szCs w:val="24"/>
        </w:rPr>
        <w:t>mg/L、SS：</w:t>
      </w:r>
      <w:r>
        <w:rPr>
          <w:rFonts w:hint="eastAsia" w:cs="Times New Roman"/>
          <w:szCs w:val="24"/>
        </w:rPr>
        <w:t>40</w:t>
      </w:r>
      <w:r>
        <w:rPr>
          <w:rFonts w:cs="Times New Roman"/>
          <w:szCs w:val="24"/>
        </w:rPr>
        <w:t>mg/L、氨氮：</w:t>
      </w:r>
      <w:r>
        <w:rPr>
          <w:rFonts w:hint="eastAsia" w:cs="Times New Roman"/>
          <w:szCs w:val="24"/>
        </w:rPr>
        <w:t>14.4</w:t>
      </w:r>
      <w:r>
        <w:rPr>
          <w:rFonts w:cs="Times New Roman"/>
          <w:szCs w:val="24"/>
        </w:rPr>
        <w:t>mg/L、粪大肠杆菌：</w:t>
      </w:r>
      <w:r>
        <w:rPr>
          <w:rFonts w:hint="eastAsia" w:cs="Times New Roman"/>
          <w:szCs w:val="24"/>
        </w:rPr>
        <w:t>4700</w:t>
      </w:r>
      <w:r>
        <w:rPr>
          <w:rFonts w:cs="Times New Roman"/>
          <w:szCs w:val="24"/>
        </w:rPr>
        <w:t>个/L</w:t>
      </w:r>
      <w:r>
        <w:rPr>
          <w:rFonts w:hint="eastAsia" w:cs="Times New Roman"/>
          <w:szCs w:val="24"/>
        </w:rPr>
        <w:t>、</w:t>
      </w:r>
      <w:r>
        <w:rPr>
          <w:rFonts w:cs="Times New Roman"/>
          <w:szCs w:val="24"/>
        </w:rPr>
        <w:t>总氮</w:t>
      </w:r>
      <w:r>
        <w:rPr>
          <w:rFonts w:hint="eastAsia" w:cs="Times New Roman"/>
          <w:szCs w:val="24"/>
        </w:rPr>
        <w:t>25.3</w:t>
      </w:r>
      <w:r>
        <w:rPr>
          <w:rFonts w:cs="Times New Roman"/>
          <w:szCs w:val="24"/>
        </w:rPr>
        <w:t>mg/L</w:t>
      </w:r>
      <w:r>
        <w:rPr>
          <w:rFonts w:hint="eastAsia" w:cs="Times New Roman"/>
          <w:szCs w:val="24"/>
        </w:rPr>
        <w:t>、总磷1.2</w:t>
      </w:r>
      <w:r>
        <w:rPr>
          <w:rFonts w:cs="Times New Roman"/>
          <w:szCs w:val="24"/>
        </w:rPr>
        <w:t>mg/L</w:t>
      </w:r>
      <w:r>
        <w:rPr>
          <w:rFonts w:hint="eastAsia" w:cs="Times New Roman"/>
          <w:szCs w:val="24"/>
        </w:rPr>
        <w:t>、</w:t>
      </w:r>
      <w:r>
        <w:rPr>
          <w:rFonts w:cs="Times New Roman"/>
          <w:szCs w:val="24"/>
        </w:rPr>
        <w:t>阴离子表面活性剂</w:t>
      </w:r>
      <w:r>
        <w:rPr>
          <w:rFonts w:hint="eastAsia" w:cs="Times New Roman"/>
          <w:szCs w:val="24"/>
        </w:rPr>
        <w:t>0.2</w:t>
      </w:r>
      <w:r>
        <w:rPr>
          <w:rFonts w:cs="Times New Roman"/>
          <w:szCs w:val="24"/>
        </w:rPr>
        <w:t>mg/L</w:t>
      </w:r>
      <w:r>
        <w:rPr>
          <w:rFonts w:hint="eastAsia" w:cs="Times New Roman"/>
          <w:szCs w:val="24"/>
        </w:rPr>
        <w:t>、总余氯0.04</w:t>
      </w:r>
      <w:r>
        <w:rPr>
          <w:rFonts w:cs="Times New Roman"/>
          <w:szCs w:val="24"/>
        </w:rPr>
        <w:t>mg/L</w:t>
      </w:r>
      <w:r>
        <w:rPr>
          <w:rFonts w:hint="eastAsia" w:cs="Times New Roman"/>
          <w:szCs w:val="24"/>
        </w:rPr>
        <w:t>、</w:t>
      </w:r>
      <w:r>
        <w:rPr>
          <w:rFonts w:cs="Times New Roman"/>
          <w:szCs w:val="24"/>
        </w:rPr>
        <w:t>总氰化物</w:t>
      </w:r>
      <w:r>
        <w:rPr>
          <w:rFonts w:hint="eastAsia" w:cs="Times New Roman"/>
          <w:szCs w:val="24"/>
        </w:rPr>
        <w:t>0.001L</w:t>
      </w:r>
      <w:r>
        <w:rPr>
          <w:rFonts w:cs="Times New Roman"/>
          <w:szCs w:val="24"/>
        </w:rPr>
        <w:t>。</w:t>
      </w:r>
      <w:r>
        <w:rPr>
          <w:rFonts w:hint="eastAsia"/>
        </w:rPr>
        <w:t>对照上述表格可知医疗废水预处理后排放浓度能够</w:t>
      </w:r>
      <w:r>
        <w:t>《医疗机构水污染物排放标准》（GB18466-2005）中</w:t>
      </w:r>
      <w:r>
        <w:rPr>
          <w:rFonts w:hint="eastAsia"/>
        </w:rPr>
        <w:t>表2</w:t>
      </w:r>
      <w:r>
        <w:t>的</w:t>
      </w:r>
      <w:r>
        <w:rPr>
          <w:rFonts w:hint="eastAsia"/>
        </w:rPr>
        <w:t>预处理</w:t>
      </w:r>
      <w:r>
        <w:t>标准</w:t>
      </w:r>
      <w:r>
        <w:rPr>
          <w:rFonts w:hint="eastAsia"/>
        </w:rPr>
        <w:t>和满足马壕污水处理厂接管标准要求。</w:t>
      </w:r>
    </w:p>
    <w:p>
      <w:pPr>
        <w:spacing w:line="360" w:lineRule="auto"/>
        <w:ind w:firstLine="480" w:firstLineChars="200"/>
        <w:rPr>
          <w:color w:val="FF0000"/>
        </w:rPr>
      </w:pPr>
      <w:r>
        <w:rPr>
          <w:rFonts w:hint="eastAsia"/>
        </w:rPr>
        <w:t>综上所述，本项目废水正常排放情况下最终经马壕污水处理厂处理达</w:t>
      </w:r>
      <w:r>
        <w:t>《城镇污水处理厂污染物排放标准》(GB18918-2002)一级</w:t>
      </w:r>
      <w:r>
        <w:rPr>
          <w:rFonts w:hint="eastAsia"/>
        </w:rPr>
        <w:t>A</w:t>
      </w:r>
      <w:r>
        <w:t>标准</w:t>
      </w:r>
      <w:r>
        <w:rPr>
          <w:rFonts w:hint="eastAsia"/>
        </w:rPr>
        <w:t>后排入东风湖，项目外排废水对其水质的影响很小。</w:t>
      </w:r>
    </w:p>
    <w:p>
      <w:pPr>
        <w:spacing w:line="360" w:lineRule="auto"/>
        <w:ind w:firstLine="480" w:firstLineChars="200"/>
        <w:rPr>
          <w:rFonts w:ascii="宋体" w:hAnsi="宋体"/>
          <w:szCs w:val="24"/>
        </w:rPr>
      </w:pPr>
      <w:r>
        <w:rPr>
          <w:rFonts w:ascii="宋体" w:hAnsi="宋体"/>
          <w:szCs w:val="24"/>
        </w:rPr>
        <w:t>马壕污水处理厂是岳阳市总体规划中的</w:t>
      </w:r>
      <w:r>
        <w:rPr>
          <w:szCs w:val="24"/>
        </w:rPr>
        <w:t>34</w:t>
      </w:r>
      <w:r>
        <w:rPr>
          <w:rFonts w:ascii="宋体" w:hAnsi="宋体"/>
          <w:szCs w:val="24"/>
        </w:rPr>
        <w:t>座污水处理系统之一，该厂选址于枫桥湖片区西南侧，枫桥湖路以北东风湖的南侧，规模为</w:t>
      </w:r>
      <w:r>
        <w:rPr>
          <w:szCs w:val="24"/>
        </w:rPr>
        <w:t>5</w:t>
      </w:r>
      <w:r>
        <w:rPr>
          <w:rFonts w:ascii="宋体" w:hAnsi="宋体"/>
          <w:szCs w:val="24"/>
        </w:rPr>
        <w:t>万吨</w:t>
      </w:r>
      <w:r>
        <w:rPr>
          <w:szCs w:val="24"/>
        </w:rPr>
        <w:t>/</w:t>
      </w:r>
      <w:r>
        <w:rPr>
          <w:rFonts w:ascii="宋体" w:hAnsi="宋体"/>
          <w:szCs w:val="24"/>
        </w:rPr>
        <w:t>天，本项目所在地属于岳阳市马壕污水处理厂污水接纳范围，污水厂占地</w:t>
      </w:r>
      <w:r>
        <w:rPr>
          <w:szCs w:val="24"/>
        </w:rPr>
        <w:t>73934.25</w:t>
      </w:r>
      <w:r>
        <w:rPr>
          <w:rFonts w:ascii="宋体" w:hAnsi="宋体"/>
          <w:szCs w:val="24"/>
        </w:rPr>
        <w:t>平方米，采用二级生物处理传统推流式</w:t>
      </w:r>
      <w:r>
        <w:rPr>
          <w:szCs w:val="24"/>
        </w:rPr>
        <w:t>A</w:t>
      </w:r>
      <w:r>
        <w:rPr>
          <w:szCs w:val="24"/>
          <w:vertAlign w:val="superscript"/>
        </w:rPr>
        <w:t>2</w:t>
      </w:r>
      <w:r>
        <w:rPr>
          <w:szCs w:val="24"/>
        </w:rPr>
        <w:t>/O</w:t>
      </w:r>
      <w:r>
        <w:rPr>
          <w:rFonts w:ascii="宋体" w:hAnsi="宋体"/>
          <w:szCs w:val="24"/>
        </w:rPr>
        <w:t>工艺。根据调查目前污水厂处理的废水量占总的</w:t>
      </w:r>
      <w:r>
        <w:rPr>
          <w:szCs w:val="24"/>
        </w:rPr>
        <w:t>75%</w:t>
      </w:r>
      <w:r>
        <w:rPr>
          <w:rFonts w:ascii="宋体" w:hAnsi="宋体"/>
          <w:szCs w:val="24"/>
        </w:rPr>
        <w:t>左右，处理后的污水达到《城镇污水处理厂污染物排放标准》（</w:t>
      </w:r>
      <w:r>
        <w:rPr>
          <w:szCs w:val="24"/>
        </w:rPr>
        <w:t>GB18918-2002</w:t>
      </w:r>
      <w:r>
        <w:rPr>
          <w:rFonts w:ascii="宋体" w:hAnsi="宋体"/>
          <w:szCs w:val="24"/>
        </w:rPr>
        <w:t>）一级</w:t>
      </w:r>
      <w:r>
        <w:rPr>
          <w:szCs w:val="24"/>
        </w:rPr>
        <w:t>A</w:t>
      </w:r>
      <w:r>
        <w:rPr>
          <w:rFonts w:ascii="宋体" w:hAnsi="宋体"/>
          <w:szCs w:val="24"/>
        </w:rPr>
        <w:t>标准后排入东风湖。马壕污水处理厂工艺流程图见</w:t>
      </w:r>
      <w:r>
        <w:rPr>
          <w:rFonts w:ascii="宋体" w:hAnsi="宋体"/>
          <w:szCs w:val="24"/>
        </w:rPr>
        <w:fldChar w:fldCharType="begin"/>
      </w:r>
      <w:r>
        <w:rPr>
          <w:rFonts w:ascii="宋体" w:hAnsi="宋体"/>
          <w:szCs w:val="24"/>
        </w:rPr>
        <w:instrText xml:space="preserve"> REF _Ref25574053 \h </w:instrText>
      </w:r>
      <w:r>
        <w:rPr>
          <w:rFonts w:ascii="宋体" w:hAnsi="宋体"/>
          <w:szCs w:val="24"/>
        </w:rPr>
        <w:fldChar w:fldCharType="separate"/>
      </w:r>
      <w:r>
        <w:rPr>
          <w:rFonts w:hint="eastAsia"/>
          <w:color w:val="000000" w:themeColor="text1"/>
        </w:rPr>
        <w:t>图</w:t>
      </w:r>
      <w:r>
        <w:rPr>
          <w:color w:val="000000" w:themeColor="text1"/>
        </w:rPr>
        <w:t>5.2</w:t>
      </w:r>
      <w:r>
        <w:rPr>
          <w:color w:val="000000" w:themeColor="text1"/>
        </w:rPr>
        <w:noBreakHyphen/>
      </w:r>
      <w:r>
        <w:rPr>
          <w:color w:val="000000" w:themeColor="text1"/>
        </w:rPr>
        <w:t>1</w:t>
      </w:r>
      <w:r>
        <w:rPr>
          <w:rFonts w:ascii="宋体" w:hAnsi="宋体"/>
          <w:szCs w:val="24"/>
        </w:rPr>
        <w:fldChar w:fldCharType="end"/>
      </w:r>
      <w:r>
        <w:rPr>
          <w:rFonts w:hint="eastAsia" w:ascii="宋体" w:hAnsi="宋体"/>
          <w:szCs w:val="24"/>
        </w:rPr>
        <w:t>。</w:t>
      </w:r>
    </w:p>
    <w:p>
      <w:pPr>
        <w:spacing w:line="360" w:lineRule="auto"/>
        <w:ind w:firstLine="480" w:firstLineChars="200"/>
        <w:rPr>
          <w:rFonts w:ascii="宋体" w:hAnsi="宋体"/>
          <w:szCs w:val="24"/>
        </w:rPr>
      </w:pPr>
      <w:r>
        <w:rPr>
          <w:rFonts w:ascii="宋体" w:hAnsi="宋体"/>
          <w:szCs w:val="24"/>
        </w:rPr>
        <w:t>项目所处位置属于马壕污水处理厂的纳污范围；项目废水主要为</w:t>
      </w:r>
      <w:r>
        <w:rPr>
          <w:rFonts w:hint="eastAsia" w:ascii="宋体" w:hAnsi="宋体"/>
          <w:szCs w:val="24"/>
        </w:rPr>
        <w:t>预处理之后的医疗废水和</w:t>
      </w:r>
      <w:r>
        <w:rPr>
          <w:rFonts w:ascii="宋体" w:hAnsi="宋体"/>
          <w:szCs w:val="24"/>
        </w:rPr>
        <w:t>生活废水，主要污染物为</w:t>
      </w:r>
      <w:r>
        <w:rPr>
          <w:szCs w:val="24"/>
        </w:rPr>
        <w:t>COD</w:t>
      </w:r>
      <w:r>
        <w:rPr>
          <w:rFonts w:ascii="宋体" w:hAnsi="宋体"/>
          <w:szCs w:val="24"/>
        </w:rPr>
        <w:t>、</w:t>
      </w:r>
      <w:r>
        <w:rPr>
          <w:szCs w:val="24"/>
        </w:rPr>
        <w:t>NH</w:t>
      </w:r>
      <w:r>
        <w:rPr>
          <w:szCs w:val="24"/>
          <w:vertAlign w:val="subscript"/>
        </w:rPr>
        <w:t>3-</w:t>
      </w:r>
      <w:r>
        <w:rPr>
          <w:szCs w:val="24"/>
        </w:rPr>
        <w:t>N</w:t>
      </w:r>
      <w:r>
        <w:rPr>
          <w:rFonts w:ascii="宋体" w:hAnsi="宋体"/>
          <w:szCs w:val="24"/>
        </w:rPr>
        <w:t>等，为马壕污水处理厂常规处理项目；项目废水日最大排放量为</w:t>
      </w:r>
      <w:r>
        <w:rPr>
          <w:rFonts w:hint="eastAsia"/>
          <w:szCs w:val="24"/>
        </w:rPr>
        <w:t>351.257</w:t>
      </w:r>
      <w:r>
        <w:rPr>
          <w:szCs w:val="24"/>
        </w:rPr>
        <w:t>m</w:t>
      </w:r>
      <w:r>
        <w:rPr>
          <w:szCs w:val="24"/>
          <w:vertAlign w:val="superscript"/>
        </w:rPr>
        <w:t>3</w:t>
      </w:r>
      <w:r>
        <w:rPr>
          <w:szCs w:val="24"/>
        </w:rPr>
        <w:t>/d</w:t>
      </w:r>
      <w:r>
        <w:rPr>
          <w:rFonts w:ascii="宋体" w:hAnsi="宋体"/>
          <w:szCs w:val="24"/>
        </w:rPr>
        <w:t>，废水排放量仅占马壕污水处理厂实际处理规模的</w:t>
      </w:r>
      <w:r>
        <w:rPr>
          <w:rFonts w:hint="eastAsia"/>
          <w:szCs w:val="24"/>
        </w:rPr>
        <w:t>0.7</w:t>
      </w:r>
      <w:r>
        <w:rPr>
          <w:szCs w:val="24"/>
        </w:rPr>
        <w:t>%</w:t>
      </w:r>
      <w:r>
        <w:rPr>
          <w:rFonts w:ascii="宋体" w:hAnsi="宋体"/>
          <w:szCs w:val="24"/>
        </w:rPr>
        <w:t>，不会对马壕污水处理厂造成冲击。</w:t>
      </w:r>
    </w:p>
    <w:p>
      <w:pPr>
        <w:spacing w:line="360" w:lineRule="auto"/>
        <w:ind w:firstLine="480" w:firstLineChars="200"/>
        <w:rPr>
          <w:rFonts w:ascii="宋体" w:hAnsi="宋体"/>
          <w:szCs w:val="24"/>
        </w:rPr>
      </w:pPr>
      <w:r>
        <w:rPr>
          <w:rFonts w:ascii="宋体" w:hAnsi="宋体"/>
          <w:szCs w:val="24"/>
        </w:rPr>
        <w:t>综上可行，本项目污水采取的措施可行，对水生态环境影响很小。</w:t>
      </w:r>
    </w:p>
    <w:p>
      <w:pPr>
        <w:pStyle w:val="56"/>
      </w:pPr>
      <w:r>
        <w:t>地下水污染防治措施的可行性</w:t>
      </w:r>
    </w:p>
    <w:p>
      <w:pPr>
        <w:spacing w:line="360" w:lineRule="auto"/>
        <w:ind w:firstLine="480" w:firstLineChars="200"/>
      </w:pPr>
      <w:r>
        <w:rPr>
          <w:rFonts w:hint="eastAsia"/>
        </w:rPr>
        <w:t>同地表水相比，地下水污染一般不容易察觉，具有污染途径隐蔽、污染机理与污染防治系统庞大、水流速度慢等特点，一旦污染很难治理，并且是代价高、耗时长、效果差。因此，在地下水的保护工作上要监测“以防为主、防治结合”的方针。本项目地下水污染防治措施主要如下：</w:t>
      </w:r>
    </w:p>
    <w:p>
      <w:pPr>
        <w:spacing w:line="360" w:lineRule="auto"/>
        <w:ind w:firstLine="480" w:firstLineChars="200"/>
        <w:rPr>
          <w:rFonts w:cs="Times New Roman"/>
        </w:rPr>
      </w:pPr>
      <w:r>
        <w:rPr>
          <w:rFonts w:cs="Times New Roman"/>
        </w:rPr>
        <w:t>（1）做好防渗处理</w:t>
      </w:r>
    </w:p>
    <w:p>
      <w:pPr>
        <w:spacing w:line="360" w:lineRule="auto"/>
        <w:ind w:firstLine="480" w:firstLineChars="200"/>
        <w:rPr>
          <w:rFonts w:cs="Times New Roman"/>
        </w:rPr>
      </w:pPr>
      <w:r>
        <w:rPr>
          <w:rFonts w:cs="Times New Roman"/>
        </w:rPr>
        <w:t>地下水的污染往往是通过渗漏经过土壤而到达的，因此项目地下污染防治的重要措施之一就是做好防渗。对医院道路尽量硬化，危废储存间加强防渗，污水处理站和沟渠管网做好防渗处理，从而从污染源头上遏制地下水污染。</w:t>
      </w:r>
    </w:p>
    <w:p>
      <w:pPr>
        <w:spacing w:line="360" w:lineRule="auto"/>
        <w:ind w:firstLine="480" w:firstLineChars="200"/>
        <w:rPr>
          <w:rFonts w:cs="Times New Roman"/>
        </w:rPr>
      </w:pPr>
      <w:r>
        <w:rPr>
          <w:rFonts w:cs="Times New Roman"/>
        </w:rPr>
        <w:t>（2）加强地下水保护宣传力度、提高公众环境意识</w:t>
      </w:r>
    </w:p>
    <w:p>
      <w:pPr>
        <w:spacing w:line="360" w:lineRule="auto"/>
        <w:ind w:firstLine="480" w:firstLineChars="200"/>
        <w:rPr>
          <w:rFonts w:cs="Times New Roman"/>
        </w:rPr>
      </w:pPr>
      <w:r>
        <w:rPr>
          <w:rFonts w:cs="Times New Roman"/>
        </w:rPr>
        <w:t>严格贯彻执行有关地下水保护的法律法规。本着“谁污染谁治理”的原则，加强执法力度和宣传力度，使每个人都能准确地理解我们的行为会给地下水水质造成了什么影响。</w:t>
      </w:r>
    </w:p>
    <w:p>
      <w:pPr>
        <w:spacing w:line="360" w:lineRule="auto"/>
        <w:ind w:firstLine="480" w:firstLineChars="200"/>
        <w:rPr>
          <w:rFonts w:cs="Times New Roman"/>
        </w:rPr>
      </w:pPr>
      <w:r>
        <w:rPr>
          <w:rFonts w:cs="Times New Roman"/>
        </w:rPr>
        <w:t>（3）根据可能泄露至地面污染物的性质、种类、浓度不同，将项目所在区域划分为简单防渗区、一般防渗区、重点防渗区，分别进行不同等级和要求的防渗措施。应根据不同的区域采取不同的防渗措施。</w:t>
      </w:r>
    </w:p>
    <w:p>
      <w:pPr>
        <w:spacing w:line="360" w:lineRule="auto"/>
        <w:ind w:firstLine="480" w:firstLineChars="200"/>
        <w:rPr>
          <w:rFonts w:cs="Times New Roman"/>
        </w:rPr>
      </w:pPr>
      <w:r>
        <w:rPr>
          <w:rFonts w:cs="Times New Roman" w:hAnsiTheme="minorEastAsia"/>
        </w:rPr>
        <w:t>①本项目办公区域简单防渗区采用一般地面硬化防渗措施。</w:t>
      </w:r>
    </w:p>
    <w:p>
      <w:pPr>
        <w:spacing w:line="360" w:lineRule="auto"/>
        <w:ind w:firstLine="480" w:firstLineChars="200"/>
        <w:rPr>
          <w:rFonts w:cs="Times New Roman"/>
        </w:rPr>
      </w:pPr>
      <w:r>
        <w:rPr>
          <w:rFonts w:cs="Times New Roman" w:hAnsiTheme="minorEastAsia"/>
        </w:rPr>
        <w:t>②</w:t>
      </w:r>
      <w:r>
        <w:rPr>
          <w:rFonts w:cs="Times New Roman"/>
        </w:rPr>
        <w:t>对病房、诊室等一般污染防治区已经按照《一般工业固体废物储存、处置场污染控制标准》（GB18599-2001）的相关要求进行防渗设计、施工。地坪混凝土防渗层抗渗等级不应小于P6（混凝土的抗渗等级能抵抗0.6Mpa的静水压力而不渗水）其厚度不宜小于100mm，其防渗层性能与1.5m厚粘土层（渗透系数1.0×10</w:t>
      </w:r>
      <w:r>
        <w:rPr>
          <w:rFonts w:cs="Times New Roman"/>
          <w:vertAlign w:val="superscript"/>
        </w:rPr>
        <w:t>-7</w:t>
      </w:r>
      <w:r>
        <w:rPr>
          <w:rFonts w:cs="Times New Roman"/>
        </w:rPr>
        <w:t>cm/s）等效。</w:t>
      </w:r>
    </w:p>
    <w:p>
      <w:pPr>
        <w:spacing w:line="360" w:lineRule="auto"/>
        <w:ind w:firstLine="480" w:firstLineChars="200"/>
        <w:rPr>
          <w:rFonts w:cs="Times New Roman"/>
        </w:rPr>
      </w:pPr>
      <w:r>
        <w:rPr>
          <w:rFonts w:cs="Times New Roman" w:hAnsiTheme="minorEastAsia"/>
        </w:rPr>
        <w:t>③</w:t>
      </w:r>
      <w:r>
        <w:rPr>
          <w:rFonts w:cs="Times New Roman"/>
        </w:rPr>
        <w:t>对医疗废物暂存间、污水处理站、化粪池、隔油池等重点污染防治区已经按照《危险废物填埋污染控制标准》（GB18598-2001）的相关要求进行防渗设计、施工。地坪混凝土防渗层抗渗等级不应小于P8（混凝土的抗渗等级能抵抗0.8MPa 的静水压力而不渗水），其厚度不宜小于150mm，防渗层性能应与6m厚粘土层（渗透系数1.0×10</w:t>
      </w:r>
      <w:r>
        <w:rPr>
          <w:rFonts w:cs="Times New Roman"/>
          <w:vertAlign w:val="superscript"/>
        </w:rPr>
        <w:t>-10</w:t>
      </w:r>
      <w:r>
        <w:rPr>
          <w:rFonts w:cs="Times New Roman"/>
        </w:rPr>
        <w:t>cm/s）</w:t>
      </w:r>
      <w:r>
        <w:rPr>
          <w:rFonts w:cs="Times New Roman" w:hAnsiTheme="minorEastAsia"/>
        </w:rPr>
        <w:t>等效。</w:t>
      </w:r>
    </w:p>
    <w:p>
      <w:pPr>
        <w:pStyle w:val="5"/>
      </w:pPr>
      <w:r>
        <w:t>噪声污染防治措施及技术经济的可行性</w:t>
      </w:r>
    </w:p>
    <w:p>
      <w:pPr>
        <w:spacing w:line="360" w:lineRule="auto"/>
        <w:ind w:firstLine="480" w:firstLineChars="200"/>
      </w:pPr>
      <w:r>
        <w:t>本项目的噪声源主要是备用发电机</w:t>
      </w:r>
      <w:r>
        <w:rPr>
          <w:rFonts w:hint="eastAsia"/>
        </w:rPr>
        <w:t>、</w:t>
      </w:r>
      <w:r>
        <w:t>风机</w:t>
      </w:r>
      <w:r>
        <w:rPr>
          <w:rFonts w:hint="eastAsia"/>
        </w:rPr>
        <w:t>、</w:t>
      </w:r>
      <w:r>
        <w:t>水泵</w:t>
      </w:r>
      <w:r>
        <w:rPr>
          <w:rFonts w:hint="eastAsia"/>
        </w:rPr>
        <w:t>、</w:t>
      </w:r>
      <w:r>
        <w:t>空调</w:t>
      </w:r>
      <w:r>
        <w:rPr>
          <w:rFonts w:hint="eastAsia"/>
        </w:rPr>
        <w:t>、</w:t>
      </w:r>
      <w:r>
        <w:t>冷却塔以及交通噪声对项目的影响</w:t>
      </w:r>
      <w:r>
        <w:rPr>
          <w:rFonts w:hint="eastAsia"/>
        </w:rPr>
        <w:t>，</w:t>
      </w:r>
      <w:r>
        <w:t>对噪声源的防治措施有</w:t>
      </w:r>
      <w:r>
        <w:rPr>
          <w:rFonts w:hint="eastAsia"/>
        </w:rPr>
        <w:t>：</w:t>
      </w:r>
    </w:p>
    <w:p>
      <w:pPr>
        <w:pStyle w:val="56"/>
      </w:pPr>
      <w:r>
        <w:t>隔声措施</w:t>
      </w:r>
    </w:p>
    <w:p>
      <w:pPr>
        <w:spacing w:line="360" w:lineRule="auto"/>
        <w:ind w:firstLine="480" w:firstLineChars="200"/>
      </w:pPr>
      <w:r>
        <w:rPr>
          <w:rFonts w:hint="eastAsia"/>
        </w:rPr>
        <w:t>（1）窗的隔声</w:t>
      </w:r>
    </w:p>
    <w:p>
      <w:pPr>
        <w:spacing w:line="360" w:lineRule="auto"/>
        <w:ind w:firstLine="480" w:firstLineChars="200"/>
      </w:pPr>
      <w:r>
        <w:rPr>
          <w:rFonts w:hint="eastAsia"/>
        </w:rPr>
        <w:t>窗户是环境噪声进入的主要途径，以增加窗户玻璃的厚度来增加窗的隔声量是很困难的和不经济的，可以采用隔声窗。隔声窗包括开启式与固定式两大类，又可细分为通风开启式、通风固定式常规开启式和常规固定式等。</w:t>
      </w:r>
      <w:r>
        <w:t>隔声窗与普通窗的最大区别在于它必须有一定的隔声量，即最低级别隔声窗的隔声量也要保证在20dB(A)以上，一般隔声窗的隔声量要求在30～35dB(A)为宜。隔声窗由各种材质构成，通常使用的有钢结构的、木质结构的、钢塑结构的和铝合金结构的等几种。窗户的隔声效果取决于玻璃的厚度，窗的结构，即玻璃的层数，层间空气层的厚度，框与扇之间、框与墙之间的密封程度。隔声窗费用适中，适用于超标较严重且零散分布的情况。考虑到区域交通噪声的影响，评价建议本项目临道路一层的房间安装双层玻璃，敏感用房远离道路设置。</w:t>
      </w:r>
    </w:p>
    <w:p>
      <w:pPr>
        <w:spacing w:line="360" w:lineRule="auto"/>
        <w:ind w:firstLine="480" w:firstLineChars="200"/>
      </w:pPr>
      <w:r>
        <w:rPr>
          <w:rFonts w:hint="eastAsia"/>
        </w:rPr>
        <w:t>（2）门的隔声</w:t>
      </w:r>
    </w:p>
    <w:p>
      <w:pPr>
        <w:spacing w:line="360" w:lineRule="auto"/>
        <w:ind w:firstLine="480" w:firstLineChars="200"/>
      </w:pPr>
      <w:r>
        <w:t>面对走廊的门是客房的隔声最薄弱的环节。一般双层夹板门的隔声量仅为20dB左右，其主要原因在于重量轻和门缝不严，特别是门与地面之间的缝，按规定此缝10-15mm。为了提高门隔声能力，适当提高门的单位面积重量是必要的，同时对门缝应加密封条。</w:t>
      </w:r>
    </w:p>
    <w:p>
      <w:pPr>
        <w:pStyle w:val="56"/>
      </w:pPr>
      <w:r>
        <w:t>重点噪声源的控制</w:t>
      </w:r>
    </w:p>
    <w:p>
      <w:pPr>
        <w:spacing w:line="360" w:lineRule="auto"/>
        <w:ind w:firstLine="480" w:firstLineChars="200"/>
      </w:pPr>
      <w:r>
        <w:t>重点噪声源主要有</w:t>
      </w:r>
      <w:r>
        <w:rPr>
          <w:rFonts w:hint="eastAsia"/>
        </w:rPr>
        <w:t>：</w:t>
      </w:r>
      <w:r>
        <w:t>备用发电机</w:t>
      </w:r>
      <w:r>
        <w:rPr>
          <w:rFonts w:hint="eastAsia"/>
        </w:rPr>
        <w:t>、</w:t>
      </w:r>
      <w:r>
        <w:t>水泵</w:t>
      </w:r>
      <w:r>
        <w:rPr>
          <w:rFonts w:hint="eastAsia"/>
        </w:rPr>
        <w:t>、</w:t>
      </w:r>
      <w:r>
        <w:t>风机</w:t>
      </w:r>
      <w:r>
        <w:rPr>
          <w:rFonts w:hint="eastAsia"/>
        </w:rPr>
        <w:t>、</w:t>
      </w:r>
      <w:r>
        <w:t>冷却塔</w:t>
      </w:r>
      <w:r>
        <w:rPr>
          <w:rFonts w:hint="eastAsia"/>
        </w:rPr>
        <w:t>、</w:t>
      </w:r>
      <w:r>
        <w:t>中央空调等</w:t>
      </w:r>
      <w:r>
        <w:rPr>
          <w:rFonts w:hint="eastAsia"/>
        </w:rPr>
        <w:t>。</w:t>
      </w:r>
      <w:r>
        <w:t>设备设施发出的噪声本身是无法降低的，但可以采取一些技术措施来降低噪声对外界的影响。</w:t>
      </w:r>
    </w:p>
    <w:p>
      <w:pPr>
        <w:spacing w:line="360" w:lineRule="auto"/>
        <w:ind w:firstLine="480" w:firstLineChars="200"/>
      </w:pPr>
      <w:r>
        <w:rPr>
          <w:rFonts w:hint="eastAsia"/>
        </w:rPr>
        <w:t>（1）备用柴油发电机组噪声防治措施论证</w:t>
      </w:r>
    </w:p>
    <w:p>
      <w:pPr>
        <w:spacing w:line="360" w:lineRule="auto"/>
        <w:ind w:firstLine="480" w:firstLineChars="200"/>
      </w:pPr>
      <w:r>
        <w:rPr>
          <w:rFonts w:hint="eastAsia"/>
        </w:rPr>
        <w:t>项目备用柴油发电机作为备用电源，采取如下措施可以保证项目边界噪声达到排放标准：</w:t>
      </w:r>
    </w:p>
    <w:p>
      <w:pPr>
        <w:spacing w:line="360" w:lineRule="auto"/>
        <w:ind w:firstLine="480" w:firstLineChars="200"/>
      </w:pPr>
      <w:r>
        <w:rPr>
          <w:rFonts w:hint="eastAsia"/>
        </w:rPr>
        <w:t>①柴油发电机组的基础采取减震设计，以减少柴油发电机发电时振动向外传递；②机房全封闭处理，墙壁为240mm砖墙，设置隔声门、窗，机房四壁顶棚挂贴吸声材料，护面为镀锌微孔板，以减少发电机房的混响声；③柴油发电机房门采用标准隔声门，隔声量不小于40dB(A)；④为解决发电机组尾气排放的气动性噪声，发电机配两级消声器，消声器为复合式，具有良好的消频率特征，总消声量大于45dB(A)；⑤室内强制通风，采用低噪声型风机，进出风口安装弯头消声，以免噪声通过通风口传播。</w:t>
      </w:r>
    </w:p>
    <w:p>
      <w:pPr>
        <w:spacing w:line="360" w:lineRule="auto"/>
        <w:ind w:firstLine="480" w:firstLineChars="200"/>
      </w:pPr>
      <w:r>
        <w:rPr>
          <w:rFonts w:hint="eastAsia"/>
        </w:rPr>
        <w:t>（2）变配电房噪声防治措施论证</w:t>
      </w:r>
    </w:p>
    <w:p>
      <w:pPr>
        <w:spacing w:line="360" w:lineRule="auto"/>
        <w:ind w:firstLine="480" w:firstLineChars="200"/>
      </w:pPr>
      <w:r>
        <w:rPr>
          <w:rFonts w:hint="eastAsia"/>
        </w:rPr>
        <w:t>变配电房变压器运行时产生的噪声值比较低，项目经过变压器房的减振消声处理后，从该区域的噪声排放标准角度分析，其外边界环境质量条件完全符合噪声排放标准。但由于变压器噪声是由变压器运行时振动引起的低频声，可能会对其上层居住的住户造成不适影响，故应对变压器运行时产生的低频噪声和振动进行减振消声处理，最大限度降低影响。</w:t>
      </w:r>
    </w:p>
    <w:p>
      <w:pPr>
        <w:spacing w:line="360" w:lineRule="auto"/>
        <w:ind w:firstLine="480" w:firstLineChars="200"/>
      </w:pPr>
      <w:r>
        <w:rPr>
          <w:rFonts w:hint="eastAsia"/>
        </w:rPr>
        <w:t>在变压器房的建筑设计上，每台变压器应安置于房间中部的变压器基座上，不与墙体进行直接接触，变压器房墙体按照行业标准设计，墙体进行隔热隔声处理。变压器基座采取橡胶板进行减振防护，每台变压器基座外围都布置有宽约50mm的地沟，用于布置电缆和排水用，同时也起到消声减振的效果。</w:t>
      </w:r>
    </w:p>
    <w:p>
      <w:pPr>
        <w:spacing w:line="360" w:lineRule="auto"/>
        <w:ind w:firstLine="480" w:firstLineChars="200"/>
      </w:pPr>
      <w:r>
        <w:rPr>
          <w:rFonts w:hint="eastAsia"/>
        </w:rPr>
        <w:t>通过选用振动小低噪声的设备和进行变压器房的减振消声措施，项目最大限度降低变压器运行时产生的噪声和振动对住户可能造成的影响。</w:t>
      </w:r>
    </w:p>
    <w:p>
      <w:pPr>
        <w:spacing w:line="360" w:lineRule="auto"/>
        <w:ind w:firstLine="480" w:firstLineChars="200"/>
      </w:pPr>
      <w:r>
        <w:rPr>
          <w:rFonts w:hint="eastAsia"/>
        </w:rPr>
        <w:t>（3）水泵噪声防治措施论证</w:t>
      </w:r>
    </w:p>
    <w:p>
      <w:pPr>
        <w:spacing w:line="360" w:lineRule="auto"/>
        <w:ind w:firstLine="480" w:firstLineChars="200"/>
      </w:pPr>
      <w:r>
        <w:rPr>
          <w:rFonts w:hint="eastAsia"/>
        </w:rPr>
        <w:t>医院内泵机组和电机处可设隔声罩或局部隔声罩、罩内衬吸声材料，电机部分可根据型号配消声器。泵房利用吸声材料，可做吸声吊顶，墙体可做吸声处理。泵的进出口接管可做挠性连接和弹性连接，管道支架可做弹性支承。</w:t>
      </w:r>
    </w:p>
    <w:p>
      <w:pPr>
        <w:spacing w:line="360" w:lineRule="auto"/>
        <w:ind w:firstLine="480" w:firstLineChars="200"/>
      </w:pPr>
      <w:r>
        <w:rPr>
          <w:rFonts w:hint="eastAsia"/>
        </w:rPr>
        <w:t>水泵基础均设隔振垫进行隔振，水泵进出水管加可曲挠橡胶接头防震。水泵房内的各种管道均采用防震型吊架和支架。水泵设在设备房内，搞好基础的减震和设备房的密闭隔声，其噪声不会对周围环境造成明显影响。</w:t>
      </w:r>
    </w:p>
    <w:p>
      <w:pPr>
        <w:spacing w:line="360" w:lineRule="auto"/>
        <w:ind w:firstLine="480" w:firstLineChars="200"/>
      </w:pPr>
      <w:r>
        <w:rPr>
          <w:rFonts w:hint="eastAsia"/>
        </w:rPr>
        <w:t xml:space="preserve">（4）中央空调机噪声控制 </w:t>
      </w:r>
    </w:p>
    <w:p>
      <w:pPr>
        <w:spacing w:line="360" w:lineRule="auto"/>
        <w:ind w:firstLine="480" w:firstLineChars="200"/>
      </w:pPr>
      <w:r>
        <w:rPr>
          <w:rFonts w:hint="eastAsia"/>
        </w:rPr>
        <w:t xml:space="preserve">单独设置于设备房，全封闭处理，隔声墙采用厚木筋板条墙。基座设置隔振垫，管道安装建议采取弹性支撑，即在管道穿过墙壁、地板处用弹性垫或橡胶套管隔离。 </w:t>
      </w:r>
    </w:p>
    <w:p>
      <w:pPr>
        <w:spacing w:line="360" w:lineRule="auto"/>
        <w:ind w:firstLine="480" w:firstLineChars="200"/>
      </w:pPr>
      <w:r>
        <w:rPr>
          <w:rFonts w:hint="eastAsia"/>
        </w:rPr>
        <w:t xml:space="preserve">（5）冷却塔噪声控制 </w:t>
      </w:r>
    </w:p>
    <w:p>
      <w:pPr>
        <w:spacing w:line="360" w:lineRule="auto"/>
        <w:ind w:firstLine="480" w:firstLineChars="200"/>
        <w:rPr>
          <w:color w:val="FF0000"/>
        </w:rPr>
      </w:pPr>
      <w:r>
        <w:rPr>
          <w:rFonts w:hint="eastAsia"/>
        </w:rPr>
        <w:t xml:space="preserve">①在冷却塔顶部的外沿安装排风消声器；②在冷却塔面向噪声控制点方向安装隔声屏障； ③在冷却塔底部接水盘上安装柔性网或消声垫，以降低落水声； ④在冷却塔的进风口处安装进风消声器(消声百叶窗)。 </w:t>
      </w:r>
    </w:p>
    <w:p>
      <w:pPr>
        <w:pStyle w:val="56"/>
      </w:pPr>
      <w:r>
        <w:t>控制噪声的管理措施</w:t>
      </w:r>
    </w:p>
    <w:p>
      <w:pPr>
        <w:spacing w:line="360" w:lineRule="auto"/>
        <w:ind w:firstLine="480" w:firstLineChars="200"/>
      </w:pPr>
      <w:r>
        <w:rPr>
          <w:color w:val="000000" w:themeColor="text1"/>
        </w:rPr>
        <w:t>加强交通管理</w:t>
      </w:r>
      <w:r>
        <w:rPr>
          <w:rFonts w:hint="eastAsia"/>
          <w:color w:val="000000" w:themeColor="text1"/>
        </w:rPr>
        <w:t>，</w:t>
      </w:r>
      <w:r>
        <w:rPr>
          <w:color w:val="000000" w:themeColor="text1"/>
        </w:rPr>
        <w:t>在途径岳阳康复医院段设置禁止鸣笛标志</w:t>
      </w:r>
      <w:r>
        <w:rPr>
          <w:rFonts w:hint="eastAsia"/>
          <w:color w:val="000000" w:themeColor="text1"/>
        </w:rPr>
        <w:t>。</w:t>
      </w:r>
      <w:r>
        <w:rPr>
          <w:color w:val="000000" w:themeColor="text1"/>
        </w:rPr>
        <w:t>控制车辆速度与车流量</w:t>
      </w:r>
      <w:r>
        <w:rPr>
          <w:rFonts w:hint="eastAsia"/>
          <w:color w:val="000000" w:themeColor="text1"/>
        </w:rPr>
        <w:t>。</w:t>
      </w:r>
      <w:r>
        <w:rPr>
          <w:color w:val="000000" w:themeColor="text1"/>
        </w:rPr>
        <w:t>通常车辆速度提高一倍</w:t>
      </w:r>
      <w:r>
        <w:rPr>
          <w:rFonts w:hint="eastAsia"/>
          <w:color w:val="000000" w:themeColor="text1"/>
        </w:rPr>
        <w:t>，</w:t>
      </w:r>
      <w:r>
        <w:rPr>
          <w:color w:val="000000" w:themeColor="text1"/>
        </w:rPr>
        <w:t>平均噪声值增加</w:t>
      </w:r>
      <w:r>
        <w:rPr>
          <w:rFonts w:hint="eastAsia"/>
          <w:color w:val="000000" w:themeColor="text1"/>
        </w:rPr>
        <w:t>6~9</w:t>
      </w:r>
      <w:r>
        <w:t>dB(A)；车流量增加一倍，噪声增加3dB(A)。</w:t>
      </w:r>
    </w:p>
    <w:p>
      <w:pPr>
        <w:spacing w:line="360" w:lineRule="auto"/>
        <w:ind w:firstLine="480" w:firstLineChars="200"/>
      </w:pPr>
      <w:r>
        <w:t>加强道路路面养护，维持路面平整，避免路况不佳造成车辆颠簸增大噪声。注意公路绿化美化，在有条件的路段种植降噪林带。</w:t>
      </w:r>
    </w:p>
    <w:p>
      <w:pPr>
        <w:spacing w:line="360" w:lineRule="auto"/>
        <w:ind w:firstLine="480" w:firstLineChars="200"/>
      </w:pPr>
      <w:r>
        <w:rPr>
          <w:rFonts w:hint="eastAsia"/>
        </w:rPr>
        <w:t>本项目采用减振、消声、隔声等措施处理后，厂界噪声</w:t>
      </w:r>
      <w:r>
        <w:t>昼间低于</w:t>
      </w:r>
      <w:r>
        <w:rPr>
          <w:rFonts w:hint="eastAsia"/>
        </w:rPr>
        <w:t>60</w:t>
      </w:r>
      <w:r>
        <w:t>dB(A)，夜间低于5</w:t>
      </w:r>
      <w:r>
        <w:rPr>
          <w:rFonts w:hint="eastAsia"/>
        </w:rPr>
        <w:t>0</w:t>
      </w:r>
      <w:r>
        <w:t>dB(A)，可满足《工业企业厂界环境噪声排放标准》（GB12348-2008）中</w:t>
      </w:r>
      <w:r>
        <w:rPr>
          <w:rFonts w:hint="eastAsia"/>
        </w:rPr>
        <w:t>2</w:t>
      </w:r>
      <w:r>
        <w:t>类标准的要求，对周围声环境影响较小，措施可行。</w:t>
      </w:r>
    </w:p>
    <w:p>
      <w:pPr>
        <w:pStyle w:val="5"/>
      </w:pPr>
      <w:r>
        <w:t>固体废物防治措施</w:t>
      </w:r>
    </w:p>
    <w:p>
      <w:pPr>
        <w:spacing w:line="360" w:lineRule="auto"/>
        <w:ind w:firstLine="480" w:firstLineChars="200"/>
      </w:pPr>
      <w:r>
        <w:rPr>
          <w:rFonts w:hint="eastAsia"/>
        </w:rPr>
        <w:t>项目营运期产生的固体废弃物主要是医疗废物、污水处理站污泥和生活垃圾。</w:t>
      </w:r>
    </w:p>
    <w:p>
      <w:pPr>
        <w:spacing w:line="360" w:lineRule="auto"/>
        <w:ind w:firstLine="480" w:firstLineChars="200"/>
      </w:pPr>
      <w:r>
        <w:rPr>
          <w:rFonts w:hint="eastAsia"/>
        </w:rPr>
        <w:t>（1）生活垃圾处置措施</w:t>
      </w:r>
    </w:p>
    <w:p>
      <w:pPr>
        <w:spacing w:line="360" w:lineRule="auto"/>
        <w:ind w:firstLine="480" w:firstLineChars="200"/>
      </w:pPr>
      <w:r>
        <w:rPr>
          <w:rFonts w:hint="eastAsia"/>
        </w:rPr>
        <w:t>生活垃圾收集实行分类化、纸质包装、金属包装、塑料包装和玻璃包装等通过分类收集（可利用、不可回收利用）减少垃圾的填埋量，提高资源的利用率。同时与环卫部门联系，使项目的生活垃圾及时收集，及时清运至城市垃圾中转站，再定时清运进入城市垃圾厂统一处理，可以避免生活垃圾长时间堆放引起环境污染，措施可行。</w:t>
      </w:r>
    </w:p>
    <w:p>
      <w:pPr>
        <w:spacing w:line="360" w:lineRule="auto"/>
        <w:ind w:firstLine="480" w:firstLineChars="200"/>
        <w:rPr>
          <w:color w:val="000000" w:themeColor="text1"/>
        </w:rPr>
      </w:pPr>
      <w:r>
        <w:rPr>
          <w:rFonts w:hint="eastAsia"/>
          <w:color w:val="000000" w:themeColor="text1"/>
        </w:rPr>
        <w:t>（2）医疗固废、污水处理站污泥</w:t>
      </w:r>
    </w:p>
    <w:p>
      <w:pPr>
        <w:spacing w:line="360" w:lineRule="auto"/>
        <w:ind w:firstLine="480" w:firstLineChars="200"/>
      </w:pPr>
      <w:r>
        <w:rPr>
          <w:rFonts w:hint="eastAsia"/>
          <w:color w:val="000000" w:themeColor="text1"/>
        </w:rPr>
        <w:t>项目医疗废物、污水处理站污泥属于危险废物，按照《医疗废物管理条例》、《</w:t>
      </w:r>
      <w:r>
        <w:t>医疗卫生机构医疗废物管理办法</w:t>
      </w:r>
      <w:r>
        <w:rPr>
          <w:rFonts w:hint="eastAsia"/>
          <w:color w:val="000000" w:themeColor="text1"/>
        </w:rPr>
        <w:t>》、</w:t>
      </w:r>
      <w:r>
        <w:rPr>
          <w:rFonts w:hint="eastAsia"/>
        </w:rPr>
        <w:t>《危险废物贮存污染控制标准》、《医疗废物转运车技术要求（试行）》等有关管理规范</w:t>
      </w:r>
      <w:r>
        <w:t>，并参照部分国内外医院废弃物的处理处置措施，提出以下污染防治措施</w:t>
      </w:r>
      <w:r>
        <w:rPr>
          <w:rFonts w:hint="eastAsia"/>
        </w:rPr>
        <w:t>。</w:t>
      </w:r>
    </w:p>
    <w:p>
      <w:pPr>
        <w:spacing w:line="360" w:lineRule="auto"/>
        <w:ind w:firstLine="480" w:firstLineChars="200"/>
        <w:rPr>
          <w:rFonts w:asciiTheme="minorEastAsia" w:hAnsiTheme="minorEastAsia"/>
          <w:color w:val="000000" w:themeColor="text1"/>
        </w:rPr>
      </w:pPr>
      <w:r>
        <w:rPr>
          <w:rFonts w:hint="eastAsia" w:asciiTheme="minorEastAsia" w:hAnsiTheme="minorEastAsia"/>
          <w:color w:val="000000" w:themeColor="text1"/>
        </w:rPr>
        <w:t>①分类收集</w:t>
      </w:r>
    </w:p>
    <w:p>
      <w:pPr>
        <w:spacing w:line="360" w:lineRule="auto"/>
        <w:ind w:firstLine="480" w:firstLineChars="200"/>
      </w:pPr>
      <w:r>
        <w:rPr>
          <w:rFonts w:hint="eastAsia"/>
        </w:rPr>
        <w:t>医院大部分废物（80%~85%）是没有危害的普通固体废物，不需要特别处理。但是一些没有危害性的垃圾同其他具有危害性的或传染性的污物混合在一起，其混合垃圾就要像有害的垃圾一样对待，需要特别的搬运和处置。因此对垃圾污物进行分类是对垃圾污物进行有效处理的前提</w:t>
      </w:r>
      <w:r>
        <w:t>。</w:t>
      </w:r>
    </w:p>
    <w:p>
      <w:pPr>
        <w:spacing w:line="360" w:lineRule="auto"/>
        <w:ind w:firstLine="480" w:firstLineChars="200"/>
        <w:rPr>
          <w:rFonts w:asciiTheme="minorEastAsia" w:hAnsiTheme="minorEastAsia"/>
          <w:color w:val="000000" w:themeColor="text1"/>
        </w:rPr>
      </w:pPr>
      <w:r>
        <w:rPr>
          <w:rFonts w:hint="eastAsia" w:asciiTheme="minorEastAsia" w:hAnsiTheme="minorEastAsia"/>
          <w:color w:val="000000" w:themeColor="text1"/>
        </w:rPr>
        <w:t>②收集容器设置要求</w:t>
      </w:r>
    </w:p>
    <w:p>
      <w:pPr>
        <w:spacing w:line="360" w:lineRule="auto"/>
        <w:ind w:firstLine="480" w:firstLineChars="200"/>
      </w:pPr>
      <w:r>
        <w:rPr>
          <w:rFonts w:hint="eastAsia"/>
        </w:rPr>
        <w:t>医疗废物</w:t>
      </w:r>
      <w:r>
        <w:t>收集容器应符合《医疗废物专用包装物、容器的标准和警示标识的规定》(环发[2003]188号)要求。</w:t>
      </w:r>
    </w:p>
    <w:p>
      <w:pPr>
        <w:spacing w:line="360" w:lineRule="auto"/>
        <w:ind w:firstLine="480" w:firstLineChars="200"/>
      </w:pPr>
      <w:r>
        <w:t>盛装医疗废物的每个包装物、容器外表面应当有警示标识，在每个包装物、容器上应当系中文标签，中文标签的内容应当包括：医疗废物产生单位、产生日期、类别及需要的特别说明等。</w:t>
      </w:r>
    </w:p>
    <w:p>
      <w:pPr>
        <w:spacing w:line="360" w:lineRule="auto"/>
        <w:ind w:firstLine="480" w:firstLineChars="200"/>
      </w:pPr>
      <w:r>
        <w:t>包装袋不得使用聚氯乙烯（PVC）塑料为制造原料，聚乙烯（PE）包装袋正常使用时不得渗漏、破裂、穿孔；最大容积为0.1m</w:t>
      </w:r>
      <w:r>
        <w:rPr>
          <w:vertAlign w:val="superscript"/>
        </w:rPr>
        <w:t>3</w:t>
      </w:r>
      <w:r>
        <w:t>, 大小和形状适中，便于搬运和配合周转箱（桶）盛状；如果使用线型低密度聚乙烯（LLDPE）或低密度聚乙烯与线型低密度聚乙烯共混（LLDPE+LDPE）为原料，其最小公称厚度应为150μm；如果使用中密度或高密度聚乙烯（MDPE，HDPE），其最小公称厚度应为80μm；、包装袋的颜色为黄色，并有盛装医疗废物类型的文字说明，如盛装感染性废物，应在包装袋上加注“感染性废物”字样； 包装袋上医疗废物警示标识。</w:t>
      </w:r>
    </w:p>
    <w:p>
      <w:pPr>
        <w:spacing w:line="360" w:lineRule="auto"/>
        <w:ind w:firstLine="480" w:firstLineChars="200"/>
      </w:pPr>
      <w:r>
        <w:t>利器盒整体为硬制材料制成，密封，以保证利器盒在正常使用的情况下，盒内盛装的锐利器具不撒漏，利器盒一旦被封口，则无法在不破坏的情况下被再次打开；利器盒能防刺穿，其盛装的注射器针头、破碎玻璃片等锐利器具不能刺穿利器盒；满盛装量的利器盒从1.5m高处垂直跌落至水泥地面，连续3次，利器盒不会出现破裂、被刺穿等情况；利器盒易于焚烧，不得使用聚氯乙烯（PVC）塑料作为制造原材料；利器盒整体颜色为黄色，在盒体侧面注明“损伤性废物”；利器盒上应印制本规定第五条确定的医疗废物警示标识。</w:t>
      </w:r>
    </w:p>
    <w:p>
      <w:pPr>
        <w:spacing w:line="360" w:lineRule="auto"/>
        <w:ind w:firstLine="480" w:firstLineChars="200"/>
      </w:pPr>
      <w:r>
        <w:t>周转箱整体为硬制材料，防液体渗漏，可一次性或多次重复使用；多次重复使用的周转箱（桶）应能被快速消毒或清洗； 周转箱（桶）整体为黄色，外表面应印（喷）制医疗废物警示标识和文字说明。应选用高密度聚乙烯（HDPE）为原料采用注射工艺生产；箱体盖选用高密度聚乙烯与聚丙烯（PP）共混或专用料采用注射工艺生产。 箱体箱盖设密封槽，整体装配密闭。箱体与箱盖能牢固扣紧，扣紧后不分离。表面光滑平整，无裂损，不允许明显凹陷，边缘及端手无毛刺。浇口处不影响箱子平置。不允许≥2mm杂质存在；箱底、顶部有配合牙槽，具有防滑功能。</w:t>
      </w:r>
    </w:p>
    <w:p>
      <w:pPr>
        <w:spacing w:line="360" w:lineRule="auto"/>
        <w:ind w:firstLine="480" w:firstLineChars="200"/>
      </w:pPr>
      <w:r>
        <w:rPr>
          <w:rFonts w:hint="eastAsia" w:asciiTheme="minorEastAsia" w:hAnsiTheme="minorEastAsia"/>
          <w:color w:val="000000" w:themeColor="text1"/>
        </w:rPr>
        <w:t>③</w:t>
      </w:r>
      <w:r>
        <w:t>分类</w:t>
      </w:r>
      <w:r>
        <w:rPr>
          <w:rFonts w:hint="eastAsia"/>
        </w:rPr>
        <w:t>管理</w:t>
      </w:r>
    </w:p>
    <w:p>
      <w:pPr>
        <w:spacing w:line="360" w:lineRule="auto"/>
        <w:ind w:firstLine="480" w:firstLineChars="200"/>
      </w:pPr>
      <w:r>
        <w:rPr>
          <w:rFonts w:hint="eastAsia"/>
        </w:rPr>
        <w:t>按照</w:t>
      </w:r>
      <w:r>
        <w:t>《医疗废物专用包装物、容器的标准和警示标识的规定》</w:t>
      </w:r>
      <w:r>
        <w:rPr>
          <w:rFonts w:hint="eastAsia"/>
        </w:rPr>
        <w:t>，</w:t>
      </w:r>
      <w:r>
        <w:t>根据医疗废物的类别，将医疗废物分置于符合的包装物或者容器内；在盛装医疗废物前，应当对医疗废物包装物或者容器进行认真检查，确保无破损、渗漏和其它缺陷。</w:t>
      </w:r>
    </w:p>
    <w:p>
      <w:pPr>
        <w:spacing w:line="360" w:lineRule="auto"/>
        <w:ind w:firstLine="480" w:firstLineChars="200"/>
      </w:pPr>
      <w:r>
        <w:t>感染性废物、病理性废物、损伤性废物、药物性废物及化学性废物不能混合收集。</w:t>
      </w:r>
    </w:p>
    <w:p>
      <w:pPr>
        <w:spacing w:line="360" w:lineRule="auto"/>
        <w:ind w:firstLine="480" w:firstLineChars="200"/>
      </w:pPr>
      <w:r>
        <w:rPr>
          <w:rFonts w:hint="eastAsia"/>
        </w:rPr>
        <w:t>在医院污水处理过程中，污水中所含的80%以上的病菌和90%以上的寄生虫卵被浓集在污泥中。</w:t>
      </w:r>
      <w:r>
        <w:t>根据</w:t>
      </w:r>
      <w:r>
        <w:rPr>
          <w:rFonts w:hint="eastAsia"/>
        </w:rPr>
        <w:t>《国家危险废物名录》</w:t>
      </w:r>
      <w:r>
        <w:t>，</w:t>
      </w:r>
      <w:r>
        <w:rPr>
          <w:rFonts w:hint="eastAsia"/>
        </w:rPr>
        <w:t>污泥</w:t>
      </w:r>
      <w:r>
        <w:t>属于危险废物的范畴，</w:t>
      </w:r>
      <w:r>
        <w:rPr>
          <w:rFonts w:hint="eastAsia"/>
        </w:rPr>
        <w:t>因此必须按照</w:t>
      </w:r>
      <w:r>
        <w:t>医疗废物处理要求</w:t>
      </w:r>
      <w:r>
        <w:rPr>
          <w:rFonts w:hint="eastAsia"/>
        </w:rPr>
        <w:t>做好医院污泥的消毒处理，使之达到GB18466-2001《医疗机构污水排放要求》方能排放。</w:t>
      </w:r>
    </w:p>
    <w:p>
      <w:pPr>
        <w:spacing w:line="360" w:lineRule="auto"/>
        <w:ind w:firstLine="480" w:firstLineChars="200"/>
      </w:pPr>
      <w:r>
        <w:rPr>
          <w:rFonts w:hint="eastAsia"/>
        </w:rPr>
        <w:t>污泥消毒方法有物理法、化学法和生物法。如低热消毒、堆肥、氯化消毒、石灰消毒和辐照消毒等。本项目污水处理站污泥经浓缩干化石灰消毒处理后委托资质单位进行处理。</w:t>
      </w:r>
    </w:p>
    <w:p>
      <w:pPr>
        <w:spacing w:line="360" w:lineRule="auto"/>
        <w:ind w:firstLine="480" w:firstLineChars="200"/>
      </w:pPr>
      <w:r>
        <w:rPr>
          <w:rFonts w:hint="eastAsia"/>
        </w:rPr>
        <w:t>本项目医疗废物全部由岳阳市方向固废安全处置有限公司收集后统一处置。医疗废物中病原体的培养基、标本和菌种、毒种保存液等高危险废物，在交医疗废物集中处置中心处置前就地消毒。</w:t>
      </w:r>
    </w:p>
    <w:p>
      <w:pPr>
        <w:spacing w:line="360" w:lineRule="auto"/>
        <w:ind w:firstLine="480" w:firstLineChars="200"/>
      </w:pPr>
      <w:r>
        <w:rPr>
          <w:rFonts w:hint="eastAsia" w:asciiTheme="minorEastAsia" w:hAnsiTheme="minorEastAsia"/>
          <w:color w:val="000000" w:themeColor="text1"/>
        </w:rPr>
        <w:t>④</w:t>
      </w:r>
      <w:r>
        <w:t>暂时贮存要求</w:t>
      </w:r>
    </w:p>
    <w:p>
      <w:pPr>
        <w:spacing w:line="360" w:lineRule="auto"/>
        <w:ind w:firstLine="480" w:firstLineChars="200"/>
      </w:pPr>
      <w:r>
        <w:rPr>
          <w:color w:val="000000" w:themeColor="text1"/>
        </w:rPr>
        <w:t>医院内</w:t>
      </w:r>
      <w:r>
        <w:rPr>
          <w:rFonts w:hint="eastAsia"/>
        </w:rPr>
        <w:t>废物袋（箱）在就地处理或异地处理之前，均需集中存放在医院医疗固废暂存间内。医院医疗固废暂存间一定要和普通垃圾分开存放，并有醒目的标牌，易于识别。</w:t>
      </w:r>
    </w:p>
    <w:p>
      <w:pPr>
        <w:spacing w:line="360" w:lineRule="auto"/>
        <w:ind w:firstLine="480" w:firstLineChars="200"/>
      </w:pPr>
      <w:r>
        <w:rPr>
          <w:rFonts w:hint="eastAsia"/>
        </w:rPr>
        <w:t>尽量减少各废物产生地向医院医疗固废暂存间的开放式转运。存放地点应便于内部转运与外运，尽量远离食品加工和人员活动场所。医院医疗固废暂存间采取措施，防止动物进出和昆虫的侵扰。</w:t>
      </w:r>
    </w:p>
    <w:p>
      <w:pPr>
        <w:spacing w:line="360" w:lineRule="auto"/>
        <w:ind w:firstLine="480" w:firstLineChars="200"/>
      </w:pPr>
      <w:r>
        <w:rPr>
          <w:rFonts w:hint="eastAsia"/>
        </w:rPr>
        <w:t>医院医疗固废暂存间内应设有冲洗及消毒设施，应有防止泄漏的保护设施，冲洗水应排入医院污水处理站。</w:t>
      </w:r>
    </w:p>
    <w:p>
      <w:pPr>
        <w:spacing w:line="360" w:lineRule="auto"/>
        <w:ind w:firstLine="480" w:firstLineChars="200"/>
      </w:pPr>
      <w:r>
        <w:t>医疗废物暂时贮存库房</w:t>
      </w:r>
      <w:r>
        <w:rPr>
          <w:rFonts w:hint="eastAsia"/>
        </w:rPr>
        <w:t>的</w:t>
      </w:r>
      <w:r>
        <w:t>要求</w:t>
      </w:r>
      <w:r>
        <w:rPr>
          <w:rFonts w:hint="eastAsia"/>
        </w:rPr>
        <w:t>：</w:t>
      </w:r>
    </w:p>
    <w:p>
      <w:pPr>
        <w:spacing w:line="360" w:lineRule="auto"/>
        <w:ind w:firstLine="480" w:firstLineChars="200"/>
      </w:pPr>
      <w:r>
        <w:rPr>
          <w:rFonts w:hint="eastAsia"/>
        </w:rPr>
        <w:t>a、</w:t>
      </w:r>
      <w:r>
        <w:t xml:space="preserve">必须与生活垃圾存放地分开，有防雨淋的装置，地基高度应确保设施内不受雨洪冲击或浸泡； </w:t>
      </w:r>
    </w:p>
    <w:p>
      <w:pPr>
        <w:spacing w:line="360" w:lineRule="auto"/>
        <w:ind w:firstLine="480" w:firstLineChars="200"/>
      </w:pPr>
      <w:r>
        <w:rPr>
          <w:rFonts w:hint="eastAsia"/>
        </w:rPr>
        <w:t>b、</w:t>
      </w:r>
      <w:r>
        <w:t xml:space="preserve">必须与医疗区和人员活动密集区隔开，方便医疗废物的装卸、装卸人员及运送车辆的出入； </w:t>
      </w:r>
    </w:p>
    <w:p>
      <w:pPr>
        <w:spacing w:line="360" w:lineRule="auto"/>
        <w:ind w:firstLine="480" w:firstLineChars="200"/>
      </w:pPr>
      <w:r>
        <w:rPr>
          <w:rFonts w:hint="eastAsia"/>
        </w:rPr>
        <w:t>c、</w:t>
      </w:r>
      <w:r>
        <w:t xml:space="preserve">应有严密的封闭措施，设专人管理，避免非工作人员进出，以及防鼠、防蚊蝇、防蟑螂、防盗以及预防儿童接触等安全措施； </w:t>
      </w:r>
    </w:p>
    <w:p>
      <w:pPr>
        <w:spacing w:line="360" w:lineRule="auto"/>
        <w:ind w:firstLine="480" w:firstLineChars="200"/>
      </w:pPr>
      <w:r>
        <w:rPr>
          <w:rFonts w:hint="eastAsia"/>
        </w:rPr>
        <w:t>d、</w:t>
      </w:r>
      <w:r>
        <w:t xml:space="preserve">地面和1.0米高的墙裙须进行防渗处理，地面有良好的排水性能，易于清洁和消毒，产生的废水应采用管道直接排入医疗卫生机构内的医疗废水消毒、处理系统，禁止将产生的废水直接排入外环境； </w:t>
      </w:r>
    </w:p>
    <w:p>
      <w:pPr>
        <w:spacing w:line="360" w:lineRule="auto"/>
        <w:ind w:firstLine="480" w:firstLineChars="200"/>
      </w:pPr>
      <w:r>
        <w:rPr>
          <w:rFonts w:hint="eastAsia"/>
        </w:rPr>
        <w:t>e、</w:t>
      </w:r>
      <w:r>
        <w:t xml:space="preserve">库房外宜设有供水龙头，以供暂时贮存库房的清洗用； </w:t>
      </w:r>
    </w:p>
    <w:p>
      <w:pPr>
        <w:spacing w:line="360" w:lineRule="auto"/>
        <w:ind w:firstLine="480" w:firstLineChars="200"/>
      </w:pPr>
      <w:r>
        <w:rPr>
          <w:rFonts w:hint="eastAsia"/>
        </w:rPr>
        <w:t>f、</w:t>
      </w:r>
      <w:r>
        <w:t xml:space="preserve">避免阳光直射库内，应有良好的照明设备和通风条件； </w:t>
      </w:r>
    </w:p>
    <w:p>
      <w:pPr>
        <w:spacing w:line="360" w:lineRule="auto"/>
        <w:ind w:firstLine="480" w:firstLineChars="200"/>
      </w:pPr>
      <w:r>
        <w:rPr>
          <w:rFonts w:hint="eastAsia"/>
        </w:rPr>
        <w:t>g、</w:t>
      </w:r>
      <w:r>
        <w:t xml:space="preserve">库房内应张贴“禁止吸烟、饮食”的警示标识； </w:t>
      </w:r>
    </w:p>
    <w:p>
      <w:pPr>
        <w:spacing w:line="360" w:lineRule="auto"/>
        <w:ind w:firstLine="480" w:firstLineChars="200"/>
      </w:pPr>
      <w:r>
        <w:rPr>
          <w:rFonts w:hint="eastAsia"/>
        </w:rPr>
        <w:t>h、</w:t>
      </w:r>
      <w:r>
        <w:t>应按</w:t>
      </w:r>
      <w:r>
        <w:rPr>
          <w:rFonts w:hint="eastAsia"/>
        </w:rPr>
        <w:t>《</w:t>
      </w:r>
      <w:r>
        <w:t>环境保护图形标志—固体废物贮存（处置）场</w:t>
      </w:r>
      <w:r>
        <w:rPr>
          <w:rFonts w:hint="eastAsia"/>
        </w:rPr>
        <w:t>》（</w:t>
      </w:r>
      <w:r>
        <w:t>GB15562.2</w:t>
      </w:r>
      <w:r>
        <w:rPr>
          <w:rFonts w:hint="eastAsia"/>
        </w:rPr>
        <w:t>）</w:t>
      </w:r>
      <w:r>
        <w:t>和卫生、环保部门制定的专用医疗废物警示标识要求，在库房外的明显处同时设置危险废物和医疗废物的警示标识</w:t>
      </w:r>
      <w:r>
        <w:rPr>
          <w:rFonts w:hint="eastAsia"/>
        </w:rPr>
        <w:t>。</w:t>
      </w:r>
    </w:p>
    <w:p>
      <w:pPr>
        <w:spacing w:line="360" w:lineRule="auto"/>
        <w:ind w:firstLine="480" w:firstLineChars="200"/>
        <w:rPr>
          <w:rFonts w:asciiTheme="minorEastAsia" w:hAnsiTheme="minorEastAsia"/>
          <w:color w:val="000000" w:themeColor="text1"/>
        </w:rPr>
      </w:pPr>
      <w:r>
        <w:rPr>
          <w:rFonts w:hint="eastAsia" w:asciiTheme="minorEastAsia" w:hAnsiTheme="minorEastAsia"/>
          <w:color w:val="000000" w:themeColor="text1"/>
        </w:rPr>
        <w:t>⑤医疗废物的交接</w:t>
      </w:r>
    </w:p>
    <w:p>
      <w:pPr>
        <w:spacing w:line="360" w:lineRule="auto"/>
        <w:ind w:firstLine="480" w:firstLineChars="200"/>
        <w:rPr>
          <w:color w:val="000000" w:themeColor="text1"/>
        </w:rPr>
      </w:pPr>
      <w:r>
        <w:rPr>
          <w:rFonts w:hint="eastAsia"/>
          <w:color w:val="000000" w:themeColor="text1"/>
        </w:rPr>
        <w:t>本项目医疗废物统一交由岳阳市方向固废安全处置有限公司集中处理。按照《医疗废物转运车技术要求（试行）》，</w:t>
      </w:r>
      <w:r>
        <w:rPr>
          <w:color w:val="000000" w:themeColor="text1"/>
        </w:rPr>
        <w:t>医疗废物运送人员在接收医疗废物时，应外观检查医疗卫生机构是否按规定进行包装、标识，并盛装于周转箱内，不得打开包装袋取出医疗废物。对包装破损、包装外表污染或未盛装于周转箱内的医疗废物，医疗废物运送人员应当要求医疗卫生机构重新包装、标识，并盛装于周转箱内。拒不按规定对医疗废物进行包装的，运送人员有权拒绝运送，并向当地环保部门报告。</w:t>
      </w:r>
    </w:p>
    <w:p>
      <w:pPr>
        <w:spacing w:line="360" w:lineRule="auto"/>
        <w:ind w:firstLine="480" w:firstLineChars="200"/>
        <w:rPr>
          <w:color w:val="000000" w:themeColor="text1"/>
        </w:rPr>
      </w:pPr>
      <w:r>
        <w:rPr>
          <w:rFonts w:hint="eastAsia" w:asciiTheme="minorEastAsia" w:hAnsiTheme="minorEastAsia"/>
          <w:color w:val="000000" w:themeColor="text1"/>
        </w:rPr>
        <w:t>⑥</w:t>
      </w:r>
      <w:r>
        <w:rPr>
          <w:color w:val="000000" w:themeColor="text1"/>
        </w:rPr>
        <w:t>医疗废物的运输</w:t>
      </w:r>
    </w:p>
    <w:p>
      <w:pPr>
        <w:spacing w:line="360" w:lineRule="auto"/>
        <w:ind w:firstLine="480" w:firstLineChars="200"/>
        <w:rPr>
          <w:color w:val="000000" w:themeColor="text1"/>
        </w:rPr>
      </w:pPr>
      <w:r>
        <w:rPr>
          <w:rFonts w:hint="eastAsia"/>
          <w:color w:val="000000" w:themeColor="text1"/>
        </w:rPr>
        <w:t>按《医疗废物转运车技术要求（试行）》规范要求如下：</w:t>
      </w:r>
    </w:p>
    <w:p>
      <w:pPr>
        <w:spacing w:line="360" w:lineRule="auto"/>
        <w:ind w:firstLine="480" w:firstLineChars="200"/>
        <w:rPr>
          <w:color w:val="000000" w:themeColor="text1"/>
        </w:rPr>
      </w:pPr>
      <w:r>
        <w:rPr>
          <w:rFonts w:hint="eastAsia"/>
          <w:color w:val="000000" w:themeColor="text1"/>
        </w:rPr>
        <w:t>a、</w:t>
      </w:r>
      <w:r>
        <w:rPr>
          <w:color w:val="000000" w:themeColor="text1"/>
        </w:rPr>
        <w:t>医疗废物转运车辆应配备专用的箱子，放置因意外发生事故后防止污染扩散的用品，如消毒器械及消毒剂、收集工具及包装袋、人员卫生防护用品等。</w:t>
      </w:r>
    </w:p>
    <w:p>
      <w:pPr>
        <w:spacing w:line="360" w:lineRule="auto"/>
        <w:ind w:firstLine="480" w:firstLineChars="200"/>
        <w:rPr>
          <w:color w:val="000000" w:themeColor="text1"/>
          <w:u w:val="single"/>
        </w:rPr>
      </w:pPr>
      <w:r>
        <w:rPr>
          <w:rFonts w:hint="eastAsia"/>
          <w:color w:val="000000" w:themeColor="text1"/>
        </w:rPr>
        <w:t>b、</w:t>
      </w:r>
      <w:r>
        <w:rPr>
          <w:color w:val="000000" w:themeColor="text1"/>
        </w:rPr>
        <w:t>车厢内部表面，应采用防水、耐腐蚀、便于消毒和清洗的材料，表面平整，具有一定强度，车厢底部周边及转角应圆滑，不留死角；车厢的密封材料同样应耐腐蚀，车厢应经防渗处理；车厢外部颜色为白色或银灰色；医疗废物转运车应在车辆的前部、后部及车厢两侧喷涂警示性标志。</w:t>
      </w:r>
    </w:p>
    <w:p>
      <w:pPr>
        <w:spacing w:line="360" w:lineRule="auto"/>
        <w:ind w:firstLine="480" w:firstLineChars="200"/>
        <w:rPr>
          <w:color w:val="000000" w:themeColor="text1"/>
        </w:rPr>
      </w:pPr>
      <w:r>
        <w:rPr>
          <w:rFonts w:hint="eastAsia"/>
          <w:color w:val="000000" w:themeColor="text1"/>
        </w:rPr>
        <w:t>c、</w:t>
      </w:r>
      <w:r>
        <w:rPr>
          <w:color w:val="000000" w:themeColor="text1"/>
        </w:rPr>
        <w:t>医疗废物转运车在铁路（或水路）运输时应以自驶（或拖拽）方式上下车（船），若必须用吊装方式装卸时，应防止损伤产品</w:t>
      </w:r>
      <w:r>
        <w:rPr>
          <w:rFonts w:hint="eastAsia"/>
          <w:color w:val="000000" w:themeColor="text1"/>
        </w:rPr>
        <w:t>。</w:t>
      </w:r>
    </w:p>
    <w:p>
      <w:pPr>
        <w:spacing w:line="360" w:lineRule="auto"/>
        <w:ind w:firstLine="480" w:firstLineChars="200"/>
        <w:rPr>
          <w:color w:val="000000" w:themeColor="text1"/>
        </w:rPr>
      </w:pPr>
      <w:r>
        <w:rPr>
          <w:rFonts w:hint="eastAsia"/>
          <w:color w:val="000000" w:themeColor="text1"/>
        </w:rPr>
        <w:t>d、</w:t>
      </w:r>
      <w:r>
        <w:rPr>
          <w:color w:val="000000" w:themeColor="text1"/>
        </w:rPr>
        <w:t>医疗废物转运车停用时，应将车厢内、外进行彻底消毒、清洗、晾干，锁上车厢门和驾驶室，停放在通风、防潮、防暴晒、无腐蚀气体侵害的场所。停用期间不得用于其他目的运输；车辆报废时，车厢部分应进行严格消毒后再进行废物处理。</w:t>
      </w:r>
    </w:p>
    <w:p>
      <w:pPr>
        <w:spacing w:line="360" w:lineRule="auto"/>
        <w:ind w:firstLine="480" w:firstLineChars="200"/>
        <w:rPr>
          <w:color w:val="000000" w:themeColor="text1"/>
        </w:rPr>
      </w:pPr>
      <w:r>
        <w:rPr>
          <w:rFonts w:hint="eastAsia"/>
          <w:color w:val="000000" w:themeColor="text1"/>
        </w:rPr>
        <w:t>（4）事故应急措施</w:t>
      </w:r>
    </w:p>
    <w:p>
      <w:pPr>
        <w:spacing w:line="360" w:lineRule="auto"/>
        <w:ind w:firstLine="480" w:firstLineChars="200"/>
      </w:pPr>
      <w:r>
        <w:rPr>
          <w:rFonts w:hint="eastAsia"/>
          <w:color w:val="000000" w:themeColor="text1"/>
        </w:rPr>
        <w:t>发生医疗废物流失、泄漏、扩散和意外事故时，应当按照以下要求及时采取紧急处理措施：（1）确定流失、泄漏、扩散的医疗废物的类别、数量、发生时、影响范围及严重程度；（2）组织有关人员尽快按照应急方案，对发生医疗废物泄漏、扩散的现场进行处理；（3）对被医疗废物污染的区域进行处理时，应当尽可能减少对病人、医务人员、其它现场人员及环境的影响；（4）采取适当的安全处置措施，对泄漏及受污染的区域、物品进行消毒或者其它无害化处置，必要时封锁污染区域，以防扩大污染；</w:t>
      </w:r>
      <w:r>
        <w:rPr>
          <w:rFonts w:hint="eastAsia"/>
        </w:rPr>
        <w:t>（5）</w:t>
      </w:r>
      <w:r>
        <w:t>对感染性废物污染区域进行消毒时，消毒工作从污染最轻区域向污染最严重区域进行，对可能被污染的所有使用过的工具也应当进行消毒；工作人员应当做好卫生安全防护后进行工作。</w:t>
      </w:r>
      <w:r>
        <w:rPr>
          <w:rFonts w:hint="eastAsia"/>
        </w:rPr>
        <w:t>（6）</w:t>
      </w:r>
      <w:r>
        <w:t>处理工作结束后，应当对事件的起因进行调查，并采取有效的防范措施预防类似事件的发生。</w:t>
      </w:r>
    </w:p>
    <w:p>
      <w:pPr>
        <w:pStyle w:val="5"/>
      </w:pPr>
      <w:r>
        <w:rPr>
          <w:rFonts w:hint="eastAsia"/>
        </w:rPr>
        <w:t>生态防护措施</w:t>
      </w:r>
    </w:p>
    <w:p>
      <w:pPr>
        <w:spacing w:line="360" w:lineRule="auto"/>
        <w:ind w:firstLine="480" w:firstLineChars="200"/>
      </w:pPr>
      <w:r>
        <w:rPr>
          <w:rFonts w:hint="eastAsia"/>
        </w:rPr>
        <w:t>（1）绿化系统</w:t>
      </w:r>
    </w:p>
    <w:p>
      <w:pPr>
        <w:spacing w:line="360" w:lineRule="auto"/>
        <w:ind w:firstLine="480" w:firstLineChars="200"/>
      </w:pPr>
      <w:r>
        <w:rPr>
          <w:rFonts w:hint="eastAsia"/>
        </w:rPr>
        <w:t>定期对院内绿化带进行养护，保证绿地质量，减少或避免营运期水土流失和生态破坏现象。</w:t>
      </w:r>
    </w:p>
    <w:p>
      <w:pPr>
        <w:spacing w:line="360" w:lineRule="auto"/>
        <w:ind w:firstLine="480" w:firstLineChars="200"/>
      </w:pPr>
      <w:r>
        <w:rPr>
          <w:rFonts w:hint="eastAsia"/>
        </w:rPr>
        <w:t>对于非乡土植物种的引入，应在当地林业部门的指导下进行，并将引入的植物名录报林业部门备案。对引入植物应严格划定区域定点栽培，不得随意栽植或移植。对于果实、种子、营养繁殖体等植物繁殖构件应做好收获与管理工作，不得随意丢弃，如无栽培需要，应将收获的繁殖构件销毁。</w:t>
      </w:r>
    </w:p>
    <w:p>
      <w:pPr>
        <w:spacing w:line="360" w:lineRule="auto"/>
        <w:ind w:firstLine="480" w:firstLineChars="200"/>
      </w:pPr>
      <w:r>
        <w:rPr>
          <w:rFonts w:hint="eastAsia"/>
        </w:rPr>
        <w:t>项目属于已建成项目，对区域生态基本无影响。建议有关单位做好规划，加强周边用地的管理，促进周边区域景观生态环境的协调、统一。主要生态保护措施如下：</w:t>
      </w:r>
    </w:p>
    <w:p>
      <w:pPr>
        <w:spacing w:line="360" w:lineRule="auto"/>
        <w:ind w:firstLine="480" w:firstLineChars="200"/>
      </w:pPr>
      <w:r>
        <w:rPr>
          <w:rFonts w:hint="eastAsia"/>
        </w:rPr>
        <w:t>①医院内植物组群类型和分布，应根据本地气候状况以及医疗区内部的立地条件。结合景观构想和当地居民的审美习惯确定，做到充分绿化及满足多种游憩和审美需求。</w:t>
      </w:r>
    </w:p>
    <w:p>
      <w:pPr>
        <w:spacing w:line="360" w:lineRule="auto"/>
        <w:ind w:firstLine="480" w:firstLineChars="200"/>
      </w:pPr>
      <w:r>
        <w:rPr>
          <w:rFonts w:hint="eastAsia"/>
        </w:rPr>
        <w:t>②医院内水、电、燃气等线路布置，不得破坏景观，不宜设置架空线路；在景观较佳的区域避免设置集中的服务设施；管理设施及厕所等建筑物的位置，应隐蔽又方便使用。</w:t>
      </w:r>
    </w:p>
    <w:p>
      <w:pPr>
        <w:spacing w:line="360" w:lineRule="auto"/>
        <w:ind w:firstLine="480" w:firstLineChars="200"/>
      </w:pPr>
      <w:r>
        <w:rPr>
          <w:rFonts w:hint="eastAsia"/>
        </w:rPr>
        <w:t>③合理布置绿化树种，植被布置要求草、灌、乔木的合理分布，营造立体绿化空间。</w:t>
      </w:r>
    </w:p>
    <w:p>
      <w:pPr>
        <w:spacing w:line="360" w:lineRule="auto"/>
        <w:ind w:firstLine="480" w:firstLineChars="200"/>
      </w:pPr>
      <w:r>
        <w:rPr>
          <w:rFonts w:hint="eastAsia"/>
        </w:rPr>
        <w:t>（2）绿化系统建设</w:t>
      </w:r>
    </w:p>
    <w:p>
      <w:pPr>
        <w:spacing w:line="360" w:lineRule="auto"/>
        <w:ind w:firstLine="480" w:firstLineChars="200"/>
      </w:pPr>
      <w:r>
        <w:rPr>
          <w:rFonts w:hint="eastAsia"/>
        </w:rPr>
        <w:t>绿化在防治污染、保护和改善环境方面，起着特殊的作用。他具有较好的调温、调湿、吸灰、吸尘、改善环境小气候、净化空气、减弱噪声等功能，因此大力开展绿化，对增强人民健康，提高生活质量等都有一定的意义。在绿化系统的建设中，应注意以下几点：</w:t>
      </w:r>
    </w:p>
    <w:p>
      <w:pPr>
        <w:spacing w:line="360" w:lineRule="auto"/>
        <w:ind w:firstLine="480" w:firstLineChars="200"/>
      </w:pPr>
      <w:r>
        <w:rPr>
          <w:rFonts w:hint="eastAsia"/>
        </w:rPr>
        <w:t>合理布局垂直绿化平面和垂直绿化相结合；乔木、灌木、草地植物协调建设；选择适合本地气候和土壤的树种，做到落叶与常绿相交，并提高绿色植物虫害防御能力。</w:t>
      </w:r>
    </w:p>
    <w:p>
      <w:pPr>
        <w:spacing w:line="360" w:lineRule="auto"/>
        <w:ind w:firstLine="480" w:firstLineChars="200"/>
      </w:pPr>
    </w:p>
    <w:p>
      <w:pPr>
        <w:spacing w:line="360" w:lineRule="auto"/>
        <w:ind w:firstLine="480" w:firstLineChars="200"/>
        <w:rPr>
          <w:color w:val="000000" w:themeColor="text1"/>
        </w:rPr>
      </w:pPr>
    </w:p>
    <w:p>
      <w:pPr>
        <w:spacing w:line="360" w:lineRule="auto"/>
        <w:ind w:firstLine="480" w:firstLineChars="200"/>
        <w:rPr>
          <w:color w:val="000000" w:themeColor="text1"/>
        </w:rPr>
      </w:pPr>
    </w:p>
    <w:p>
      <w:pPr>
        <w:spacing w:line="360" w:lineRule="auto"/>
        <w:ind w:firstLine="480" w:firstLineChars="200"/>
        <w:rPr>
          <w:color w:val="000000" w:themeColor="text1"/>
        </w:rPr>
      </w:pPr>
    </w:p>
    <w:p>
      <w:pPr>
        <w:widowControl/>
        <w:jc w:val="left"/>
        <w:rPr>
          <w:color w:val="000000" w:themeColor="text1"/>
        </w:rPr>
      </w:pPr>
      <w:r>
        <w:rPr>
          <w:color w:val="000000" w:themeColor="text1"/>
        </w:rPr>
        <w:br w:type="page"/>
      </w:r>
    </w:p>
    <w:p>
      <w:pPr>
        <w:pStyle w:val="2"/>
      </w:pPr>
      <w:r>
        <w:t>环境风险分析</w:t>
      </w:r>
    </w:p>
    <w:p>
      <w:pPr>
        <w:adjustRightInd w:val="0"/>
        <w:snapToGrid w:val="0"/>
        <w:spacing w:line="360" w:lineRule="auto"/>
        <w:ind w:firstLine="480" w:firstLineChars="200"/>
        <w:rPr>
          <w:rFonts w:hAnsi="宋体"/>
        </w:rPr>
      </w:pPr>
      <w:r>
        <w:rPr>
          <w:rFonts w:hAnsi="宋体"/>
        </w:rPr>
        <w:t>环境风险评价（ERA）是指对人类的各种开发行为所引发的或面临的危害</w:t>
      </w:r>
      <w:r>
        <w:rPr>
          <w:rFonts w:hint="eastAsia" w:hAnsi="宋体"/>
        </w:rPr>
        <w:t>，</w:t>
      </w:r>
      <w:r>
        <w:rPr>
          <w:rFonts w:hAnsi="宋体"/>
        </w:rPr>
        <w:t>对人体健康、社会经济发展、生态系统等所造成的风险可能带来的损失进行评估，并据此进行管理和决策的过程。工程项目在建设运行过程中往往伴有突发性事故</w:t>
      </w:r>
      <w:r>
        <w:rPr>
          <w:rFonts w:hint="eastAsia" w:hAnsi="宋体"/>
        </w:rPr>
        <w:t>，</w:t>
      </w:r>
      <w:r>
        <w:rPr>
          <w:rFonts w:hAnsi="宋体"/>
        </w:rPr>
        <w:t>这些突发行事故具有偶然性</w:t>
      </w:r>
      <w:r>
        <w:rPr>
          <w:rFonts w:hint="eastAsia" w:hAnsi="宋体"/>
        </w:rPr>
        <w:t>，</w:t>
      </w:r>
      <w:r>
        <w:rPr>
          <w:rFonts w:hAnsi="宋体"/>
        </w:rPr>
        <w:t>这种偶然性常会给人身健康和周围环境带来严重的影响。环境风险评价对于有效防范风险事故的发生</w:t>
      </w:r>
      <w:r>
        <w:rPr>
          <w:rFonts w:hint="eastAsia" w:hAnsi="宋体"/>
        </w:rPr>
        <w:t>，</w:t>
      </w:r>
      <w:r>
        <w:rPr>
          <w:rFonts w:hAnsi="宋体"/>
        </w:rPr>
        <w:t>采取安全的应急措施都起到非常重要的作用。</w:t>
      </w:r>
    </w:p>
    <w:p>
      <w:pPr>
        <w:pStyle w:val="4"/>
      </w:pPr>
      <w:r>
        <w:rPr>
          <w:rFonts w:hint="eastAsia"/>
        </w:rPr>
        <w:t>风险调查</w:t>
      </w:r>
    </w:p>
    <w:p>
      <w:pPr>
        <w:spacing w:line="360" w:lineRule="auto"/>
        <w:rPr>
          <w:rFonts w:cs="Times New Roman"/>
        </w:rPr>
      </w:pPr>
      <w:r>
        <w:rPr>
          <w:rFonts w:hint="eastAsia" w:cs="Times New Roman"/>
        </w:rPr>
        <w:t>（1）建设项目风险调查</w:t>
      </w:r>
    </w:p>
    <w:p>
      <w:pPr>
        <w:adjustRightInd w:val="0"/>
        <w:snapToGrid w:val="0"/>
        <w:spacing w:line="360" w:lineRule="auto"/>
        <w:ind w:firstLine="480" w:firstLineChars="200"/>
        <w:rPr>
          <w:rFonts w:hAnsi="宋体"/>
        </w:rPr>
      </w:pPr>
      <w:r>
        <w:rPr>
          <w:rFonts w:hint="eastAsia" w:hAnsi="宋体"/>
        </w:rPr>
        <w:t>医院所使用的危险物质及存储情况详见</w:t>
      </w:r>
      <w:r>
        <w:rPr>
          <w:rFonts w:hAnsi="宋体"/>
        </w:rPr>
        <w:fldChar w:fldCharType="begin"/>
      </w:r>
      <w:r>
        <w:rPr>
          <w:rFonts w:hint="eastAsia" w:hAnsi="宋体"/>
        </w:rPr>
        <w:instrText xml:space="preserve">REF _Ref27580806 \h</w:instrText>
      </w:r>
      <w:r>
        <w:rPr>
          <w:rFonts w:hAnsi="宋体"/>
        </w:rPr>
        <w:fldChar w:fldCharType="separate"/>
      </w:r>
      <w:r>
        <w:rPr>
          <w:rFonts w:hint="eastAsia" w:hAnsi="宋体"/>
        </w:rPr>
        <w:t>表</w:t>
      </w:r>
      <w:r>
        <w:rPr>
          <w:rFonts w:hAnsi="宋体"/>
        </w:rPr>
        <w:t>7.1</w:t>
      </w:r>
      <w:r>
        <w:rPr>
          <w:rFonts w:hAnsi="宋体"/>
        </w:rPr>
        <w:noBreakHyphen/>
      </w:r>
      <w:r>
        <w:rPr>
          <w:rFonts w:hAnsi="宋体"/>
        </w:rPr>
        <w:t>1</w:t>
      </w:r>
      <w:r>
        <w:rPr>
          <w:rFonts w:hAnsi="宋体"/>
        </w:rPr>
        <w:fldChar w:fldCharType="end"/>
      </w:r>
      <w:r>
        <w:rPr>
          <w:rFonts w:hint="eastAsia" w:hAnsi="宋体"/>
        </w:rPr>
        <w:t>。</w:t>
      </w:r>
    </w:p>
    <w:p>
      <w:pPr>
        <w:pStyle w:val="14"/>
        <w:spacing w:line="240" w:lineRule="auto"/>
        <w:rPr>
          <w:rFonts w:hAnsi="宋体"/>
        </w:rPr>
      </w:pPr>
      <w:bookmarkStart w:id="197" w:name="_Ref27580806"/>
      <w:r>
        <w:rPr>
          <w:rFonts w:hint="eastAsia" w:hAnsi="宋体"/>
        </w:rPr>
        <w:t>表</w:t>
      </w:r>
      <w:r>
        <w:rPr>
          <w:rFonts w:hAnsi="宋体"/>
        </w:rPr>
        <w:fldChar w:fldCharType="begin"/>
      </w:r>
      <w:r>
        <w:rPr>
          <w:rFonts w:hAnsi="宋体"/>
        </w:rPr>
        <w:instrText xml:space="preserve"> </w:instrText>
      </w:r>
      <w:r>
        <w:rPr>
          <w:rFonts w:hint="eastAsia" w:hAnsi="宋体"/>
        </w:rPr>
        <w:instrText xml:space="preserve">STYLEREF 2 \s</w:instrText>
      </w:r>
      <w:r>
        <w:rPr>
          <w:rFonts w:hAnsi="宋体"/>
        </w:rPr>
        <w:instrText xml:space="preserve"> </w:instrText>
      </w:r>
      <w:r>
        <w:rPr>
          <w:rFonts w:hAnsi="宋体"/>
        </w:rPr>
        <w:fldChar w:fldCharType="separate"/>
      </w:r>
      <w:r>
        <w:rPr>
          <w:rFonts w:hAnsi="宋体"/>
        </w:rPr>
        <w:t>7.1</w:t>
      </w:r>
      <w:r>
        <w:rPr>
          <w:rFonts w:hAnsi="宋体"/>
        </w:rPr>
        <w:fldChar w:fldCharType="end"/>
      </w:r>
      <w:r>
        <w:rPr>
          <w:rFonts w:hAnsi="宋体"/>
        </w:rPr>
        <w:noBreakHyphen/>
      </w:r>
      <w:r>
        <w:rPr>
          <w:rFonts w:hAnsi="宋体"/>
        </w:rPr>
        <w:fldChar w:fldCharType="begin"/>
      </w:r>
      <w:r>
        <w:rPr>
          <w:rFonts w:hAnsi="宋体"/>
        </w:rPr>
        <w:instrText xml:space="preserve"> </w:instrText>
      </w:r>
      <w:r>
        <w:rPr>
          <w:rFonts w:hint="eastAsia" w:hAnsi="宋体"/>
        </w:rPr>
        <w:instrText xml:space="preserve">SEQ 表 \* ARABIC \s 2</w:instrText>
      </w:r>
      <w:r>
        <w:rPr>
          <w:rFonts w:hAnsi="宋体"/>
        </w:rPr>
        <w:instrText xml:space="preserve"> </w:instrText>
      </w:r>
      <w:r>
        <w:rPr>
          <w:rFonts w:hAnsi="宋体"/>
        </w:rPr>
        <w:fldChar w:fldCharType="separate"/>
      </w:r>
      <w:r>
        <w:rPr>
          <w:rFonts w:hAnsi="宋体"/>
        </w:rPr>
        <w:t>1</w:t>
      </w:r>
      <w:r>
        <w:rPr>
          <w:rFonts w:hAnsi="宋体"/>
        </w:rPr>
        <w:fldChar w:fldCharType="end"/>
      </w:r>
      <w:bookmarkEnd w:id="197"/>
      <w:r>
        <w:rPr>
          <w:rFonts w:hint="eastAsia" w:hAnsi="宋体"/>
        </w:rPr>
        <w:t xml:space="preserve">  危险物质及存储情况一览表</w:t>
      </w:r>
    </w:p>
    <w:tbl>
      <w:tblPr>
        <w:tblStyle w:val="3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4"/>
        <w:gridCol w:w="3727"/>
        <w:gridCol w:w="2238"/>
        <w:gridCol w:w="2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pct"/>
          </w:tcPr>
          <w:p>
            <w:pPr>
              <w:autoSpaceDE w:val="0"/>
              <w:autoSpaceDN w:val="0"/>
              <w:jc w:val="center"/>
              <w:rPr>
                <w:rFonts w:eastAsia="宋体"/>
                <w:b/>
                <w:bCs/>
                <w:kern w:val="0"/>
                <w:sz w:val="21"/>
              </w:rPr>
            </w:pPr>
            <w:r>
              <w:rPr>
                <w:rFonts w:eastAsia="宋体"/>
                <w:kern w:val="0"/>
                <w:sz w:val="21"/>
              </w:rPr>
              <w:t>序号</w:t>
            </w:r>
          </w:p>
        </w:tc>
        <w:tc>
          <w:tcPr>
            <w:tcW w:w="1932" w:type="pct"/>
          </w:tcPr>
          <w:p>
            <w:pPr>
              <w:autoSpaceDE w:val="0"/>
              <w:autoSpaceDN w:val="0"/>
              <w:jc w:val="center"/>
              <w:rPr>
                <w:rFonts w:eastAsia="宋体"/>
                <w:b/>
                <w:bCs/>
                <w:kern w:val="0"/>
                <w:sz w:val="21"/>
              </w:rPr>
            </w:pPr>
            <w:r>
              <w:rPr>
                <w:rFonts w:eastAsia="宋体"/>
                <w:kern w:val="0"/>
                <w:sz w:val="21"/>
              </w:rPr>
              <w:t>名称</w:t>
            </w:r>
          </w:p>
        </w:tc>
        <w:tc>
          <w:tcPr>
            <w:tcW w:w="1160" w:type="pct"/>
          </w:tcPr>
          <w:p>
            <w:pPr>
              <w:autoSpaceDE w:val="0"/>
              <w:autoSpaceDN w:val="0"/>
              <w:jc w:val="center"/>
              <w:rPr>
                <w:rFonts w:eastAsia="宋体"/>
                <w:b/>
                <w:bCs/>
                <w:kern w:val="0"/>
                <w:sz w:val="21"/>
              </w:rPr>
            </w:pPr>
            <w:r>
              <w:rPr>
                <w:rFonts w:eastAsia="宋体"/>
                <w:kern w:val="0"/>
                <w:sz w:val="21"/>
              </w:rPr>
              <w:t>最大储存量</w:t>
            </w:r>
          </w:p>
        </w:tc>
        <w:tc>
          <w:tcPr>
            <w:tcW w:w="1423" w:type="pct"/>
          </w:tcPr>
          <w:p>
            <w:pPr>
              <w:autoSpaceDE w:val="0"/>
              <w:autoSpaceDN w:val="0"/>
              <w:jc w:val="center"/>
              <w:rPr>
                <w:rFonts w:eastAsia="宋体"/>
                <w:b/>
                <w:bCs/>
                <w:kern w:val="0"/>
                <w:sz w:val="21"/>
              </w:rPr>
            </w:pPr>
            <w:r>
              <w:rPr>
                <w:rFonts w:eastAsia="宋体"/>
                <w:kern w:val="0"/>
                <w:sz w:val="21"/>
              </w:rPr>
              <w:t>储存位置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pct"/>
          </w:tcPr>
          <w:p>
            <w:pPr>
              <w:autoSpaceDE w:val="0"/>
              <w:autoSpaceDN w:val="0"/>
              <w:jc w:val="center"/>
              <w:rPr>
                <w:rFonts w:eastAsia="宋体"/>
                <w:bCs/>
                <w:color w:val="000000" w:themeColor="text1"/>
                <w:kern w:val="0"/>
                <w:sz w:val="21"/>
              </w:rPr>
            </w:pPr>
            <w:r>
              <w:rPr>
                <w:rFonts w:eastAsia="宋体"/>
                <w:bCs/>
                <w:color w:val="000000" w:themeColor="text1"/>
                <w:kern w:val="0"/>
                <w:sz w:val="21"/>
              </w:rPr>
              <w:t>1</w:t>
            </w:r>
          </w:p>
        </w:tc>
        <w:tc>
          <w:tcPr>
            <w:tcW w:w="1932" w:type="pct"/>
          </w:tcPr>
          <w:p>
            <w:pPr>
              <w:pStyle w:val="140"/>
              <w:spacing w:before="22"/>
              <w:ind w:left="686" w:right="673"/>
              <w:rPr>
                <w:bCs/>
                <w:color w:val="000000" w:themeColor="text1"/>
                <w:sz w:val="21"/>
              </w:rPr>
            </w:pPr>
            <w:r>
              <w:rPr>
                <w:rFonts w:hint="eastAsia" w:cs="Times New Roman"/>
                <w:color w:val="000000" w:themeColor="text1"/>
                <w:sz w:val="21"/>
                <w:szCs w:val="21"/>
              </w:rPr>
              <w:t>乙醇</w:t>
            </w:r>
          </w:p>
        </w:tc>
        <w:tc>
          <w:tcPr>
            <w:tcW w:w="1160" w:type="pct"/>
          </w:tcPr>
          <w:p>
            <w:pPr>
              <w:pStyle w:val="140"/>
              <w:spacing w:before="36"/>
              <w:ind w:left="576" w:right="563"/>
              <w:rPr>
                <w:bCs/>
                <w:color w:val="000000" w:themeColor="text1"/>
                <w:sz w:val="21"/>
              </w:rPr>
            </w:pPr>
            <w:r>
              <w:rPr>
                <w:rFonts w:hint="eastAsia" w:ascii="Times New Roman"/>
                <w:color w:val="000000" w:themeColor="text1"/>
                <w:sz w:val="21"/>
                <w:szCs w:val="21"/>
              </w:rPr>
              <w:t>0.1</w:t>
            </w:r>
          </w:p>
        </w:tc>
        <w:tc>
          <w:tcPr>
            <w:tcW w:w="1423" w:type="pct"/>
          </w:tcPr>
          <w:p>
            <w:pPr>
              <w:autoSpaceDE w:val="0"/>
              <w:autoSpaceDN w:val="0"/>
              <w:jc w:val="center"/>
              <w:rPr>
                <w:rFonts w:eastAsia="宋体"/>
                <w:bCs/>
                <w:color w:val="000000" w:themeColor="text1"/>
                <w:kern w:val="0"/>
                <w:sz w:val="21"/>
              </w:rPr>
            </w:pPr>
            <w:r>
              <w:rPr>
                <w:rFonts w:hint="eastAsia" w:eastAsia="宋体"/>
                <w:bCs/>
                <w:color w:val="000000" w:themeColor="text1"/>
                <w:kern w:val="0"/>
                <w:sz w:val="21"/>
              </w:rPr>
              <w:t>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484" w:type="pct"/>
          </w:tcPr>
          <w:p>
            <w:pPr>
              <w:autoSpaceDE w:val="0"/>
              <w:autoSpaceDN w:val="0"/>
              <w:jc w:val="center"/>
              <w:rPr>
                <w:rFonts w:eastAsia="宋体"/>
                <w:bCs/>
                <w:kern w:val="0"/>
                <w:sz w:val="21"/>
              </w:rPr>
            </w:pPr>
            <w:r>
              <w:rPr>
                <w:rFonts w:eastAsia="宋体"/>
                <w:bCs/>
                <w:kern w:val="0"/>
                <w:sz w:val="21"/>
              </w:rPr>
              <w:t>2</w:t>
            </w:r>
          </w:p>
        </w:tc>
        <w:tc>
          <w:tcPr>
            <w:tcW w:w="1932" w:type="pct"/>
          </w:tcPr>
          <w:p>
            <w:pPr>
              <w:pStyle w:val="140"/>
              <w:spacing w:before="22"/>
              <w:ind w:left="686" w:right="673"/>
              <w:rPr>
                <w:bCs/>
                <w:sz w:val="21"/>
              </w:rPr>
            </w:pPr>
            <w:r>
              <w:rPr>
                <w:rFonts w:hint="eastAsia" w:cs="Times New Roman"/>
                <w:color w:val="000000" w:themeColor="text1"/>
                <w:sz w:val="21"/>
                <w:szCs w:val="21"/>
              </w:rPr>
              <w:t>盐酸</w:t>
            </w:r>
          </w:p>
        </w:tc>
        <w:tc>
          <w:tcPr>
            <w:tcW w:w="1160" w:type="pct"/>
          </w:tcPr>
          <w:p>
            <w:pPr>
              <w:pStyle w:val="140"/>
              <w:spacing w:before="36"/>
              <w:ind w:left="576" w:right="563"/>
              <w:rPr>
                <w:bCs/>
                <w:sz w:val="21"/>
              </w:rPr>
            </w:pPr>
            <w:r>
              <w:rPr>
                <w:rFonts w:ascii="Times New Roman"/>
                <w:color w:val="000000" w:themeColor="text1"/>
                <w:sz w:val="21"/>
                <w:szCs w:val="21"/>
              </w:rPr>
              <w:t>1.5</w:t>
            </w:r>
          </w:p>
        </w:tc>
        <w:tc>
          <w:tcPr>
            <w:tcW w:w="1423" w:type="pct"/>
          </w:tcPr>
          <w:p>
            <w:pPr>
              <w:autoSpaceDE w:val="0"/>
              <w:autoSpaceDN w:val="0"/>
              <w:jc w:val="center"/>
              <w:rPr>
                <w:rFonts w:eastAsia="宋体"/>
                <w:bCs/>
                <w:kern w:val="0"/>
                <w:sz w:val="21"/>
              </w:rPr>
            </w:pPr>
            <w:r>
              <w:rPr>
                <w:rFonts w:hint="eastAsia" w:eastAsia="宋体"/>
                <w:bCs/>
                <w:kern w:val="0"/>
                <w:sz w:val="21"/>
              </w:rPr>
              <w:t>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84" w:type="pct"/>
          </w:tcPr>
          <w:p>
            <w:pPr>
              <w:autoSpaceDE w:val="0"/>
              <w:autoSpaceDN w:val="0"/>
              <w:jc w:val="center"/>
              <w:rPr>
                <w:rFonts w:eastAsia="宋体"/>
                <w:bCs/>
                <w:kern w:val="0"/>
                <w:sz w:val="21"/>
              </w:rPr>
            </w:pPr>
            <w:r>
              <w:rPr>
                <w:rFonts w:hint="eastAsia" w:eastAsia="宋体"/>
                <w:bCs/>
                <w:kern w:val="0"/>
                <w:sz w:val="21"/>
              </w:rPr>
              <w:t>3</w:t>
            </w:r>
          </w:p>
        </w:tc>
        <w:tc>
          <w:tcPr>
            <w:tcW w:w="1932" w:type="pct"/>
          </w:tcPr>
          <w:p>
            <w:pPr>
              <w:pStyle w:val="140"/>
              <w:spacing w:before="61"/>
              <w:ind w:left="686" w:right="673"/>
              <w:rPr>
                <w:bCs/>
                <w:sz w:val="21"/>
              </w:rPr>
            </w:pPr>
            <w:r>
              <w:rPr>
                <w:rFonts w:hint="eastAsia" w:cs="Times New Roman"/>
                <w:color w:val="000000" w:themeColor="text1"/>
                <w:sz w:val="21"/>
                <w:szCs w:val="21"/>
              </w:rPr>
              <w:t>氯酸钠</w:t>
            </w:r>
          </w:p>
        </w:tc>
        <w:tc>
          <w:tcPr>
            <w:tcW w:w="1160" w:type="pct"/>
          </w:tcPr>
          <w:p>
            <w:pPr>
              <w:pStyle w:val="140"/>
              <w:spacing w:before="75"/>
              <w:ind w:left="8"/>
              <w:rPr>
                <w:bCs/>
                <w:sz w:val="21"/>
              </w:rPr>
            </w:pPr>
            <w:r>
              <w:rPr>
                <w:rFonts w:ascii="Times New Roman"/>
                <w:color w:val="000000" w:themeColor="text1"/>
                <w:sz w:val="21"/>
                <w:szCs w:val="21"/>
              </w:rPr>
              <w:t>3</w:t>
            </w:r>
          </w:p>
        </w:tc>
        <w:tc>
          <w:tcPr>
            <w:tcW w:w="1423" w:type="pct"/>
          </w:tcPr>
          <w:p>
            <w:pPr>
              <w:autoSpaceDE w:val="0"/>
              <w:autoSpaceDN w:val="0"/>
              <w:jc w:val="center"/>
              <w:rPr>
                <w:rFonts w:eastAsia="宋体"/>
                <w:bCs/>
                <w:kern w:val="0"/>
                <w:sz w:val="21"/>
              </w:rPr>
            </w:pPr>
            <w:r>
              <w:rPr>
                <w:rFonts w:hint="eastAsia" w:eastAsia="宋体"/>
                <w:bCs/>
                <w:kern w:val="0"/>
                <w:sz w:val="21"/>
              </w:rPr>
              <w:t>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84" w:type="pct"/>
          </w:tcPr>
          <w:p>
            <w:pPr>
              <w:autoSpaceDE w:val="0"/>
              <w:autoSpaceDN w:val="0"/>
              <w:jc w:val="center"/>
              <w:rPr>
                <w:rFonts w:eastAsia="宋体"/>
                <w:bCs/>
                <w:kern w:val="0"/>
                <w:sz w:val="21"/>
              </w:rPr>
            </w:pPr>
            <w:r>
              <w:rPr>
                <w:rFonts w:hint="eastAsia" w:eastAsia="宋体"/>
                <w:bCs/>
                <w:kern w:val="0"/>
                <w:sz w:val="21"/>
              </w:rPr>
              <w:t>4</w:t>
            </w:r>
          </w:p>
        </w:tc>
        <w:tc>
          <w:tcPr>
            <w:tcW w:w="1932" w:type="pct"/>
          </w:tcPr>
          <w:p>
            <w:pPr>
              <w:pStyle w:val="140"/>
              <w:spacing w:before="61"/>
              <w:ind w:left="686" w:right="673"/>
              <w:rPr>
                <w:bCs/>
                <w:sz w:val="21"/>
              </w:rPr>
            </w:pPr>
            <w:r>
              <w:rPr>
                <w:rFonts w:hint="eastAsia" w:cs="Times New Roman"/>
                <w:color w:val="000000" w:themeColor="text1"/>
                <w:sz w:val="21"/>
                <w:szCs w:val="21"/>
              </w:rPr>
              <w:t>氧气</w:t>
            </w:r>
          </w:p>
        </w:tc>
        <w:tc>
          <w:tcPr>
            <w:tcW w:w="1160" w:type="pct"/>
          </w:tcPr>
          <w:p>
            <w:pPr>
              <w:pStyle w:val="140"/>
              <w:spacing w:before="75"/>
              <w:ind w:left="9"/>
              <w:rPr>
                <w:bCs/>
                <w:sz w:val="21"/>
              </w:rPr>
            </w:pPr>
            <w:r>
              <w:rPr>
                <w:rFonts w:hint="eastAsia" w:ascii="Times New Roman"/>
                <w:color w:val="000000" w:themeColor="text1"/>
                <w:sz w:val="21"/>
                <w:szCs w:val="21"/>
              </w:rPr>
              <w:t>0.2</w:t>
            </w:r>
          </w:p>
        </w:tc>
        <w:tc>
          <w:tcPr>
            <w:tcW w:w="1423" w:type="pct"/>
          </w:tcPr>
          <w:p>
            <w:pPr>
              <w:autoSpaceDE w:val="0"/>
              <w:autoSpaceDN w:val="0"/>
              <w:jc w:val="center"/>
              <w:rPr>
                <w:rFonts w:eastAsia="宋体"/>
                <w:bCs/>
                <w:kern w:val="0"/>
                <w:sz w:val="21"/>
              </w:rPr>
            </w:pPr>
            <w:r>
              <w:rPr>
                <w:rFonts w:hint="eastAsia" w:eastAsia="宋体"/>
                <w:bCs/>
                <w:kern w:val="0"/>
                <w:sz w:val="21"/>
              </w:rPr>
              <w:t>老年呵护大楼氧气瓶储存间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84" w:type="pct"/>
          </w:tcPr>
          <w:p>
            <w:pPr>
              <w:autoSpaceDE w:val="0"/>
              <w:autoSpaceDN w:val="0"/>
              <w:jc w:val="center"/>
              <w:rPr>
                <w:rFonts w:eastAsia="宋体"/>
                <w:bCs/>
                <w:kern w:val="0"/>
                <w:sz w:val="21"/>
              </w:rPr>
            </w:pPr>
            <w:r>
              <w:rPr>
                <w:rFonts w:hint="eastAsia" w:eastAsia="宋体"/>
                <w:bCs/>
                <w:kern w:val="0"/>
                <w:sz w:val="21"/>
              </w:rPr>
              <w:t>5</w:t>
            </w:r>
          </w:p>
        </w:tc>
        <w:tc>
          <w:tcPr>
            <w:tcW w:w="1932" w:type="pct"/>
          </w:tcPr>
          <w:p>
            <w:pPr>
              <w:pStyle w:val="140"/>
              <w:spacing w:before="61"/>
              <w:ind w:left="686" w:right="673"/>
              <w:rPr>
                <w:bCs/>
                <w:sz w:val="21"/>
              </w:rPr>
            </w:pPr>
            <w:r>
              <w:rPr>
                <w:rFonts w:hint="eastAsia" w:cs="Times New Roman"/>
                <w:color w:val="000000" w:themeColor="text1"/>
                <w:sz w:val="21"/>
                <w:szCs w:val="21"/>
              </w:rPr>
              <w:t>天然气</w:t>
            </w:r>
          </w:p>
        </w:tc>
        <w:tc>
          <w:tcPr>
            <w:tcW w:w="1160" w:type="pct"/>
          </w:tcPr>
          <w:p>
            <w:pPr>
              <w:pStyle w:val="140"/>
              <w:spacing w:before="75"/>
              <w:ind w:left="9"/>
              <w:rPr>
                <w:bCs/>
                <w:sz w:val="21"/>
              </w:rPr>
            </w:pPr>
            <w:r>
              <w:rPr>
                <w:rFonts w:ascii="Times New Roman"/>
                <w:color w:val="000000" w:themeColor="text1"/>
                <w:sz w:val="21"/>
                <w:szCs w:val="21"/>
              </w:rPr>
              <w:t>/</w:t>
            </w:r>
          </w:p>
        </w:tc>
        <w:tc>
          <w:tcPr>
            <w:tcW w:w="1423" w:type="pct"/>
          </w:tcPr>
          <w:p>
            <w:pPr>
              <w:autoSpaceDE w:val="0"/>
              <w:autoSpaceDN w:val="0"/>
              <w:jc w:val="center"/>
              <w:rPr>
                <w:rFonts w:eastAsia="宋体"/>
                <w:bCs/>
                <w:kern w:val="0"/>
                <w:sz w:val="21"/>
              </w:rPr>
            </w:pPr>
            <w:r>
              <w:rPr>
                <w:rFonts w:hint="eastAsia" w:eastAsia="宋体"/>
                <w:bCs/>
                <w:kern w:val="0"/>
                <w:sz w:val="21"/>
              </w:rPr>
              <w:t>天然气管道</w:t>
            </w:r>
          </w:p>
        </w:tc>
      </w:tr>
    </w:tbl>
    <w:p>
      <w:pPr>
        <w:spacing w:line="360" w:lineRule="auto"/>
        <w:rPr>
          <w:rFonts w:cs="Times New Roman"/>
        </w:rPr>
      </w:pPr>
      <w:r>
        <w:rPr>
          <w:rFonts w:cs="Times New Roman"/>
        </w:rPr>
        <w:t>（2）环境敏感目标调查</w:t>
      </w:r>
    </w:p>
    <w:p>
      <w:pPr>
        <w:spacing w:line="360" w:lineRule="auto"/>
        <w:ind w:firstLine="480" w:firstLineChars="200"/>
        <w:rPr>
          <w:rFonts w:cs="Times New Roman"/>
        </w:rPr>
      </w:pPr>
      <w:r>
        <w:rPr>
          <w:rFonts w:cs="Times New Roman"/>
        </w:rPr>
        <w:t>本项目环境敏感目标详见下表所示</w:t>
      </w:r>
      <w:r>
        <w:rPr>
          <w:rFonts w:hint="eastAsia" w:cs="Times New Roman"/>
        </w:rPr>
        <w:t>。</w:t>
      </w:r>
    </w:p>
    <w:p>
      <w:pPr>
        <w:pStyle w:val="14"/>
        <w:spacing w:line="240" w:lineRule="auto"/>
      </w:pPr>
      <w:r>
        <w:rPr>
          <w:rFonts w:hint="eastAsia"/>
        </w:rPr>
        <w:t>表</w:t>
      </w:r>
      <w:r>
        <w:fldChar w:fldCharType="begin"/>
      </w:r>
      <w:r>
        <w:instrText xml:space="preserve"> STYLEREF 2 \s </w:instrText>
      </w:r>
      <w:r>
        <w:fldChar w:fldCharType="separate"/>
      </w:r>
      <w:r>
        <w:t>7.1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w:t>
      </w:r>
      <w:r>
        <w:fldChar w:fldCharType="end"/>
      </w:r>
      <w:r>
        <w:rPr>
          <w:rFonts w:hint="eastAsia"/>
        </w:rPr>
        <w:t xml:space="preserve">  本项目环境敏感目标一览表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13"/>
        <w:gridCol w:w="1949"/>
        <w:gridCol w:w="1145"/>
        <w:gridCol w:w="1050"/>
        <w:gridCol w:w="1949"/>
        <w:gridCol w:w="1192"/>
        <w:gridCol w:w="1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3" w:type="pct"/>
            <w:vMerge w:val="restart"/>
            <w:noWrap/>
            <w:vAlign w:val="center"/>
          </w:tcPr>
          <w:p>
            <w:pPr>
              <w:pStyle w:val="22"/>
              <w:jc w:val="center"/>
              <w:rPr>
                <w:rFonts w:ascii="Times New Roman" w:hAnsi="Times New Roman"/>
                <w:color w:val="000000"/>
              </w:rPr>
            </w:pPr>
            <w:r>
              <w:rPr>
                <w:rFonts w:ascii="Times New Roman" w:hAnsi="Times New Roman"/>
                <w:color w:val="000000"/>
              </w:rPr>
              <w:t>环境要素</w:t>
            </w:r>
          </w:p>
        </w:tc>
        <w:tc>
          <w:tcPr>
            <w:tcW w:w="614" w:type="pct"/>
            <w:vMerge w:val="restart"/>
            <w:noWrap/>
            <w:vAlign w:val="center"/>
          </w:tcPr>
          <w:p>
            <w:pPr>
              <w:pStyle w:val="22"/>
              <w:jc w:val="center"/>
              <w:rPr>
                <w:rFonts w:ascii="Times New Roman" w:hAnsi="Times New Roman"/>
                <w:color w:val="000000"/>
              </w:rPr>
            </w:pPr>
            <w:r>
              <w:rPr>
                <w:rFonts w:ascii="Times New Roman" w:hAnsi="Times New Roman"/>
                <w:color w:val="000000"/>
              </w:rPr>
              <w:t>名称</w:t>
            </w:r>
          </w:p>
        </w:tc>
        <w:tc>
          <w:tcPr>
            <w:tcW w:w="1670" w:type="pct"/>
            <w:gridSpan w:val="2"/>
            <w:noWrap/>
            <w:vAlign w:val="center"/>
          </w:tcPr>
          <w:p>
            <w:pPr>
              <w:pStyle w:val="22"/>
              <w:jc w:val="center"/>
              <w:rPr>
                <w:rFonts w:ascii="Times New Roman" w:hAnsi="Times New Roman"/>
                <w:color w:val="000000"/>
              </w:rPr>
            </w:pPr>
            <w:r>
              <w:rPr>
                <w:rFonts w:ascii="Times New Roman" w:hAnsi="Times New Roman"/>
                <w:color w:val="000000"/>
              </w:rPr>
              <w:t>坐标/m</w:t>
            </w:r>
          </w:p>
        </w:tc>
        <w:tc>
          <w:tcPr>
            <w:tcW w:w="1144" w:type="pct"/>
            <w:vMerge w:val="restart"/>
            <w:noWrap/>
            <w:vAlign w:val="center"/>
          </w:tcPr>
          <w:p>
            <w:pPr>
              <w:pStyle w:val="22"/>
              <w:jc w:val="center"/>
              <w:rPr>
                <w:rFonts w:ascii="Times New Roman" w:hAnsi="Times New Roman"/>
                <w:color w:val="000000"/>
              </w:rPr>
            </w:pPr>
            <w:r>
              <w:rPr>
                <w:rFonts w:ascii="Times New Roman" w:hAnsi="Times New Roman"/>
                <w:color w:val="000000"/>
              </w:rPr>
              <w:t>保护对象</w:t>
            </w:r>
          </w:p>
        </w:tc>
        <w:tc>
          <w:tcPr>
            <w:tcW w:w="401" w:type="pct"/>
            <w:vMerge w:val="restart"/>
            <w:noWrap/>
            <w:vAlign w:val="center"/>
          </w:tcPr>
          <w:p>
            <w:pPr>
              <w:pStyle w:val="22"/>
              <w:jc w:val="center"/>
              <w:rPr>
                <w:rFonts w:ascii="Times New Roman" w:hAnsi="Times New Roman"/>
                <w:color w:val="000000"/>
              </w:rPr>
            </w:pPr>
            <w:r>
              <w:rPr>
                <w:rFonts w:ascii="Times New Roman" w:hAnsi="Times New Roman"/>
                <w:color w:val="000000"/>
              </w:rPr>
              <w:t>相对厂址方位</w:t>
            </w:r>
          </w:p>
        </w:tc>
        <w:tc>
          <w:tcPr>
            <w:tcW w:w="629" w:type="pct"/>
            <w:vMerge w:val="restart"/>
            <w:noWrap/>
            <w:vAlign w:val="center"/>
          </w:tcPr>
          <w:p>
            <w:pPr>
              <w:pStyle w:val="22"/>
              <w:jc w:val="center"/>
              <w:rPr>
                <w:rFonts w:ascii="Times New Roman" w:hAnsi="Times New Roman"/>
                <w:color w:val="000000"/>
              </w:rPr>
            </w:pPr>
            <w:r>
              <w:rPr>
                <w:rFonts w:ascii="Times New Roman" w:hAnsi="Times New Roman"/>
                <w:color w:val="000000"/>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3" w:type="pct"/>
            <w:vMerge w:val="continue"/>
            <w:vAlign w:val="center"/>
          </w:tcPr>
          <w:p>
            <w:pPr>
              <w:widowControl/>
              <w:jc w:val="center"/>
              <w:rPr>
                <w:rFonts w:eastAsia="宋体" w:cs="Times New Roman"/>
                <w:color w:val="000000"/>
                <w:sz w:val="21"/>
              </w:rPr>
            </w:pPr>
          </w:p>
        </w:tc>
        <w:tc>
          <w:tcPr>
            <w:tcW w:w="614" w:type="pct"/>
            <w:vMerge w:val="continue"/>
            <w:vAlign w:val="center"/>
          </w:tcPr>
          <w:p>
            <w:pPr>
              <w:widowControl/>
              <w:jc w:val="center"/>
              <w:rPr>
                <w:rFonts w:eastAsia="宋体" w:cs="Times New Roman"/>
                <w:color w:val="000000"/>
                <w:sz w:val="21"/>
              </w:rPr>
            </w:pPr>
          </w:p>
        </w:tc>
        <w:tc>
          <w:tcPr>
            <w:tcW w:w="793" w:type="pct"/>
            <w:noWrap/>
            <w:vAlign w:val="center"/>
          </w:tcPr>
          <w:p>
            <w:pPr>
              <w:pStyle w:val="22"/>
              <w:jc w:val="center"/>
              <w:rPr>
                <w:rFonts w:ascii="Times New Roman" w:hAnsi="Times New Roman"/>
                <w:color w:val="000000"/>
              </w:rPr>
            </w:pPr>
            <w:r>
              <w:rPr>
                <w:rFonts w:ascii="Times New Roman" w:hAnsi="Times New Roman"/>
                <w:color w:val="000000"/>
              </w:rPr>
              <w:t>X</w:t>
            </w:r>
          </w:p>
        </w:tc>
        <w:tc>
          <w:tcPr>
            <w:tcW w:w="877" w:type="pct"/>
            <w:noWrap/>
            <w:vAlign w:val="center"/>
          </w:tcPr>
          <w:p>
            <w:pPr>
              <w:pStyle w:val="22"/>
              <w:jc w:val="center"/>
              <w:rPr>
                <w:rFonts w:ascii="Times New Roman" w:hAnsi="Times New Roman"/>
                <w:color w:val="000000"/>
              </w:rPr>
            </w:pPr>
            <w:r>
              <w:rPr>
                <w:rFonts w:ascii="Times New Roman" w:hAnsi="Times New Roman"/>
                <w:color w:val="000000"/>
              </w:rPr>
              <w:t>Y</w:t>
            </w:r>
          </w:p>
        </w:tc>
        <w:tc>
          <w:tcPr>
            <w:tcW w:w="1144" w:type="pct"/>
            <w:vMerge w:val="continue"/>
            <w:vAlign w:val="center"/>
          </w:tcPr>
          <w:p>
            <w:pPr>
              <w:widowControl/>
              <w:jc w:val="center"/>
              <w:rPr>
                <w:rFonts w:eastAsia="宋体" w:cs="Times New Roman"/>
                <w:color w:val="000000"/>
                <w:sz w:val="21"/>
              </w:rPr>
            </w:pPr>
          </w:p>
        </w:tc>
        <w:tc>
          <w:tcPr>
            <w:tcW w:w="401" w:type="pct"/>
            <w:vMerge w:val="continue"/>
            <w:vAlign w:val="center"/>
          </w:tcPr>
          <w:p>
            <w:pPr>
              <w:widowControl/>
              <w:jc w:val="center"/>
              <w:rPr>
                <w:rFonts w:eastAsia="宋体" w:cs="Times New Roman"/>
                <w:color w:val="000000"/>
                <w:sz w:val="21"/>
              </w:rPr>
            </w:pPr>
          </w:p>
        </w:tc>
        <w:tc>
          <w:tcPr>
            <w:tcW w:w="629" w:type="pct"/>
            <w:vMerge w:val="continue"/>
            <w:vAlign w:val="center"/>
          </w:tcPr>
          <w:p>
            <w:pPr>
              <w:widowControl/>
              <w:jc w:val="center"/>
              <w:rPr>
                <w:rFonts w:eastAsia="宋体" w:cs="Times New Roman"/>
                <w:color w:val="00000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3" w:type="pct"/>
            <w:vMerge w:val="restart"/>
            <w:noWrap/>
            <w:vAlign w:val="center"/>
          </w:tcPr>
          <w:p>
            <w:pPr>
              <w:wordWrap w:val="0"/>
              <w:jc w:val="center"/>
              <w:rPr>
                <w:rFonts w:eastAsia="宋体" w:cs="Times New Roman"/>
                <w:color w:val="000000"/>
                <w:sz w:val="21"/>
              </w:rPr>
            </w:pPr>
            <w:r>
              <w:rPr>
                <w:rFonts w:eastAsia="宋体" w:cs="Times New Roman"/>
                <w:color w:val="000000"/>
                <w:sz w:val="21"/>
              </w:rPr>
              <w:t>大气环境</w:t>
            </w:r>
          </w:p>
        </w:tc>
        <w:tc>
          <w:tcPr>
            <w:tcW w:w="614" w:type="pct"/>
            <w:noWrap/>
            <w:vAlign w:val="center"/>
          </w:tcPr>
          <w:p>
            <w:pPr>
              <w:wordWrap w:val="0"/>
              <w:jc w:val="center"/>
              <w:rPr>
                <w:rFonts w:eastAsia="宋体" w:cs="Times New Roman"/>
                <w:color w:val="000000"/>
                <w:sz w:val="21"/>
              </w:rPr>
            </w:pPr>
            <w:r>
              <w:rPr>
                <w:rFonts w:eastAsia="宋体" w:cs="Times New Roman"/>
                <w:color w:val="000000"/>
                <w:sz w:val="21"/>
              </w:rPr>
              <w:t>金洛小区</w:t>
            </w:r>
          </w:p>
        </w:tc>
        <w:tc>
          <w:tcPr>
            <w:tcW w:w="793" w:type="pct"/>
            <w:noWrap/>
            <w:vAlign w:val="center"/>
          </w:tcPr>
          <w:p>
            <w:pPr>
              <w:pStyle w:val="22"/>
              <w:jc w:val="center"/>
              <w:rPr>
                <w:rFonts w:ascii="Times New Roman" w:hAnsi="Times New Roman"/>
                <w:color w:val="000000"/>
              </w:rPr>
            </w:pPr>
            <w:r>
              <w:rPr>
                <w:rFonts w:ascii="Times New Roman" w:hAnsi="Times New Roman"/>
                <w:color w:val="000000"/>
              </w:rPr>
              <w:t>1294369.459</w:t>
            </w:r>
          </w:p>
        </w:tc>
        <w:tc>
          <w:tcPr>
            <w:tcW w:w="877" w:type="pct"/>
            <w:noWrap/>
            <w:vAlign w:val="center"/>
          </w:tcPr>
          <w:p>
            <w:pPr>
              <w:pStyle w:val="22"/>
              <w:jc w:val="center"/>
              <w:rPr>
                <w:rFonts w:ascii="Times New Roman" w:hAnsi="Times New Roman"/>
                <w:color w:val="000000"/>
              </w:rPr>
            </w:pPr>
            <w:r>
              <w:rPr>
                <w:rFonts w:ascii="Times New Roman" w:hAnsi="Times New Roman"/>
                <w:color w:val="000000"/>
              </w:rPr>
              <w:t>3424609.718</w:t>
            </w:r>
          </w:p>
        </w:tc>
        <w:tc>
          <w:tcPr>
            <w:tcW w:w="1144" w:type="pct"/>
            <w:noWrap/>
            <w:vAlign w:val="center"/>
          </w:tcPr>
          <w:p>
            <w:pPr>
              <w:pStyle w:val="22"/>
              <w:jc w:val="center"/>
              <w:rPr>
                <w:rFonts w:ascii="Times New Roman" w:hAnsi="Times New Roman"/>
                <w:color w:val="000000"/>
              </w:rPr>
            </w:pPr>
            <w:r>
              <w:rPr>
                <w:rFonts w:ascii="Times New Roman" w:hAnsi="Times New Roman"/>
                <w:color w:val="000000"/>
              </w:rPr>
              <w:t>金洛小区居民</w:t>
            </w:r>
          </w:p>
        </w:tc>
        <w:tc>
          <w:tcPr>
            <w:tcW w:w="401" w:type="pct"/>
            <w:noWrap/>
            <w:vAlign w:val="center"/>
          </w:tcPr>
          <w:p>
            <w:pPr>
              <w:wordWrap w:val="0"/>
              <w:jc w:val="center"/>
              <w:rPr>
                <w:rFonts w:eastAsia="宋体" w:cs="Times New Roman"/>
                <w:color w:val="000000"/>
                <w:sz w:val="21"/>
              </w:rPr>
            </w:pPr>
            <w:r>
              <w:rPr>
                <w:rFonts w:eastAsia="宋体" w:cs="Times New Roman"/>
                <w:color w:val="000000"/>
                <w:sz w:val="21"/>
              </w:rPr>
              <w:t>东北</w:t>
            </w:r>
          </w:p>
        </w:tc>
        <w:tc>
          <w:tcPr>
            <w:tcW w:w="629" w:type="pct"/>
            <w:noWrap/>
            <w:vAlign w:val="center"/>
          </w:tcPr>
          <w:p>
            <w:pPr>
              <w:pStyle w:val="22"/>
              <w:jc w:val="center"/>
              <w:rPr>
                <w:rFonts w:ascii="Times New Roman" w:hAnsi="Times New Roman"/>
                <w:color w:val="000000"/>
              </w:rPr>
            </w:pPr>
            <w:r>
              <w:rPr>
                <w:rFonts w:ascii="Times New Roman" w:hAnsi="Times New Roman"/>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3" w:type="pct"/>
            <w:vMerge w:val="continue"/>
            <w:vAlign w:val="center"/>
          </w:tcPr>
          <w:p>
            <w:pPr>
              <w:widowControl/>
              <w:jc w:val="center"/>
              <w:rPr>
                <w:rFonts w:eastAsia="宋体" w:cs="Times New Roman"/>
                <w:color w:val="000000"/>
                <w:sz w:val="21"/>
              </w:rPr>
            </w:pPr>
          </w:p>
        </w:tc>
        <w:tc>
          <w:tcPr>
            <w:tcW w:w="614" w:type="pct"/>
            <w:noWrap/>
            <w:vAlign w:val="center"/>
          </w:tcPr>
          <w:p>
            <w:pPr>
              <w:pStyle w:val="38"/>
              <w:ind w:firstLine="0" w:firstLineChars="0"/>
              <w:jc w:val="center"/>
              <w:rPr>
                <w:rFonts w:eastAsia="宋体" w:cs="Times New Roman"/>
                <w:color w:val="000000"/>
                <w:sz w:val="21"/>
              </w:rPr>
            </w:pPr>
            <w:r>
              <w:rPr>
                <w:rFonts w:eastAsia="宋体" w:cs="Times New Roman"/>
                <w:color w:val="000000"/>
                <w:sz w:val="21"/>
              </w:rPr>
              <w:t>金电花园</w:t>
            </w:r>
          </w:p>
        </w:tc>
        <w:tc>
          <w:tcPr>
            <w:tcW w:w="793" w:type="pct"/>
            <w:noWrap/>
            <w:vAlign w:val="center"/>
          </w:tcPr>
          <w:p>
            <w:pPr>
              <w:pStyle w:val="22"/>
              <w:jc w:val="center"/>
              <w:rPr>
                <w:rFonts w:ascii="Times New Roman" w:hAnsi="Times New Roman"/>
                <w:color w:val="000000"/>
              </w:rPr>
            </w:pPr>
            <w:r>
              <w:rPr>
                <w:rFonts w:ascii="Times New Roman" w:hAnsi="Times New Roman"/>
                <w:color w:val="000000"/>
              </w:rPr>
              <w:t>1294663.264</w:t>
            </w:r>
          </w:p>
        </w:tc>
        <w:tc>
          <w:tcPr>
            <w:tcW w:w="877" w:type="pct"/>
            <w:noWrap/>
            <w:vAlign w:val="center"/>
          </w:tcPr>
          <w:p>
            <w:pPr>
              <w:pStyle w:val="22"/>
              <w:jc w:val="center"/>
              <w:rPr>
                <w:rFonts w:ascii="Times New Roman" w:hAnsi="Times New Roman"/>
                <w:color w:val="000000"/>
              </w:rPr>
            </w:pPr>
            <w:r>
              <w:rPr>
                <w:rFonts w:ascii="Times New Roman" w:hAnsi="Times New Roman"/>
                <w:color w:val="000000"/>
              </w:rPr>
              <w:t>3424716.630</w:t>
            </w:r>
          </w:p>
        </w:tc>
        <w:tc>
          <w:tcPr>
            <w:tcW w:w="1144" w:type="pct"/>
            <w:noWrap/>
            <w:vAlign w:val="center"/>
          </w:tcPr>
          <w:p>
            <w:pPr>
              <w:pStyle w:val="22"/>
              <w:jc w:val="center"/>
              <w:rPr>
                <w:rFonts w:ascii="Times New Roman" w:hAnsi="Times New Roman"/>
                <w:color w:val="000000"/>
              </w:rPr>
            </w:pPr>
            <w:r>
              <w:rPr>
                <w:rFonts w:ascii="Times New Roman" w:hAnsi="Times New Roman"/>
                <w:color w:val="000000"/>
              </w:rPr>
              <w:t>金电花园居民</w:t>
            </w:r>
          </w:p>
        </w:tc>
        <w:tc>
          <w:tcPr>
            <w:tcW w:w="401" w:type="pct"/>
            <w:noWrap/>
            <w:vAlign w:val="center"/>
          </w:tcPr>
          <w:p>
            <w:pPr>
              <w:jc w:val="center"/>
              <w:rPr>
                <w:rFonts w:eastAsia="宋体" w:cs="Times New Roman"/>
              </w:rPr>
            </w:pPr>
            <w:r>
              <w:rPr>
                <w:rFonts w:eastAsia="宋体" w:cs="Times New Roman"/>
                <w:color w:val="000000"/>
                <w:sz w:val="21"/>
              </w:rPr>
              <w:t>东北</w:t>
            </w:r>
          </w:p>
        </w:tc>
        <w:tc>
          <w:tcPr>
            <w:tcW w:w="629" w:type="pct"/>
            <w:noWrap/>
            <w:vAlign w:val="center"/>
          </w:tcPr>
          <w:p>
            <w:pPr>
              <w:pStyle w:val="22"/>
              <w:jc w:val="center"/>
              <w:rPr>
                <w:rFonts w:ascii="Times New Roman" w:hAnsi="Times New Roman"/>
                <w:color w:val="000000"/>
              </w:rPr>
            </w:pPr>
            <w:r>
              <w:rPr>
                <w:rFonts w:ascii="Times New Roman" w:hAnsi="Times New Roman"/>
                <w:color w:val="000000"/>
              </w:rPr>
              <w:t>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3" w:type="pct"/>
            <w:vMerge w:val="continue"/>
            <w:vAlign w:val="center"/>
          </w:tcPr>
          <w:p>
            <w:pPr>
              <w:widowControl/>
              <w:jc w:val="center"/>
              <w:rPr>
                <w:rFonts w:eastAsia="宋体" w:cs="Times New Roman"/>
                <w:color w:val="000000"/>
                <w:sz w:val="21"/>
              </w:rPr>
            </w:pPr>
          </w:p>
        </w:tc>
        <w:tc>
          <w:tcPr>
            <w:tcW w:w="614" w:type="pct"/>
            <w:noWrap/>
            <w:vAlign w:val="center"/>
          </w:tcPr>
          <w:p>
            <w:pPr>
              <w:pStyle w:val="38"/>
              <w:ind w:firstLine="0" w:firstLineChars="0"/>
              <w:jc w:val="center"/>
              <w:rPr>
                <w:rFonts w:eastAsia="宋体" w:cs="Times New Roman"/>
                <w:color w:val="000000"/>
                <w:sz w:val="21"/>
              </w:rPr>
            </w:pPr>
            <w:r>
              <w:rPr>
                <w:rFonts w:eastAsia="宋体" w:cs="Times New Roman"/>
                <w:color w:val="000000"/>
                <w:sz w:val="21"/>
              </w:rPr>
              <w:t>润康小区</w:t>
            </w:r>
          </w:p>
        </w:tc>
        <w:tc>
          <w:tcPr>
            <w:tcW w:w="793" w:type="pct"/>
            <w:noWrap/>
            <w:vAlign w:val="center"/>
          </w:tcPr>
          <w:p>
            <w:pPr>
              <w:pStyle w:val="22"/>
              <w:jc w:val="center"/>
              <w:rPr>
                <w:rFonts w:ascii="Times New Roman" w:hAnsi="Times New Roman"/>
                <w:color w:val="000000"/>
              </w:rPr>
            </w:pPr>
            <w:r>
              <w:rPr>
                <w:rFonts w:ascii="Times New Roman" w:hAnsi="Times New Roman"/>
                <w:color w:val="000000"/>
              </w:rPr>
              <w:t>12594906.907</w:t>
            </w:r>
          </w:p>
        </w:tc>
        <w:tc>
          <w:tcPr>
            <w:tcW w:w="877" w:type="pct"/>
            <w:noWrap/>
            <w:vAlign w:val="center"/>
          </w:tcPr>
          <w:p>
            <w:pPr>
              <w:pStyle w:val="22"/>
              <w:jc w:val="center"/>
              <w:rPr>
                <w:rFonts w:ascii="Times New Roman" w:hAnsi="Times New Roman"/>
                <w:color w:val="000000"/>
              </w:rPr>
            </w:pPr>
            <w:r>
              <w:rPr>
                <w:rFonts w:ascii="Times New Roman" w:hAnsi="Times New Roman"/>
                <w:color w:val="000000"/>
              </w:rPr>
              <w:t>3424971.578</w:t>
            </w:r>
          </w:p>
        </w:tc>
        <w:tc>
          <w:tcPr>
            <w:tcW w:w="1144" w:type="pct"/>
            <w:noWrap/>
            <w:vAlign w:val="center"/>
          </w:tcPr>
          <w:p>
            <w:pPr>
              <w:pStyle w:val="22"/>
              <w:jc w:val="center"/>
              <w:rPr>
                <w:rFonts w:ascii="Times New Roman" w:hAnsi="Times New Roman"/>
                <w:color w:val="000000"/>
              </w:rPr>
            </w:pPr>
            <w:r>
              <w:rPr>
                <w:rFonts w:ascii="Times New Roman" w:hAnsi="Times New Roman"/>
                <w:color w:val="000000"/>
              </w:rPr>
              <w:t>润康小区居民</w:t>
            </w:r>
          </w:p>
        </w:tc>
        <w:tc>
          <w:tcPr>
            <w:tcW w:w="401" w:type="pct"/>
            <w:noWrap/>
            <w:vAlign w:val="center"/>
          </w:tcPr>
          <w:p>
            <w:pPr>
              <w:jc w:val="center"/>
              <w:rPr>
                <w:rFonts w:eastAsia="宋体" w:cs="Times New Roman"/>
              </w:rPr>
            </w:pPr>
            <w:r>
              <w:rPr>
                <w:rFonts w:eastAsia="宋体" w:cs="Times New Roman"/>
                <w:color w:val="000000"/>
                <w:sz w:val="21"/>
              </w:rPr>
              <w:t>东北</w:t>
            </w:r>
          </w:p>
        </w:tc>
        <w:tc>
          <w:tcPr>
            <w:tcW w:w="629" w:type="pct"/>
            <w:noWrap/>
            <w:vAlign w:val="center"/>
          </w:tcPr>
          <w:p>
            <w:pPr>
              <w:pStyle w:val="22"/>
              <w:jc w:val="center"/>
              <w:rPr>
                <w:rFonts w:ascii="Times New Roman" w:hAnsi="Times New Roman"/>
                <w:color w:val="000000"/>
              </w:rPr>
            </w:pPr>
            <w:r>
              <w:rPr>
                <w:rFonts w:ascii="Times New Roman" w:hAnsi="Times New Roman"/>
                <w:color w:val="000000"/>
              </w:rPr>
              <w:t>846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3" w:type="pct"/>
            <w:vMerge w:val="continue"/>
            <w:vAlign w:val="center"/>
          </w:tcPr>
          <w:p>
            <w:pPr>
              <w:widowControl/>
              <w:jc w:val="center"/>
              <w:rPr>
                <w:rFonts w:eastAsia="宋体" w:cs="Times New Roman"/>
                <w:color w:val="000000"/>
                <w:sz w:val="21"/>
              </w:rPr>
            </w:pPr>
          </w:p>
        </w:tc>
        <w:tc>
          <w:tcPr>
            <w:tcW w:w="614" w:type="pct"/>
            <w:noWrap/>
            <w:vAlign w:val="center"/>
          </w:tcPr>
          <w:p>
            <w:pPr>
              <w:pStyle w:val="38"/>
              <w:ind w:firstLine="0" w:firstLineChars="0"/>
              <w:jc w:val="center"/>
              <w:rPr>
                <w:rFonts w:eastAsia="宋体" w:cs="Times New Roman"/>
                <w:color w:val="000000"/>
                <w:sz w:val="21"/>
              </w:rPr>
            </w:pPr>
            <w:r>
              <w:rPr>
                <w:rFonts w:eastAsia="宋体" w:cs="Times New Roman"/>
                <w:color w:val="000000"/>
                <w:sz w:val="21"/>
              </w:rPr>
              <w:t>岳密小区</w:t>
            </w:r>
          </w:p>
        </w:tc>
        <w:tc>
          <w:tcPr>
            <w:tcW w:w="793" w:type="pct"/>
            <w:noWrap/>
            <w:vAlign w:val="center"/>
          </w:tcPr>
          <w:p>
            <w:pPr>
              <w:pStyle w:val="22"/>
              <w:jc w:val="center"/>
              <w:rPr>
                <w:rFonts w:ascii="Times New Roman" w:hAnsi="Times New Roman"/>
                <w:color w:val="000000"/>
              </w:rPr>
            </w:pPr>
            <w:r>
              <w:rPr>
                <w:rFonts w:ascii="Times New Roman" w:hAnsi="Times New Roman"/>
                <w:color w:val="000000"/>
              </w:rPr>
              <w:t>12594075.654</w:t>
            </w:r>
          </w:p>
        </w:tc>
        <w:tc>
          <w:tcPr>
            <w:tcW w:w="877" w:type="pct"/>
            <w:noWrap/>
            <w:vAlign w:val="center"/>
          </w:tcPr>
          <w:p>
            <w:pPr>
              <w:pStyle w:val="22"/>
              <w:jc w:val="center"/>
              <w:rPr>
                <w:rFonts w:ascii="Times New Roman" w:hAnsi="Times New Roman"/>
                <w:color w:val="000000"/>
              </w:rPr>
            </w:pPr>
            <w:r>
              <w:rPr>
                <w:rFonts w:ascii="Times New Roman" w:hAnsi="Times New Roman"/>
                <w:color w:val="000000"/>
              </w:rPr>
              <w:t>3425037.371</w:t>
            </w:r>
          </w:p>
        </w:tc>
        <w:tc>
          <w:tcPr>
            <w:tcW w:w="1144" w:type="pct"/>
            <w:noWrap/>
            <w:vAlign w:val="center"/>
          </w:tcPr>
          <w:p>
            <w:pPr>
              <w:pStyle w:val="22"/>
              <w:jc w:val="center"/>
              <w:rPr>
                <w:rFonts w:ascii="Times New Roman" w:hAnsi="Times New Roman"/>
                <w:color w:val="000000"/>
              </w:rPr>
            </w:pPr>
            <w:r>
              <w:rPr>
                <w:rFonts w:ascii="Times New Roman" w:hAnsi="Times New Roman"/>
                <w:color w:val="000000"/>
              </w:rPr>
              <w:t>岳密小区居民</w:t>
            </w:r>
          </w:p>
        </w:tc>
        <w:tc>
          <w:tcPr>
            <w:tcW w:w="401" w:type="pct"/>
            <w:noWrap/>
            <w:vAlign w:val="center"/>
          </w:tcPr>
          <w:p>
            <w:pPr>
              <w:jc w:val="center"/>
              <w:rPr>
                <w:rFonts w:eastAsia="宋体" w:cs="Times New Roman"/>
              </w:rPr>
            </w:pPr>
            <w:r>
              <w:rPr>
                <w:rFonts w:eastAsia="宋体" w:cs="Times New Roman"/>
                <w:color w:val="000000"/>
                <w:sz w:val="21"/>
              </w:rPr>
              <w:t>东北</w:t>
            </w:r>
          </w:p>
        </w:tc>
        <w:tc>
          <w:tcPr>
            <w:tcW w:w="629" w:type="pct"/>
            <w:noWrap/>
            <w:vAlign w:val="center"/>
          </w:tcPr>
          <w:p>
            <w:pPr>
              <w:pStyle w:val="22"/>
              <w:jc w:val="center"/>
              <w:rPr>
                <w:rFonts w:ascii="Times New Roman" w:hAnsi="Times New Roman"/>
                <w:color w:val="000000"/>
              </w:rPr>
            </w:pPr>
            <w:r>
              <w:rPr>
                <w:rFonts w:ascii="Times New Roman" w:hAnsi="Times New Roman"/>
                <w:color w:val="000000"/>
              </w:rPr>
              <w:t>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3" w:type="pct"/>
            <w:vMerge w:val="continue"/>
            <w:vAlign w:val="center"/>
          </w:tcPr>
          <w:p>
            <w:pPr>
              <w:widowControl/>
              <w:jc w:val="center"/>
              <w:rPr>
                <w:rFonts w:eastAsia="宋体" w:cs="Times New Roman"/>
                <w:color w:val="000000"/>
                <w:sz w:val="21"/>
              </w:rPr>
            </w:pPr>
          </w:p>
        </w:tc>
        <w:tc>
          <w:tcPr>
            <w:tcW w:w="614" w:type="pct"/>
            <w:noWrap/>
            <w:vAlign w:val="center"/>
          </w:tcPr>
          <w:p>
            <w:pPr>
              <w:jc w:val="center"/>
              <w:rPr>
                <w:rFonts w:eastAsia="宋体" w:cs="Times New Roman"/>
                <w:color w:val="000000" w:themeColor="text1"/>
                <w:sz w:val="21"/>
              </w:rPr>
            </w:pPr>
            <w:r>
              <w:rPr>
                <w:rFonts w:eastAsia="宋体" w:cs="Times New Roman"/>
                <w:color w:val="000000" w:themeColor="text1"/>
                <w:sz w:val="21"/>
              </w:rPr>
              <w:t>望岳小学</w:t>
            </w:r>
          </w:p>
        </w:tc>
        <w:tc>
          <w:tcPr>
            <w:tcW w:w="793" w:type="pct"/>
            <w:noWrap/>
            <w:vAlign w:val="center"/>
          </w:tcPr>
          <w:p>
            <w:pPr>
              <w:pStyle w:val="22"/>
              <w:jc w:val="center"/>
              <w:rPr>
                <w:rFonts w:ascii="Times New Roman" w:hAnsi="Times New Roman"/>
                <w:color w:val="000000"/>
              </w:rPr>
            </w:pPr>
            <w:r>
              <w:rPr>
                <w:rFonts w:hint="eastAsia" w:ascii="Times New Roman" w:hAnsi="Times New Roman"/>
                <w:color w:val="000000"/>
              </w:rPr>
              <w:t>12594398.123</w:t>
            </w:r>
          </w:p>
        </w:tc>
        <w:tc>
          <w:tcPr>
            <w:tcW w:w="877" w:type="pct"/>
            <w:noWrap/>
            <w:vAlign w:val="center"/>
          </w:tcPr>
          <w:p>
            <w:pPr>
              <w:pStyle w:val="22"/>
              <w:jc w:val="center"/>
              <w:rPr>
                <w:rFonts w:ascii="Times New Roman" w:hAnsi="Times New Roman"/>
                <w:color w:val="000000"/>
              </w:rPr>
            </w:pPr>
            <w:r>
              <w:rPr>
                <w:rFonts w:hint="eastAsia" w:ascii="Times New Roman" w:hAnsi="Times New Roman"/>
                <w:color w:val="000000"/>
              </w:rPr>
              <w:t>3425344.414</w:t>
            </w:r>
          </w:p>
        </w:tc>
        <w:tc>
          <w:tcPr>
            <w:tcW w:w="1144" w:type="pct"/>
            <w:noWrap/>
            <w:vAlign w:val="center"/>
          </w:tcPr>
          <w:p>
            <w:pPr>
              <w:pStyle w:val="22"/>
              <w:jc w:val="center"/>
              <w:rPr>
                <w:rFonts w:ascii="Times New Roman" w:hAnsi="Times New Roman"/>
                <w:color w:val="000000"/>
              </w:rPr>
            </w:pPr>
            <w:r>
              <w:rPr>
                <w:rFonts w:ascii="Times New Roman" w:hAnsi="Times New Roman"/>
                <w:color w:val="000000"/>
              </w:rPr>
              <w:t>学生和老师和工作人员</w:t>
            </w:r>
          </w:p>
        </w:tc>
        <w:tc>
          <w:tcPr>
            <w:tcW w:w="401" w:type="pct"/>
            <w:noWrap/>
            <w:vAlign w:val="center"/>
          </w:tcPr>
          <w:p>
            <w:pPr>
              <w:wordWrap w:val="0"/>
              <w:jc w:val="center"/>
              <w:rPr>
                <w:rFonts w:eastAsia="宋体" w:cs="Times New Roman"/>
                <w:color w:val="000000"/>
                <w:sz w:val="21"/>
              </w:rPr>
            </w:pPr>
            <w:r>
              <w:rPr>
                <w:rFonts w:eastAsia="宋体" w:cs="Times New Roman"/>
                <w:color w:val="000000"/>
                <w:sz w:val="21"/>
              </w:rPr>
              <w:t>东北</w:t>
            </w:r>
          </w:p>
        </w:tc>
        <w:tc>
          <w:tcPr>
            <w:tcW w:w="629" w:type="pct"/>
            <w:noWrap/>
            <w:vAlign w:val="center"/>
          </w:tcPr>
          <w:p>
            <w:pPr>
              <w:pStyle w:val="22"/>
              <w:jc w:val="center"/>
              <w:rPr>
                <w:rFonts w:ascii="Times New Roman" w:hAnsi="Times New Roman"/>
                <w:color w:val="000000"/>
              </w:rPr>
            </w:pPr>
            <w:r>
              <w:rPr>
                <w:rFonts w:ascii="Times New Roman" w:hAnsi="Times New Roman"/>
                <w:color w:val="000000"/>
              </w:rPr>
              <w:t>751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3" w:type="pct"/>
            <w:vMerge w:val="continue"/>
            <w:vAlign w:val="center"/>
          </w:tcPr>
          <w:p>
            <w:pPr>
              <w:widowControl/>
              <w:jc w:val="center"/>
              <w:rPr>
                <w:rFonts w:eastAsia="宋体" w:cs="Times New Roman"/>
                <w:color w:val="000000"/>
                <w:sz w:val="21"/>
              </w:rPr>
            </w:pPr>
          </w:p>
        </w:tc>
        <w:tc>
          <w:tcPr>
            <w:tcW w:w="614" w:type="pct"/>
            <w:noWrap/>
            <w:vAlign w:val="center"/>
          </w:tcPr>
          <w:p>
            <w:pPr>
              <w:jc w:val="center"/>
              <w:rPr>
                <w:rFonts w:eastAsia="宋体" w:cs="Times New Roman"/>
                <w:color w:val="000000"/>
                <w:sz w:val="21"/>
              </w:rPr>
            </w:pPr>
            <w:r>
              <w:rPr>
                <w:rFonts w:eastAsia="宋体" w:cs="Times New Roman"/>
                <w:color w:val="000000"/>
                <w:sz w:val="21"/>
              </w:rPr>
              <w:t>新超人幼儿园</w:t>
            </w:r>
          </w:p>
        </w:tc>
        <w:tc>
          <w:tcPr>
            <w:tcW w:w="793" w:type="pct"/>
            <w:noWrap/>
            <w:vAlign w:val="center"/>
          </w:tcPr>
          <w:p>
            <w:pPr>
              <w:pStyle w:val="22"/>
              <w:jc w:val="center"/>
              <w:rPr>
                <w:rFonts w:ascii="Times New Roman" w:hAnsi="Times New Roman"/>
                <w:color w:val="000000"/>
              </w:rPr>
            </w:pPr>
            <w:r>
              <w:rPr>
                <w:rFonts w:ascii="Times New Roman" w:hAnsi="Times New Roman"/>
                <w:color w:val="000000"/>
              </w:rPr>
              <w:t>12593769.906</w:t>
            </w:r>
          </w:p>
        </w:tc>
        <w:tc>
          <w:tcPr>
            <w:tcW w:w="877" w:type="pct"/>
            <w:noWrap/>
            <w:vAlign w:val="center"/>
          </w:tcPr>
          <w:p>
            <w:pPr>
              <w:pStyle w:val="22"/>
              <w:jc w:val="center"/>
              <w:rPr>
                <w:rFonts w:ascii="Times New Roman" w:hAnsi="Times New Roman"/>
                <w:color w:val="000000"/>
              </w:rPr>
            </w:pPr>
            <w:r>
              <w:rPr>
                <w:rFonts w:ascii="Times New Roman" w:hAnsi="Times New Roman"/>
                <w:color w:val="000000"/>
              </w:rPr>
              <w:t>3424554.891</w:t>
            </w:r>
          </w:p>
        </w:tc>
        <w:tc>
          <w:tcPr>
            <w:tcW w:w="1144" w:type="pct"/>
            <w:noWrap/>
            <w:vAlign w:val="center"/>
          </w:tcPr>
          <w:p>
            <w:pPr>
              <w:pStyle w:val="22"/>
              <w:jc w:val="center"/>
              <w:rPr>
                <w:rFonts w:ascii="Times New Roman" w:hAnsi="Times New Roman"/>
                <w:color w:val="000000"/>
              </w:rPr>
            </w:pPr>
            <w:r>
              <w:rPr>
                <w:rFonts w:ascii="Times New Roman" w:hAnsi="Times New Roman"/>
                <w:color w:val="000000"/>
              </w:rPr>
              <w:t>学生、老师</w:t>
            </w:r>
          </w:p>
        </w:tc>
        <w:tc>
          <w:tcPr>
            <w:tcW w:w="401" w:type="pct"/>
            <w:noWrap/>
            <w:vAlign w:val="center"/>
          </w:tcPr>
          <w:p>
            <w:pPr>
              <w:wordWrap w:val="0"/>
              <w:jc w:val="center"/>
              <w:rPr>
                <w:rFonts w:eastAsia="宋体" w:cs="Times New Roman"/>
                <w:color w:val="000000"/>
                <w:sz w:val="21"/>
              </w:rPr>
            </w:pPr>
            <w:r>
              <w:rPr>
                <w:rFonts w:eastAsia="宋体" w:cs="Times New Roman"/>
                <w:color w:val="000000"/>
                <w:sz w:val="21"/>
              </w:rPr>
              <w:t>西侧</w:t>
            </w:r>
          </w:p>
        </w:tc>
        <w:tc>
          <w:tcPr>
            <w:tcW w:w="629" w:type="pct"/>
            <w:noWrap/>
            <w:vAlign w:val="center"/>
          </w:tcPr>
          <w:p>
            <w:pPr>
              <w:pStyle w:val="22"/>
              <w:jc w:val="center"/>
              <w:rPr>
                <w:rFonts w:ascii="Times New Roman" w:hAnsi="Times New Roman"/>
                <w:color w:val="000000"/>
              </w:rPr>
            </w:pPr>
            <w:r>
              <w:rPr>
                <w:rFonts w:ascii="Times New Roman" w:hAnsi="Times New Roman"/>
                <w:color w:val="000000"/>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3" w:type="pct"/>
            <w:vMerge w:val="continue"/>
            <w:vAlign w:val="center"/>
          </w:tcPr>
          <w:p>
            <w:pPr>
              <w:widowControl/>
              <w:jc w:val="center"/>
              <w:rPr>
                <w:rFonts w:eastAsia="宋体" w:cs="Times New Roman"/>
                <w:color w:val="000000"/>
                <w:sz w:val="21"/>
              </w:rPr>
            </w:pPr>
          </w:p>
        </w:tc>
        <w:tc>
          <w:tcPr>
            <w:tcW w:w="614" w:type="pct"/>
            <w:noWrap/>
            <w:vAlign w:val="center"/>
          </w:tcPr>
          <w:p>
            <w:pPr>
              <w:jc w:val="center"/>
              <w:rPr>
                <w:rFonts w:eastAsia="宋体" w:cs="Times New Roman"/>
                <w:color w:val="000000"/>
                <w:sz w:val="21"/>
              </w:rPr>
            </w:pPr>
            <w:r>
              <w:rPr>
                <w:rFonts w:eastAsia="宋体" w:cs="Times New Roman"/>
                <w:color w:val="000000"/>
                <w:sz w:val="21"/>
              </w:rPr>
              <w:t>实圆小区</w:t>
            </w:r>
          </w:p>
        </w:tc>
        <w:tc>
          <w:tcPr>
            <w:tcW w:w="793" w:type="pct"/>
            <w:noWrap/>
            <w:vAlign w:val="center"/>
          </w:tcPr>
          <w:p>
            <w:pPr>
              <w:pStyle w:val="22"/>
              <w:jc w:val="center"/>
              <w:rPr>
                <w:rFonts w:ascii="Times New Roman" w:hAnsi="Times New Roman"/>
                <w:color w:val="000000"/>
              </w:rPr>
            </w:pPr>
            <w:r>
              <w:rPr>
                <w:rFonts w:ascii="Times New Roman" w:hAnsi="Times New Roman"/>
                <w:color w:val="000000"/>
              </w:rPr>
              <w:t>12593726.910</w:t>
            </w:r>
          </w:p>
        </w:tc>
        <w:tc>
          <w:tcPr>
            <w:tcW w:w="877" w:type="pct"/>
            <w:noWrap/>
            <w:vAlign w:val="center"/>
          </w:tcPr>
          <w:p>
            <w:pPr>
              <w:pStyle w:val="22"/>
              <w:jc w:val="center"/>
              <w:rPr>
                <w:rFonts w:ascii="Times New Roman" w:hAnsi="Times New Roman"/>
                <w:color w:val="000000"/>
              </w:rPr>
            </w:pPr>
            <w:r>
              <w:rPr>
                <w:rFonts w:ascii="Times New Roman" w:hAnsi="Times New Roman"/>
                <w:color w:val="000000"/>
              </w:rPr>
              <w:t>3424415.085</w:t>
            </w:r>
          </w:p>
        </w:tc>
        <w:tc>
          <w:tcPr>
            <w:tcW w:w="1144" w:type="pct"/>
            <w:noWrap/>
            <w:vAlign w:val="center"/>
          </w:tcPr>
          <w:p>
            <w:pPr>
              <w:pStyle w:val="22"/>
              <w:jc w:val="center"/>
              <w:rPr>
                <w:rFonts w:ascii="Times New Roman" w:hAnsi="Times New Roman"/>
                <w:color w:val="000000"/>
              </w:rPr>
            </w:pPr>
            <w:r>
              <w:rPr>
                <w:rFonts w:ascii="Times New Roman" w:hAnsi="Times New Roman"/>
                <w:color w:val="000000"/>
              </w:rPr>
              <w:t>实圆小区居民</w:t>
            </w:r>
          </w:p>
        </w:tc>
        <w:tc>
          <w:tcPr>
            <w:tcW w:w="401" w:type="pct"/>
            <w:noWrap/>
            <w:vAlign w:val="center"/>
          </w:tcPr>
          <w:p>
            <w:pPr>
              <w:wordWrap w:val="0"/>
              <w:jc w:val="center"/>
              <w:rPr>
                <w:rFonts w:eastAsia="宋体" w:cs="Times New Roman"/>
                <w:color w:val="000000"/>
                <w:sz w:val="21"/>
              </w:rPr>
            </w:pPr>
            <w:r>
              <w:rPr>
                <w:rFonts w:eastAsia="宋体" w:cs="Times New Roman"/>
                <w:color w:val="000000"/>
                <w:sz w:val="21"/>
              </w:rPr>
              <w:t>西南</w:t>
            </w:r>
          </w:p>
        </w:tc>
        <w:tc>
          <w:tcPr>
            <w:tcW w:w="629" w:type="pct"/>
            <w:noWrap/>
            <w:vAlign w:val="center"/>
          </w:tcPr>
          <w:p>
            <w:pPr>
              <w:pStyle w:val="22"/>
              <w:jc w:val="center"/>
              <w:rPr>
                <w:rFonts w:ascii="Times New Roman" w:hAnsi="Times New Roman"/>
                <w:color w:val="000000"/>
              </w:rPr>
            </w:pPr>
            <w:r>
              <w:rPr>
                <w:rFonts w:ascii="Times New Roman" w:hAnsi="Times New Roman"/>
                <w:color w:val="000000"/>
              </w:rPr>
              <w:t>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3" w:type="pct"/>
            <w:vMerge w:val="continue"/>
            <w:vAlign w:val="center"/>
          </w:tcPr>
          <w:p>
            <w:pPr>
              <w:widowControl/>
              <w:jc w:val="center"/>
              <w:rPr>
                <w:rFonts w:eastAsia="宋体" w:cs="Times New Roman"/>
                <w:color w:val="000000"/>
                <w:sz w:val="21"/>
              </w:rPr>
            </w:pPr>
          </w:p>
        </w:tc>
        <w:tc>
          <w:tcPr>
            <w:tcW w:w="614" w:type="pct"/>
            <w:noWrap/>
            <w:vAlign w:val="center"/>
          </w:tcPr>
          <w:p>
            <w:pPr>
              <w:jc w:val="center"/>
              <w:rPr>
                <w:rFonts w:eastAsia="宋体" w:cs="Times New Roman"/>
                <w:color w:val="000000"/>
                <w:sz w:val="21"/>
              </w:rPr>
            </w:pPr>
            <w:r>
              <w:rPr>
                <w:rFonts w:eastAsia="宋体" w:cs="Times New Roman"/>
                <w:color w:val="000000"/>
                <w:sz w:val="21"/>
              </w:rPr>
              <w:t>怡禾丹桂佳苑</w:t>
            </w:r>
          </w:p>
        </w:tc>
        <w:tc>
          <w:tcPr>
            <w:tcW w:w="793" w:type="pct"/>
            <w:noWrap/>
            <w:vAlign w:val="center"/>
          </w:tcPr>
          <w:p>
            <w:pPr>
              <w:pStyle w:val="22"/>
              <w:jc w:val="center"/>
              <w:rPr>
                <w:rFonts w:ascii="Times New Roman" w:hAnsi="Times New Roman"/>
                <w:color w:val="000000"/>
              </w:rPr>
            </w:pPr>
            <w:r>
              <w:rPr>
                <w:rFonts w:ascii="Times New Roman" w:hAnsi="Times New Roman"/>
                <w:color w:val="000000"/>
              </w:rPr>
              <w:t>12593490.422</w:t>
            </w:r>
          </w:p>
        </w:tc>
        <w:tc>
          <w:tcPr>
            <w:tcW w:w="877" w:type="pct"/>
            <w:noWrap/>
            <w:vAlign w:val="center"/>
          </w:tcPr>
          <w:p>
            <w:pPr>
              <w:pStyle w:val="22"/>
              <w:jc w:val="center"/>
              <w:rPr>
                <w:rFonts w:ascii="Times New Roman" w:hAnsi="Times New Roman"/>
                <w:color w:val="000000"/>
              </w:rPr>
            </w:pPr>
            <w:r>
              <w:rPr>
                <w:rFonts w:ascii="Times New Roman" w:hAnsi="Times New Roman"/>
                <w:color w:val="000000"/>
              </w:rPr>
              <w:t>3424283.504</w:t>
            </w:r>
          </w:p>
        </w:tc>
        <w:tc>
          <w:tcPr>
            <w:tcW w:w="1144" w:type="pct"/>
            <w:noWrap/>
            <w:vAlign w:val="center"/>
          </w:tcPr>
          <w:p>
            <w:pPr>
              <w:pStyle w:val="22"/>
              <w:jc w:val="center"/>
              <w:rPr>
                <w:rFonts w:ascii="Times New Roman" w:hAnsi="Times New Roman"/>
                <w:color w:val="000000"/>
              </w:rPr>
            </w:pPr>
            <w:r>
              <w:rPr>
                <w:rFonts w:ascii="Times New Roman" w:hAnsi="Times New Roman"/>
                <w:color w:val="000000"/>
              </w:rPr>
              <w:t>怡禾丹桂佳苑居民</w:t>
            </w:r>
          </w:p>
        </w:tc>
        <w:tc>
          <w:tcPr>
            <w:tcW w:w="401" w:type="pct"/>
            <w:noWrap/>
            <w:vAlign w:val="center"/>
          </w:tcPr>
          <w:p>
            <w:pPr>
              <w:wordWrap w:val="0"/>
              <w:jc w:val="center"/>
              <w:rPr>
                <w:rFonts w:eastAsia="宋体" w:cs="Times New Roman"/>
                <w:color w:val="000000"/>
                <w:sz w:val="21"/>
              </w:rPr>
            </w:pPr>
            <w:r>
              <w:rPr>
                <w:rFonts w:eastAsia="宋体" w:cs="Times New Roman"/>
                <w:color w:val="000000"/>
                <w:sz w:val="21"/>
              </w:rPr>
              <w:t>西南</w:t>
            </w:r>
          </w:p>
        </w:tc>
        <w:tc>
          <w:tcPr>
            <w:tcW w:w="629" w:type="pct"/>
            <w:noWrap/>
            <w:vAlign w:val="center"/>
          </w:tcPr>
          <w:p>
            <w:pPr>
              <w:pStyle w:val="22"/>
              <w:jc w:val="center"/>
              <w:rPr>
                <w:rFonts w:ascii="Times New Roman" w:hAnsi="Times New Roman"/>
                <w:color w:val="000000"/>
              </w:rPr>
            </w:pPr>
            <w:r>
              <w:rPr>
                <w:rFonts w:ascii="Times New Roman" w:hAnsi="Times New Roman"/>
                <w:color w:val="000000"/>
              </w:rPr>
              <w:t>461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3" w:type="pct"/>
            <w:vMerge w:val="continue"/>
            <w:vAlign w:val="center"/>
          </w:tcPr>
          <w:p>
            <w:pPr>
              <w:widowControl/>
              <w:jc w:val="center"/>
              <w:rPr>
                <w:rFonts w:eastAsia="宋体" w:cs="Times New Roman"/>
                <w:color w:val="000000"/>
                <w:sz w:val="21"/>
              </w:rPr>
            </w:pPr>
          </w:p>
        </w:tc>
        <w:tc>
          <w:tcPr>
            <w:tcW w:w="614" w:type="pct"/>
            <w:noWrap/>
            <w:vAlign w:val="center"/>
          </w:tcPr>
          <w:p>
            <w:pPr>
              <w:jc w:val="center"/>
              <w:rPr>
                <w:rFonts w:eastAsia="宋体" w:cs="Times New Roman"/>
                <w:color w:val="000000"/>
                <w:sz w:val="21"/>
              </w:rPr>
            </w:pPr>
            <w:r>
              <w:rPr>
                <w:rFonts w:eastAsia="宋体" w:cs="Times New Roman"/>
                <w:color w:val="000000"/>
                <w:sz w:val="21"/>
              </w:rPr>
              <w:t>锦园楼小区</w:t>
            </w:r>
          </w:p>
        </w:tc>
        <w:tc>
          <w:tcPr>
            <w:tcW w:w="793" w:type="pct"/>
            <w:noWrap/>
            <w:vAlign w:val="center"/>
          </w:tcPr>
          <w:p>
            <w:pPr>
              <w:pStyle w:val="22"/>
              <w:jc w:val="center"/>
              <w:rPr>
                <w:rFonts w:ascii="Times New Roman" w:hAnsi="Times New Roman"/>
                <w:color w:val="000000"/>
              </w:rPr>
            </w:pPr>
            <w:r>
              <w:rPr>
                <w:rFonts w:hint="eastAsia" w:ascii="Times New Roman" w:hAnsi="Times New Roman"/>
                <w:color w:val="000000"/>
              </w:rPr>
              <w:t>12594352.738</w:t>
            </w:r>
          </w:p>
        </w:tc>
        <w:tc>
          <w:tcPr>
            <w:tcW w:w="877" w:type="pct"/>
            <w:noWrap/>
            <w:vAlign w:val="center"/>
          </w:tcPr>
          <w:p>
            <w:pPr>
              <w:pStyle w:val="22"/>
              <w:jc w:val="center"/>
              <w:rPr>
                <w:rFonts w:ascii="Times New Roman" w:hAnsi="Times New Roman"/>
                <w:color w:val="000000"/>
              </w:rPr>
            </w:pPr>
            <w:r>
              <w:rPr>
                <w:rFonts w:hint="eastAsia" w:ascii="Times New Roman" w:hAnsi="Times New Roman"/>
                <w:color w:val="000000"/>
              </w:rPr>
              <w:t>3423966.893</w:t>
            </w:r>
          </w:p>
        </w:tc>
        <w:tc>
          <w:tcPr>
            <w:tcW w:w="1144" w:type="pct"/>
            <w:noWrap/>
            <w:vAlign w:val="center"/>
          </w:tcPr>
          <w:p>
            <w:pPr>
              <w:pStyle w:val="22"/>
              <w:jc w:val="center"/>
              <w:rPr>
                <w:rFonts w:ascii="Times New Roman" w:hAnsi="Times New Roman"/>
                <w:color w:val="000000"/>
              </w:rPr>
            </w:pPr>
            <w:r>
              <w:rPr>
                <w:rFonts w:ascii="Times New Roman" w:hAnsi="Times New Roman"/>
                <w:color w:val="000000"/>
              </w:rPr>
              <w:t>锦园楼小区居民</w:t>
            </w:r>
          </w:p>
        </w:tc>
        <w:tc>
          <w:tcPr>
            <w:tcW w:w="401" w:type="pct"/>
            <w:noWrap/>
            <w:vAlign w:val="center"/>
          </w:tcPr>
          <w:p>
            <w:pPr>
              <w:wordWrap w:val="0"/>
              <w:jc w:val="center"/>
              <w:rPr>
                <w:rFonts w:eastAsia="宋体" w:cs="Times New Roman"/>
                <w:color w:val="000000"/>
                <w:sz w:val="21"/>
              </w:rPr>
            </w:pPr>
            <w:r>
              <w:rPr>
                <w:rFonts w:eastAsia="宋体" w:cs="Times New Roman"/>
                <w:color w:val="000000"/>
                <w:sz w:val="21"/>
              </w:rPr>
              <w:t>西南</w:t>
            </w:r>
          </w:p>
        </w:tc>
        <w:tc>
          <w:tcPr>
            <w:tcW w:w="629" w:type="pct"/>
            <w:noWrap/>
            <w:vAlign w:val="center"/>
          </w:tcPr>
          <w:p>
            <w:pPr>
              <w:pStyle w:val="22"/>
              <w:jc w:val="center"/>
              <w:rPr>
                <w:rFonts w:ascii="Times New Roman" w:hAnsi="Times New Roman"/>
                <w:color w:val="000000"/>
              </w:rPr>
            </w:pPr>
            <w:r>
              <w:rPr>
                <w:rFonts w:ascii="Times New Roman" w:hAnsi="Times New Roman"/>
                <w:color w:val="000000"/>
              </w:rPr>
              <w:t>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3" w:type="pct"/>
            <w:vMerge w:val="continue"/>
            <w:vAlign w:val="center"/>
          </w:tcPr>
          <w:p>
            <w:pPr>
              <w:widowControl/>
              <w:jc w:val="center"/>
              <w:rPr>
                <w:rFonts w:eastAsia="宋体" w:cs="Times New Roman"/>
                <w:color w:val="000000"/>
                <w:sz w:val="21"/>
              </w:rPr>
            </w:pPr>
          </w:p>
        </w:tc>
        <w:tc>
          <w:tcPr>
            <w:tcW w:w="614" w:type="pct"/>
            <w:noWrap/>
            <w:vAlign w:val="center"/>
          </w:tcPr>
          <w:p>
            <w:pPr>
              <w:jc w:val="center"/>
              <w:rPr>
                <w:rFonts w:eastAsia="宋体" w:cs="Times New Roman"/>
                <w:color w:val="000000"/>
                <w:sz w:val="21"/>
              </w:rPr>
            </w:pPr>
            <w:r>
              <w:rPr>
                <w:rFonts w:eastAsia="宋体" w:cs="Times New Roman"/>
                <w:color w:val="000000"/>
                <w:sz w:val="21"/>
              </w:rPr>
              <w:t>小杜鹃幼儿园</w:t>
            </w:r>
          </w:p>
        </w:tc>
        <w:tc>
          <w:tcPr>
            <w:tcW w:w="793" w:type="pct"/>
            <w:noWrap/>
            <w:vAlign w:val="center"/>
          </w:tcPr>
          <w:p>
            <w:pPr>
              <w:pStyle w:val="22"/>
              <w:jc w:val="center"/>
              <w:rPr>
                <w:rFonts w:ascii="Times New Roman" w:hAnsi="Times New Roman"/>
                <w:color w:val="000000"/>
              </w:rPr>
            </w:pPr>
            <w:r>
              <w:rPr>
                <w:rFonts w:ascii="Times New Roman" w:hAnsi="Times New Roman"/>
                <w:color w:val="000000"/>
              </w:rPr>
              <w:t>12593815.290</w:t>
            </w:r>
          </w:p>
        </w:tc>
        <w:tc>
          <w:tcPr>
            <w:tcW w:w="877" w:type="pct"/>
            <w:noWrap/>
            <w:vAlign w:val="center"/>
          </w:tcPr>
          <w:p>
            <w:pPr>
              <w:pStyle w:val="22"/>
              <w:jc w:val="center"/>
              <w:rPr>
                <w:rFonts w:ascii="Times New Roman" w:hAnsi="Times New Roman"/>
                <w:color w:val="000000"/>
              </w:rPr>
            </w:pPr>
            <w:r>
              <w:rPr>
                <w:rFonts w:ascii="Times New Roman" w:hAnsi="Times New Roman"/>
                <w:color w:val="000000"/>
              </w:rPr>
              <w:t>3424138.218</w:t>
            </w:r>
          </w:p>
        </w:tc>
        <w:tc>
          <w:tcPr>
            <w:tcW w:w="1144" w:type="pct"/>
            <w:noWrap/>
            <w:vAlign w:val="center"/>
          </w:tcPr>
          <w:p>
            <w:pPr>
              <w:pStyle w:val="22"/>
              <w:jc w:val="center"/>
              <w:rPr>
                <w:rFonts w:ascii="Times New Roman" w:hAnsi="Times New Roman"/>
                <w:color w:val="000000"/>
              </w:rPr>
            </w:pPr>
            <w:r>
              <w:rPr>
                <w:rFonts w:ascii="Times New Roman" w:hAnsi="Times New Roman"/>
                <w:color w:val="000000"/>
              </w:rPr>
              <w:t>学生、老师</w:t>
            </w:r>
          </w:p>
        </w:tc>
        <w:tc>
          <w:tcPr>
            <w:tcW w:w="401" w:type="pct"/>
            <w:noWrap/>
            <w:vAlign w:val="center"/>
          </w:tcPr>
          <w:p>
            <w:pPr>
              <w:wordWrap w:val="0"/>
              <w:jc w:val="center"/>
              <w:rPr>
                <w:rFonts w:eastAsia="宋体" w:cs="Times New Roman"/>
                <w:color w:val="000000"/>
                <w:sz w:val="21"/>
              </w:rPr>
            </w:pPr>
            <w:r>
              <w:rPr>
                <w:rFonts w:eastAsia="宋体" w:cs="Times New Roman"/>
                <w:color w:val="000000"/>
                <w:sz w:val="21"/>
              </w:rPr>
              <w:t>西南</w:t>
            </w:r>
          </w:p>
        </w:tc>
        <w:tc>
          <w:tcPr>
            <w:tcW w:w="629" w:type="pct"/>
            <w:noWrap/>
            <w:vAlign w:val="center"/>
          </w:tcPr>
          <w:p>
            <w:pPr>
              <w:pStyle w:val="22"/>
              <w:jc w:val="center"/>
              <w:rPr>
                <w:rFonts w:ascii="Times New Roman" w:hAnsi="Times New Roman"/>
                <w:color w:val="000000"/>
              </w:rPr>
            </w:pPr>
            <w:r>
              <w:rPr>
                <w:rFonts w:ascii="Times New Roman" w:hAnsi="Times New Roman"/>
                <w:color w:val="000000"/>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3" w:type="pct"/>
            <w:vMerge w:val="continue"/>
            <w:vAlign w:val="center"/>
          </w:tcPr>
          <w:p>
            <w:pPr>
              <w:widowControl/>
              <w:jc w:val="center"/>
              <w:rPr>
                <w:rFonts w:eastAsia="宋体" w:cs="Times New Roman"/>
                <w:color w:val="000000"/>
                <w:sz w:val="21"/>
              </w:rPr>
            </w:pPr>
          </w:p>
        </w:tc>
        <w:tc>
          <w:tcPr>
            <w:tcW w:w="614" w:type="pct"/>
            <w:noWrap/>
            <w:vAlign w:val="center"/>
          </w:tcPr>
          <w:p>
            <w:pPr>
              <w:jc w:val="center"/>
              <w:rPr>
                <w:rFonts w:eastAsia="宋体" w:cs="Times New Roman"/>
                <w:color w:val="000000"/>
                <w:sz w:val="21"/>
              </w:rPr>
            </w:pPr>
            <w:r>
              <w:rPr>
                <w:rFonts w:eastAsia="宋体" w:cs="Times New Roman"/>
                <w:color w:val="000000"/>
                <w:sz w:val="21"/>
              </w:rPr>
              <w:t>康岳小学</w:t>
            </w:r>
          </w:p>
        </w:tc>
        <w:tc>
          <w:tcPr>
            <w:tcW w:w="793" w:type="pct"/>
            <w:noWrap/>
            <w:vAlign w:val="center"/>
          </w:tcPr>
          <w:p>
            <w:pPr>
              <w:pStyle w:val="22"/>
              <w:jc w:val="center"/>
              <w:rPr>
                <w:rFonts w:ascii="Times New Roman" w:hAnsi="Times New Roman"/>
                <w:color w:val="000000"/>
              </w:rPr>
            </w:pPr>
            <w:r>
              <w:rPr>
                <w:rFonts w:ascii="Times New Roman" w:hAnsi="Times New Roman"/>
                <w:color w:val="000000"/>
              </w:rPr>
              <w:t>12593982.496</w:t>
            </w:r>
          </w:p>
        </w:tc>
        <w:tc>
          <w:tcPr>
            <w:tcW w:w="877" w:type="pct"/>
            <w:noWrap/>
            <w:vAlign w:val="center"/>
          </w:tcPr>
          <w:p>
            <w:pPr>
              <w:pStyle w:val="22"/>
              <w:jc w:val="center"/>
              <w:rPr>
                <w:rFonts w:ascii="Times New Roman" w:hAnsi="Times New Roman"/>
                <w:color w:val="000000"/>
              </w:rPr>
            </w:pPr>
            <w:r>
              <w:rPr>
                <w:rFonts w:ascii="Times New Roman" w:hAnsi="Times New Roman"/>
                <w:color w:val="000000"/>
              </w:rPr>
              <w:t>3424165.630</w:t>
            </w:r>
          </w:p>
        </w:tc>
        <w:tc>
          <w:tcPr>
            <w:tcW w:w="1144" w:type="pct"/>
            <w:noWrap/>
            <w:vAlign w:val="center"/>
          </w:tcPr>
          <w:p>
            <w:pPr>
              <w:pStyle w:val="22"/>
              <w:jc w:val="center"/>
              <w:rPr>
                <w:rFonts w:ascii="Times New Roman" w:hAnsi="Times New Roman"/>
                <w:color w:val="000000"/>
              </w:rPr>
            </w:pPr>
            <w:r>
              <w:rPr>
                <w:rFonts w:ascii="Times New Roman" w:hAnsi="Times New Roman"/>
                <w:color w:val="000000"/>
              </w:rPr>
              <w:t>学生、老师</w:t>
            </w:r>
          </w:p>
        </w:tc>
        <w:tc>
          <w:tcPr>
            <w:tcW w:w="401" w:type="pct"/>
            <w:noWrap/>
            <w:vAlign w:val="center"/>
          </w:tcPr>
          <w:p>
            <w:pPr>
              <w:wordWrap w:val="0"/>
              <w:jc w:val="center"/>
              <w:rPr>
                <w:rFonts w:eastAsia="宋体" w:cs="Times New Roman"/>
                <w:color w:val="000000"/>
                <w:sz w:val="21"/>
              </w:rPr>
            </w:pPr>
            <w:r>
              <w:rPr>
                <w:rFonts w:eastAsia="宋体" w:cs="Times New Roman"/>
                <w:color w:val="000000"/>
                <w:sz w:val="21"/>
              </w:rPr>
              <w:t>西南</w:t>
            </w:r>
          </w:p>
        </w:tc>
        <w:tc>
          <w:tcPr>
            <w:tcW w:w="629" w:type="pct"/>
            <w:noWrap/>
            <w:vAlign w:val="center"/>
          </w:tcPr>
          <w:p>
            <w:pPr>
              <w:pStyle w:val="22"/>
              <w:jc w:val="center"/>
              <w:rPr>
                <w:rFonts w:ascii="Times New Roman" w:hAnsi="Times New Roman"/>
                <w:color w:val="000000"/>
              </w:rPr>
            </w:pPr>
            <w:r>
              <w:rPr>
                <w:rFonts w:ascii="Times New Roman" w:hAnsi="Times New Roman"/>
                <w:color w:val="000000"/>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3" w:type="pct"/>
            <w:vMerge w:val="continue"/>
            <w:vAlign w:val="center"/>
          </w:tcPr>
          <w:p>
            <w:pPr>
              <w:widowControl/>
              <w:jc w:val="center"/>
              <w:rPr>
                <w:rFonts w:eastAsia="宋体" w:cs="Times New Roman"/>
                <w:color w:val="000000"/>
                <w:sz w:val="21"/>
              </w:rPr>
            </w:pPr>
          </w:p>
        </w:tc>
        <w:tc>
          <w:tcPr>
            <w:tcW w:w="614" w:type="pct"/>
            <w:noWrap/>
            <w:vAlign w:val="center"/>
          </w:tcPr>
          <w:p>
            <w:pPr>
              <w:jc w:val="center"/>
              <w:rPr>
                <w:rFonts w:eastAsia="宋体" w:cs="Times New Roman"/>
                <w:color w:val="000000"/>
                <w:sz w:val="21"/>
              </w:rPr>
            </w:pPr>
            <w:r>
              <w:rPr>
                <w:rFonts w:eastAsia="宋体" w:cs="Times New Roman"/>
                <w:color w:val="000000"/>
                <w:sz w:val="21"/>
              </w:rPr>
              <w:t>兴湘花园</w:t>
            </w:r>
          </w:p>
        </w:tc>
        <w:tc>
          <w:tcPr>
            <w:tcW w:w="793" w:type="pct"/>
            <w:noWrap/>
            <w:vAlign w:val="center"/>
          </w:tcPr>
          <w:p>
            <w:pPr>
              <w:pStyle w:val="22"/>
              <w:jc w:val="center"/>
              <w:rPr>
                <w:rFonts w:ascii="Times New Roman" w:hAnsi="Times New Roman"/>
                <w:color w:val="000000"/>
              </w:rPr>
            </w:pPr>
            <w:r>
              <w:rPr>
                <w:rFonts w:ascii="Times New Roman" w:hAnsi="Times New Roman"/>
                <w:color w:val="000000"/>
              </w:rPr>
              <w:t>12593435.494</w:t>
            </w:r>
          </w:p>
        </w:tc>
        <w:tc>
          <w:tcPr>
            <w:tcW w:w="877" w:type="pct"/>
            <w:noWrap/>
            <w:vAlign w:val="center"/>
          </w:tcPr>
          <w:p>
            <w:pPr>
              <w:pStyle w:val="22"/>
              <w:jc w:val="center"/>
              <w:rPr>
                <w:rFonts w:ascii="Times New Roman" w:hAnsi="Times New Roman"/>
                <w:color w:val="000000"/>
              </w:rPr>
            </w:pPr>
            <w:r>
              <w:rPr>
                <w:rFonts w:ascii="Times New Roman" w:hAnsi="Times New Roman"/>
                <w:color w:val="000000"/>
              </w:rPr>
              <w:t>3424225.938</w:t>
            </w:r>
          </w:p>
        </w:tc>
        <w:tc>
          <w:tcPr>
            <w:tcW w:w="1144" w:type="pct"/>
            <w:noWrap/>
            <w:vAlign w:val="center"/>
          </w:tcPr>
          <w:p>
            <w:pPr>
              <w:pStyle w:val="22"/>
              <w:jc w:val="center"/>
              <w:rPr>
                <w:rFonts w:ascii="Times New Roman" w:hAnsi="Times New Roman"/>
                <w:color w:val="000000"/>
              </w:rPr>
            </w:pPr>
            <w:r>
              <w:rPr>
                <w:rFonts w:ascii="Times New Roman" w:hAnsi="Times New Roman"/>
                <w:color w:val="000000"/>
              </w:rPr>
              <w:t>兴湘花园居民</w:t>
            </w:r>
          </w:p>
        </w:tc>
        <w:tc>
          <w:tcPr>
            <w:tcW w:w="401" w:type="pct"/>
            <w:noWrap/>
            <w:vAlign w:val="center"/>
          </w:tcPr>
          <w:p>
            <w:pPr>
              <w:wordWrap w:val="0"/>
              <w:jc w:val="center"/>
              <w:rPr>
                <w:rFonts w:eastAsia="宋体" w:cs="Times New Roman"/>
                <w:color w:val="000000"/>
                <w:sz w:val="21"/>
              </w:rPr>
            </w:pPr>
            <w:r>
              <w:rPr>
                <w:rFonts w:eastAsia="宋体" w:cs="Times New Roman"/>
                <w:color w:val="000000"/>
                <w:sz w:val="21"/>
              </w:rPr>
              <w:t>西南</w:t>
            </w:r>
          </w:p>
        </w:tc>
        <w:tc>
          <w:tcPr>
            <w:tcW w:w="629" w:type="pct"/>
            <w:noWrap/>
            <w:vAlign w:val="center"/>
          </w:tcPr>
          <w:p>
            <w:pPr>
              <w:pStyle w:val="22"/>
              <w:jc w:val="center"/>
              <w:rPr>
                <w:rFonts w:ascii="Times New Roman" w:hAnsi="Times New Roman"/>
                <w:color w:val="000000"/>
              </w:rPr>
            </w:pPr>
            <w:r>
              <w:rPr>
                <w:rFonts w:ascii="Times New Roman" w:hAnsi="Times New Roman"/>
                <w:color w:val="000000"/>
              </w:rPr>
              <w:t>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3" w:type="pct"/>
            <w:vMerge w:val="continue"/>
            <w:vAlign w:val="center"/>
          </w:tcPr>
          <w:p>
            <w:pPr>
              <w:widowControl/>
              <w:jc w:val="center"/>
              <w:rPr>
                <w:rFonts w:eastAsia="宋体" w:cs="Times New Roman"/>
                <w:color w:val="000000"/>
                <w:sz w:val="21"/>
              </w:rPr>
            </w:pPr>
          </w:p>
        </w:tc>
        <w:tc>
          <w:tcPr>
            <w:tcW w:w="614" w:type="pct"/>
            <w:noWrap/>
            <w:vAlign w:val="center"/>
          </w:tcPr>
          <w:p>
            <w:pPr>
              <w:jc w:val="center"/>
              <w:rPr>
                <w:rFonts w:eastAsia="宋体" w:cs="Times New Roman"/>
                <w:color w:val="000000"/>
                <w:sz w:val="21"/>
              </w:rPr>
            </w:pPr>
            <w:r>
              <w:rPr>
                <w:rFonts w:eastAsia="宋体" w:cs="Times New Roman"/>
                <w:color w:val="000000"/>
                <w:sz w:val="21"/>
              </w:rPr>
              <w:t>海华住宅小区</w:t>
            </w:r>
          </w:p>
        </w:tc>
        <w:tc>
          <w:tcPr>
            <w:tcW w:w="793" w:type="pct"/>
            <w:noWrap/>
            <w:vAlign w:val="center"/>
          </w:tcPr>
          <w:p>
            <w:pPr>
              <w:pStyle w:val="22"/>
              <w:jc w:val="center"/>
              <w:rPr>
                <w:rFonts w:ascii="Times New Roman" w:hAnsi="Times New Roman"/>
                <w:color w:val="000000"/>
              </w:rPr>
            </w:pPr>
            <w:r>
              <w:rPr>
                <w:rFonts w:ascii="Times New Roman" w:hAnsi="Times New Roman"/>
                <w:color w:val="000000"/>
              </w:rPr>
              <w:t>12593509.542</w:t>
            </w:r>
          </w:p>
        </w:tc>
        <w:tc>
          <w:tcPr>
            <w:tcW w:w="877" w:type="pct"/>
            <w:noWrap/>
            <w:vAlign w:val="center"/>
          </w:tcPr>
          <w:p>
            <w:pPr>
              <w:pStyle w:val="22"/>
              <w:jc w:val="center"/>
              <w:rPr>
                <w:rFonts w:ascii="Times New Roman" w:hAnsi="Times New Roman"/>
                <w:color w:val="000000"/>
              </w:rPr>
            </w:pPr>
            <w:r>
              <w:rPr>
                <w:rFonts w:ascii="Times New Roman" w:hAnsi="Times New Roman"/>
                <w:color w:val="000000"/>
              </w:rPr>
              <w:t>3420417.605</w:t>
            </w:r>
          </w:p>
        </w:tc>
        <w:tc>
          <w:tcPr>
            <w:tcW w:w="1144" w:type="pct"/>
            <w:noWrap/>
            <w:vAlign w:val="center"/>
          </w:tcPr>
          <w:p>
            <w:pPr>
              <w:pStyle w:val="22"/>
              <w:jc w:val="center"/>
              <w:rPr>
                <w:rFonts w:ascii="Times New Roman" w:hAnsi="Times New Roman"/>
                <w:color w:val="000000"/>
              </w:rPr>
            </w:pPr>
            <w:r>
              <w:rPr>
                <w:rFonts w:ascii="Times New Roman" w:hAnsi="Times New Roman"/>
                <w:color w:val="000000"/>
              </w:rPr>
              <w:t>海华住宅小区居民</w:t>
            </w:r>
          </w:p>
        </w:tc>
        <w:tc>
          <w:tcPr>
            <w:tcW w:w="401" w:type="pct"/>
            <w:noWrap/>
            <w:vAlign w:val="center"/>
          </w:tcPr>
          <w:p>
            <w:pPr>
              <w:jc w:val="center"/>
              <w:rPr>
                <w:rFonts w:cs="Times New Roman"/>
              </w:rPr>
            </w:pPr>
            <w:r>
              <w:rPr>
                <w:rFonts w:eastAsia="宋体" w:cs="Times New Roman"/>
                <w:color w:val="000000"/>
                <w:sz w:val="21"/>
              </w:rPr>
              <w:t>西南</w:t>
            </w:r>
          </w:p>
        </w:tc>
        <w:tc>
          <w:tcPr>
            <w:tcW w:w="629" w:type="pct"/>
            <w:noWrap/>
            <w:vAlign w:val="center"/>
          </w:tcPr>
          <w:p>
            <w:pPr>
              <w:pStyle w:val="22"/>
              <w:jc w:val="center"/>
              <w:rPr>
                <w:rFonts w:ascii="Times New Roman" w:hAnsi="Times New Roman"/>
                <w:color w:val="000000"/>
              </w:rPr>
            </w:pPr>
            <w:r>
              <w:rPr>
                <w:rFonts w:ascii="Times New Roman" w:hAnsi="Times New Roman"/>
                <w:color w:val="000000"/>
              </w:rPr>
              <w:t>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3" w:type="pct"/>
            <w:vMerge w:val="continue"/>
            <w:vAlign w:val="center"/>
          </w:tcPr>
          <w:p>
            <w:pPr>
              <w:widowControl/>
              <w:jc w:val="center"/>
              <w:rPr>
                <w:rFonts w:eastAsia="宋体" w:cs="Times New Roman"/>
                <w:color w:val="000000"/>
                <w:sz w:val="21"/>
              </w:rPr>
            </w:pPr>
          </w:p>
        </w:tc>
        <w:tc>
          <w:tcPr>
            <w:tcW w:w="614" w:type="pct"/>
            <w:noWrap/>
            <w:vAlign w:val="center"/>
          </w:tcPr>
          <w:p>
            <w:pPr>
              <w:jc w:val="center"/>
              <w:rPr>
                <w:rFonts w:eastAsia="宋体" w:cs="Times New Roman"/>
                <w:color w:val="000000"/>
                <w:sz w:val="21"/>
              </w:rPr>
            </w:pPr>
            <w:r>
              <w:rPr>
                <w:rFonts w:eastAsia="宋体" w:cs="Times New Roman"/>
                <w:color w:val="000000"/>
                <w:sz w:val="21"/>
              </w:rPr>
              <w:t>兴达小区</w:t>
            </w:r>
          </w:p>
        </w:tc>
        <w:tc>
          <w:tcPr>
            <w:tcW w:w="793" w:type="pct"/>
            <w:noWrap/>
            <w:vAlign w:val="center"/>
          </w:tcPr>
          <w:p>
            <w:pPr>
              <w:pStyle w:val="22"/>
              <w:jc w:val="center"/>
              <w:rPr>
                <w:rFonts w:ascii="Times New Roman" w:hAnsi="Times New Roman"/>
                <w:color w:val="000000"/>
              </w:rPr>
            </w:pPr>
            <w:r>
              <w:rPr>
                <w:rFonts w:ascii="Times New Roman" w:hAnsi="Times New Roman"/>
                <w:color w:val="000000"/>
              </w:rPr>
              <w:t>12593270.677</w:t>
            </w:r>
          </w:p>
        </w:tc>
        <w:tc>
          <w:tcPr>
            <w:tcW w:w="877" w:type="pct"/>
            <w:noWrap/>
            <w:vAlign w:val="center"/>
          </w:tcPr>
          <w:p>
            <w:pPr>
              <w:pStyle w:val="22"/>
              <w:jc w:val="center"/>
              <w:rPr>
                <w:rFonts w:ascii="Times New Roman" w:hAnsi="Times New Roman"/>
                <w:color w:val="000000"/>
              </w:rPr>
            </w:pPr>
            <w:r>
              <w:rPr>
                <w:rFonts w:ascii="Times New Roman" w:hAnsi="Times New Roman"/>
                <w:color w:val="000000"/>
              </w:rPr>
              <w:t>3423913.439</w:t>
            </w:r>
          </w:p>
        </w:tc>
        <w:tc>
          <w:tcPr>
            <w:tcW w:w="1144" w:type="pct"/>
            <w:noWrap/>
            <w:vAlign w:val="center"/>
          </w:tcPr>
          <w:p>
            <w:pPr>
              <w:pStyle w:val="22"/>
              <w:jc w:val="center"/>
              <w:rPr>
                <w:rFonts w:ascii="Times New Roman" w:hAnsi="Times New Roman"/>
                <w:color w:val="000000"/>
              </w:rPr>
            </w:pPr>
            <w:r>
              <w:rPr>
                <w:rFonts w:ascii="Times New Roman" w:hAnsi="Times New Roman"/>
                <w:color w:val="000000"/>
              </w:rPr>
              <w:t>兴达小区居民</w:t>
            </w:r>
          </w:p>
        </w:tc>
        <w:tc>
          <w:tcPr>
            <w:tcW w:w="401" w:type="pct"/>
            <w:noWrap/>
            <w:vAlign w:val="center"/>
          </w:tcPr>
          <w:p>
            <w:pPr>
              <w:jc w:val="center"/>
              <w:rPr>
                <w:rFonts w:cs="Times New Roman"/>
              </w:rPr>
            </w:pPr>
            <w:r>
              <w:rPr>
                <w:rFonts w:eastAsia="宋体" w:cs="Times New Roman"/>
                <w:color w:val="000000"/>
                <w:sz w:val="21"/>
              </w:rPr>
              <w:t>西南</w:t>
            </w:r>
          </w:p>
        </w:tc>
        <w:tc>
          <w:tcPr>
            <w:tcW w:w="629" w:type="pct"/>
            <w:noWrap/>
            <w:vAlign w:val="center"/>
          </w:tcPr>
          <w:p>
            <w:pPr>
              <w:pStyle w:val="22"/>
              <w:jc w:val="center"/>
              <w:rPr>
                <w:rFonts w:ascii="Times New Roman" w:hAnsi="Times New Roman"/>
                <w:color w:val="000000"/>
              </w:rPr>
            </w:pPr>
            <w:r>
              <w:rPr>
                <w:rFonts w:ascii="Times New Roman" w:hAnsi="Times New Roman"/>
                <w:color w:val="000000"/>
              </w:rPr>
              <w:t>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3" w:type="pct"/>
            <w:vMerge w:val="continue"/>
            <w:vAlign w:val="center"/>
          </w:tcPr>
          <w:p>
            <w:pPr>
              <w:widowControl/>
              <w:jc w:val="center"/>
              <w:rPr>
                <w:rFonts w:eastAsia="宋体" w:cs="Times New Roman"/>
                <w:color w:val="000000"/>
                <w:sz w:val="21"/>
              </w:rPr>
            </w:pPr>
          </w:p>
        </w:tc>
        <w:tc>
          <w:tcPr>
            <w:tcW w:w="614" w:type="pct"/>
            <w:noWrap/>
            <w:vAlign w:val="center"/>
          </w:tcPr>
          <w:p>
            <w:pPr>
              <w:jc w:val="center"/>
              <w:rPr>
                <w:rFonts w:eastAsia="宋体" w:cs="Times New Roman"/>
                <w:color w:val="000000"/>
                <w:sz w:val="21"/>
              </w:rPr>
            </w:pPr>
            <w:r>
              <w:rPr>
                <w:rFonts w:eastAsia="宋体" w:cs="Times New Roman"/>
                <w:color w:val="000000"/>
                <w:sz w:val="21"/>
              </w:rPr>
              <w:t>兴舍家私</w:t>
            </w:r>
          </w:p>
        </w:tc>
        <w:tc>
          <w:tcPr>
            <w:tcW w:w="793" w:type="pct"/>
            <w:noWrap/>
            <w:vAlign w:val="center"/>
          </w:tcPr>
          <w:p>
            <w:pPr>
              <w:pStyle w:val="22"/>
              <w:jc w:val="center"/>
              <w:rPr>
                <w:rFonts w:ascii="Times New Roman" w:hAnsi="Times New Roman"/>
                <w:color w:val="000000"/>
              </w:rPr>
            </w:pPr>
            <w:r>
              <w:rPr>
                <w:rFonts w:ascii="Times New Roman" w:hAnsi="Times New Roman"/>
                <w:color w:val="000000"/>
              </w:rPr>
              <w:t>12593509.542</w:t>
            </w:r>
          </w:p>
        </w:tc>
        <w:tc>
          <w:tcPr>
            <w:tcW w:w="877" w:type="pct"/>
            <w:noWrap/>
            <w:vAlign w:val="center"/>
          </w:tcPr>
          <w:p>
            <w:pPr>
              <w:pStyle w:val="22"/>
              <w:jc w:val="center"/>
              <w:rPr>
                <w:rFonts w:ascii="Times New Roman" w:hAnsi="Times New Roman"/>
                <w:color w:val="000000"/>
              </w:rPr>
            </w:pPr>
            <w:r>
              <w:rPr>
                <w:rFonts w:ascii="Times New Roman" w:hAnsi="Times New Roman"/>
                <w:color w:val="000000"/>
              </w:rPr>
              <w:t>3420417.605</w:t>
            </w:r>
          </w:p>
        </w:tc>
        <w:tc>
          <w:tcPr>
            <w:tcW w:w="1144" w:type="pct"/>
            <w:noWrap/>
            <w:vAlign w:val="center"/>
          </w:tcPr>
          <w:p>
            <w:pPr>
              <w:pStyle w:val="22"/>
              <w:jc w:val="center"/>
              <w:rPr>
                <w:rFonts w:ascii="Times New Roman" w:hAnsi="Times New Roman"/>
                <w:color w:val="000000"/>
              </w:rPr>
            </w:pPr>
            <w:r>
              <w:rPr>
                <w:rFonts w:ascii="Times New Roman" w:hAnsi="Times New Roman"/>
                <w:color w:val="000000"/>
              </w:rPr>
              <w:t>兴舍家私居民</w:t>
            </w:r>
          </w:p>
        </w:tc>
        <w:tc>
          <w:tcPr>
            <w:tcW w:w="401" w:type="pct"/>
            <w:noWrap/>
            <w:vAlign w:val="center"/>
          </w:tcPr>
          <w:p>
            <w:pPr>
              <w:wordWrap w:val="0"/>
              <w:jc w:val="center"/>
              <w:rPr>
                <w:rFonts w:eastAsia="宋体" w:cs="Times New Roman"/>
                <w:color w:val="000000"/>
                <w:sz w:val="21"/>
              </w:rPr>
            </w:pPr>
            <w:r>
              <w:rPr>
                <w:rFonts w:eastAsia="宋体" w:cs="Times New Roman"/>
                <w:color w:val="000000"/>
                <w:sz w:val="21"/>
              </w:rPr>
              <w:t>西南</w:t>
            </w:r>
          </w:p>
        </w:tc>
        <w:tc>
          <w:tcPr>
            <w:tcW w:w="629" w:type="pct"/>
            <w:noWrap/>
            <w:vAlign w:val="center"/>
          </w:tcPr>
          <w:p>
            <w:pPr>
              <w:pStyle w:val="22"/>
              <w:jc w:val="center"/>
              <w:rPr>
                <w:rFonts w:ascii="Times New Roman" w:hAnsi="Times New Roman"/>
                <w:color w:val="000000"/>
              </w:rPr>
            </w:pPr>
            <w:r>
              <w:rPr>
                <w:rFonts w:ascii="Times New Roman" w:hAnsi="Times New Roman"/>
                <w:color w:val="000000"/>
              </w:rPr>
              <w:t>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3" w:type="pct"/>
            <w:vMerge w:val="continue"/>
            <w:vAlign w:val="center"/>
          </w:tcPr>
          <w:p>
            <w:pPr>
              <w:widowControl/>
              <w:jc w:val="center"/>
              <w:rPr>
                <w:rFonts w:eastAsia="宋体" w:cs="Times New Roman"/>
                <w:color w:val="000000"/>
                <w:sz w:val="21"/>
              </w:rPr>
            </w:pPr>
          </w:p>
        </w:tc>
        <w:tc>
          <w:tcPr>
            <w:tcW w:w="614" w:type="pct"/>
            <w:noWrap/>
            <w:vAlign w:val="center"/>
          </w:tcPr>
          <w:p>
            <w:pPr>
              <w:jc w:val="center"/>
              <w:rPr>
                <w:rFonts w:eastAsia="宋体" w:cs="Times New Roman"/>
                <w:color w:val="000000"/>
                <w:sz w:val="21"/>
              </w:rPr>
            </w:pPr>
            <w:r>
              <w:rPr>
                <w:rFonts w:eastAsia="宋体" w:cs="Times New Roman"/>
                <w:color w:val="000000"/>
                <w:sz w:val="21"/>
              </w:rPr>
              <w:t>虹桥家园</w:t>
            </w:r>
          </w:p>
        </w:tc>
        <w:tc>
          <w:tcPr>
            <w:tcW w:w="793" w:type="pct"/>
            <w:noWrap/>
            <w:vAlign w:val="center"/>
          </w:tcPr>
          <w:p>
            <w:pPr>
              <w:pStyle w:val="22"/>
              <w:jc w:val="center"/>
              <w:rPr>
                <w:rFonts w:ascii="Times New Roman" w:hAnsi="Times New Roman"/>
                <w:color w:val="000000"/>
              </w:rPr>
            </w:pPr>
            <w:r>
              <w:rPr>
                <w:rFonts w:ascii="Times New Roman" w:hAnsi="Times New Roman"/>
                <w:color w:val="000000"/>
              </w:rPr>
              <w:t>12593734.076</w:t>
            </w:r>
          </w:p>
        </w:tc>
        <w:tc>
          <w:tcPr>
            <w:tcW w:w="877" w:type="pct"/>
            <w:noWrap/>
            <w:vAlign w:val="center"/>
          </w:tcPr>
          <w:p>
            <w:pPr>
              <w:pStyle w:val="22"/>
              <w:jc w:val="center"/>
              <w:rPr>
                <w:rFonts w:ascii="Times New Roman" w:hAnsi="Times New Roman"/>
                <w:color w:val="000000"/>
              </w:rPr>
            </w:pPr>
            <w:r>
              <w:rPr>
                <w:rFonts w:ascii="Times New Roman" w:hAnsi="Times New Roman"/>
                <w:color w:val="000000"/>
              </w:rPr>
              <w:t>3423888.769</w:t>
            </w:r>
          </w:p>
        </w:tc>
        <w:tc>
          <w:tcPr>
            <w:tcW w:w="1144" w:type="pct"/>
            <w:noWrap/>
            <w:vAlign w:val="center"/>
          </w:tcPr>
          <w:p>
            <w:pPr>
              <w:pStyle w:val="22"/>
              <w:jc w:val="center"/>
              <w:rPr>
                <w:rFonts w:ascii="Times New Roman" w:hAnsi="Times New Roman"/>
                <w:color w:val="000000"/>
              </w:rPr>
            </w:pPr>
            <w:r>
              <w:rPr>
                <w:rFonts w:ascii="Times New Roman" w:hAnsi="Times New Roman"/>
                <w:color w:val="000000"/>
              </w:rPr>
              <w:t>虹桥家园居民</w:t>
            </w:r>
          </w:p>
        </w:tc>
        <w:tc>
          <w:tcPr>
            <w:tcW w:w="401" w:type="pct"/>
            <w:noWrap/>
            <w:vAlign w:val="center"/>
          </w:tcPr>
          <w:p>
            <w:pPr>
              <w:jc w:val="center"/>
              <w:rPr>
                <w:rFonts w:cs="Times New Roman"/>
              </w:rPr>
            </w:pPr>
            <w:r>
              <w:rPr>
                <w:rFonts w:eastAsia="宋体" w:cs="Times New Roman"/>
                <w:color w:val="000000"/>
                <w:sz w:val="21"/>
              </w:rPr>
              <w:t>西南</w:t>
            </w:r>
          </w:p>
        </w:tc>
        <w:tc>
          <w:tcPr>
            <w:tcW w:w="629" w:type="pct"/>
            <w:noWrap/>
            <w:vAlign w:val="center"/>
          </w:tcPr>
          <w:p>
            <w:pPr>
              <w:pStyle w:val="22"/>
              <w:jc w:val="center"/>
              <w:rPr>
                <w:rFonts w:ascii="Times New Roman" w:hAnsi="Times New Roman"/>
                <w:color w:val="000000"/>
              </w:rPr>
            </w:pPr>
            <w:r>
              <w:rPr>
                <w:rFonts w:ascii="Times New Roman" w:hAnsi="Times New Roman"/>
                <w:color w:val="000000"/>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3" w:type="pct"/>
            <w:vMerge w:val="continue"/>
            <w:vAlign w:val="center"/>
          </w:tcPr>
          <w:p>
            <w:pPr>
              <w:widowControl/>
              <w:jc w:val="center"/>
              <w:rPr>
                <w:rFonts w:eastAsia="宋体" w:cs="Times New Roman"/>
                <w:color w:val="000000"/>
                <w:sz w:val="21"/>
              </w:rPr>
            </w:pPr>
          </w:p>
        </w:tc>
        <w:tc>
          <w:tcPr>
            <w:tcW w:w="614" w:type="pct"/>
            <w:noWrap/>
            <w:vAlign w:val="center"/>
          </w:tcPr>
          <w:p>
            <w:pPr>
              <w:jc w:val="center"/>
              <w:rPr>
                <w:rFonts w:eastAsia="宋体" w:cs="Times New Roman"/>
                <w:color w:val="000000"/>
                <w:sz w:val="21"/>
              </w:rPr>
            </w:pPr>
            <w:r>
              <w:rPr>
                <w:rFonts w:eastAsia="宋体" w:cs="Times New Roman"/>
                <w:color w:val="000000"/>
                <w:sz w:val="21"/>
              </w:rPr>
              <w:t>财源小区</w:t>
            </w:r>
          </w:p>
        </w:tc>
        <w:tc>
          <w:tcPr>
            <w:tcW w:w="793" w:type="pct"/>
            <w:noWrap/>
            <w:vAlign w:val="center"/>
          </w:tcPr>
          <w:p>
            <w:pPr>
              <w:pStyle w:val="22"/>
              <w:jc w:val="center"/>
              <w:rPr>
                <w:rFonts w:ascii="Times New Roman" w:hAnsi="Times New Roman"/>
                <w:color w:val="000000"/>
              </w:rPr>
            </w:pPr>
            <w:r>
              <w:rPr>
                <w:rFonts w:ascii="Times New Roman" w:hAnsi="Times New Roman"/>
                <w:color w:val="000000"/>
              </w:rPr>
              <w:t>12593595.534</w:t>
            </w:r>
          </w:p>
        </w:tc>
        <w:tc>
          <w:tcPr>
            <w:tcW w:w="877" w:type="pct"/>
            <w:noWrap/>
            <w:vAlign w:val="center"/>
          </w:tcPr>
          <w:p>
            <w:pPr>
              <w:pStyle w:val="22"/>
              <w:jc w:val="center"/>
              <w:rPr>
                <w:rFonts w:ascii="Times New Roman" w:hAnsi="Times New Roman"/>
                <w:color w:val="000000"/>
              </w:rPr>
            </w:pPr>
            <w:r>
              <w:rPr>
                <w:rFonts w:ascii="Times New Roman" w:hAnsi="Times New Roman"/>
                <w:color w:val="000000"/>
              </w:rPr>
              <w:t>3423792.828</w:t>
            </w:r>
          </w:p>
        </w:tc>
        <w:tc>
          <w:tcPr>
            <w:tcW w:w="1144" w:type="pct"/>
            <w:noWrap/>
            <w:vAlign w:val="center"/>
          </w:tcPr>
          <w:p>
            <w:pPr>
              <w:pStyle w:val="22"/>
              <w:jc w:val="center"/>
              <w:rPr>
                <w:rFonts w:ascii="Times New Roman" w:hAnsi="Times New Roman"/>
                <w:color w:val="000000"/>
              </w:rPr>
            </w:pPr>
            <w:r>
              <w:rPr>
                <w:rFonts w:ascii="Times New Roman" w:hAnsi="Times New Roman"/>
                <w:color w:val="000000"/>
              </w:rPr>
              <w:t>财源小区居民</w:t>
            </w:r>
          </w:p>
        </w:tc>
        <w:tc>
          <w:tcPr>
            <w:tcW w:w="401" w:type="pct"/>
            <w:noWrap/>
            <w:vAlign w:val="center"/>
          </w:tcPr>
          <w:p>
            <w:pPr>
              <w:jc w:val="center"/>
              <w:rPr>
                <w:rFonts w:cs="Times New Roman"/>
              </w:rPr>
            </w:pPr>
            <w:r>
              <w:rPr>
                <w:rFonts w:eastAsia="宋体" w:cs="Times New Roman"/>
                <w:color w:val="000000"/>
                <w:sz w:val="21"/>
              </w:rPr>
              <w:t>西南</w:t>
            </w:r>
          </w:p>
        </w:tc>
        <w:tc>
          <w:tcPr>
            <w:tcW w:w="629" w:type="pct"/>
            <w:noWrap/>
            <w:vAlign w:val="center"/>
          </w:tcPr>
          <w:p>
            <w:pPr>
              <w:pStyle w:val="22"/>
              <w:jc w:val="center"/>
              <w:rPr>
                <w:rFonts w:ascii="Times New Roman" w:hAnsi="Times New Roman"/>
                <w:color w:val="000000"/>
              </w:rPr>
            </w:pPr>
            <w:r>
              <w:rPr>
                <w:rFonts w:ascii="Times New Roman" w:hAnsi="Times New Roman"/>
                <w:color w:val="000000"/>
              </w:rPr>
              <w:t>751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3" w:type="pct"/>
            <w:vMerge w:val="continue"/>
            <w:vAlign w:val="center"/>
          </w:tcPr>
          <w:p>
            <w:pPr>
              <w:widowControl/>
              <w:jc w:val="center"/>
              <w:rPr>
                <w:rFonts w:eastAsia="宋体" w:cs="Times New Roman"/>
                <w:color w:val="000000"/>
                <w:sz w:val="21"/>
              </w:rPr>
            </w:pPr>
          </w:p>
        </w:tc>
        <w:tc>
          <w:tcPr>
            <w:tcW w:w="614" w:type="pct"/>
            <w:noWrap/>
            <w:vAlign w:val="center"/>
          </w:tcPr>
          <w:p>
            <w:pPr>
              <w:jc w:val="center"/>
              <w:rPr>
                <w:rFonts w:eastAsia="宋体" w:cs="Times New Roman"/>
                <w:color w:val="000000"/>
                <w:sz w:val="21"/>
              </w:rPr>
            </w:pPr>
            <w:r>
              <w:rPr>
                <w:rFonts w:eastAsia="宋体" w:cs="Times New Roman"/>
                <w:color w:val="000000"/>
                <w:sz w:val="21"/>
              </w:rPr>
              <w:t>东升华苑</w:t>
            </w:r>
          </w:p>
        </w:tc>
        <w:tc>
          <w:tcPr>
            <w:tcW w:w="793" w:type="pct"/>
            <w:noWrap/>
            <w:vAlign w:val="center"/>
          </w:tcPr>
          <w:p>
            <w:pPr>
              <w:pStyle w:val="22"/>
              <w:jc w:val="center"/>
              <w:rPr>
                <w:rFonts w:ascii="Times New Roman" w:hAnsi="Times New Roman"/>
                <w:color w:val="000000"/>
              </w:rPr>
            </w:pPr>
            <w:r>
              <w:rPr>
                <w:rFonts w:ascii="Times New Roman" w:hAnsi="Times New Roman"/>
                <w:color w:val="000000"/>
              </w:rPr>
              <w:t>12593755.574</w:t>
            </w:r>
          </w:p>
        </w:tc>
        <w:tc>
          <w:tcPr>
            <w:tcW w:w="877" w:type="pct"/>
            <w:noWrap/>
            <w:vAlign w:val="center"/>
          </w:tcPr>
          <w:p>
            <w:pPr>
              <w:pStyle w:val="22"/>
              <w:jc w:val="center"/>
              <w:rPr>
                <w:rFonts w:ascii="Times New Roman" w:hAnsi="Times New Roman"/>
                <w:color w:val="000000"/>
              </w:rPr>
            </w:pPr>
            <w:r>
              <w:rPr>
                <w:rFonts w:ascii="Times New Roman" w:hAnsi="Times New Roman"/>
                <w:color w:val="000000"/>
              </w:rPr>
              <w:t>3423625.619</w:t>
            </w:r>
          </w:p>
        </w:tc>
        <w:tc>
          <w:tcPr>
            <w:tcW w:w="1144" w:type="pct"/>
            <w:noWrap/>
            <w:vAlign w:val="center"/>
          </w:tcPr>
          <w:p>
            <w:pPr>
              <w:pStyle w:val="22"/>
              <w:jc w:val="center"/>
              <w:rPr>
                <w:rFonts w:ascii="Times New Roman" w:hAnsi="Times New Roman"/>
                <w:color w:val="000000"/>
              </w:rPr>
            </w:pPr>
            <w:r>
              <w:rPr>
                <w:rFonts w:ascii="Times New Roman" w:hAnsi="Times New Roman"/>
                <w:color w:val="000000"/>
              </w:rPr>
              <w:t>东升华苑居民</w:t>
            </w:r>
          </w:p>
        </w:tc>
        <w:tc>
          <w:tcPr>
            <w:tcW w:w="401" w:type="pct"/>
            <w:noWrap/>
            <w:vAlign w:val="center"/>
          </w:tcPr>
          <w:p>
            <w:pPr>
              <w:jc w:val="center"/>
              <w:rPr>
                <w:rFonts w:cs="Times New Roman"/>
              </w:rPr>
            </w:pPr>
            <w:r>
              <w:rPr>
                <w:rFonts w:eastAsia="宋体" w:cs="Times New Roman"/>
                <w:color w:val="000000"/>
                <w:sz w:val="21"/>
              </w:rPr>
              <w:t>西南</w:t>
            </w:r>
          </w:p>
        </w:tc>
        <w:tc>
          <w:tcPr>
            <w:tcW w:w="629" w:type="pct"/>
            <w:noWrap/>
            <w:vAlign w:val="center"/>
          </w:tcPr>
          <w:p>
            <w:pPr>
              <w:pStyle w:val="22"/>
              <w:jc w:val="center"/>
              <w:rPr>
                <w:rFonts w:ascii="Times New Roman" w:hAnsi="Times New Roman"/>
                <w:color w:val="000000"/>
              </w:rPr>
            </w:pPr>
            <w:r>
              <w:rPr>
                <w:rFonts w:ascii="Times New Roman" w:hAnsi="Times New Roman"/>
                <w:color w:val="000000"/>
              </w:rPr>
              <w:t>832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3" w:type="pct"/>
            <w:vMerge w:val="continue"/>
            <w:vAlign w:val="center"/>
          </w:tcPr>
          <w:p>
            <w:pPr>
              <w:widowControl/>
              <w:jc w:val="center"/>
              <w:rPr>
                <w:rFonts w:eastAsia="宋体" w:cs="Times New Roman"/>
                <w:color w:val="000000"/>
                <w:sz w:val="21"/>
              </w:rPr>
            </w:pPr>
          </w:p>
        </w:tc>
        <w:tc>
          <w:tcPr>
            <w:tcW w:w="614" w:type="pct"/>
            <w:noWrap/>
            <w:vAlign w:val="center"/>
          </w:tcPr>
          <w:p>
            <w:pPr>
              <w:jc w:val="center"/>
              <w:rPr>
                <w:rFonts w:eastAsia="宋体" w:cs="Times New Roman"/>
                <w:color w:val="000000"/>
                <w:sz w:val="21"/>
              </w:rPr>
            </w:pPr>
            <w:r>
              <w:rPr>
                <w:rFonts w:eastAsia="宋体" w:cs="Times New Roman"/>
                <w:color w:val="000000"/>
                <w:sz w:val="21"/>
              </w:rPr>
              <w:t>锦玉家园</w:t>
            </w:r>
          </w:p>
        </w:tc>
        <w:tc>
          <w:tcPr>
            <w:tcW w:w="793" w:type="pct"/>
            <w:noWrap/>
            <w:vAlign w:val="center"/>
          </w:tcPr>
          <w:p>
            <w:pPr>
              <w:pStyle w:val="22"/>
              <w:jc w:val="center"/>
              <w:rPr>
                <w:rFonts w:ascii="Times New Roman" w:hAnsi="Times New Roman"/>
                <w:color w:val="000000"/>
              </w:rPr>
            </w:pPr>
            <w:r>
              <w:rPr>
                <w:rFonts w:ascii="Times New Roman" w:hAnsi="Times New Roman"/>
                <w:color w:val="000000"/>
              </w:rPr>
              <w:t>12594367.070</w:t>
            </w:r>
          </w:p>
        </w:tc>
        <w:tc>
          <w:tcPr>
            <w:tcW w:w="877" w:type="pct"/>
            <w:noWrap/>
            <w:vAlign w:val="center"/>
          </w:tcPr>
          <w:p>
            <w:pPr>
              <w:pStyle w:val="22"/>
              <w:jc w:val="center"/>
              <w:rPr>
                <w:rFonts w:ascii="Times New Roman" w:hAnsi="Times New Roman"/>
                <w:color w:val="000000"/>
              </w:rPr>
            </w:pPr>
            <w:r>
              <w:rPr>
                <w:rFonts w:ascii="Times New Roman" w:hAnsi="Times New Roman"/>
                <w:color w:val="000000"/>
              </w:rPr>
              <w:t>3423960.040</w:t>
            </w:r>
          </w:p>
        </w:tc>
        <w:tc>
          <w:tcPr>
            <w:tcW w:w="1144" w:type="pct"/>
            <w:noWrap/>
            <w:vAlign w:val="center"/>
          </w:tcPr>
          <w:p>
            <w:pPr>
              <w:pStyle w:val="22"/>
              <w:jc w:val="center"/>
              <w:rPr>
                <w:rFonts w:ascii="Times New Roman" w:hAnsi="Times New Roman"/>
                <w:color w:val="000000"/>
              </w:rPr>
            </w:pPr>
            <w:r>
              <w:rPr>
                <w:rFonts w:ascii="Times New Roman" w:hAnsi="Times New Roman"/>
                <w:color w:val="000000"/>
              </w:rPr>
              <w:t>锦玉家园居民</w:t>
            </w:r>
          </w:p>
        </w:tc>
        <w:tc>
          <w:tcPr>
            <w:tcW w:w="401" w:type="pct"/>
            <w:noWrap/>
            <w:vAlign w:val="center"/>
          </w:tcPr>
          <w:p>
            <w:pPr>
              <w:wordWrap w:val="0"/>
              <w:jc w:val="center"/>
              <w:rPr>
                <w:rFonts w:eastAsia="宋体" w:cs="Times New Roman"/>
                <w:color w:val="000000"/>
                <w:sz w:val="21"/>
              </w:rPr>
            </w:pPr>
            <w:r>
              <w:rPr>
                <w:rFonts w:eastAsia="宋体" w:cs="Times New Roman"/>
                <w:color w:val="000000"/>
                <w:sz w:val="21"/>
              </w:rPr>
              <w:t>东南</w:t>
            </w:r>
          </w:p>
        </w:tc>
        <w:tc>
          <w:tcPr>
            <w:tcW w:w="629" w:type="pct"/>
            <w:noWrap/>
            <w:vAlign w:val="center"/>
          </w:tcPr>
          <w:p>
            <w:pPr>
              <w:pStyle w:val="22"/>
              <w:jc w:val="center"/>
              <w:rPr>
                <w:rFonts w:ascii="Times New Roman" w:hAnsi="Times New Roman"/>
                <w:color w:val="000000"/>
              </w:rPr>
            </w:pPr>
            <w:r>
              <w:rPr>
                <w:rFonts w:ascii="Times New Roman" w:hAnsi="Times New Roman"/>
                <w:color w:val="000000"/>
              </w:rPr>
              <w:t>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3" w:type="pct"/>
            <w:vMerge w:val="continue"/>
            <w:vAlign w:val="center"/>
          </w:tcPr>
          <w:p>
            <w:pPr>
              <w:widowControl/>
              <w:jc w:val="center"/>
              <w:rPr>
                <w:rFonts w:eastAsia="宋体" w:cs="Times New Roman"/>
                <w:color w:val="000000"/>
                <w:sz w:val="21"/>
              </w:rPr>
            </w:pPr>
          </w:p>
        </w:tc>
        <w:tc>
          <w:tcPr>
            <w:tcW w:w="614" w:type="pct"/>
            <w:noWrap/>
            <w:vAlign w:val="center"/>
          </w:tcPr>
          <w:p>
            <w:pPr>
              <w:jc w:val="center"/>
              <w:rPr>
                <w:rFonts w:eastAsia="宋体" w:cs="Times New Roman"/>
                <w:color w:val="000000"/>
                <w:sz w:val="21"/>
              </w:rPr>
            </w:pPr>
            <w:r>
              <w:rPr>
                <w:rFonts w:eastAsia="宋体" w:cs="Times New Roman"/>
                <w:color w:val="000000"/>
                <w:sz w:val="21"/>
              </w:rPr>
              <w:t>和乐园廉租房小区</w:t>
            </w:r>
          </w:p>
        </w:tc>
        <w:tc>
          <w:tcPr>
            <w:tcW w:w="793" w:type="pct"/>
            <w:noWrap/>
            <w:vAlign w:val="center"/>
          </w:tcPr>
          <w:p>
            <w:pPr>
              <w:pStyle w:val="22"/>
              <w:jc w:val="center"/>
              <w:rPr>
                <w:rFonts w:ascii="Times New Roman" w:hAnsi="Times New Roman"/>
                <w:color w:val="000000"/>
              </w:rPr>
            </w:pPr>
            <w:r>
              <w:rPr>
                <w:rFonts w:ascii="Times New Roman" w:hAnsi="Times New Roman"/>
                <w:color w:val="000000"/>
              </w:rPr>
              <w:t>12594899.741</w:t>
            </w:r>
          </w:p>
        </w:tc>
        <w:tc>
          <w:tcPr>
            <w:tcW w:w="877" w:type="pct"/>
            <w:noWrap/>
            <w:vAlign w:val="center"/>
          </w:tcPr>
          <w:p>
            <w:pPr>
              <w:pStyle w:val="22"/>
              <w:jc w:val="center"/>
              <w:rPr>
                <w:rFonts w:ascii="Times New Roman" w:hAnsi="Times New Roman"/>
                <w:color w:val="000000"/>
              </w:rPr>
            </w:pPr>
            <w:r>
              <w:rPr>
                <w:rFonts w:ascii="Times New Roman" w:hAnsi="Times New Roman"/>
                <w:color w:val="000000"/>
              </w:rPr>
              <w:t>3424193.043</w:t>
            </w:r>
          </w:p>
        </w:tc>
        <w:tc>
          <w:tcPr>
            <w:tcW w:w="1144" w:type="pct"/>
            <w:noWrap/>
            <w:vAlign w:val="center"/>
          </w:tcPr>
          <w:p>
            <w:pPr>
              <w:pStyle w:val="22"/>
              <w:jc w:val="center"/>
              <w:rPr>
                <w:rFonts w:ascii="Times New Roman" w:hAnsi="Times New Roman"/>
                <w:color w:val="000000"/>
              </w:rPr>
            </w:pPr>
            <w:r>
              <w:rPr>
                <w:rFonts w:ascii="Times New Roman" w:hAnsi="Times New Roman"/>
                <w:color w:val="000000"/>
              </w:rPr>
              <w:t>和乐园廉租房小区居民</w:t>
            </w:r>
          </w:p>
        </w:tc>
        <w:tc>
          <w:tcPr>
            <w:tcW w:w="401" w:type="pct"/>
            <w:noWrap/>
            <w:vAlign w:val="center"/>
          </w:tcPr>
          <w:p>
            <w:pPr>
              <w:jc w:val="center"/>
              <w:rPr>
                <w:rFonts w:cs="Times New Roman"/>
              </w:rPr>
            </w:pPr>
            <w:r>
              <w:rPr>
                <w:rFonts w:eastAsia="宋体" w:cs="Times New Roman"/>
                <w:color w:val="000000"/>
                <w:sz w:val="21"/>
              </w:rPr>
              <w:t>东南</w:t>
            </w:r>
          </w:p>
        </w:tc>
        <w:tc>
          <w:tcPr>
            <w:tcW w:w="629" w:type="pct"/>
            <w:noWrap/>
            <w:vAlign w:val="center"/>
          </w:tcPr>
          <w:p>
            <w:pPr>
              <w:pStyle w:val="22"/>
              <w:jc w:val="center"/>
              <w:rPr>
                <w:rFonts w:ascii="Times New Roman" w:hAnsi="Times New Roman"/>
                <w:color w:val="000000"/>
              </w:rPr>
            </w:pPr>
            <w:r>
              <w:rPr>
                <w:rFonts w:ascii="Times New Roman" w:hAnsi="Times New Roman"/>
                <w:color w:val="000000"/>
              </w:rPr>
              <w:t>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3" w:type="pct"/>
            <w:vMerge w:val="continue"/>
            <w:vAlign w:val="center"/>
          </w:tcPr>
          <w:p>
            <w:pPr>
              <w:widowControl/>
              <w:jc w:val="center"/>
              <w:rPr>
                <w:rFonts w:eastAsia="宋体" w:cs="Times New Roman"/>
                <w:color w:val="000000"/>
                <w:sz w:val="21"/>
              </w:rPr>
            </w:pPr>
          </w:p>
        </w:tc>
        <w:tc>
          <w:tcPr>
            <w:tcW w:w="614" w:type="pct"/>
            <w:noWrap/>
            <w:vAlign w:val="center"/>
          </w:tcPr>
          <w:p>
            <w:pPr>
              <w:jc w:val="center"/>
              <w:rPr>
                <w:rFonts w:eastAsia="宋体" w:cs="Times New Roman"/>
                <w:color w:val="000000"/>
                <w:sz w:val="21"/>
              </w:rPr>
            </w:pPr>
            <w:r>
              <w:rPr>
                <w:rFonts w:eastAsia="宋体" w:cs="Times New Roman"/>
                <w:color w:val="000000"/>
                <w:sz w:val="21"/>
              </w:rPr>
              <w:t>栋梁屋幼儿教育中心</w:t>
            </w:r>
          </w:p>
        </w:tc>
        <w:tc>
          <w:tcPr>
            <w:tcW w:w="793" w:type="pct"/>
            <w:noWrap/>
            <w:vAlign w:val="center"/>
          </w:tcPr>
          <w:p>
            <w:pPr>
              <w:pStyle w:val="22"/>
              <w:jc w:val="center"/>
              <w:rPr>
                <w:rFonts w:ascii="Times New Roman" w:hAnsi="Times New Roman"/>
                <w:color w:val="000000"/>
              </w:rPr>
            </w:pPr>
            <w:r>
              <w:rPr>
                <w:rFonts w:hint="eastAsia" w:ascii="Times New Roman" w:hAnsi="Times New Roman"/>
                <w:color w:val="000000"/>
              </w:rPr>
              <w:t>12595148.161</w:t>
            </w:r>
          </w:p>
        </w:tc>
        <w:tc>
          <w:tcPr>
            <w:tcW w:w="877" w:type="pct"/>
            <w:noWrap/>
            <w:vAlign w:val="center"/>
          </w:tcPr>
          <w:p>
            <w:pPr>
              <w:pStyle w:val="22"/>
              <w:jc w:val="center"/>
              <w:rPr>
                <w:rFonts w:ascii="Times New Roman" w:hAnsi="Times New Roman"/>
                <w:color w:val="000000"/>
              </w:rPr>
            </w:pPr>
            <w:r>
              <w:rPr>
                <w:rFonts w:hint="eastAsia" w:ascii="Times New Roman" w:hAnsi="Times New Roman"/>
                <w:color w:val="000000"/>
              </w:rPr>
              <w:t>3423513.233</w:t>
            </w:r>
          </w:p>
        </w:tc>
        <w:tc>
          <w:tcPr>
            <w:tcW w:w="1144" w:type="pct"/>
            <w:noWrap/>
            <w:vAlign w:val="center"/>
          </w:tcPr>
          <w:p>
            <w:pPr>
              <w:pStyle w:val="22"/>
              <w:jc w:val="center"/>
              <w:rPr>
                <w:rFonts w:ascii="Times New Roman" w:hAnsi="Times New Roman"/>
                <w:color w:val="000000"/>
              </w:rPr>
            </w:pPr>
            <w:r>
              <w:rPr>
                <w:rFonts w:ascii="Times New Roman" w:hAnsi="Times New Roman"/>
                <w:color w:val="000000"/>
              </w:rPr>
              <w:t>学生，老师</w:t>
            </w:r>
          </w:p>
        </w:tc>
        <w:tc>
          <w:tcPr>
            <w:tcW w:w="401" w:type="pct"/>
            <w:noWrap/>
            <w:vAlign w:val="center"/>
          </w:tcPr>
          <w:p>
            <w:pPr>
              <w:jc w:val="center"/>
              <w:rPr>
                <w:rFonts w:cs="Times New Roman"/>
              </w:rPr>
            </w:pPr>
            <w:r>
              <w:rPr>
                <w:rFonts w:eastAsia="宋体" w:cs="Times New Roman"/>
                <w:color w:val="000000"/>
                <w:sz w:val="21"/>
              </w:rPr>
              <w:t>东南</w:t>
            </w:r>
          </w:p>
        </w:tc>
        <w:tc>
          <w:tcPr>
            <w:tcW w:w="629" w:type="pct"/>
            <w:noWrap/>
            <w:vAlign w:val="center"/>
          </w:tcPr>
          <w:p>
            <w:pPr>
              <w:pStyle w:val="22"/>
              <w:jc w:val="center"/>
              <w:rPr>
                <w:rFonts w:ascii="Times New Roman" w:hAnsi="Times New Roman"/>
                <w:color w:val="000000"/>
              </w:rPr>
            </w:pPr>
            <w:r>
              <w:rPr>
                <w:rFonts w:ascii="Times New Roman" w:hAnsi="Times New Roman"/>
                <w:color w:val="000000"/>
              </w:rPr>
              <w:t>1161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3" w:type="pct"/>
            <w:vMerge w:val="continue"/>
            <w:vAlign w:val="center"/>
          </w:tcPr>
          <w:p>
            <w:pPr>
              <w:widowControl/>
              <w:jc w:val="center"/>
              <w:rPr>
                <w:rFonts w:eastAsia="宋体" w:cs="Times New Roman"/>
                <w:color w:val="000000"/>
                <w:sz w:val="21"/>
              </w:rPr>
            </w:pPr>
          </w:p>
        </w:tc>
        <w:tc>
          <w:tcPr>
            <w:tcW w:w="614" w:type="pct"/>
            <w:noWrap/>
            <w:vAlign w:val="center"/>
          </w:tcPr>
          <w:p>
            <w:pPr>
              <w:jc w:val="center"/>
              <w:rPr>
                <w:rFonts w:eastAsia="宋体" w:cs="Times New Roman"/>
                <w:color w:val="000000"/>
                <w:sz w:val="21"/>
              </w:rPr>
            </w:pPr>
            <w:r>
              <w:rPr>
                <w:rFonts w:eastAsia="宋体" w:cs="Times New Roman"/>
                <w:color w:val="000000"/>
                <w:sz w:val="21"/>
              </w:rPr>
              <w:t>雷锋山紫园小区</w:t>
            </w:r>
          </w:p>
        </w:tc>
        <w:tc>
          <w:tcPr>
            <w:tcW w:w="793" w:type="pct"/>
            <w:noWrap/>
            <w:vAlign w:val="center"/>
          </w:tcPr>
          <w:p>
            <w:pPr>
              <w:pStyle w:val="22"/>
              <w:jc w:val="center"/>
              <w:rPr>
                <w:rFonts w:ascii="Times New Roman" w:hAnsi="Times New Roman"/>
                <w:color w:val="000000"/>
              </w:rPr>
            </w:pPr>
            <w:r>
              <w:rPr>
                <w:rFonts w:hint="eastAsia" w:ascii="Times New Roman" w:hAnsi="Times New Roman"/>
                <w:color w:val="000000"/>
              </w:rPr>
              <w:t>12595248.485</w:t>
            </w:r>
          </w:p>
        </w:tc>
        <w:tc>
          <w:tcPr>
            <w:tcW w:w="877" w:type="pct"/>
            <w:noWrap/>
            <w:vAlign w:val="center"/>
          </w:tcPr>
          <w:p>
            <w:pPr>
              <w:pStyle w:val="22"/>
              <w:jc w:val="center"/>
              <w:rPr>
                <w:rFonts w:ascii="Times New Roman" w:hAnsi="Times New Roman"/>
                <w:color w:val="000000"/>
              </w:rPr>
            </w:pPr>
            <w:r>
              <w:rPr>
                <w:rFonts w:hint="eastAsia" w:ascii="Times New Roman" w:hAnsi="Times New Roman"/>
                <w:color w:val="000000"/>
              </w:rPr>
              <w:t>3423872.322</w:t>
            </w:r>
          </w:p>
        </w:tc>
        <w:tc>
          <w:tcPr>
            <w:tcW w:w="1144" w:type="pct"/>
            <w:noWrap/>
            <w:vAlign w:val="center"/>
          </w:tcPr>
          <w:p>
            <w:pPr>
              <w:pStyle w:val="22"/>
              <w:jc w:val="center"/>
              <w:rPr>
                <w:rFonts w:ascii="Times New Roman" w:hAnsi="Times New Roman"/>
                <w:color w:val="000000"/>
              </w:rPr>
            </w:pPr>
            <w:r>
              <w:rPr>
                <w:rFonts w:ascii="Times New Roman" w:hAnsi="Times New Roman"/>
                <w:color w:val="000000"/>
              </w:rPr>
              <w:t>雷锋山紫园小区居民</w:t>
            </w:r>
          </w:p>
        </w:tc>
        <w:tc>
          <w:tcPr>
            <w:tcW w:w="401" w:type="pct"/>
            <w:noWrap/>
            <w:vAlign w:val="center"/>
          </w:tcPr>
          <w:p>
            <w:pPr>
              <w:jc w:val="center"/>
              <w:rPr>
                <w:rFonts w:cs="Times New Roman"/>
              </w:rPr>
            </w:pPr>
            <w:r>
              <w:rPr>
                <w:rFonts w:eastAsia="宋体" w:cs="Times New Roman"/>
                <w:color w:val="000000"/>
                <w:sz w:val="21"/>
              </w:rPr>
              <w:t>东南</w:t>
            </w:r>
          </w:p>
        </w:tc>
        <w:tc>
          <w:tcPr>
            <w:tcW w:w="629" w:type="pct"/>
            <w:noWrap/>
            <w:vAlign w:val="center"/>
          </w:tcPr>
          <w:p>
            <w:pPr>
              <w:pStyle w:val="22"/>
              <w:jc w:val="center"/>
              <w:rPr>
                <w:rFonts w:ascii="Times New Roman" w:hAnsi="Times New Roman"/>
                <w:color w:val="000000"/>
              </w:rPr>
            </w:pPr>
            <w:r>
              <w:rPr>
                <w:rFonts w:ascii="Times New Roman" w:hAnsi="Times New Roman"/>
                <w:color w:val="000000"/>
              </w:rPr>
              <w:t>1186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3" w:type="pct"/>
            <w:vMerge w:val="continue"/>
            <w:vAlign w:val="center"/>
          </w:tcPr>
          <w:p>
            <w:pPr>
              <w:widowControl/>
              <w:jc w:val="center"/>
              <w:rPr>
                <w:rFonts w:eastAsia="宋体" w:cs="Times New Roman"/>
                <w:color w:val="000000"/>
                <w:sz w:val="21"/>
              </w:rPr>
            </w:pPr>
          </w:p>
        </w:tc>
        <w:tc>
          <w:tcPr>
            <w:tcW w:w="614" w:type="pct"/>
            <w:noWrap/>
            <w:vAlign w:val="center"/>
          </w:tcPr>
          <w:p>
            <w:pPr>
              <w:jc w:val="center"/>
              <w:rPr>
                <w:rFonts w:eastAsia="宋体" w:cs="Times New Roman"/>
                <w:color w:val="000000"/>
                <w:sz w:val="21"/>
              </w:rPr>
            </w:pPr>
            <w:r>
              <w:rPr>
                <w:rFonts w:eastAsia="宋体" w:cs="Times New Roman"/>
                <w:color w:val="000000"/>
                <w:sz w:val="21"/>
              </w:rPr>
              <w:t>和悦小区</w:t>
            </w:r>
          </w:p>
        </w:tc>
        <w:tc>
          <w:tcPr>
            <w:tcW w:w="793" w:type="pct"/>
            <w:noWrap/>
            <w:vAlign w:val="center"/>
          </w:tcPr>
          <w:p>
            <w:pPr>
              <w:pStyle w:val="22"/>
              <w:jc w:val="center"/>
              <w:rPr>
                <w:rFonts w:ascii="Times New Roman" w:hAnsi="Times New Roman"/>
                <w:color w:val="000000"/>
              </w:rPr>
            </w:pPr>
            <w:r>
              <w:rPr>
                <w:rFonts w:hint="eastAsia" w:ascii="Times New Roman" w:hAnsi="Times New Roman"/>
                <w:color w:val="000000"/>
              </w:rPr>
              <w:t>12595121.886</w:t>
            </w:r>
          </w:p>
        </w:tc>
        <w:tc>
          <w:tcPr>
            <w:tcW w:w="877" w:type="pct"/>
            <w:noWrap/>
            <w:vAlign w:val="center"/>
          </w:tcPr>
          <w:p>
            <w:pPr>
              <w:pStyle w:val="22"/>
              <w:jc w:val="center"/>
              <w:rPr>
                <w:rFonts w:ascii="Times New Roman" w:hAnsi="Times New Roman"/>
                <w:color w:val="000000"/>
              </w:rPr>
            </w:pPr>
            <w:r>
              <w:rPr>
                <w:rFonts w:hint="eastAsia" w:ascii="Times New Roman" w:hAnsi="Times New Roman"/>
                <w:color w:val="000000"/>
              </w:rPr>
              <w:t>3423515.975</w:t>
            </w:r>
          </w:p>
        </w:tc>
        <w:tc>
          <w:tcPr>
            <w:tcW w:w="1144" w:type="pct"/>
            <w:noWrap/>
            <w:vAlign w:val="center"/>
          </w:tcPr>
          <w:p>
            <w:pPr>
              <w:pStyle w:val="22"/>
              <w:jc w:val="center"/>
              <w:rPr>
                <w:rFonts w:ascii="Times New Roman" w:hAnsi="Times New Roman"/>
                <w:color w:val="000000"/>
              </w:rPr>
            </w:pPr>
            <w:r>
              <w:rPr>
                <w:rFonts w:ascii="Times New Roman" w:hAnsi="Times New Roman"/>
                <w:color w:val="000000"/>
              </w:rPr>
              <w:t>和悦小区居民</w:t>
            </w:r>
          </w:p>
        </w:tc>
        <w:tc>
          <w:tcPr>
            <w:tcW w:w="401" w:type="pct"/>
            <w:noWrap/>
            <w:vAlign w:val="center"/>
          </w:tcPr>
          <w:p>
            <w:pPr>
              <w:jc w:val="center"/>
              <w:rPr>
                <w:rFonts w:cs="Times New Roman"/>
              </w:rPr>
            </w:pPr>
            <w:r>
              <w:rPr>
                <w:rFonts w:eastAsia="宋体" w:cs="Times New Roman"/>
                <w:color w:val="000000"/>
                <w:sz w:val="21"/>
              </w:rPr>
              <w:t>东南</w:t>
            </w:r>
          </w:p>
        </w:tc>
        <w:tc>
          <w:tcPr>
            <w:tcW w:w="629" w:type="pct"/>
            <w:noWrap/>
            <w:vAlign w:val="center"/>
          </w:tcPr>
          <w:p>
            <w:pPr>
              <w:pStyle w:val="22"/>
              <w:jc w:val="center"/>
              <w:rPr>
                <w:rFonts w:ascii="Times New Roman" w:hAnsi="Times New Roman"/>
                <w:color w:val="000000"/>
              </w:rPr>
            </w:pPr>
            <w:r>
              <w:rPr>
                <w:rFonts w:ascii="Times New Roman" w:hAnsi="Times New Roman"/>
                <w:color w:val="000000"/>
              </w:rPr>
              <w:t>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3" w:type="pct"/>
            <w:vMerge w:val="continue"/>
            <w:vAlign w:val="center"/>
          </w:tcPr>
          <w:p>
            <w:pPr>
              <w:widowControl/>
              <w:jc w:val="center"/>
              <w:rPr>
                <w:rFonts w:eastAsia="宋体" w:cs="Times New Roman"/>
                <w:color w:val="000000"/>
                <w:sz w:val="21"/>
              </w:rPr>
            </w:pPr>
          </w:p>
        </w:tc>
        <w:tc>
          <w:tcPr>
            <w:tcW w:w="614" w:type="pct"/>
            <w:noWrap/>
            <w:vAlign w:val="center"/>
          </w:tcPr>
          <w:p>
            <w:pPr>
              <w:jc w:val="center"/>
              <w:rPr>
                <w:rFonts w:eastAsia="宋体" w:cs="Times New Roman"/>
                <w:color w:val="000000"/>
                <w:sz w:val="21"/>
              </w:rPr>
            </w:pPr>
            <w:r>
              <w:rPr>
                <w:rFonts w:eastAsia="宋体" w:cs="Times New Roman"/>
                <w:color w:val="000000"/>
                <w:sz w:val="21"/>
              </w:rPr>
              <w:t>岳阳楼区洛王小学</w:t>
            </w:r>
          </w:p>
        </w:tc>
        <w:tc>
          <w:tcPr>
            <w:tcW w:w="793" w:type="pct"/>
            <w:noWrap/>
            <w:vAlign w:val="center"/>
          </w:tcPr>
          <w:p>
            <w:pPr>
              <w:pStyle w:val="22"/>
              <w:jc w:val="center"/>
              <w:rPr>
                <w:rFonts w:ascii="Times New Roman" w:hAnsi="Times New Roman"/>
                <w:color w:val="000000"/>
              </w:rPr>
            </w:pPr>
            <w:r>
              <w:rPr>
                <w:rFonts w:hint="eastAsia" w:ascii="Times New Roman" w:hAnsi="Times New Roman"/>
                <w:color w:val="000000"/>
              </w:rPr>
              <w:t>12594880.632</w:t>
            </w:r>
          </w:p>
        </w:tc>
        <w:tc>
          <w:tcPr>
            <w:tcW w:w="877" w:type="pct"/>
            <w:noWrap/>
            <w:vAlign w:val="center"/>
          </w:tcPr>
          <w:p>
            <w:pPr>
              <w:pStyle w:val="22"/>
              <w:jc w:val="center"/>
              <w:rPr>
                <w:rFonts w:ascii="Times New Roman" w:hAnsi="Times New Roman"/>
                <w:color w:val="000000"/>
              </w:rPr>
            </w:pPr>
            <w:r>
              <w:rPr>
                <w:rFonts w:hint="eastAsia" w:ascii="Times New Roman" w:hAnsi="Times New Roman"/>
                <w:color w:val="000000"/>
              </w:rPr>
              <w:t>3424349.294</w:t>
            </w:r>
          </w:p>
        </w:tc>
        <w:tc>
          <w:tcPr>
            <w:tcW w:w="1144" w:type="pct"/>
            <w:noWrap/>
            <w:vAlign w:val="center"/>
          </w:tcPr>
          <w:p>
            <w:pPr>
              <w:pStyle w:val="22"/>
              <w:jc w:val="center"/>
              <w:rPr>
                <w:rFonts w:ascii="Times New Roman" w:hAnsi="Times New Roman"/>
                <w:color w:val="000000"/>
              </w:rPr>
            </w:pPr>
            <w:r>
              <w:rPr>
                <w:rFonts w:ascii="Times New Roman" w:hAnsi="Times New Roman"/>
                <w:color w:val="000000"/>
              </w:rPr>
              <w:t>学生，老师</w:t>
            </w:r>
          </w:p>
        </w:tc>
        <w:tc>
          <w:tcPr>
            <w:tcW w:w="401" w:type="pct"/>
            <w:noWrap/>
            <w:vAlign w:val="center"/>
          </w:tcPr>
          <w:p>
            <w:pPr>
              <w:jc w:val="center"/>
              <w:rPr>
                <w:rFonts w:cs="Times New Roman"/>
              </w:rPr>
            </w:pPr>
            <w:r>
              <w:rPr>
                <w:rFonts w:eastAsia="宋体" w:cs="Times New Roman"/>
                <w:color w:val="000000"/>
                <w:sz w:val="21"/>
              </w:rPr>
              <w:t>西南</w:t>
            </w:r>
          </w:p>
        </w:tc>
        <w:tc>
          <w:tcPr>
            <w:tcW w:w="629" w:type="pct"/>
            <w:noWrap/>
            <w:vAlign w:val="center"/>
          </w:tcPr>
          <w:p>
            <w:pPr>
              <w:pStyle w:val="22"/>
              <w:jc w:val="center"/>
              <w:rPr>
                <w:rFonts w:ascii="Times New Roman" w:hAnsi="Times New Roman"/>
                <w:color w:val="000000"/>
              </w:rPr>
            </w:pPr>
            <w:r>
              <w:rPr>
                <w:rFonts w:ascii="Times New Roman" w:hAnsi="Times New Roman"/>
                <w:color w:val="000000"/>
              </w:rPr>
              <w:t>766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3" w:type="pct"/>
            <w:vMerge w:val="continue"/>
            <w:vAlign w:val="center"/>
          </w:tcPr>
          <w:p>
            <w:pPr>
              <w:widowControl/>
              <w:jc w:val="center"/>
              <w:rPr>
                <w:rFonts w:eastAsia="宋体" w:cs="Times New Roman"/>
                <w:color w:val="000000"/>
                <w:sz w:val="21"/>
              </w:rPr>
            </w:pPr>
          </w:p>
        </w:tc>
        <w:tc>
          <w:tcPr>
            <w:tcW w:w="614" w:type="pct"/>
            <w:noWrap/>
            <w:vAlign w:val="center"/>
          </w:tcPr>
          <w:p>
            <w:pPr>
              <w:jc w:val="center"/>
              <w:rPr>
                <w:rFonts w:eastAsia="宋体" w:cs="Times New Roman"/>
                <w:color w:val="000000"/>
                <w:sz w:val="21"/>
              </w:rPr>
            </w:pPr>
            <w:r>
              <w:rPr>
                <w:rFonts w:eastAsia="宋体" w:cs="Times New Roman"/>
                <w:color w:val="000000"/>
                <w:sz w:val="21"/>
              </w:rPr>
              <w:t>金庭小区</w:t>
            </w:r>
          </w:p>
        </w:tc>
        <w:tc>
          <w:tcPr>
            <w:tcW w:w="793" w:type="pct"/>
            <w:noWrap/>
            <w:vAlign w:val="center"/>
          </w:tcPr>
          <w:p>
            <w:pPr>
              <w:pStyle w:val="22"/>
              <w:jc w:val="center"/>
              <w:rPr>
                <w:rFonts w:ascii="Times New Roman" w:hAnsi="Times New Roman"/>
                <w:color w:val="000000"/>
              </w:rPr>
            </w:pPr>
            <w:r>
              <w:rPr>
                <w:rFonts w:hint="eastAsia" w:ascii="Times New Roman" w:hAnsi="Times New Roman"/>
                <w:color w:val="000000"/>
              </w:rPr>
              <w:t>12593492.822</w:t>
            </w:r>
          </w:p>
        </w:tc>
        <w:tc>
          <w:tcPr>
            <w:tcW w:w="877" w:type="pct"/>
            <w:noWrap/>
            <w:vAlign w:val="center"/>
          </w:tcPr>
          <w:p>
            <w:pPr>
              <w:pStyle w:val="22"/>
              <w:jc w:val="center"/>
              <w:rPr>
                <w:rFonts w:ascii="Times New Roman" w:hAnsi="Times New Roman"/>
                <w:color w:val="000000"/>
              </w:rPr>
            </w:pPr>
            <w:r>
              <w:rPr>
                <w:rFonts w:hint="eastAsia" w:ascii="Times New Roman" w:hAnsi="Times New Roman"/>
                <w:color w:val="000000"/>
              </w:rPr>
              <w:t>3424482.247</w:t>
            </w:r>
          </w:p>
        </w:tc>
        <w:tc>
          <w:tcPr>
            <w:tcW w:w="1144" w:type="pct"/>
            <w:noWrap/>
            <w:vAlign w:val="center"/>
          </w:tcPr>
          <w:p>
            <w:pPr>
              <w:jc w:val="center"/>
              <w:rPr>
                <w:rFonts w:eastAsia="宋体" w:cs="Times New Roman"/>
                <w:color w:val="000000"/>
                <w:sz w:val="21"/>
              </w:rPr>
            </w:pPr>
            <w:r>
              <w:rPr>
                <w:rFonts w:eastAsia="宋体" w:cs="Times New Roman"/>
                <w:color w:val="000000"/>
                <w:sz w:val="21"/>
              </w:rPr>
              <w:t>金庭小区居民</w:t>
            </w:r>
          </w:p>
        </w:tc>
        <w:tc>
          <w:tcPr>
            <w:tcW w:w="401" w:type="pct"/>
            <w:noWrap/>
            <w:vAlign w:val="center"/>
          </w:tcPr>
          <w:p>
            <w:pPr>
              <w:jc w:val="center"/>
              <w:rPr>
                <w:rFonts w:cs="Times New Roman"/>
              </w:rPr>
            </w:pPr>
            <w:r>
              <w:rPr>
                <w:rFonts w:eastAsia="宋体" w:cs="Times New Roman"/>
                <w:color w:val="000000"/>
                <w:sz w:val="21"/>
              </w:rPr>
              <w:t>西南</w:t>
            </w:r>
          </w:p>
        </w:tc>
        <w:tc>
          <w:tcPr>
            <w:tcW w:w="629" w:type="pct"/>
            <w:noWrap/>
            <w:vAlign w:val="center"/>
          </w:tcPr>
          <w:p>
            <w:pPr>
              <w:pStyle w:val="22"/>
              <w:jc w:val="center"/>
              <w:rPr>
                <w:rFonts w:ascii="Times New Roman" w:hAnsi="Times New Roman"/>
                <w:color w:val="000000"/>
              </w:rPr>
            </w:pPr>
            <w:r>
              <w:rPr>
                <w:rFonts w:ascii="Times New Roman" w:hAnsi="Times New Roman"/>
                <w:color w:val="000000"/>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3" w:type="pct"/>
            <w:vMerge w:val="continue"/>
            <w:vAlign w:val="center"/>
          </w:tcPr>
          <w:p>
            <w:pPr>
              <w:widowControl/>
              <w:jc w:val="center"/>
              <w:rPr>
                <w:rFonts w:eastAsia="宋体" w:cs="Times New Roman"/>
                <w:color w:val="000000"/>
                <w:sz w:val="21"/>
              </w:rPr>
            </w:pPr>
          </w:p>
        </w:tc>
        <w:tc>
          <w:tcPr>
            <w:tcW w:w="614" w:type="pct"/>
            <w:noWrap/>
            <w:vAlign w:val="center"/>
          </w:tcPr>
          <w:p>
            <w:pPr>
              <w:jc w:val="center"/>
              <w:rPr>
                <w:rFonts w:eastAsia="宋体" w:cs="Times New Roman"/>
                <w:color w:val="000000"/>
                <w:sz w:val="21"/>
              </w:rPr>
            </w:pPr>
            <w:r>
              <w:rPr>
                <w:rFonts w:eastAsia="宋体" w:cs="Times New Roman"/>
                <w:color w:val="000000"/>
                <w:sz w:val="21"/>
              </w:rPr>
              <w:t>海华小区</w:t>
            </w:r>
          </w:p>
        </w:tc>
        <w:tc>
          <w:tcPr>
            <w:tcW w:w="793" w:type="pct"/>
            <w:noWrap/>
            <w:vAlign w:val="center"/>
          </w:tcPr>
          <w:p>
            <w:pPr>
              <w:pStyle w:val="22"/>
              <w:jc w:val="center"/>
              <w:rPr>
                <w:rFonts w:ascii="Times New Roman" w:hAnsi="Times New Roman"/>
                <w:color w:val="000000"/>
              </w:rPr>
            </w:pPr>
            <w:r>
              <w:rPr>
                <w:rFonts w:hint="eastAsia" w:ascii="Times New Roman" w:hAnsi="Times New Roman"/>
                <w:color w:val="000000"/>
              </w:rPr>
              <w:t>12593554.927</w:t>
            </w:r>
          </w:p>
        </w:tc>
        <w:tc>
          <w:tcPr>
            <w:tcW w:w="877" w:type="pct"/>
            <w:noWrap/>
            <w:vAlign w:val="center"/>
          </w:tcPr>
          <w:p>
            <w:pPr>
              <w:pStyle w:val="22"/>
              <w:jc w:val="center"/>
              <w:rPr>
                <w:rFonts w:ascii="Times New Roman" w:hAnsi="Times New Roman"/>
                <w:color w:val="000000"/>
              </w:rPr>
            </w:pPr>
            <w:r>
              <w:rPr>
                <w:rFonts w:hint="eastAsia" w:ascii="Times New Roman" w:hAnsi="Times New Roman"/>
                <w:color w:val="000000"/>
              </w:rPr>
              <w:t>3424021.716</w:t>
            </w:r>
          </w:p>
        </w:tc>
        <w:tc>
          <w:tcPr>
            <w:tcW w:w="1144" w:type="pct"/>
            <w:noWrap/>
            <w:vAlign w:val="center"/>
          </w:tcPr>
          <w:p>
            <w:pPr>
              <w:jc w:val="center"/>
              <w:rPr>
                <w:rFonts w:eastAsia="宋体" w:cs="Times New Roman"/>
                <w:color w:val="000000"/>
                <w:sz w:val="21"/>
              </w:rPr>
            </w:pPr>
            <w:r>
              <w:rPr>
                <w:rFonts w:eastAsia="宋体" w:cs="Times New Roman"/>
                <w:color w:val="000000"/>
                <w:sz w:val="21"/>
              </w:rPr>
              <w:t>海华小区居民</w:t>
            </w:r>
          </w:p>
        </w:tc>
        <w:tc>
          <w:tcPr>
            <w:tcW w:w="401" w:type="pct"/>
            <w:noWrap/>
            <w:vAlign w:val="center"/>
          </w:tcPr>
          <w:p>
            <w:pPr>
              <w:jc w:val="center"/>
              <w:rPr>
                <w:rFonts w:cs="Times New Roman"/>
              </w:rPr>
            </w:pPr>
            <w:r>
              <w:rPr>
                <w:rFonts w:eastAsia="宋体" w:cs="Times New Roman"/>
                <w:color w:val="000000"/>
                <w:sz w:val="21"/>
              </w:rPr>
              <w:t>西南</w:t>
            </w:r>
          </w:p>
        </w:tc>
        <w:tc>
          <w:tcPr>
            <w:tcW w:w="629" w:type="pct"/>
            <w:noWrap/>
            <w:vAlign w:val="center"/>
          </w:tcPr>
          <w:p>
            <w:pPr>
              <w:pStyle w:val="22"/>
              <w:jc w:val="center"/>
              <w:rPr>
                <w:rFonts w:ascii="Times New Roman" w:hAnsi="Times New Roman"/>
                <w:color w:val="000000"/>
              </w:rPr>
            </w:pPr>
            <w:r>
              <w:rPr>
                <w:rFonts w:ascii="Times New Roman" w:hAnsi="Times New Roman"/>
                <w:color w:val="000000"/>
              </w:rPr>
              <w:t>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3" w:type="pct"/>
            <w:vMerge w:val="continue"/>
            <w:vAlign w:val="center"/>
          </w:tcPr>
          <w:p>
            <w:pPr>
              <w:widowControl/>
              <w:jc w:val="center"/>
              <w:rPr>
                <w:rFonts w:eastAsia="宋体" w:cs="Times New Roman"/>
                <w:color w:val="000000"/>
                <w:sz w:val="21"/>
              </w:rPr>
            </w:pPr>
          </w:p>
        </w:tc>
        <w:tc>
          <w:tcPr>
            <w:tcW w:w="614" w:type="pct"/>
            <w:noWrap/>
            <w:vAlign w:val="center"/>
          </w:tcPr>
          <w:p>
            <w:pPr>
              <w:jc w:val="center"/>
              <w:rPr>
                <w:rFonts w:eastAsia="宋体" w:cs="Times New Roman"/>
                <w:color w:val="000000"/>
                <w:sz w:val="21"/>
              </w:rPr>
            </w:pPr>
            <w:r>
              <w:rPr>
                <w:rFonts w:eastAsia="宋体" w:cs="Times New Roman"/>
                <w:color w:val="000000"/>
                <w:sz w:val="21"/>
              </w:rPr>
              <w:t>金岳小区</w:t>
            </w:r>
          </w:p>
        </w:tc>
        <w:tc>
          <w:tcPr>
            <w:tcW w:w="793" w:type="pct"/>
            <w:noWrap/>
            <w:vAlign w:val="center"/>
          </w:tcPr>
          <w:p>
            <w:pPr>
              <w:pStyle w:val="22"/>
              <w:jc w:val="center"/>
              <w:rPr>
                <w:rFonts w:ascii="Times New Roman" w:hAnsi="Times New Roman"/>
                <w:color w:val="000000"/>
              </w:rPr>
            </w:pPr>
            <w:r>
              <w:rPr>
                <w:rFonts w:hint="eastAsia" w:ascii="Times New Roman" w:hAnsi="Times New Roman"/>
                <w:color w:val="000000"/>
              </w:rPr>
              <w:t>12593588.368</w:t>
            </w:r>
          </w:p>
        </w:tc>
        <w:tc>
          <w:tcPr>
            <w:tcW w:w="877" w:type="pct"/>
            <w:noWrap/>
            <w:vAlign w:val="center"/>
          </w:tcPr>
          <w:p>
            <w:pPr>
              <w:pStyle w:val="22"/>
              <w:jc w:val="center"/>
              <w:rPr>
                <w:rFonts w:ascii="Times New Roman" w:hAnsi="Times New Roman"/>
                <w:color w:val="000000"/>
              </w:rPr>
            </w:pPr>
            <w:r>
              <w:rPr>
                <w:rFonts w:hint="eastAsia" w:ascii="Times New Roman" w:hAnsi="Times New Roman"/>
                <w:color w:val="000000"/>
              </w:rPr>
              <w:t>3423681.812</w:t>
            </w:r>
          </w:p>
        </w:tc>
        <w:tc>
          <w:tcPr>
            <w:tcW w:w="1144" w:type="pct"/>
            <w:noWrap/>
            <w:vAlign w:val="center"/>
          </w:tcPr>
          <w:p>
            <w:pPr>
              <w:jc w:val="center"/>
              <w:rPr>
                <w:rFonts w:eastAsia="宋体" w:cs="Times New Roman"/>
                <w:color w:val="000000"/>
                <w:sz w:val="21"/>
              </w:rPr>
            </w:pPr>
            <w:r>
              <w:rPr>
                <w:rFonts w:eastAsia="宋体" w:cs="Times New Roman"/>
                <w:color w:val="000000"/>
                <w:sz w:val="21"/>
              </w:rPr>
              <w:t>金岳小区居民</w:t>
            </w:r>
          </w:p>
        </w:tc>
        <w:tc>
          <w:tcPr>
            <w:tcW w:w="401" w:type="pct"/>
            <w:noWrap/>
            <w:vAlign w:val="center"/>
          </w:tcPr>
          <w:p>
            <w:pPr>
              <w:jc w:val="center"/>
              <w:rPr>
                <w:rFonts w:cs="Times New Roman"/>
              </w:rPr>
            </w:pPr>
            <w:r>
              <w:rPr>
                <w:rFonts w:eastAsia="宋体" w:cs="Times New Roman"/>
                <w:color w:val="000000"/>
                <w:sz w:val="21"/>
              </w:rPr>
              <w:t>西南</w:t>
            </w:r>
          </w:p>
        </w:tc>
        <w:tc>
          <w:tcPr>
            <w:tcW w:w="629" w:type="pct"/>
            <w:noWrap/>
            <w:vAlign w:val="center"/>
          </w:tcPr>
          <w:p>
            <w:pPr>
              <w:pStyle w:val="22"/>
              <w:jc w:val="center"/>
              <w:rPr>
                <w:rFonts w:ascii="Times New Roman" w:hAnsi="Times New Roman"/>
                <w:color w:val="000000"/>
              </w:rPr>
            </w:pPr>
            <w:r>
              <w:rPr>
                <w:rFonts w:ascii="Times New Roman" w:hAnsi="Times New Roman"/>
                <w:color w:val="000000"/>
              </w:rPr>
              <w:t>847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37" w:hRule="atLeast"/>
          <w:jc w:val="center"/>
        </w:trPr>
        <w:tc>
          <w:tcPr>
            <w:tcW w:w="543" w:type="pct"/>
            <w:vMerge w:val="continue"/>
            <w:vAlign w:val="center"/>
          </w:tcPr>
          <w:p>
            <w:pPr>
              <w:widowControl/>
              <w:jc w:val="center"/>
              <w:rPr>
                <w:rFonts w:eastAsia="宋体" w:cs="Times New Roman"/>
                <w:color w:val="000000"/>
                <w:sz w:val="21"/>
              </w:rPr>
            </w:pPr>
          </w:p>
        </w:tc>
        <w:tc>
          <w:tcPr>
            <w:tcW w:w="614" w:type="pct"/>
            <w:noWrap/>
            <w:vAlign w:val="center"/>
          </w:tcPr>
          <w:p>
            <w:pPr>
              <w:jc w:val="center"/>
              <w:rPr>
                <w:rFonts w:eastAsia="宋体" w:cs="Times New Roman"/>
                <w:color w:val="000000"/>
                <w:sz w:val="21"/>
              </w:rPr>
            </w:pPr>
            <w:r>
              <w:rPr>
                <w:rFonts w:eastAsia="宋体" w:cs="Times New Roman"/>
                <w:color w:val="000000"/>
                <w:sz w:val="21"/>
              </w:rPr>
              <w:t>岳阳市残疾人康复中心</w:t>
            </w:r>
          </w:p>
        </w:tc>
        <w:tc>
          <w:tcPr>
            <w:tcW w:w="793" w:type="pct"/>
            <w:noWrap/>
            <w:vAlign w:val="center"/>
          </w:tcPr>
          <w:p>
            <w:pPr>
              <w:pStyle w:val="22"/>
              <w:jc w:val="center"/>
              <w:rPr>
                <w:rFonts w:ascii="Times New Roman" w:hAnsi="Times New Roman"/>
                <w:color w:val="000000"/>
              </w:rPr>
            </w:pPr>
            <w:r>
              <w:rPr>
                <w:rFonts w:hint="eastAsia" w:ascii="Times New Roman" w:hAnsi="Times New Roman"/>
                <w:color w:val="000000"/>
              </w:rPr>
              <w:t>12593800.959</w:t>
            </w:r>
          </w:p>
        </w:tc>
        <w:tc>
          <w:tcPr>
            <w:tcW w:w="877" w:type="pct"/>
            <w:noWrap/>
            <w:vAlign w:val="center"/>
          </w:tcPr>
          <w:p>
            <w:pPr>
              <w:pStyle w:val="22"/>
              <w:jc w:val="center"/>
              <w:rPr>
                <w:rFonts w:ascii="Times New Roman" w:hAnsi="Times New Roman"/>
                <w:color w:val="000000"/>
              </w:rPr>
            </w:pPr>
            <w:r>
              <w:rPr>
                <w:rFonts w:hint="eastAsia" w:ascii="Times New Roman" w:hAnsi="Times New Roman"/>
                <w:color w:val="000000"/>
              </w:rPr>
              <w:t>3424480.876</w:t>
            </w:r>
          </w:p>
        </w:tc>
        <w:tc>
          <w:tcPr>
            <w:tcW w:w="1144" w:type="pct"/>
            <w:noWrap/>
            <w:vAlign w:val="center"/>
          </w:tcPr>
          <w:p>
            <w:pPr>
              <w:jc w:val="center"/>
              <w:rPr>
                <w:rFonts w:eastAsia="宋体" w:cs="Times New Roman"/>
                <w:color w:val="000000"/>
                <w:sz w:val="21"/>
              </w:rPr>
            </w:pPr>
            <w:r>
              <w:rPr>
                <w:rFonts w:eastAsia="宋体" w:cs="Times New Roman"/>
                <w:color w:val="000000"/>
                <w:sz w:val="21"/>
              </w:rPr>
              <w:t>医护人员和病人</w:t>
            </w:r>
          </w:p>
        </w:tc>
        <w:tc>
          <w:tcPr>
            <w:tcW w:w="401" w:type="pct"/>
            <w:noWrap/>
            <w:vAlign w:val="center"/>
          </w:tcPr>
          <w:p>
            <w:pPr>
              <w:jc w:val="center"/>
            </w:pPr>
            <w:r>
              <w:rPr>
                <w:rFonts w:eastAsia="宋体" w:cs="Times New Roman"/>
                <w:color w:val="000000"/>
                <w:sz w:val="21"/>
              </w:rPr>
              <w:t>西南</w:t>
            </w:r>
          </w:p>
        </w:tc>
        <w:tc>
          <w:tcPr>
            <w:tcW w:w="629" w:type="pct"/>
            <w:noWrap/>
            <w:vAlign w:val="center"/>
          </w:tcPr>
          <w:p>
            <w:pPr>
              <w:pStyle w:val="22"/>
              <w:jc w:val="center"/>
              <w:rPr>
                <w:rFonts w:ascii="Times New Roman" w:hAnsi="Times New Roman"/>
                <w:color w:val="000000"/>
              </w:rPr>
            </w:pPr>
            <w:r>
              <w:rPr>
                <w:rFonts w:hint="eastAsia" w:ascii="Times New Roman" w:hAnsi="Times New Roman"/>
                <w:color w:val="000000"/>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3" w:type="pct"/>
            <w:vMerge w:val="continue"/>
            <w:vAlign w:val="center"/>
          </w:tcPr>
          <w:p>
            <w:pPr>
              <w:widowControl/>
              <w:jc w:val="center"/>
              <w:rPr>
                <w:rFonts w:eastAsia="宋体" w:cs="Times New Roman"/>
                <w:color w:val="000000"/>
                <w:sz w:val="21"/>
              </w:rPr>
            </w:pPr>
          </w:p>
        </w:tc>
        <w:tc>
          <w:tcPr>
            <w:tcW w:w="614" w:type="pct"/>
            <w:noWrap/>
            <w:vAlign w:val="center"/>
          </w:tcPr>
          <w:p>
            <w:pPr>
              <w:jc w:val="center"/>
              <w:rPr>
                <w:rFonts w:eastAsia="宋体" w:cs="Times New Roman"/>
                <w:color w:val="000000"/>
                <w:sz w:val="21"/>
              </w:rPr>
            </w:pPr>
            <w:r>
              <w:rPr>
                <w:rFonts w:eastAsia="宋体" w:cs="Times New Roman"/>
                <w:color w:val="000000"/>
                <w:sz w:val="21"/>
              </w:rPr>
              <w:t>福颐爱心护理院</w:t>
            </w:r>
          </w:p>
        </w:tc>
        <w:tc>
          <w:tcPr>
            <w:tcW w:w="793" w:type="pct"/>
            <w:noWrap/>
            <w:vAlign w:val="center"/>
          </w:tcPr>
          <w:p>
            <w:pPr>
              <w:pStyle w:val="22"/>
              <w:jc w:val="center"/>
              <w:rPr>
                <w:rFonts w:ascii="Times New Roman" w:hAnsi="Times New Roman"/>
                <w:color w:val="000000"/>
              </w:rPr>
            </w:pPr>
            <w:r>
              <w:rPr>
                <w:rFonts w:hint="eastAsia" w:ascii="Times New Roman" w:hAnsi="Times New Roman"/>
                <w:color w:val="000000"/>
              </w:rPr>
              <w:t>12593732.882</w:t>
            </w:r>
          </w:p>
        </w:tc>
        <w:tc>
          <w:tcPr>
            <w:tcW w:w="877" w:type="pct"/>
            <w:noWrap/>
            <w:vAlign w:val="center"/>
          </w:tcPr>
          <w:p>
            <w:pPr>
              <w:pStyle w:val="22"/>
              <w:jc w:val="center"/>
              <w:rPr>
                <w:rFonts w:ascii="Times New Roman" w:hAnsi="Times New Roman"/>
                <w:color w:val="000000"/>
              </w:rPr>
            </w:pPr>
            <w:r>
              <w:rPr>
                <w:rFonts w:hint="eastAsia" w:ascii="Times New Roman" w:hAnsi="Times New Roman"/>
                <w:color w:val="000000"/>
              </w:rPr>
              <w:t>3424463.057</w:t>
            </w:r>
          </w:p>
        </w:tc>
        <w:tc>
          <w:tcPr>
            <w:tcW w:w="1144" w:type="pct"/>
            <w:noWrap/>
            <w:vAlign w:val="center"/>
          </w:tcPr>
          <w:p>
            <w:pPr>
              <w:jc w:val="center"/>
              <w:rPr>
                <w:rFonts w:eastAsia="宋体" w:cs="Times New Roman"/>
                <w:color w:val="000000"/>
                <w:sz w:val="21"/>
              </w:rPr>
            </w:pPr>
            <w:r>
              <w:rPr>
                <w:rFonts w:eastAsia="宋体" w:cs="Times New Roman"/>
                <w:color w:val="000000"/>
                <w:sz w:val="21"/>
              </w:rPr>
              <w:t>医护人员和病人</w:t>
            </w:r>
          </w:p>
        </w:tc>
        <w:tc>
          <w:tcPr>
            <w:tcW w:w="401" w:type="pct"/>
            <w:noWrap/>
            <w:vAlign w:val="center"/>
          </w:tcPr>
          <w:p>
            <w:pPr>
              <w:jc w:val="center"/>
            </w:pPr>
            <w:r>
              <w:rPr>
                <w:rFonts w:eastAsia="宋体" w:cs="Times New Roman"/>
                <w:color w:val="000000"/>
                <w:sz w:val="21"/>
              </w:rPr>
              <w:t>西南</w:t>
            </w:r>
          </w:p>
        </w:tc>
        <w:tc>
          <w:tcPr>
            <w:tcW w:w="629" w:type="pct"/>
            <w:noWrap/>
            <w:vAlign w:val="center"/>
          </w:tcPr>
          <w:p>
            <w:pPr>
              <w:pStyle w:val="22"/>
              <w:jc w:val="center"/>
              <w:rPr>
                <w:rFonts w:ascii="Times New Roman" w:hAnsi="Times New Roman"/>
                <w:color w:val="000000"/>
              </w:rPr>
            </w:pPr>
            <w:r>
              <w:rPr>
                <w:rFonts w:hint="eastAsia" w:ascii="Times New Roman" w:hAnsi="Times New Roman"/>
                <w:color w:val="000000"/>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3" w:type="pct"/>
            <w:vMerge w:val="continue"/>
            <w:vAlign w:val="center"/>
          </w:tcPr>
          <w:p>
            <w:pPr>
              <w:widowControl/>
              <w:jc w:val="center"/>
              <w:rPr>
                <w:rFonts w:eastAsia="宋体" w:cs="Times New Roman"/>
                <w:color w:val="000000"/>
                <w:sz w:val="21"/>
              </w:rPr>
            </w:pPr>
          </w:p>
        </w:tc>
        <w:tc>
          <w:tcPr>
            <w:tcW w:w="614" w:type="pct"/>
            <w:noWrap/>
            <w:vAlign w:val="center"/>
          </w:tcPr>
          <w:p>
            <w:pPr>
              <w:jc w:val="center"/>
              <w:rPr>
                <w:rFonts w:eastAsia="宋体" w:cs="Times New Roman"/>
                <w:color w:val="000000"/>
                <w:sz w:val="21"/>
              </w:rPr>
            </w:pPr>
            <w:r>
              <w:rPr>
                <w:rFonts w:eastAsia="宋体" w:cs="Times New Roman"/>
                <w:color w:val="000000"/>
                <w:sz w:val="21"/>
              </w:rPr>
              <w:t>爱儿医院</w:t>
            </w:r>
          </w:p>
        </w:tc>
        <w:tc>
          <w:tcPr>
            <w:tcW w:w="793" w:type="pct"/>
            <w:noWrap/>
            <w:vAlign w:val="center"/>
          </w:tcPr>
          <w:p>
            <w:pPr>
              <w:pStyle w:val="22"/>
              <w:jc w:val="center"/>
              <w:rPr>
                <w:rFonts w:ascii="Times New Roman" w:hAnsi="Times New Roman"/>
                <w:color w:val="000000"/>
              </w:rPr>
            </w:pPr>
            <w:r>
              <w:rPr>
                <w:rFonts w:hint="eastAsia" w:ascii="Times New Roman" w:hAnsi="Times New Roman"/>
                <w:color w:val="000000"/>
              </w:rPr>
              <w:t>12593613.748</w:t>
            </w:r>
          </w:p>
        </w:tc>
        <w:tc>
          <w:tcPr>
            <w:tcW w:w="877" w:type="pct"/>
            <w:noWrap/>
            <w:vAlign w:val="center"/>
          </w:tcPr>
          <w:p>
            <w:pPr>
              <w:pStyle w:val="22"/>
              <w:jc w:val="center"/>
              <w:rPr>
                <w:rFonts w:ascii="Times New Roman" w:hAnsi="Times New Roman"/>
                <w:color w:val="000000"/>
              </w:rPr>
            </w:pPr>
            <w:r>
              <w:rPr>
                <w:rFonts w:hint="eastAsia" w:ascii="Times New Roman" w:hAnsi="Times New Roman"/>
                <w:color w:val="000000"/>
              </w:rPr>
              <w:t>3424523.023</w:t>
            </w:r>
          </w:p>
        </w:tc>
        <w:tc>
          <w:tcPr>
            <w:tcW w:w="1144" w:type="pct"/>
            <w:noWrap/>
            <w:vAlign w:val="center"/>
          </w:tcPr>
          <w:p>
            <w:pPr>
              <w:jc w:val="center"/>
              <w:rPr>
                <w:rFonts w:eastAsia="宋体" w:cs="Times New Roman"/>
                <w:color w:val="000000"/>
                <w:sz w:val="21"/>
              </w:rPr>
            </w:pPr>
            <w:r>
              <w:rPr>
                <w:rFonts w:eastAsia="宋体" w:cs="Times New Roman"/>
                <w:color w:val="000000"/>
                <w:sz w:val="21"/>
              </w:rPr>
              <w:t>医护人员和病人</w:t>
            </w:r>
          </w:p>
        </w:tc>
        <w:tc>
          <w:tcPr>
            <w:tcW w:w="401" w:type="pct"/>
            <w:noWrap/>
            <w:vAlign w:val="center"/>
          </w:tcPr>
          <w:p>
            <w:pPr>
              <w:jc w:val="center"/>
            </w:pPr>
            <w:r>
              <w:rPr>
                <w:rFonts w:eastAsia="宋体" w:cs="Times New Roman"/>
                <w:color w:val="000000"/>
                <w:sz w:val="21"/>
              </w:rPr>
              <w:t>西</w:t>
            </w:r>
            <w:r>
              <w:rPr>
                <w:rFonts w:hint="eastAsia" w:eastAsia="宋体" w:cs="Times New Roman"/>
                <w:color w:val="000000"/>
                <w:sz w:val="21"/>
              </w:rPr>
              <w:t>侧</w:t>
            </w:r>
          </w:p>
        </w:tc>
        <w:tc>
          <w:tcPr>
            <w:tcW w:w="629" w:type="pct"/>
            <w:noWrap/>
            <w:vAlign w:val="center"/>
          </w:tcPr>
          <w:p>
            <w:pPr>
              <w:pStyle w:val="22"/>
              <w:jc w:val="center"/>
              <w:rPr>
                <w:rFonts w:ascii="Times New Roman" w:hAnsi="Times New Roman"/>
                <w:color w:val="000000"/>
              </w:rPr>
            </w:pPr>
            <w:r>
              <w:rPr>
                <w:rFonts w:hint="eastAsia" w:ascii="Times New Roman" w:hAnsi="Times New Roman"/>
                <w:color w:val="000000"/>
              </w:rPr>
              <w:t>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3" w:type="pct"/>
            <w:vMerge w:val="continue"/>
            <w:vAlign w:val="center"/>
          </w:tcPr>
          <w:p>
            <w:pPr>
              <w:widowControl/>
              <w:jc w:val="center"/>
              <w:rPr>
                <w:rFonts w:eastAsia="宋体" w:cs="Times New Roman"/>
                <w:color w:val="000000"/>
                <w:sz w:val="21"/>
              </w:rPr>
            </w:pPr>
          </w:p>
        </w:tc>
        <w:tc>
          <w:tcPr>
            <w:tcW w:w="614" w:type="pct"/>
            <w:noWrap/>
            <w:vAlign w:val="center"/>
          </w:tcPr>
          <w:p>
            <w:pPr>
              <w:jc w:val="center"/>
              <w:rPr>
                <w:rFonts w:eastAsia="宋体" w:cs="Times New Roman"/>
                <w:color w:val="000000"/>
                <w:sz w:val="21"/>
                <w:u w:val="single"/>
              </w:rPr>
            </w:pPr>
            <w:r>
              <w:rPr>
                <w:rFonts w:eastAsia="宋体" w:cs="Times New Roman"/>
                <w:color w:val="000000"/>
                <w:sz w:val="21"/>
                <w:u w:val="single"/>
              </w:rPr>
              <w:t>老年呵护大楼</w:t>
            </w:r>
          </w:p>
        </w:tc>
        <w:tc>
          <w:tcPr>
            <w:tcW w:w="793" w:type="pct"/>
            <w:noWrap/>
            <w:vAlign w:val="center"/>
          </w:tcPr>
          <w:p>
            <w:pPr>
              <w:pStyle w:val="22"/>
              <w:jc w:val="center"/>
              <w:rPr>
                <w:rFonts w:ascii="Times New Roman" w:hAnsi="Times New Roman"/>
                <w:color w:val="000000"/>
              </w:rPr>
            </w:pPr>
            <w:r>
              <w:rPr>
                <w:rFonts w:hint="eastAsia" w:ascii="Times New Roman" w:hAnsi="Times New Roman"/>
                <w:color w:val="000000"/>
              </w:rPr>
              <w:t>12594057.438</w:t>
            </w:r>
          </w:p>
        </w:tc>
        <w:tc>
          <w:tcPr>
            <w:tcW w:w="877" w:type="pct"/>
            <w:noWrap/>
            <w:vAlign w:val="center"/>
          </w:tcPr>
          <w:p>
            <w:pPr>
              <w:pStyle w:val="22"/>
              <w:jc w:val="center"/>
              <w:rPr>
                <w:rFonts w:ascii="Times New Roman" w:hAnsi="Times New Roman"/>
                <w:color w:val="000000"/>
              </w:rPr>
            </w:pPr>
            <w:r>
              <w:rPr>
                <w:rFonts w:hint="eastAsia" w:ascii="Times New Roman" w:hAnsi="Times New Roman"/>
                <w:color w:val="000000"/>
              </w:rPr>
              <w:t>3424592.262</w:t>
            </w:r>
          </w:p>
        </w:tc>
        <w:tc>
          <w:tcPr>
            <w:tcW w:w="1144" w:type="pct"/>
            <w:noWrap/>
            <w:vAlign w:val="center"/>
          </w:tcPr>
          <w:p>
            <w:pPr>
              <w:jc w:val="center"/>
              <w:rPr>
                <w:u w:val="single"/>
              </w:rPr>
            </w:pPr>
            <w:r>
              <w:rPr>
                <w:rFonts w:eastAsia="宋体" w:cs="Times New Roman"/>
                <w:color w:val="000000"/>
                <w:sz w:val="21"/>
                <w:u w:val="single"/>
              </w:rPr>
              <w:t>医护人员和病人</w:t>
            </w:r>
          </w:p>
        </w:tc>
        <w:tc>
          <w:tcPr>
            <w:tcW w:w="1030" w:type="pct"/>
            <w:gridSpan w:val="2"/>
            <w:noWrap/>
            <w:vAlign w:val="center"/>
          </w:tcPr>
          <w:p>
            <w:pPr>
              <w:pStyle w:val="22"/>
              <w:jc w:val="center"/>
              <w:rPr>
                <w:rFonts w:ascii="Times New Roman" w:hAnsi="Times New Roman"/>
                <w:color w:val="000000"/>
                <w:u w:val="single"/>
              </w:rPr>
            </w:pPr>
            <w:r>
              <w:rPr>
                <w:rFonts w:hint="eastAsia" w:ascii="Times New Roman" w:hAnsi="Times New Roman"/>
                <w:color w:val="000000"/>
                <w:u w:val="single"/>
              </w:rPr>
              <w:t>院内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3" w:type="pct"/>
            <w:vMerge w:val="continue"/>
            <w:vAlign w:val="center"/>
          </w:tcPr>
          <w:p>
            <w:pPr>
              <w:widowControl/>
              <w:jc w:val="center"/>
              <w:rPr>
                <w:rFonts w:eastAsia="宋体" w:cs="Times New Roman"/>
                <w:color w:val="000000"/>
                <w:sz w:val="21"/>
              </w:rPr>
            </w:pPr>
          </w:p>
        </w:tc>
        <w:tc>
          <w:tcPr>
            <w:tcW w:w="614" w:type="pct"/>
            <w:noWrap/>
            <w:vAlign w:val="center"/>
          </w:tcPr>
          <w:p>
            <w:pPr>
              <w:jc w:val="center"/>
              <w:rPr>
                <w:rFonts w:eastAsia="宋体" w:cs="Times New Roman"/>
                <w:color w:val="000000"/>
                <w:sz w:val="21"/>
                <w:u w:val="single"/>
              </w:rPr>
            </w:pPr>
            <w:r>
              <w:rPr>
                <w:rFonts w:eastAsia="宋体" w:cs="Times New Roman"/>
                <w:color w:val="000000"/>
                <w:sz w:val="21"/>
                <w:u w:val="single"/>
              </w:rPr>
              <w:t>精神科大楼</w:t>
            </w:r>
          </w:p>
        </w:tc>
        <w:tc>
          <w:tcPr>
            <w:tcW w:w="793" w:type="pct"/>
            <w:noWrap/>
            <w:vAlign w:val="center"/>
          </w:tcPr>
          <w:p>
            <w:pPr>
              <w:pStyle w:val="22"/>
              <w:jc w:val="center"/>
              <w:rPr>
                <w:rFonts w:ascii="Times New Roman" w:hAnsi="Times New Roman"/>
                <w:color w:val="000000"/>
              </w:rPr>
            </w:pPr>
            <w:r>
              <w:rPr>
                <w:rFonts w:hint="eastAsia" w:ascii="Times New Roman" w:hAnsi="Times New Roman"/>
                <w:color w:val="000000"/>
              </w:rPr>
              <w:t>12594101.031</w:t>
            </w:r>
          </w:p>
        </w:tc>
        <w:tc>
          <w:tcPr>
            <w:tcW w:w="877" w:type="pct"/>
            <w:noWrap/>
            <w:vAlign w:val="center"/>
          </w:tcPr>
          <w:p>
            <w:pPr>
              <w:pStyle w:val="22"/>
              <w:jc w:val="center"/>
              <w:rPr>
                <w:rFonts w:ascii="Times New Roman" w:hAnsi="Times New Roman"/>
                <w:color w:val="000000"/>
              </w:rPr>
            </w:pPr>
            <w:r>
              <w:rPr>
                <w:rFonts w:hint="eastAsia" w:ascii="Times New Roman" w:hAnsi="Times New Roman"/>
                <w:color w:val="000000"/>
              </w:rPr>
              <w:t>3424562.108</w:t>
            </w:r>
          </w:p>
        </w:tc>
        <w:tc>
          <w:tcPr>
            <w:tcW w:w="1144" w:type="pct"/>
            <w:noWrap/>
            <w:vAlign w:val="center"/>
          </w:tcPr>
          <w:p>
            <w:pPr>
              <w:jc w:val="center"/>
              <w:rPr>
                <w:u w:val="single"/>
              </w:rPr>
            </w:pPr>
            <w:r>
              <w:rPr>
                <w:rFonts w:eastAsia="宋体" w:cs="Times New Roman"/>
                <w:color w:val="000000"/>
                <w:sz w:val="21"/>
                <w:u w:val="single"/>
              </w:rPr>
              <w:t>医护人员和病人</w:t>
            </w:r>
          </w:p>
        </w:tc>
        <w:tc>
          <w:tcPr>
            <w:tcW w:w="1030" w:type="pct"/>
            <w:gridSpan w:val="2"/>
            <w:noWrap/>
            <w:vAlign w:val="center"/>
          </w:tcPr>
          <w:p>
            <w:pPr>
              <w:pStyle w:val="22"/>
              <w:jc w:val="center"/>
              <w:rPr>
                <w:rFonts w:ascii="Times New Roman" w:hAnsi="Times New Roman"/>
                <w:color w:val="000000"/>
                <w:u w:val="single"/>
              </w:rPr>
            </w:pPr>
            <w:r>
              <w:rPr>
                <w:rFonts w:hint="eastAsia" w:ascii="Times New Roman" w:hAnsi="Times New Roman"/>
                <w:color w:val="000000"/>
                <w:u w:val="single"/>
              </w:rPr>
              <w:t>院内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3" w:type="pct"/>
            <w:vMerge w:val="continue"/>
            <w:vAlign w:val="center"/>
          </w:tcPr>
          <w:p>
            <w:pPr>
              <w:widowControl/>
              <w:jc w:val="center"/>
              <w:rPr>
                <w:rFonts w:eastAsia="宋体" w:cs="Times New Roman"/>
                <w:color w:val="000000"/>
                <w:sz w:val="21"/>
              </w:rPr>
            </w:pPr>
          </w:p>
        </w:tc>
        <w:tc>
          <w:tcPr>
            <w:tcW w:w="614" w:type="pct"/>
            <w:noWrap/>
            <w:vAlign w:val="center"/>
          </w:tcPr>
          <w:p>
            <w:pPr>
              <w:jc w:val="center"/>
              <w:rPr>
                <w:rFonts w:eastAsia="宋体" w:cs="Times New Roman"/>
                <w:color w:val="000000"/>
                <w:sz w:val="21"/>
                <w:u w:val="single"/>
              </w:rPr>
            </w:pPr>
            <w:r>
              <w:rPr>
                <w:sz w:val="21"/>
                <w:u w:val="single"/>
              </w:rPr>
              <w:t>职工</w:t>
            </w:r>
            <w:r>
              <w:rPr>
                <w:rFonts w:hint="eastAsia"/>
                <w:sz w:val="21"/>
                <w:u w:val="single"/>
              </w:rPr>
              <w:t>公寓（1）</w:t>
            </w:r>
          </w:p>
        </w:tc>
        <w:tc>
          <w:tcPr>
            <w:tcW w:w="793" w:type="pct"/>
            <w:noWrap/>
            <w:vAlign w:val="center"/>
          </w:tcPr>
          <w:p>
            <w:pPr>
              <w:pStyle w:val="22"/>
              <w:jc w:val="center"/>
              <w:rPr>
                <w:rFonts w:ascii="Times New Roman" w:hAnsi="Times New Roman"/>
                <w:color w:val="000000"/>
              </w:rPr>
            </w:pPr>
            <w:r>
              <w:rPr>
                <w:rFonts w:hint="eastAsia" w:ascii="Times New Roman" w:hAnsi="Times New Roman"/>
                <w:color w:val="000000"/>
              </w:rPr>
              <w:t>12593952.337</w:t>
            </w:r>
          </w:p>
        </w:tc>
        <w:tc>
          <w:tcPr>
            <w:tcW w:w="877" w:type="pct"/>
            <w:noWrap/>
            <w:vAlign w:val="center"/>
          </w:tcPr>
          <w:p>
            <w:pPr>
              <w:pStyle w:val="22"/>
              <w:jc w:val="center"/>
              <w:rPr>
                <w:rFonts w:ascii="Times New Roman" w:hAnsi="Times New Roman"/>
                <w:color w:val="000000"/>
              </w:rPr>
            </w:pPr>
            <w:r>
              <w:rPr>
                <w:rFonts w:hint="eastAsia" w:ascii="Times New Roman" w:hAnsi="Times New Roman"/>
                <w:color w:val="000000"/>
              </w:rPr>
              <w:t>3424547.716</w:t>
            </w:r>
          </w:p>
        </w:tc>
        <w:tc>
          <w:tcPr>
            <w:tcW w:w="1144" w:type="pct"/>
            <w:noWrap/>
            <w:vAlign w:val="center"/>
          </w:tcPr>
          <w:p>
            <w:pPr>
              <w:jc w:val="center"/>
              <w:rPr>
                <w:rFonts w:eastAsia="宋体" w:cs="Times New Roman"/>
                <w:color w:val="000000"/>
                <w:sz w:val="21"/>
                <w:u w:val="single"/>
              </w:rPr>
            </w:pPr>
            <w:r>
              <w:rPr>
                <w:rFonts w:eastAsia="宋体" w:cs="Times New Roman"/>
                <w:color w:val="000000"/>
                <w:sz w:val="21"/>
                <w:u w:val="single"/>
              </w:rPr>
              <w:t>职工人员</w:t>
            </w:r>
          </w:p>
        </w:tc>
        <w:tc>
          <w:tcPr>
            <w:tcW w:w="1030" w:type="pct"/>
            <w:gridSpan w:val="2"/>
            <w:noWrap/>
            <w:vAlign w:val="center"/>
          </w:tcPr>
          <w:p>
            <w:pPr>
              <w:pStyle w:val="22"/>
              <w:jc w:val="center"/>
              <w:rPr>
                <w:rFonts w:ascii="Times New Roman" w:hAnsi="Times New Roman"/>
                <w:color w:val="000000"/>
                <w:u w:val="single"/>
              </w:rPr>
            </w:pPr>
            <w:r>
              <w:rPr>
                <w:rFonts w:hint="eastAsia" w:ascii="Times New Roman" w:hAnsi="Times New Roman"/>
                <w:color w:val="000000"/>
                <w:u w:val="single"/>
              </w:rPr>
              <w:t>院内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3" w:type="pct"/>
            <w:vMerge w:val="continue"/>
            <w:vAlign w:val="center"/>
          </w:tcPr>
          <w:p>
            <w:pPr>
              <w:widowControl/>
              <w:jc w:val="center"/>
              <w:rPr>
                <w:rFonts w:eastAsia="宋体" w:cs="Times New Roman"/>
                <w:color w:val="000000"/>
                <w:sz w:val="21"/>
              </w:rPr>
            </w:pPr>
          </w:p>
        </w:tc>
        <w:tc>
          <w:tcPr>
            <w:tcW w:w="614" w:type="pct"/>
            <w:noWrap/>
            <w:vAlign w:val="center"/>
          </w:tcPr>
          <w:p>
            <w:pPr>
              <w:jc w:val="center"/>
              <w:rPr>
                <w:sz w:val="21"/>
                <w:u w:val="single"/>
              </w:rPr>
            </w:pPr>
            <w:r>
              <w:rPr>
                <w:sz w:val="21"/>
                <w:u w:val="single"/>
              </w:rPr>
              <w:t>职工</w:t>
            </w:r>
            <w:r>
              <w:rPr>
                <w:rFonts w:hint="eastAsia"/>
                <w:sz w:val="21"/>
                <w:u w:val="single"/>
              </w:rPr>
              <w:t>公寓（2）</w:t>
            </w:r>
          </w:p>
        </w:tc>
        <w:tc>
          <w:tcPr>
            <w:tcW w:w="793" w:type="pct"/>
            <w:noWrap/>
            <w:vAlign w:val="center"/>
          </w:tcPr>
          <w:p>
            <w:pPr>
              <w:pStyle w:val="22"/>
              <w:jc w:val="center"/>
              <w:rPr>
                <w:rFonts w:ascii="Times New Roman" w:hAnsi="Times New Roman"/>
                <w:color w:val="000000"/>
              </w:rPr>
            </w:pPr>
            <w:r>
              <w:rPr>
                <w:rFonts w:hint="eastAsia" w:ascii="Times New Roman" w:hAnsi="Times New Roman"/>
                <w:color w:val="000000"/>
              </w:rPr>
              <w:t>12593972.044</w:t>
            </w:r>
          </w:p>
        </w:tc>
        <w:tc>
          <w:tcPr>
            <w:tcW w:w="877" w:type="pct"/>
            <w:noWrap/>
            <w:vAlign w:val="center"/>
          </w:tcPr>
          <w:p>
            <w:pPr>
              <w:pStyle w:val="22"/>
              <w:jc w:val="center"/>
              <w:rPr>
                <w:rFonts w:ascii="Times New Roman" w:hAnsi="Times New Roman"/>
                <w:color w:val="000000"/>
              </w:rPr>
            </w:pPr>
            <w:r>
              <w:rPr>
                <w:rFonts w:hint="eastAsia" w:ascii="Times New Roman" w:hAnsi="Times New Roman"/>
                <w:color w:val="000000"/>
              </w:rPr>
              <w:t>3424605.284</w:t>
            </w:r>
          </w:p>
        </w:tc>
        <w:tc>
          <w:tcPr>
            <w:tcW w:w="1144" w:type="pct"/>
            <w:noWrap/>
            <w:vAlign w:val="center"/>
          </w:tcPr>
          <w:p>
            <w:pPr>
              <w:jc w:val="center"/>
              <w:rPr>
                <w:rFonts w:eastAsia="宋体" w:cs="Times New Roman"/>
                <w:color w:val="000000"/>
                <w:sz w:val="21"/>
                <w:u w:val="single"/>
              </w:rPr>
            </w:pPr>
            <w:r>
              <w:rPr>
                <w:rFonts w:eastAsia="宋体" w:cs="Times New Roman"/>
                <w:color w:val="000000"/>
                <w:sz w:val="21"/>
                <w:u w:val="single"/>
              </w:rPr>
              <w:t>职工人员</w:t>
            </w:r>
          </w:p>
        </w:tc>
        <w:tc>
          <w:tcPr>
            <w:tcW w:w="1030" w:type="pct"/>
            <w:gridSpan w:val="2"/>
            <w:noWrap/>
            <w:vAlign w:val="center"/>
          </w:tcPr>
          <w:p>
            <w:pPr>
              <w:pStyle w:val="22"/>
              <w:jc w:val="center"/>
              <w:rPr>
                <w:rFonts w:ascii="Times New Roman" w:hAnsi="Times New Roman"/>
                <w:color w:val="000000"/>
                <w:u w:val="single"/>
              </w:rPr>
            </w:pPr>
            <w:r>
              <w:rPr>
                <w:rFonts w:hint="eastAsia" w:ascii="Times New Roman" w:hAnsi="Times New Roman"/>
                <w:color w:val="000000"/>
                <w:u w:val="single"/>
              </w:rPr>
              <w:t>院内</w:t>
            </w:r>
          </w:p>
        </w:tc>
      </w:tr>
    </w:tbl>
    <w:p>
      <w:pPr>
        <w:pStyle w:val="14"/>
        <w:spacing w:line="240" w:lineRule="auto"/>
      </w:pPr>
    </w:p>
    <w:p>
      <w:pPr>
        <w:pStyle w:val="4"/>
      </w:pPr>
      <w:r>
        <w:t>环境风险潜势初判</w:t>
      </w:r>
    </w:p>
    <w:p>
      <w:pPr>
        <w:spacing w:line="360" w:lineRule="auto"/>
        <w:ind w:firstLine="480" w:firstLineChars="200"/>
      </w:pPr>
      <w:r>
        <w:rPr>
          <w:rFonts w:hint="eastAsia"/>
        </w:rPr>
        <w:t>（1）危险物质数量与临界量比值（Q）</w:t>
      </w:r>
    </w:p>
    <w:p>
      <w:pPr>
        <w:spacing w:line="360" w:lineRule="auto"/>
        <w:ind w:firstLine="480" w:firstLineChars="200"/>
        <w:rPr>
          <w:rFonts w:asciiTheme="minorEastAsia" w:hAnsiTheme="minorEastAsia"/>
        </w:rPr>
      </w:pPr>
      <w:r>
        <w:rPr>
          <w:rFonts w:hint="eastAsia" w:asciiTheme="minorEastAsia" w:hAnsiTheme="minorEastAsia"/>
        </w:rPr>
        <w:t>①计算方法：</w:t>
      </w:r>
    </w:p>
    <w:p>
      <w:pPr>
        <w:spacing w:line="360" w:lineRule="auto"/>
        <w:ind w:firstLine="480" w:firstLineChars="200"/>
        <w:rPr>
          <w:rFonts w:eastAsia="宋体"/>
          <w:kern w:val="0"/>
          <w:szCs w:val="24"/>
        </w:rPr>
      </w:pPr>
      <w:r>
        <w:rPr>
          <w:rFonts w:ascii="宋体" w:hAnsi="宋体" w:eastAsia="宋体"/>
          <w:bCs/>
          <w:kern w:val="0"/>
          <w:szCs w:val="24"/>
        </w:rPr>
        <w:t>根据</w:t>
      </w:r>
      <w:r>
        <w:rPr>
          <w:rFonts w:eastAsia="宋体"/>
          <w:bCs/>
          <w:kern w:val="0"/>
          <w:szCs w:val="24"/>
        </w:rPr>
        <w:t>HJ169-2018</w:t>
      </w:r>
      <w:r>
        <w:rPr>
          <w:rFonts w:ascii="宋体" w:hAnsi="宋体" w:eastAsia="宋体"/>
          <w:bCs/>
          <w:kern w:val="0"/>
          <w:szCs w:val="24"/>
        </w:rPr>
        <w:t>中附录</w:t>
      </w:r>
      <w:r>
        <w:rPr>
          <w:rFonts w:eastAsia="宋体"/>
          <w:bCs/>
          <w:kern w:val="0"/>
          <w:szCs w:val="24"/>
        </w:rPr>
        <w:t>C</w:t>
      </w:r>
      <w:r>
        <w:rPr>
          <w:rFonts w:ascii="宋体" w:hAnsi="宋体" w:eastAsia="宋体"/>
          <w:bCs/>
          <w:kern w:val="0"/>
          <w:szCs w:val="24"/>
        </w:rPr>
        <w:t>可知：计算本项目所涉及的每种危险物质在厂界内的最大存在总量与其在</w:t>
      </w:r>
      <w:r>
        <w:rPr>
          <w:rFonts w:eastAsia="宋体"/>
          <w:bCs/>
          <w:kern w:val="0"/>
          <w:szCs w:val="24"/>
        </w:rPr>
        <w:t>HJ169-2018</w:t>
      </w:r>
      <w:r>
        <w:rPr>
          <w:rFonts w:ascii="宋体" w:hAnsi="宋体" w:eastAsia="宋体"/>
          <w:bCs/>
          <w:kern w:val="0"/>
          <w:szCs w:val="24"/>
        </w:rPr>
        <w:t>附录</w:t>
      </w:r>
      <w:r>
        <w:rPr>
          <w:rFonts w:eastAsia="宋体"/>
          <w:bCs/>
          <w:kern w:val="0"/>
          <w:szCs w:val="24"/>
        </w:rPr>
        <w:t>B</w:t>
      </w:r>
      <w:r>
        <w:rPr>
          <w:rFonts w:ascii="宋体" w:hAnsi="宋体" w:eastAsia="宋体"/>
          <w:bCs/>
          <w:kern w:val="0"/>
          <w:szCs w:val="24"/>
        </w:rPr>
        <w:t>中对应的临界量的比值</w:t>
      </w:r>
      <w:r>
        <w:rPr>
          <w:rFonts w:eastAsia="宋体"/>
          <w:bCs/>
          <w:kern w:val="0"/>
          <w:szCs w:val="24"/>
        </w:rPr>
        <w:t>Q</w:t>
      </w:r>
      <w:r>
        <w:rPr>
          <w:rFonts w:ascii="宋体" w:hAnsi="宋体" w:eastAsia="宋体"/>
          <w:bCs/>
          <w:kern w:val="0"/>
          <w:szCs w:val="24"/>
        </w:rPr>
        <w:t>。</w:t>
      </w:r>
    </w:p>
    <w:p>
      <w:pPr>
        <w:spacing w:line="360" w:lineRule="auto"/>
        <w:ind w:firstLine="480" w:firstLineChars="200"/>
        <w:rPr>
          <w:rFonts w:eastAsia="宋体"/>
          <w:bCs/>
          <w:kern w:val="0"/>
          <w:szCs w:val="24"/>
        </w:rPr>
      </w:pPr>
      <w:r>
        <w:rPr>
          <w:rFonts w:ascii="宋体" w:hAnsi="宋体" w:eastAsia="宋体"/>
          <w:bCs/>
          <w:kern w:val="0"/>
          <w:szCs w:val="24"/>
        </w:rPr>
        <w:t>当只涉及一种危险物质时，计算该物质的总量与其临界量比值，即为</w:t>
      </w:r>
      <w:r>
        <w:rPr>
          <w:rFonts w:eastAsia="宋体"/>
          <w:bCs/>
          <w:kern w:val="0"/>
          <w:szCs w:val="24"/>
        </w:rPr>
        <w:t>Q</w:t>
      </w:r>
      <w:r>
        <w:rPr>
          <w:rFonts w:ascii="宋体" w:hAnsi="宋体" w:eastAsia="宋体"/>
          <w:bCs/>
          <w:kern w:val="0"/>
          <w:szCs w:val="24"/>
        </w:rPr>
        <w:t>；当存在多种危险物质时，则按式（</w:t>
      </w:r>
      <w:r>
        <w:rPr>
          <w:rFonts w:eastAsia="宋体"/>
          <w:bCs/>
          <w:kern w:val="0"/>
          <w:szCs w:val="24"/>
        </w:rPr>
        <w:t>C.1</w:t>
      </w:r>
      <w:r>
        <w:rPr>
          <w:rFonts w:ascii="宋体" w:hAnsi="宋体" w:eastAsia="宋体"/>
          <w:bCs/>
          <w:kern w:val="0"/>
          <w:szCs w:val="24"/>
        </w:rPr>
        <w:t>）计算物质总量与其临界量比值（</w:t>
      </w:r>
      <w:r>
        <w:rPr>
          <w:rFonts w:eastAsia="宋体"/>
          <w:bCs/>
          <w:kern w:val="0"/>
          <w:szCs w:val="24"/>
        </w:rPr>
        <w:t>Q</w:t>
      </w:r>
      <w:r>
        <w:rPr>
          <w:rFonts w:ascii="宋体" w:hAnsi="宋体" w:eastAsia="宋体"/>
          <w:bCs/>
          <w:kern w:val="0"/>
          <w:szCs w:val="24"/>
        </w:rPr>
        <w:t>）；</w:t>
      </w:r>
    </w:p>
    <w:p>
      <w:pPr>
        <w:jc w:val="center"/>
      </w:pPr>
      <w:r>
        <w:drawing>
          <wp:inline distT="0" distB="0" distL="0" distR="0">
            <wp:extent cx="2717165" cy="400685"/>
            <wp:effectExtent l="19050" t="0" r="6985" b="0"/>
            <wp:docPr id="2" name="图片 6" descr="C:\Users\123\AppData\Local\Temp\ksohtml11812\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C:\Users\123\AppData\Local\Temp\ksohtml11812\wps1.jpg"/>
                    <pic:cNvPicPr>
                      <a:picLocks noChangeAspect="1" noChangeArrowheads="1"/>
                    </pic:cNvPicPr>
                  </pic:nvPicPr>
                  <pic:blipFill>
                    <a:blip r:embed="rId21" cstate="print"/>
                    <a:srcRect/>
                    <a:stretch>
                      <a:fillRect/>
                    </a:stretch>
                  </pic:blipFill>
                  <pic:spPr>
                    <a:xfrm>
                      <a:off x="0" y="0"/>
                      <a:ext cx="2717165" cy="400685"/>
                    </a:xfrm>
                    <a:prstGeom prst="rect">
                      <a:avLst/>
                    </a:prstGeom>
                    <a:noFill/>
                    <a:ln w="9525">
                      <a:noFill/>
                      <a:miter lim="800000"/>
                      <a:headEnd/>
                      <a:tailEnd/>
                    </a:ln>
                  </pic:spPr>
                </pic:pic>
              </a:graphicData>
            </a:graphic>
          </wp:inline>
        </w:drawing>
      </w:r>
    </w:p>
    <w:p>
      <w:pPr>
        <w:spacing w:line="360" w:lineRule="auto"/>
        <w:ind w:firstLine="480" w:firstLineChars="200"/>
        <w:rPr>
          <w:rFonts w:eastAsia="宋体"/>
          <w:kern w:val="0"/>
          <w:szCs w:val="24"/>
        </w:rPr>
      </w:pPr>
      <w:r>
        <w:rPr>
          <w:rFonts w:ascii="宋体" w:hAnsi="宋体" w:eastAsia="宋体"/>
          <w:bCs/>
          <w:kern w:val="0"/>
          <w:szCs w:val="24"/>
        </w:rPr>
        <w:t>式中</w:t>
      </w:r>
      <w:r>
        <w:rPr>
          <w:rFonts w:hAnsi="宋体" w:eastAsia="宋体" w:cs="Times New Roman"/>
          <w:bCs/>
          <w:kern w:val="0"/>
          <w:szCs w:val="24"/>
        </w:rPr>
        <w:t>：</w:t>
      </w:r>
      <w:r>
        <w:rPr>
          <w:rFonts w:eastAsia="宋体" w:cs="Times New Roman"/>
          <w:bCs/>
          <w:kern w:val="0"/>
          <w:szCs w:val="24"/>
        </w:rPr>
        <w:t>q</w:t>
      </w:r>
      <w:r>
        <w:rPr>
          <w:rFonts w:eastAsia="宋体" w:cs="Times New Roman"/>
          <w:bCs/>
          <w:kern w:val="0"/>
          <w:szCs w:val="24"/>
          <w:vertAlign w:val="subscript"/>
        </w:rPr>
        <w:t>1</w:t>
      </w:r>
      <w:r>
        <w:rPr>
          <w:rFonts w:hAnsi="宋体" w:eastAsia="宋体" w:cs="Times New Roman"/>
          <w:bCs/>
          <w:kern w:val="0"/>
          <w:szCs w:val="24"/>
        </w:rPr>
        <w:t>，</w:t>
      </w:r>
      <w:r>
        <w:rPr>
          <w:rFonts w:eastAsia="宋体" w:cs="Times New Roman"/>
          <w:bCs/>
          <w:kern w:val="0"/>
          <w:szCs w:val="24"/>
        </w:rPr>
        <w:t>q</w:t>
      </w:r>
      <w:r>
        <w:rPr>
          <w:rFonts w:eastAsia="宋体" w:cs="Times New Roman"/>
          <w:bCs/>
          <w:kern w:val="0"/>
          <w:szCs w:val="24"/>
          <w:vertAlign w:val="subscript"/>
        </w:rPr>
        <w:t>2</w:t>
      </w:r>
      <w:r>
        <w:rPr>
          <w:rFonts w:hAnsi="宋体" w:eastAsia="宋体" w:cs="Times New Roman"/>
          <w:bCs/>
          <w:kern w:val="0"/>
          <w:szCs w:val="24"/>
        </w:rPr>
        <w:t>，</w:t>
      </w:r>
      <w:r>
        <w:rPr>
          <w:rFonts w:eastAsia="宋体" w:cs="Times New Roman"/>
          <w:bCs/>
          <w:kern w:val="0"/>
          <w:szCs w:val="24"/>
        </w:rPr>
        <w:t>…</w:t>
      </w:r>
      <w:r>
        <w:rPr>
          <w:rFonts w:hAnsi="宋体" w:eastAsia="宋体" w:cs="Times New Roman"/>
          <w:bCs/>
          <w:kern w:val="0"/>
          <w:szCs w:val="24"/>
        </w:rPr>
        <w:t>，</w:t>
      </w:r>
      <w:r>
        <w:rPr>
          <w:rFonts w:eastAsia="宋体" w:cs="Times New Roman"/>
          <w:bCs/>
          <w:kern w:val="0"/>
          <w:szCs w:val="24"/>
        </w:rPr>
        <w:t>q</w:t>
      </w:r>
      <w:r>
        <w:rPr>
          <w:rFonts w:eastAsia="宋体" w:cs="Times New Roman"/>
          <w:bCs/>
          <w:kern w:val="0"/>
          <w:szCs w:val="24"/>
          <w:vertAlign w:val="subscript"/>
        </w:rPr>
        <w:t>n</w:t>
      </w:r>
      <w:r>
        <w:rPr>
          <w:rFonts w:eastAsia="宋体"/>
          <w:bCs/>
          <w:kern w:val="0"/>
          <w:szCs w:val="24"/>
        </w:rPr>
        <w:t>——</w:t>
      </w:r>
      <w:r>
        <w:rPr>
          <w:rFonts w:ascii="宋体" w:hAnsi="宋体" w:eastAsia="宋体"/>
          <w:bCs/>
          <w:kern w:val="0"/>
          <w:szCs w:val="24"/>
        </w:rPr>
        <w:t>每种危险物质的最大存在总量，</w:t>
      </w:r>
      <w:r>
        <w:rPr>
          <w:rFonts w:eastAsia="宋体"/>
          <w:bCs/>
          <w:kern w:val="0"/>
          <w:szCs w:val="24"/>
        </w:rPr>
        <w:t>t</w:t>
      </w:r>
      <w:r>
        <w:rPr>
          <w:rFonts w:ascii="宋体" w:hAnsi="宋体" w:eastAsia="宋体"/>
          <w:bCs/>
          <w:kern w:val="0"/>
          <w:szCs w:val="24"/>
        </w:rPr>
        <w:t>；</w:t>
      </w:r>
    </w:p>
    <w:p>
      <w:pPr>
        <w:spacing w:line="360" w:lineRule="auto"/>
        <w:ind w:firstLine="480" w:firstLineChars="200"/>
        <w:rPr>
          <w:rFonts w:eastAsia="宋体"/>
          <w:bCs/>
          <w:kern w:val="0"/>
          <w:szCs w:val="24"/>
        </w:rPr>
      </w:pPr>
      <w:r>
        <w:rPr>
          <w:rFonts w:eastAsia="宋体"/>
          <w:bCs/>
          <w:kern w:val="0"/>
          <w:szCs w:val="24"/>
        </w:rPr>
        <w:t>Q1</w:t>
      </w:r>
      <w:r>
        <w:rPr>
          <w:rFonts w:ascii="宋体" w:hAnsi="宋体" w:eastAsia="宋体"/>
          <w:bCs/>
          <w:kern w:val="0"/>
          <w:szCs w:val="24"/>
        </w:rPr>
        <w:t>，</w:t>
      </w:r>
      <w:r>
        <w:rPr>
          <w:rFonts w:eastAsia="宋体"/>
          <w:bCs/>
          <w:kern w:val="0"/>
          <w:szCs w:val="24"/>
        </w:rPr>
        <w:t>Q2</w:t>
      </w:r>
      <w:r>
        <w:rPr>
          <w:rFonts w:ascii="宋体" w:hAnsi="宋体" w:eastAsia="宋体"/>
          <w:bCs/>
          <w:kern w:val="0"/>
          <w:szCs w:val="24"/>
        </w:rPr>
        <w:t>，</w:t>
      </w:r>
      <w:r>
        <w:rPr>
          <w:rFonts w:eastAsia="宋体"/>
          <w:bCs/>
          <w:kern w:val="0"/>
          <w:szCs w:val="24"/>
        </w:rPr>
        <w:t>…</w:t>
      </w:r>
      <w:r>
        <w:rPr>
          <w:rFonts w:ascii="宋体" w:hAnsi="宋体" w:eastAsia="宋体"/>
          <w:bCs/>
          <w:kern w:val="0"/>
          <w:szCs w:val="24"/>
        </w:rPr>
        <w:t>，</w:t>
      </w:r>
      <w:r>
        <w:rPr>
          <w:rFonts w:eastAsia="宋体"/>
          <w:bCs/>
          <w:kern w:val="0"/>
          <w:szCs w:val="24"/>
        </w:rPr>
        <w:t>Qn——</w:t>
      </w:r>
      <w:r>
        <w:rPr>
          <w:rFonts w:ascii="宋体" w:hAnsi="宋体" w:eastAsia="宋体"/>
          <w:bCs/>
          <w:kern w:val="0"/>
          <w:szCs w:val="24"/>
        </w:rPr>
        <w:t>每种危险物质的临界量，</w:t>
      </w:r>
      <w:r>
        <w:rPr>
          <w:rFonts w:eastAsia="宋体"/>
          <w:bCs/>
          <w:kern w:val="0"/>
          <w:szCs w:val="24"/>
        </w:rPr>
        <w:t>t</w:t>
      </w:r>
      <w:r>
        <w:rPr>
          <w:rFonts w:ascii="宋体" w:hAnsi="宋体" w:eastAsia="宋体"/>
          <w:bCs/>
          <w:kern w:val="0"/>
          <w:szCs w:val="24"/>
        </w:rPr>
        <w:t>；</w:t>
      </w:r>
    </w:p>
    <w:p>
      <w:pPr>
        <w:spacing w:line="360" w:lineRule="auto"/>
        <w:ind w:firstLine="480" w:firstLineChars="200"/>
        <w:rPr>
          <w:rFonts w:eastAsia="宋体"/>
          <w:bCs/>
          <w:kern w:val="0"/>
          <w:szCs w:val="24"/>
        </w:rPr>
      </w:pPr>
      <w:r>
        <w:rPr>
          <w:rFonts w:ascii="宋体" w:hAnsi="宋体" w:eastAsia="宋体"/>
          <w:bCs/>
          <w:kern w:val="0"/>
          <w:szCs w:val="24"/>
        </w:rPr>
        <w:t>当</w:t>
      </w:r>
      <w:r>
        <w:rPr>
          <w:rFonts w:eastAsia="宋体"/>
          <w:bCs/>
          <w:kern w:val="0"/>
          <w:szCs w:val="24"/>
        </w:rPr>
        <w:t>Q</w:t>
      </w:r>
      <w:r>
        <w:rPr>
          <w:rFonts w:ascii="宋体" w:hAnsi="宋体" w:eastAsia="宋体"/>
          <w:bCs/>
          <w:kern w:val="0"/>
          <w:szCs w:val="24"/>
        </w:rPr>
        <w:t>＜</w:t>
      </w:r>
      <w:r>
        <w:rPr>
          <w:rFonts w:eastAsia="宋体"/>
          <w:bCs/>
          <w:kern w:val="0"/>
          <w:szCs w:val="24"/>
        </w:rPr>
        <w:t>1</w:t>
      </w:r>
      <w:r>
        <w:rPr>
          <w:rFonts w:ascii="宋体" w:hAnsi="宋体" w:eastAsia="宋体"/>
          <w:bCs/>
          <w:kern w:val="0"/>
          <w:szCs w:val="24"/>
        </w:rPr>
        <w:t>时，该项目环境风险潜势为</w:t>
      </w:r>
      <w:r>
        <w:rPr>
          <w:rFonts w:eastAsia="宋体"/>
          <w:bCs/>
          <w:kern w:val="0"/>
          <w:szCs w:val="24"/>
        </w:rPr>
        <w:t>I</w:t>
      </w:r>
      <w:r>
        <w:rPr>
          <w:rFonts w:ascii="宋体" w:hAnsi="宋体" w:eastAsia="宋体"/>
          <w:bCs/>
          <w:kern w:val="0"/>
          <w:szCs w:val="24"/>
        </w:rPr>
        <w:t>。</w:t>
      </w:r>
    </w:p>
    <w:p>
      <w:pPr>
        <w:spacing w:line="360" w:lineRule="auto"/>
        <w:ind w:firstLine="480" w:firstLineChars="200"/>
        <w:rPr>
          <w:rFonts w:eastAsia="宋体"/>
          <w:bCs/>
          <w:kern w:val="0"/>
          <w:szCs w:val="24"/>
        </w:rPr>
      </w:pPr>
      <w:r>
        <w:rPr>
          <w:rFonts w:ascii="宋体" w:hAnsi="宋体" w:eastAsia="宋体"/>
          <w:bCs/>
          <w:kern w:val="0"/>
          <w:szCs w:val="24"/>
        </w:rPr>
        <w:t>当</w:t>
      </w:r>
      <w:r>
        <w:rPr>
          <w:rFonts w:eastAsia="宋体"/>
          <w:bCs/>
          <w:kern w:val="0"/>
          <w:szCs w:val="24"/>
        </w:rPr>
        <w:t>Q≥1</w:t>
      </w:r>
      <w:r>
        <w:rPr>
          <w:rFonts w:ascii="宋体" w:hAnsi="宋体" w:eastAsia="宋体"/>
          <w:bCs/>
          <w:kern w:val="0"/>
          <w:szCs w:val="24"/>
        </w:rPr>
        <w:t>时，将</w:t>
      </w:r>
      <w:r>
        <w:rPr>
          <w:rFonts w:eastAsia="宋体"/>
          <w:bCs/>
          <w:kern w:val="0"/>
          <w:szCs w:val="24"/>
        </w:rPr>
        <w:t>Q</w:t>
      </w:r>
      <w:r>
        <w:rPr>
          <w:rFonts w:ascii="宋体" w:hAnsi="宋体" w:eastAsia="宋体"/>
          <w:bCs/>
          <w:kern w:val="0"/>
          <w:szCs w:val="24"/>
        </w:rPr>
        <w:t>值划分为：（</w:t>
      </w:r>
      <w:r>
        <w:rPr>
          <w:rFonts w:eastAsia="宋体"/>
          <w:bCs/>
          <w:kern w:val="0"/>
          <w:szCs w:val="24"/>
        </w:rPr>
        <w:t>1</w:t>
      </w:r>
      <w:r>
        <w:rPr>
          <w:rFonts w:ascii="宋体" w:hAnsi="宋体" w:eastAsia="宋体"/>
          <w:bCs/>
          <w:kern w:val="0"/>
          <w:szCs w:val="24"/>
        </w:rPr>
        <w:t>）</w:t>
      </w:r>
      <w:r>
        <w:rPr>
          <w:rFonts w:eastAsia="宋体"/>
          <w:bCs/>
          <w:kern w:val="0"/>
          <w:szCs w:val="24"/>
        </w:rPr>
        <w:t>1≤Q</w:t>
      </w:r>
      <w:r>
        <w:rPr>
          <w:rFonts w:ascii="宋体" w:hAnsi="宋体" w:eastAsia="宋体"/>
          <w:bCs/>
          <w:kern w:val="0"/>
          <w:szCs w:val="24"/>
        </w:rPr>
        <w:t>＜</w:t>
      </w:r>
      <w:r>
        <w:rPr>
          <w:rFonts w:eastAsia="宋体"/>
          <w:bCs/>
          <w:kern w:val="0"/>
          <w:szCs w:val="24"/>
        </w:rPr>
        <w:t>10</w:t>
      </w:r>
      <w:r>
        <w:rPr>
          <w:rFonts w:ascii="宋体" w:hAnsi="宋体" w:eastAsia="宋体"/>
          <w:bCs/>
          <w:kern w:val="0"/>
          <w:szCs w:val="24"/>
        </w:rPr>
        <w:t>；（</w:t>
      </w:r>
      <w:r>
        <w:rPr>
          <w:rFonts w:eastAsia="宋体"/>
          <w:bCs/>
          <w:kern w:val="0"/>
          <w:szCs w:val="24"/>
        </w:rPr>
        <w:t>2</w:t>
      </w:r>
      <w:r>
        <w:rPr>
          <w:rFonts w:ascii="宋体" w:hAnsi="宋体" w:eastAsia="宋体"/>
          <w:bCs/>
          <w:kern w:val="0"/>
          <w:szCs w:val="24"/>
        </w:rPr>
        <w:t>）</w:t>
      </w:r>
      <w:r>
        <w:rPr>
          <w:rFonts w:eastAsia="宋体"/>
          <w:bCs/>
          <w:kern w:val="0"/>
          <w:szCs w:val="24"/>
        </w:rPr>
        <w:t>10≤Q</w:t>
      </w:r>
      <w:r>
        <w:rPr>
          <w:rFonts w:ascii="宋体" w:hAnsi="宋体" w:eastAsia="宋体"/>
          <w:bCs/>
          <w:kern w:val="0"/>
          <w:szCs w:val="24"/>
        </w:rPr>
        <w:t>＜</w:t>
      </w:r>
      <w:r>
        <w:rPr>
          <w:rFonts w:eastAsia="宋体"/>
          <w:bCs/>
          <w:kern w:val="0"/>
          <w:szCs w:val="24"/>
        </w:rPr>
        <w:t>100</w:t>
      </w:r>
      <w:r>
        <w:rPr>
          <w:rFonts w:ascii="宋体" w:hAnsi="宋体" w:eastAsia="宋体"/>
          <w:bCs/>
          <w:kern w:val="0"/>
          <w:szCs w:val="24"/>
        </w:rPr>
        <w:t>；（</w:t>
      </w:r>
      <w:r>
        <w:rPr>
          <w:rFonts w:eastAsia="宋体"/>
          <w:bCs/>
          <w:kern w:val="0"/>
          <w:szCs w:val="24"/>
        </w:rPr>
        <w:t>3</w:t>
      </w:r>
      <w:r>
        <w:rPr>
          <w:rFonts w:ascii="宋体" w:hAnsi="宋体" w:eastAsia="宋体"/>
          <w:bCs/>
          <w:kern w:val="0"/>
          <w:szCs w:val="24"/>
        </w:rPr>
        <w:t>）</w:t>
      </w:r>
      <w:r>
        <w:rPr>
          <w:rFonts w:eastAsia="宋体"/>
          <w:bCs/>
          <w:kern w:val="0"/>
          <w:szCs w:val="24"/>
        </w:rPr>
        <w:t>Q≥100</w:t>
      </w:r>
      <w:r>
        <w:rPr>
          <w:rFonts w:ascii="宋体" w:hAnsi="宋体" w:eastAsia="宋体"/>
          <w:bCs/>
          <w:kern w:val="0"/>
          <w:szCs w:val="24"/>
        </w:rPr>
        <w:t>。</w:t>
      </w:r>
    </w:p>
    <w:p>
      <w:pPr>
        <w:spacing w:line="360" w:lineRule="auto"/>
        <w:ind w:firstLine="480" w:firstLineChars="200"/>
      </w:pPr>
      <w:r>
        <w:rPr>
          <w:rFonts w:hint="eastAsia" w:asciiTheme="minorEastAsia" w:hAnsiTheme="minorEastAsia"/>
        </w:rPr>
        <w:t>②本项目</w:t>
      </w:r>
      <w:r>
        <w:rPr>
          <w:rFonts w:eastAsia="宋体"/>
          <w:bCs/>
          <w:kern w:val="0"/>
          <w:szCs w:val="24"/>
        </w:rPr>
        <w:t>Q</w:t>
      </w:r>
      <w:r>
        <w:rPr>
          <w:rFonts w:ascii="宋体" w:hAnsi="宋体" w:eastAsia="宋体"/>
          <w:bCs/>
          <w:kern w:val="0"/>
          <w:szCs w:val="24"/>
        </w:rPr>
        <w:t>值</w:t>
      </w:r>
    </w:p>
    <w:p>
      <w:pPr>
        <w:spacing w:line="360" w:lineRule="auto"/>
        <w:ind w:firstLine="480" w:firstLineChars="200"/>
      </w:pPr>
      <w:r>
        <w:rPr>
          <w:rFonts w:hint="eastAsia"/>
        </w:rPr>
        <w:t>本项目设计的危险物质有乙醇、盐酸、氯酸钠、氧气、天然气。危险物质具体存量详见下表所示。</w:t>
      </w:r>
    </w:p>
    <w:p>
      <w:pPr>
        <w:pStyle w:val="141"/>
        <w:jc w:val="center"/>
        <w:rPr>
          <w:rFonts w:ascii="Times New Roman" w:hAnsi="Times New Roman" w:cs="Times New Roman" w:eastAsiaTheme="minorEastAsia"/>
          <w:b/>
          <w:color w:val="000000" w:themeColor="text1"/>
          <w:sz w:val="24"/>
          <w:szCs w:val="24"/>
        </w:rPr>
      </w:pPr>
      <w:r>
        <w:rPr>
          <w:rFonts w:ascii="Times New Roman" w:cs="Times New Roman" w:hAnsiTheme="minorEastAsia" w:eastAsiaTheme="minorEastAsia"/>
          <w:b/>
          <w:color w:val="000000" w:themeColor="text1"/>
          <w:sz w:val="24"/>
          <w:szCs w:val="24"/>
        </w:rPr>
        <w:t>表</w:t>
      </w:r>
      <w:r>
        <w:rPr>
          <w:rFonts w:ascii="Times New Roman" w:cs="Times New Roman" w:hAnsiTheme="minorEastAsia" w:eastAsiaTheme="minorEastAsia"/>
          <w:b/>
          <w:color w:val="000000" w:themeColor="text1"/>
          <w:sz w:val="24"/>
          <w:szCs w:val="24"/>
        </w:rPr>
        <w:fldChar w:fldCharType="begin"/>
      </w:r>
      <w:r>
        <w:rPr>
          <w:rFonts w:ascii="Times New Roman" w:cs="Times New Roman" w:hAnsiTheme="minorEastAsia" w:eastAsiaTheme="minorEastAsia"/>
          <w:b/>
          <w:color w:val="000000" w:themeColor="text1"/>
          <w:sz w:val="24"/>
          <w:szCs w:val="24"/>
        </w:rPr>
        <w:instrText xml:space="preserve"> STYLEREF 2 \s </w:instrText>
      </w:r>
      <w:r>
        <w:rPr>
          <w:rFonts w:ascii="Times New Roman" w:cs="Times New Roman" w:hAnsiTheme="minorEastAsia" w:eastAsiaTheme="minorEastAsia"/>
          <w:b/>
          <w:color w:val="000000" w:themeColor="text1"/>
          <w:sz w:val="24"/>
          <w:szCs w:val="24"/>
        </w:rPr>
        <w:fldChar w:fldCharType="separate"/>
      </w:r>
      <w:r>
        <w:rPr>
          <w:rFonts w:ascii="Times New Roman" w:cs="Times New Roman" w:hAnsiTheme="minorEastAsia" w:eastAsiaTheme="minorEastAsia"/>
          <w:b/>
          <w:color w:val="000000" w:themeColor="text1"/>
          <w:sz w:val="24"/>
          <w:szCs w:val="24"/>
        </w:rPr>
        <w:t>7.2</w:t>
      </w:r>
      <w:r>
        <w:rPr>
          <w:rFonts w:ascii="Times New Roman" w:cs="Times New Roman" w:hAnsiTheme="minorEastAsia" w:eastAsiaTheme="minorEastAsia"/>
          <w:b/>
          <w:color w:val="000000" w:themeColor="text1"/>
          <w:sz w:val="24"/>
          <w:szCs w:val="24"/>
        </w:rPr>
        <w:fldChar w:fldCharType="end"/>
      </w:r>
      <w:r>
        <w:rPr>
          <w:rFonts w:ascii="Times New Roman" w:cs="Times New Roman" w:hAnsiTheme="minorEastAsia" w:eastAsiaTheme="minorEastAsia"/>
          <w:b/>
          <w:color w:val="000000" w:themeColor="text1"/>
          <w:sz w:val="24"/>
          <w:szCs w:val="24"/>
        </w:rPr>
        <w:noBreakHyphen/>
      </w:r>
      <w:r>
        <w:rPr>
          <w:rFonts w:ascii="Times New Roman" w:cs="Times New Roman" w:hAnsiTheme="minorEastAsia" w:eastAsiaTheme="minorEastAsia"/>
          <w:b/>
          <w:color w:val="000000" w:themeColor="text1"/>
          <w:sz w:val="24"/>
          <w:szCs w:val="24"/>
        </w:rPr>
        <w:fldChar w:fldCharType="begin"/>
      </w:r>
      <w:r>
        <w:rPr>
          <w:rFonts w:ascii="Times New Roman" w:cs="Times New Roman" w:hAnsiTheme="minorEastAsia" w:eastAsiaTheme="minorEastAsia"/>
          <w:b/>
          <w:color w:val="000000" w:themeColor="text1"/>
          <w:sz w:val="24"/>
          <w:szCs w:val="24"/>
        </w:rPr>
        <w:instrText xml:space="preserve"> SEQ 表 \* ARABIC \s 2 </w:instrText>
      </w:r>
      <w:r>
        <w:rPr>
          <w:rFonts w:ascii="Times New Roman" w:cs="Times New Roman" w:hAnsiTheme="minorEastAsia" w:eastAsiaTheme="minorEastAsia"/>
          <w:b/>
          <w:color w:val="000000" w:themeColor="text1"/>
          <w:sz w:val="24"/>
          <w:szCs w:val="24"/>
        </w:rPr>
        <w:fldChar w:fldCharType="separate"/>
      </w:r>
      <w:r>
        <w:rPr>
          <w:rFonts w:ascii="Times New Roman" w:cs="Times New Roman" w:hAnsiTheme="minorEastAsia" w:eastAsiaTheme="minorEastAsia"/>
          <w:b/>
          <w:color w:val="000000" w:themeColor="text1"/>
          <w:sz w:val="24"/>
          <w:szCs w:val="24"/>
        </w:rPr>
        <w:t>1</w:t>
      </w:r>
      <w:r>
        <w:rPr>
          <w:rFonts w:ascii="Times New Roman" w:cs="Times New Roman" w:hAnsiTheme="minorEastAsia" w:eastAsiaTheme="minorEastAsia"/>
          <w:b/>
          <w:color w:val="000000" w:themeColor="text1"/>
          <w:sz w:val="24"/>
          <w:szCs w:val="24"/>
        </w:rPr>
        <w:fldChar w:fldCharType="end"/>
      </w:r>
      <w:r>
        <w:rPr>
          <w:rFonts w:hint="eastAsia" w:ascii="Times New Roman" w:cs="Times New Roman" w:hAnsiTheme="minorEastAsia" w:eastAsiaTheme="minorEastAsia"/>
          <w:b/>
          <w:color w:val="000000" w:themeColor="text1"/>
          <w:sz w:val="24"/>
          <w:szCs w:val="24"/>
        </w:rPr>
        <w:t xml:space="preserve"> </w:t>
      </w:r>
      <w:r>
        <w:rPr>
          <w:rFonts w:ascii="Times New Roman" w:cs="Times New Roman" w:hAnsiTheme="minorEastAsia" w:eastAsiaTheme="minorEastAsia"/>
          <w:b/>
          <w:color w:val="000000" w:themeColor="text1"/>
          <w:sz w:val="24"/>
          <w:szCs w:val="24"/>
        </w:rPr>
        <w:t>医院危险物质最大存在总量与临界量一览表</w:t>
      </w:r>
    </w:p>
    <w:tbl>
      <w:tblPr>
        <w:tblStyle w:val="39"/>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501"/>
        <w:gridCol w:w="2325"/>
        <w:gridCol w:w="2561"/>
        <w:gridCol w:w="20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324" w:type="pct"/>
          </w:tcPr>
          <w:p>
            <w:pPr>
              <w:pStyle w:val="140"/>
              <w:spacing w:before="73"/>
              <w:ind w:left="686" w:right="675"/>
              <w:rPr>
                <w:rFonts w:ascii="Times New Roman" w:hAnsi="Times New Roman" w:cs="Times New Roman"/>
                <w:color w:val="000000" w:themeColor="text1"/>
                <w:sz w:val="21"/>
                <w:szCs w:val="21"/>
              </w:rPr>
            </w:pPr>
            <w:r>
              <w:rPr>
                <w:rFonts w:ascii="Times New Roman" w:cs="Times New Roman"/>
                <w:color w:val="000000" w:themeColor="text1"/>
                <w:sz w:val="21"/>
                <w:szCs w:val="21"/>
              </w:rPr>
              <w:t>物质名称</w:t>
            </w:r>
          </w:p>
        </w:tc>
        <w:tc>
          <w:tcPr>
            <w:tcW w:w="1231" w:type="pct"/>
          </w:tcPr>
          <w:p>
            <w:pPr>
              <w:pStyle w:val="140"/>
              <w:spacing w:before="73"/>
              <w:ind w:left="470" w:right="464"/>
              <w:rPr>
                <w:rFonts w:ascii="Times New Roman" w:hAnsi="Times New Roman" w:cs="Times New Roman"/>
                <w:color w:val="000000" w:themeColor="text1"/>
                <w:sz w:val="21"/>
                <w:szCs w:val="21"/>
              </w:rPr>
            </w:pPr>
            <w:r>
              <w:rPr>
                <w:rFonts w:ascii="Times New Roman" w:cs="Times New Roman"/>
                <w:color w:val="000000" w:themeColor="text1"/>
                <w:sz w:val="21"/>
                <w:szCs w:val="21"/>
              </w:rPr>
              <w:t>临界量（</w:t>
            </w:r>
            <w:r>
              <w:rPr>
                <w:rFonts w:ascii="Times New Roman" w:hAnsi="Times New Roman" w:cs="Times New Roman"/>
                <w:color w:val="000000" w:themeColor="text1"/>
                <w:sz w:val="21"/>
                <w:szCs w:val="21"/>
              </w:rPr>
              <w:t>t</w:t>
            </w:r>
            <w:r>
              <w:rPr>
                <w:rFonts w:ascii="Times New Roman" w:cs="Times New Roman"/>
                <w:color w:val="000000" w:themeColor="text1"/>
                <w:sz w:val="21"/>
                <w:szCs w:val="21"/>
              </w:rPr>
              <w:t>）</w:t>
            </w:r>
          </w:p>
        </w:tc>
        <w:tc>
          <w:tcPr>
            <w:tcW w:w="1356" w:type="pct"/>
          </w:tcPr>
          <w:p>
            <w:pPr>
              <w:pStyle w:val="140"/>
              <w:spacing w:before="73"/>
              <w:ind w:left="576" w:right="565"/>
              <w:rPr>
                <w:rFonts w:ascii="Times New Roman" w:hAnsi="Times New Roman" w:cs="Times New Roman"/>
                <w:color w:val="000000" w:themeColor="text1"/>
                <w:sz w:val="21"/>
                <w:szCs w:val="21"/>
              </w:rPr>
            </w:pPr>
            <w:r>
              <w:rPr>
                <w:rFonts w:ascii="Times New Roman" w:cs="Times New Roman"/>
                <w:color w:val="000000" w:themeColor="text1"/>
                <w:sz w:val="21"/>
                <w:szCs w:val="21"/>
              </w:rPr>
              <w:t>存在量（</w:t>
            </w:r>
            <w:r>
              <w:rPr>
                <w:rFonts w:ascii="Times New Roman" w:hAnsi="Times New Roman" w:cs="Times New Roman"/>
                <w:color w:val="000000" w:themeColor="text1"/>
                <w:sz w:val="21"/>
                <w:szCs w:val="21"/>
              </w:rPr>
              <w:t>t</w:t>
            </w:r>
            <w:r>
              <w:rPr>
                <w:rFonts w:ascii="Times New Roman" w:cs="Times New Roman"/>
                <w:color w:val="000000" w:themeColor="text1"/>
                <w:sz w:val="21"/>
                <w:szCs w:val="21"/>
              </w:rPr>
              <w:t>）</w:t>
            </w:r>
          </w:p>
        </w:tc>
        <w:tc>
          <w:tcPr>
            <w:tcW w:w="1089" w:type="pct"/>
          </w:tcPr>
          <w:p>
            <w:pPr>
              <w:pStyle w:val="140"/>
              <w:spacing w:before="87"/>
              <w:ind w:left="737" w:right="728"/>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q/Q</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324" w:type="pct"/>
          </w:tcPr>
          <w:p>
            <w:pPr>
              <w:pStyle w:val="140"/>
              <w:spacing w:before="22"/>
              <w:ind w:left="686" w:right="673"/>
              <w:rPr>
                <w:rFonts w:ascii="Times New Roman" w:hAnsi="Times New Roman" w:cs="Times New Roman"/>
                <w:color w:val="000000" w:themeColor="text1"/>
                <w:sz w:val="21"/>
                <w:szCs w:val="21"/>
              </w:rPr>
            </w:pPr>
            <w:r>
              <w:rPr>
                <w:rFonts w:ascii="Times New Roman" w:cs="Times New Roman"/>
                <w:color w:val="000000" w:themeColor="text1"/>
                <w:sz w:val="21"/>
                <w:szCs w:val="21"/>
              </w:rPr>
              <w:t>乙醇</w:t>
            </w:r>
          </w:p>
        </w:tc>
        <w:tc>
          <w:tcPr>
            <w:tcW w:w="1231" w:type="pct"/>
          </w:tcPr>
          <w:p>
            <w:pPr>
              <w:pStyle w:val="140"/>
              <w:spacing w:before="36"/>
              <w:ind w:left="470" w:right="462"/>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5</w:t>
            </w:r>
          </w:p>
        </w:tc>
        <w:tc>
          <w:tcPr>
            <w:tcW w:w="1356" w:type="pct"/>
          </w:tcPr>
          <w:p>
            <w:pPr>
              <w:pStyle w:val="140"/>
              <w:spacing w:before="36"/>
              <w:ind w:left="576" w:right="563"/>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0.1</w:t>
            </w:r>
          </w:p>
        </w:tc>
        <w:tc>
          <w:tcPr>
            <w:tcW w:w="1089" w:type="pct"/>
          </w:tcPr>
          <w:p>
            <w:pPr>
              <w:pStyle w:val="140"/>
              <w:spacing w:before="34"/>
              <w:ind w:left="738" w:right="728"/>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324" w:type="pct"/>
          </w:tcPr>
          <w:p>
            <w:pPr>
              <w:pStyle w:val="140"/>
              <w:spacing w:before="22"/>
              <w:ind w:left="686" w:right="673"/>
              <w:rPr>
                <w:rFonts w:ascii="Times New Roman" w:hAnsi="Times New Roman" w:cs="Times New Roman"/>
                <w:color w:val="000000" w:themeColor="text1"/>
                <w:sz w:val="21"/>
                <w:szCs w:val="21"/>
              </w:rPr>
            </w:pPr>
            <w:r>
              <w:rPr>
                <w:rFonts w:ascii="Times New Roman" w:cs="Times New Roman"/>
                <w:color w:val="000000" w:themeColor="text1"/>
                <w:sz w:val="21"/>
                <w:szCs w:val="21"/>
              </w:rPr>
              <w:t>盐酸</w:t>
            </w:r>
          </w:p>
        </w:tc>
        <w:tc>
          <w:tcPr>
            <w:tcW w:w="1231" w:type="pct"/>
          </w:tcPr>
          <w:p>
            <w:pPr>
              <w:pStyle w:val="140"/>
              <w:spacing w:before="36"/>
              <w:ind w:left="470" w:right="462"/>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7.5</w:t>
            </w:r>
          </w:p>
        </w:tc>
        <w:tc>
          <w:tcPr>
            <w:tcW w:w="1356" w:type="pct"/>
          </w:tcPr>
          <w:p>
            <w:pPr>
              <w:pStyle w:val="140"/>
              <w:spacing w:before="36"/>
              <w:ind w:left="576" w:right="563"/>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1.5</w:t>
            </w:r>
          </w:p>
        </w:tc>
        <w:tc>
          <w:tcPr>
            <w:tcW w:w="1089" w:type="pct"/>
          </w:tcPr>
          <w:p>
            <w:pPr>
              <w:pStyle w:val="140"/>
              <w:spacing w:before="34"/>
              <w:ind w:left="738" w:right="728"/>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1324" w:type="pct"/>
          </w:tcPr>
          <w:p>
            <w:pPr>
              <w:pStyle w:val="140"/>
              <w:spacing w:before="61"/>
              <w:ind w:left="686" w:right="673"/>
              <w:rPr>
                <w:rFonts w:ascii="Times New Roman" w:hAnsi="Times New Roman" w:cs="Times New Roman"/>
                <w:color w:val="000000" w:themeColor="text1"/>
                <w:sz w:val="21"/>
                <w:szCs w:val="21"/>
              </w:rPr>
            </w:pPr>
            <w:r>
              <w:rPr>
                <w:rFonts w:ascii="Times New Roman" w:cs="Times New Roman"/>
                <w:color w:val="000000" w:themeColor="text1"/>
                <w:sz w:val="21"/>
                <w:szCs w:val="21"/>
              </w:rPr>
              <w:t>氯酸钠</w:t>
            </w:r>
          </w:p>
        </w:tc>
        <w:tc>
          <w:tcPr>
            <w:tcW w:w="1231" w:type="pct"/>
          </w:tcPr>
          <w:p>
            <w:pPr>
              <w:pStyle w:val="140"/>
              <w:spacing w:before="75"/>
              <w:ind w:left="470" w:right="462"/>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100</w:t>
            </w:r>
          </w:p>
        </w:tc>
        <w:tc>
          <w:tcPr>
            <w:tcW w:w="1356" w:type="pct"/>
          </w:tcPr>
          <w:p>
            <w:pPr>
              <w:pStyle w:val="140"/>
              <w:spacing w:before="75"/>
              <w:ind w:left="8"/>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3</w:t>
            </w:r>
          </w:p>
        </w:tc>
        <w:tc>
          <w:tcPr>
            <w:tcW w:w="1089" w:type="pct"/>
          </w:tcPr>
          <w:p>
            <w:pPr>
              <w:pStyle w:val="140"/>
              <w:spacing w:before="72"/>
              <w:ind w:left="738" w:right="728"/>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0.03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324" w:type="pct"/>
          </w:tcPr>
          <w:p>
            <w:pPr>
              <w:pStyle w:val="140"/>
              <w:spacing w:before="61"/>
              <w:ind w:left="686" w:right="673"/>
              <w:rPr>
                <w:rFonts w:ascii="Times New Roman" w:hAnsi="Times New Roman" w:cs="Times New Roman"/>
                <w:color w:val="000000" w:themeColor="text1"/>
                <w:sz w:val="21"/>
                <w:szCs w:val="21"/>
              </w:rPr>
            </w:pPr>
            <w:r>
              <w:rPr>
                <w:rFonts w:ascii="Times New Roman" w:cs="Times New Roman"/>
                <w:color w:val="000000" w:themeColor="text1"/>
                <w:sz w:val="21"/>
                <w:szCs w:val="21"/>
              </w:rPr>
              <w:t>氧气</w:t>
            </w:r>
          </w:p>
        </w:tc>
        <w:tc>
          <w:tcPr>
            <w:tcW w:w="1231" w:type="pct"/>
          </w:tcPr>
          <w:p>
            <w:pPr>
              <w:pStyle w:val="140"/>
              <w:spacing w:before="75"/>
              <w:ind w:left="5"/>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200</w:t>
            </w:r>
          </w:p>
        </w:tc>
        <w:tc>
          <w:tcPr>
            <w:tcW w:w="1356" w:type="pct"/>
          </w:tcPr>
          <w:p>
            <w:pPr>
              <w:pStyle w:val="140"/>
              <w:spacing w:before="75"/>
              <w:ind w:left="9"/>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0.2</w:t>
            </w:r>
          </w:p>
        </w:tc>
        <w:tc>
          <w:tcPr>
            <w:tcW w:w="1089" w:type="pct"/>
          </w:tcPr>
          <w:p>
            <w:pPr>
              <w:pStyle w:val="140"/>
              <w:spacing w:before="73"/>
              <w:ind w:left="5"/>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0.001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324" w:type="pct"/>
          </w:tcPr>
          <w:p>
            <w:pPr>
              <w:pStyle w:val="140"/>
              <w:spacing w:before="61"/>
              <w:ind w:left="686" w:right="673"/>
              <w:rPr>
                <w:rFonts w:ascii="Times New Roman" w:hAnsi="Times New Roman" w:cs="Times New Roman"/>
                <w:color w:val="000000" w:themeColor="text1"/>
                <w:sz w:val="21"/>
                <w:szCs w:val="21"/>
              </w:rPr>
            </w:pPr>
            <w:r>
              <w:rPr>
                <w:rFonts w:ascii="Times New Roman" w:cs="Times New Roman"/>
                <w:color w:val="000000" w:themeColor="text1"/>
                <w:sz w:val="21"/>
                <w:szCs w:val="21"/>
              </w:rPr>
              <w:t>天然气</w:t>
            </w:r>
          </w:p>
        </w:tc>
        <w:tc>
          <w:tcPr>
            <w:tcW w:w="1231" w:type="pct"/>
          </w:tcPr>
          <w:p>
            <w:pPr>
              <w:pStyle w:val="140"/>
              <w:spacing w:before="75"/>
              <w:ind w:left="5"/>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w:t>
            </w:r>
          </w:p>
        </w:tc>
        <w:tc>
          <w:tcPr>
            <w:tcW w:w="1356" w:type="pct"/>
          </w:tcPr>
          <w:p>
            <w:pPr>
              <w:pStyle w:val="140"/>
              <w:spacing w:before="75"/>
              <w:ind w:left="9"/>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w:t>
            </w:r>
          </w:p>
        </w:tc>
        <w:tc>
          <w:tcPr>
            <w:tcW w:w="1089" w:type="pct"/>
          </w:tcPr>
          <w:p>
            <w:pPr>
              <w:pStyle w:val="140"/>
              <w:spacing w:before="73"/>
              <w:ind w:left="5"/>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3911" w:type="pct"/>
            <w:gridSpan w:val="3"/>
          </w:tcPr>
          <w:p>
            <w:pPr>
              <w:pStyle w:val="140"/>
              <w:spacing w:before="109"/>
              <w:ind w:left="2044" w:right="2036"/>
              <w:rPr>
                <w:rFonts w:ascii="Times New Roman" w:hAnsi="Times New Roman" w:cs="Times New Roman"/>
                <w:color w:val="000000" w:themeColor="text1"/>
                <w:sz w:val="21"/>
                <w:szCs w:val="21"/>
              </w:rPr>
            </w:pPr>
            <w:r>
              <w:rPr>
                <w:rFonts w:ascii="Times New Roman" w:cs="Times New Roman"/>
                <w:color w:val="000000" w:themeColor="text1"/>
                <w:sz w:val="21"/>
                <w:szCs w:val="21"/>
              </w:rPr>
              <w:t>物质总量与临界量比值</w:t>
            </w:r>
            <w:r>
              <w:rPr>
                <w:rFonts w:ascii="Times New Roman" w:hAnsi="Times New Roman" w:cs="Times New Roman"/>
                <w:color w:val="000000" w:themeColor="text1"/>
                <w:sz w:val="21"/>
                <w:szCs w:val="21"/>
              </w:rPr>
              <w:t xml:space="preserve">Q </w:t>
            </w:r>
            <w:r>
              <w:rPr>
                <w:rFonts w:ascii="Times New Roman" w:cs="Times New Roman"/>
                <w:color w:val="000000" w:themeColor="text1"/>
                <w:sz w:val="21"/>
                <w:szCs w:val="21"/>
              </w:rPr>
              <w:t>值</w:t>
            </w:r>
          </w:p>
        </w:tc>
        <w:tc>
          <w:tcPr>
            <w:tcW w:w="1089" w:type="pct"/>
          </w:tcPr>
          <w:p>
            <w:pPr>
              <w:pStyle w:val="140"/>
              <w:spacing w:before="120"/>
              <w:ind w:left="738" w:right="728"/>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0.251</w:t>
            </w:r>
          </w:p>
        </w:tc>
      </w:tr>
    </w:tbl>
    <w:p>
      <w:pPr>
        <w:spacing w:line="360" w:lineRule="auto"/>
        <w:ind w:firstLine="472" w:firstLineChars="200"/>
        <w:rPr>
          <w:rFonts w:cs="Times New Roman"/>
          <w:color w:val="000000" w:themeColor="text1"/>
          <w:szCs w:val="24"/>
        </w:rPr>
      </w:pPr>
      <w:r>
        <w:rPr>
          <w:rFonts w:cs="Times New Roman"/>
          <w:color w:val="000000" w:themeColor="text1"/>
          <w:spacing w:val="-2"/>
        </w:rPr>
        <w:t xml:space="preserve">根据上表得知，各危险品存储量远小于临界量，物质总量与临界量比值 </w:t>
      </w:r>
      <w:r>
        <w:rPr>
          <w:rFonts w:cs="Times New Roman"/>
          <w:color w:val="000000" w:themeColor="text1"/>
        </w:rPr>
        <w:t>Q</w:t>
      </w:r>
      <w:r>
        <w:rPr>
          <w:rFonts w:cs="Times New Roman"/>
          <w:color w:val="000000" w:themeColor="text1"/>
          <w:spacing w:val="23"/>
        </w:rPr>
        <w:t>为</w:t>
      </w:r>
      <w:r>
        <w:rPr>
          <w:rFonts w:hint="eastAsia" w:cs="Times New Roman"/>
          <w:color w:val="000000" w:themeColor="text1"/>
          <w:spacing w:val="23"/>
        </w:rPr>
        <w:t>0.251</w:t>
      </w:r>
      <w:r>
        <w:rPr>
          <w:rFonts w:cs="Times New Roman"/>
          <w:color w:val="000000" w:themeColor="text1"/>
          <w:szCs w:val="24"/>
        </w:rPr>
        <w:t>＜1</w:t>
      </w:r>
      <w:r>
        <w:rPr>
          <w:rFonts w:cs="Times New Roman"/>
          <w:color w:val="000000" w:themeColor="text1"/>
          <w:spacing w:val="-3"/>
          <w:szCs w:val="24"/>
        </w:rPr>
        <w:t>，所以本项目不构成危险化学品重大危险源，风险潜势为 I</w:t>
      </w:r>
      <w:r>
        <w:rPr>
          <w:rFonts w:cs="Times New Roman"/>
          <w:color w:val="000000" w:themeColor="text1"/>
          <w:szCs w:val="24"/>
        </w:rPr>
        <w:t>。</w:t>
      </w:r>
    </w:p>
    <w:p>
      <w:pPr>
        <w:spacing w:line="360" w:lineRule="auto"/>
        <w:ind w:firstLine="480" w:firstLineChars="200"/>
        <w:rPr>
          <w:rFonts w:cs="Times New Roman"/>
          <w:color w:val="000000" w:themeColor="text1"/>
          <w:szCs w:val="24"/>
        </w:rPr>
      </w:pPr>
      <w:r>
        <w:rPr>
          <w:rFonts w:hint="eastAsia" w:cs="Times New Roman"/>
          <w:color w:val="000000" w:themeColor="text1"/>
          <w:szCs w:val="24"/>
        </w:rPr>
        <w:t>（2）行业及生产工艺（M）</w:t>
      </w:r>
    </w:p>
    <w:p>
      <w:pPr>
        <w:spacing w:line="360" w:lineRule="auto"/>
        <w:ind w:firstLine="480" w:firstLineChars="200"/>
        <w:rPr>
          <w:rFonts w:asciiTheme="minorEastAsia" w:hAnsiTheme="minorEastAsia"/>
        </w:rPr>
      </w:pPr>
      <w:r>
        <w:rPr>
          <w:rFonts w:hint="eastAsia" w:asciiTheme="minorEastAsia" w:hAnsiTheme="minorEastAsia"/>
        </w:rPr>
        <w:t>①分析方法</w:t>
      </w:r>
    </w:p>
    <w:p>
      <w:pPr>
        <w:spacing w:line="360" w:lineRule="auto"/>
        <w:ind w:firstLine="480" w:firstLineChars="200"/>
        <w:rPr>
          <w:rFonts w:eastAsia="宋体" w:cs="Times New Roman"/>
          <w:kern w:val="0"/>
          <w:szCs w:val="24"/>
        </w:rPr>
      </w:pPr>
      <w:r>
        <w:rPr>
          <w:rFonts w:eastAsia="宋体" w:cs="Times New Roman"/>
          <w:bCs/>
          <w:kern w:val="0"/>
          <w:szCs w:val="24"/>
        </w:rPr>
        <w:t>根据《建设项目环境风险评价技术导则》（HJ169-2018）中附录C可知：分析项目所属行业及生产工艺特点，按照下表评估生产工艺情况。具有多套工艺单元的项目，对每套生产工艺分别评分并求和。将M划分为（1）M＞20；（2）10＜M≤20；（3）5＜M≤10；（4）M=5，分别以M1、M2、M3、M4表示。</w:t>
      </w:r>
    </w:p>
    <w:p>
      <w:pPr>
        <w:pStyle w:val="14"/>
        <w:spacing w:line="240" w:lineRule="auto"/>
      </w:pPr>
      <w:r>
        <w:t>表</w:t>
      </w:r>
      <w:r>
        <w:fldChar w:fldCharType="begin"/>
      </w:r>
      <w:r>
        <w:instrText xml:space="preserve"> STYLEREF 2 \s </w:instrText>
      </w:r>
      <w:r>
        <w:fldChar w:fldCharType="separate"/>
      </w:r>
      <w:r>
        <w:t>7.2</w:t>
      </w:r>
      <w:r>
        <w:fldChar w:fldCharType="end"/>
      </w:r>
      <w:r>
        <w:noBreakHyphen/>
      </w:r>
      <w:r>
        <w:fldChar w:fldCharType="begin"/>
      </w:r>
      <w:r>
        <w:instrText xml:space="preserve"> SEQ 表 \* ARABIC \s 2 </w:instrText>
      </w:r>
      <w:r>
        <w:fldChar w:fldCharType="separate"/>
      </w:r>
      <w:r>
        <w:t>2</w:t>
      </w:r>
      <w:r>
        <w:fldChar w:fldCharType="end"/>
      </w:r>
      <w:r>
        <w:rPr>
          <w:rFonts w:hint="eastAsia"/>
        </w:rPr>
        <w:t xml:space="preserve"> </w:t>
      </w:r>
      <w:r>
        <w:t>企业生产工艺评估表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5" w:type="dxa"/>
          <w:bottom w:w="0" w:type="dxa"/>
          <w:right w:w="15" w:type="dxa"/>
        </w:tblCellMar>
      </w:tblPr>
      <w:tblGrid>
        <w:gridCol w:w="1109"/>
        <w:gridCol w:w="5943"/>
        <w:gridCol w:w="1126"/>
        <w:gridCol w:w="1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0" w:hRule="atLeast"/>
        </w:trPr>
        <w:tc>
          <w:tcPr>
            <w:tcW w:w="586" w:type="pct"/>
            <w:vAlign w:val="center"/>
          </w:tcPr>
          <w:p>
            <w:pPr>
              <w:autoSpaceDE w:val="0"/>
              <w:autoSpaceDN w:val="0"/>
              <w:jc w:val="center"/>
              <w:rPr>
                <w:rFonts w:eastAsia="宋体"/>
                <w:bCs/>
                <w:kern w:val="0"/>
                <w:sz w:val="21"/>
              </w:rPr>
            </w:pPr>
            <w:r>
              <w:rPr>
                <w:rFonts w:eastAsia="宋体"/>
                <w:kern w:val="0"/>
                <w:sz w:val="21"/>
              </w:rPr>
              <w:t>行业</w:t>
            </w:r>
          </w:p>
        </w:tc>
        <w:tc>
          <w:tcPr>
            <w:tcW w:w="3140" w:type="pct"/>
            <w:vAlign w:val="center"/>
          </w:tcPr>
          <w:p>
            <w:pPr>
              <w:autoSpaceDE w:val="0"/>
              <w:autoSpaceDN w:val="0"/>
              <w:jc w:val="center"/>
              <w:rPr>
                <w:rFonts w:eastAsia="宋体"/>
                <w:bCs/>
                <w:kern w:val="0"/>
                <w:sz w:val="21"/>
              </w:rPr>
            </w:pPr>
            <w:r>
              <w:rPr>
                <w:rFonts w:eastAsia="宋体"/>
                <w:kern w:val="0"/>
                <w:sz w:val="21"/>
              </w:rPr>
              <w:t>评估依据</w:t>
            </w:r>
          </w:p>
        </w:tc>
        <w:tc>
          <w:tcPr>
            <w:tcW w:w="595" w:type="pct"/>
            <w:vAlign w:val="center"/>
          </w:tcPr>
          <w:p>
            <w:pPr>
              <w:autoSpaceDE w:val="0"/>
              <w:autoSpaceDN w:val="0"/>
              <w:jc w:val="center"/>
              <w:rPr>
                <w:rFonts w:eastAsia="宋体"/>
                <w:bCs/>
                <w:kern w:val="0"/>
                <w:sz w:val="21"/>
              </w:rPr>
            </w:pPr>
            <w:r>
              <w:rPr>
                <w:rFonts w:eastAsia="宋体"/>
                <w:kern w:val="0"/>
                <w:sz w:val="21"/>
              </w:rPr>
              <w:t>分值</w:t>
            </w:r>
          </w:p>
        </w:tc>
        <w:tc>
          <w:tcPr>
            <w:tcW w:w="679" w:type="pct"/>
            <w:vAlign w:val="center"/>
          </w:tcPr>
          <w:p>
            <w:pPr>
              <w:autoSpaceDE w:val="0"/>
              <w:autoSpaceDN w:val="0"/>
              <w:jc w:val="center"/>
              <w:rPr>
                <w:rFonts w:eastAsia="宋体"/>
                <w:bCs/>
                <w:kern w:val="0"/>
                <w:sz w:val="21"/>
              </w:rPr>
            </w:pPr>
            <w:r>
              <w:rPr>
                <w:rFonts w:eastAsia="宋体"/>
                <w:kern w:val="0"/>
                <w:sz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0" w:hRule="atLeast"/>
        </w:trPr>
        <w:tc>
          <w:tcPr>
            <w:tcW w:w="586" w:type="pct"/>
            <w:vMerge w:val="restart"/>
            <w:vAlign w:val="center"/>
          </w:tcPr>
          <w:p>
            <w:pPr>
              <w:autoSpaceDE w:val="0"/>
              <w:autoSpaceDN w:val="0"/>
              <w:jc w:val="center"/>
              <w:rPr>
                <w:rFonts w:eastAsia="宋体"/>
                <w:bCs/>
                <w:kern w:val="0"/>
                <w:sz w:val="21"/>
              </w:rPr>
            </w:pPr>
            <w:r>
              <w:rPr>
                <w:rFonts w:eastAsia="宋体"/>
                <w:bCs/>
                <w:kern w:val="0"/>
                <w:sz w:val="21"/>
              </w:rPr>
              <w:t>石化、化工、医药</w:t>
            </w:r>
          </w:p>
          <w:p>
            <w:pPr>
              <w:autoSpaceDE w:val="0"/>
              <w:autoSpaceDN w:val="0"/>
              <w:jc w:val="center"/>
              <w:rPr>
                <w:rFonts w:eastAsia="宋体"/>
                <w:bCs/>
                <w:kern w:val="0"/>
                <w:sz w:val="21"/>
              </w:rPr>
            </w:pPr>
            <w:r>
              <w:rPr>
                <w:rFonts w:eastAsia="宋体"/>
                <w:bCs/>
                <w:kern w:val="0"/>
                <w:sz w:val="21"/>
              </w:rPr>
              <w:t>轻工、化纤、有色冶炼等</w:t>
            </w:r>
          </w:p>
        </w:tc>
        <w:tc>
          <w:tcPr>
            <w:tcW w:w="3140" w:type="pct"/>
            <w:vAlign w:val="center"/>
          </w:tcPr>
          <w:p>
            <w:pPr>
              <w:autoSpaceDE w:val="0"/>
              <w:autoSpaceDN w:val="0"/>
              <w:jc w:val="center"/>
              <w:rPr>
                <w:rFonts w:eastAsia="宋体"/>
                <w:bCs/>
                <w:kern w:val="0"/>
                <w:sz w:val="21"/>
              </w:rPr>
            </w:pPr>
            <w:r>
              <w:rPr>
                <w:rFonts w:eastAsia="宋体"/>
                <w:bCs/>
                <w:kern w:val="0"/>
                <w:sz w:val="21"/>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595" w:type="pct"/>
            <w:vAlign w:val="center"/>
          </w:tcPr>
          <w:p>
            <w:pPr>
              <w:autoSpaceDE w:val="0"/>
              <w:autoSpaceDN w:val="0"/>
              <w:jc w:val="center"/>
              <w:rPr>
                <w:rFonts w:eastAsia="宋体"/>
                <w:bCs/>
                <w:kern w:val="0"/>
                <w:sz w:val="21"/>
              </w:rPr>
            </w:pPr>
            <w:r>
              <w:rPr>
                <w:rFonts w:eastAsia="宋体"/>
                <w:bCs/>
                <w:kern w:val="0"/>
                <w:sz w:val="21"/>
              </w:rPr>
              <w:t>10/</w:t>
            </w:r>
            <w:r>
              <w:rPr>
                <w:rFonts w:ascii="宋体" w:hAnsi="宋体" w:eastAsia="宋体"/>
                <w:bCs/>
                <w:kern w:val="0"/>
                <w:sz w:val="21"/>
              </w:rPr>
              <w:t>套</w:t>
            </w:r>
          </w:p>
        </w:tc>
        <w:tc>
          <w:tcPr>
            <w:tcW w:w="679" w:type="pct"/>
            <w:vAlign w:val="center"/>
          </w:tcPr>
          <w:p>
            <w:pPr>
              <w:autoSpaceDE w:val="0"/>
              <w:autoSpaceDN w:val="0"/>
              <w:jc w:val="center"/>
              <w:rPr>
                <w:rFonts w:eastAsia="宋体"/>
                <w:bCs/>
                <w:kern w:val="0"/>
                <w:sz w:val="21"/>
              </w:rPr>
            </w:pPr>
            <w:r>
              <w:rPr>
                <w:rFonts w:eastAsia="宋体"/>
                <w:bCs/>
                <w:kern w:val="0"/>
                <w:sz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0" w:hRule="atLeast"/>
        </w:trPr>
        <w:tc>
          <w:tcPr>
            <w:tcW w:w="586" w:type="pct"/>
            <w:vMerge w:val="continue"/>
            <w:vAlign w:val="center"/>
          </w:tcPr>
          <w:p>
            <w:pPr>
              <w:widowControl/>
              <w:jc w:val="left"/>
              <w:rPr>
                <w:rFonts w:eastAsia="宋体"/>
                <w:bCs/>
                <w:kern w:val="0"/>
                <w:sz w:val="21"/>
              </w:rPr>
            </w:pPr>
          </w:p>
        </w:tc>
        <w:tc>
          <w:tcPr>
            <w:tcW w:w="3140" w:type="pct"/>
            <w:vAlign w:val="center"/>
          </w:tcPr>
          <w:p>
            <w:pPr>
              <w:autoSpaceDE w:val="0"/>
              <w:autoSpaceDN w:val="0"/>
              <w:jc w:val="center"/>
              <w:rPr>
                <w:rFonts w:eastAsia="宋体"/>
                <w:bCs/>
                <w:kern w:val="0"/>
                <w:sz w:val="21"/>
              </w:rPr>
            </w:pPr>
            <w:r>
              <w:rPr>
                <w:rFonts w:eastAsia="宋体"/>
                <w:bCs/>
                <w:kern w:val="0"/>
                <w:sz w:val="21"/>
              </w:rPr>
              <w:t>无机酸制酸工艺、焦化工艺</w:t>
            </w:r>
          </w:p>
        </w:tc>
        <w:tc>
          <w:tcPr>
            <w:tcW w:w="595" w:type="pct"/>
            <w:vAlign w:val="center"/>
          </w:tcPr>
          <w:p>
            <w:pPr>
              <w:autoSpaceDE w:val="0"/>
              <w:autoSpaceDN w:val="0"/>
              <w:jc w:val="center"/>
              <w:rPr>
                <w:rFonts w:eastAsia="宋体"/>
                <w:bCs/>
                <w:kern w:val="0"/>
                <w:sz w:val="21"/>
              </w:rPr>
            </w:pPr>
            <w:r>
              <w:rPr>
                <w:rFonts w:eastAsia="宋体"/>
                <w:bCs/>
                <w:kern w:val="0"/>
                <w:sz w:val="21"/>
              </w:rPr>
              <w:t>5/</w:t>
            </w:r>
            <w:r>
              <w:rPr>
                <w:rFonts w:ascii="宋体" w:hAnsi="宋体" w:eastAsia="宋体"/>
                <w:bCs/>
                <w:kern w:val="0"/>
                <w:sz w:val="21"/>
              </w:rPr>
              <w:t>套</w:t>
            </w:r>
          </w:p>
        </w:tc>
        <w:tc>
          <w:tcPr>
            <w:tcW w:w="679" w:type="pct"/>
            <w:vAlign w:val="center"/>
          </w:tcPr>
          <w:p>
            <w:pPr>
              <w:autoSpaceDE w:val="0"/>
              <w:autoSpaceDN w:val="0"/>
              <w:jc w:val="center"/>
              <w:rPr>
                <w:rFonts w:eastAsia="宋体"/>
                <w:bCs/>
                <w:kern w:val="0"/>
                <w:sz w:val="21"/>
              </w:rPr>
            </w:pPr>
            <w:r>
              <w:rPr>
                <w:rFonts w:eastAsia="宋体"/>
                <w:bCs/>
                <w:kern w:val="0"/>
                <w:sz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0" w:hRule="atLeast"/>
        </w:trPr>
        <w:tc>
          <w:tcPr>
            <w:tcW w:w="586" w:type="pct"/>
            <w:vMerge w:val="continue"/>
            <w:vAlign w:val="center"/>
          </w:tcPr>
          <w:p>
            <w:pPr>
              <w:widowControl/>
              <w:jc w:val="left"/>
              <w:rPr>
                <w:rFonts w:eastAsia="宋体"/>
                <w:bCs/>
                <w:kern w:val="0"/>
                <w:sz w:val="21"/>
              </w:rPr>
            </w:pPr>
          </w:p>
        </w:tc>
        <w:tc>
          <w:tcPr>
            <w:tcW w:w="3140" w:type="pct"/>
            <w:vAlign w:val="center"/>
          </w:tcPr>
          <w:p>
            <w:pPr>
              <w:autoSpaceDE w:val="0"/>
              <w:autoSpaceDN w:val="0"/>
              <w:jc w:val="center"/>
              <w:rPr>
                <w:rFonts w:eastAsia="宋体"/>
                <w:bCs/>
                <w:kern w:val="0"/>
                <w:sz w:val="21"/>
              </w:rPr>
            </w:pPr>
            <w:r>
              <w:rPr>
                <w:rFonts w:eastAsia="宋体"/>
                <w:bCs/>
                <w:kern w:val="0"/>
                <w:sz w:val="21"/>
              </w:rPr>
              <w:t>其他高温或高压，且涉及危险物质的工艺过程</w:t>
            </w:r>
            <w:r>
              <w:rPr>
                <w:rFonts w:eastAsia="宋体"/>
                <w:bCs/>
                <w:kern w:val="0"/>
                <w:sz w:val="21"/>
                <w:vertAlign w:val="superscript"/>
              </w:rPr>
              <w:t xml:space="preserve">a </w:t>
            </w:r>
            <w:r>
              <w:rPr>
                <w:rFonts w:eastAsia="宋体"/>
                <w:bCs/>
                <w:kern w:val="0"/>
                <w:sz w:val="21"/>
              </w:rPr>
              <w:t>、危险物质贮存罐区</w:t>
            </w:r>
          </w:p>
        </w:tc>
        <w:tc>
          <w:tcPr>
            <w:tcW w:w="595" w:type="pct"/>
            <w:vAlign w:val="center"/>
          </w:tcPr>
          <w:p>
            <w:pPr>
              <w:autoSpaceDE w:val="0"/>
              <w:autoSpaceDN w:val="0"/>
              <w:jc w:val="center"/>
              <w:rPr>
                <w:rFonts w:eastAsia="宋体"/>
                <w:bCs/>
                <w:kern w:val="0"/>
                <w:sz w:val="21"/>
              </w:rPr>
            </w:pPr>
            <w:r>
              <w:rPr>
                <w:rFonts w:eastAsia="宋体"/>
                <w:bCs/>
                <w:kern w:val="0"/>
                <w:sz w:val="21"/>
              </w:rPr>
              <w:t>5/</w:t>
            </w:r>
            <w:r>
              <w:rPr>
                <w:rFonts w:ascii="宋体" w:hAnsi="宋体" w:eastAsia="宋体"/>
                <w:bCs/>
                <w:kern w:val="0"/>
                <w:sz w:val="21"/>
              </w:rPr>
              <w:t>套</w:t>
            </w:r>
          </w:p>
          <w:p>
            <w:pPr>
              <w:autoSpaceDE w:val="0"/>
              <w:autoSpaceDN w:val="0"/>
              <w:jc w:val="center"/>
              <w:rPr>
                <w:rFonts w:eastAsia="宋体"/>
                <w:bCs/>
                <w:kern w:val="0"/>
                <w:sz w:val="21"/>
              </w:rPr>
            </w:pPr>
            <w:r>
              <w:rPr>
                <w:rFonts w:eastAsia="宋体"/>
                <w:bCs/>
                <w:kern w:val="0"/>
                <w:sz w:val="21"/>
              </w:rPr>
              <w:t>（罐区）</w:t>
            </w:r>
          </w:p>
        </w:tc>
        <w:tc>
          <w:tcPr>
            <w:tcW w:w="679" w:type="pct"/>
            <w:vAlign w:val="center"/>
          </w:tcPr>
          <w:p>
            <w:pPr>
              <w:autoSpaceDE w:val="0"/>
              <w:autoSpaceDN w:val="0"/>
              <w:jc w:val="center"/>
              <w:rPr>
                <w:rFonts w:eastAsia="宋体"/>
                <w:bCs/>
                <w:kern w:val="0"/>
                <w:sz w:val="21"/>
              </w:rPr>
            </w:pPr>
            <w:r>
              <w:rPr>
                <w:rFonts w:eastAsia="宋体"/>
                <w:bCs/>
                <w:kern w:val="0"/>
                <w:sz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0" w:hRule="atLeast"/>
        </w:trPr>
        <w:tc>
          <w:tcPr>
            <w:tcW w:w="586" w:type="pct"/>
            <w:vAlign w:val="center"/>
          </w:tcPr>
          <w:p>
            <w:pPr>
              <w:autoSpaceDE w:val="0"/>
              <w:autoSpaceDN w:val="0"/>
              <w:jc w:val="center"/>
              <w:rPr>
                <w:rFonts w:eastAsia="宋体"/>
                <w:bCs/>
                <w:kern w:val="0"/>
                <w:sz w:val="21"/>
              </w:rPr>
            </w:pPr>
            <w:r>
              <w:rPr>
                <w:rFonts w:eastAsia="宋体"/>
                <w:bCs/>
                <w:kern w:val="0"/>
                <w:sz w:val="21"/>
              </w:rPr>
              <w:t>管道、港口/</w:t>
            </w:r>
            <w:r>
              <w:rPr>
                <w:rFonts w:ascii="宋体" w:hAnsi="宋体" w:eastAsia="宋体"/>
                <w:bCs/>
                <w:kern w:val="0"/>
                <w:sz w:val="21"/>
              </w:rPr>
              <w:t>码头等</w:t>
            </w:r>
          </w:p>
        </w:tc>
        <w:tc>
          <w:tcPr>
            <w:tcW w:w="3140" w:type="pct"/>
            <w:vAlign w:val="center"/>
          </w:tcPr>
          <w:p>
            <w:pPr>
              <w:autoSpaceDE w:val="0"/>
              <w:autoSpaceDN w:val="0"/>
              <w:jc w:val="center"/>
              <w:rPr>
                <w:rFonts w:eastAsia="宋体"/>
                <w:bCs/>
                <w:kern w:val="0"/>
                <w:sz w:val="21"/>
              </w:rPr>
            </w:pPr>
            <w:r>
              <w:rPr>
                <w:rFonts w:eastAsia="宋体"/>
                <w:bCs/>
                <w:kern w:val="0"/>
                <w:sz w:val="21"/>
              </w:rPr>
              <w:t>涉及危险物质管道运输项目、港口/</w:t>
            </w:r>
            <w:r>
              <w:rPr>
                <w:rFonts w:ascii="宋体" w:hAnsi="宋体" w:eastAsia="宋体"/>
                <w:bCs/>
                <w:kern w:val="0"/>
                <w:sz w:val="21"/>
              </w:rPr>
              <w:t>码头等</w:t>
            </w:r>
          </w:p>
        </w:tc>
        <w:tc>
          <w:tcPr>
            <w:tcW w:w="595" w:type="pct"/>
            <w:vAlign w:val="center"/>
          </w:tcPr>
          <w:p>
            <w:pPr>
              <w:autoSpaceDE w:val="0"/>
              <w:autoSpaceDN w:val="0"/>
              <w:jc w:val="center"/>
              <w:rPr>
                <w:rFonts w:eastAsia="宋体"/>
                <w:bCs/>
                <w:kern w:val="0"/>
                <w:sz w:val="21"/>
              </w:rPr>
            </w:pPr>
            <w:r>
              <w:rPr>
                <w:rFonts w:eastAsia="宋体"/>
                <w:bCs/>
                <w:kern w:val="0"/>
                <w:sz w:val="21"/>
              </w:rPr>
              <w:t>10</w:t>
            </w:r>
          </w:p>
        </w:tc>
        <w:tc>
          <w:tcPr>
            <w:tcW w:w="679" w:type="pct"/>
            <w:vAlign w:val="center"/>
          </w:tcPr>
          <w:p>
            <w:pPr>
              <w:autoSpaceDE w:val="0"/>
              <w:autoSpaceDN w:val="0"/>
              <w:jc w:val="center"/>
              <w:rPr>
                <w:rFonts w:eastAsia="宋体"/>
                <w:bCs/>
                <w:kern w:val="0"/>
                <w:sz w:val="21"/>
              </w:rPr>
            </w:pPr>
            <w:r>
              <w:rPr>
                <w:rFonts w:eastAsia="宋体"/>
                <w:bCs/>
                <w:kern w:val="0"/>
                <w:sz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0" w:hRule="atLeast"/>
        </w:trPr>
        <w:tc>
          <w:tcPr>
            <w:tcW w:w="586" w:type="pct"/>
            <w:vAlign w:val="center"/>
          </w:tcPr>
          <w:p>
            <w:pPr>
              <w:autoSpaceDE w:val="0"/>
              <w:autoSpaceDN w:val="0"/>
              <w:jc w:val="center"/>
              <w:rPr>
                <w:rFonts w:eastAsia="宋体"/>
                <w:bCs/>
                <w:kern w:val="0"/>
                <w:sz w:val="21"/>
              </w:rPr>
            </w:pPr>
            <w:r>
              <w:rPr>
                <w:rFonts w:eastAsia="宋体"/>
                <w:bCs/>
                <w:kern w:val="0"/>
                <w:sz w:val="21"/>
              </w:rPr>
              <w:t>石油天然气</w:t>
            </w:r>
          </w:p>
        </w:tc>
        <w:tc>
          <w:tcPr>
            <w:tcW w:w="3140" w:type="pct"/>
            <w:vAlign w:val="center"/>
          </w:tcPr>
          <w:p>
            <w:pPr>
              <w:autoSpaceDE w:val="0"/>
              <w:autoSpaceDN w:val="0"/>
              <w:jc w:val="center"/>
              <w:rPr>
                <w:rFonts w:eastAsia="宋体"/>
                <w:bCs/>
                <w:kern w:val="0"/>
                <w:sz w:val="21"/>
              </w:rPr>
            </w:pPr>
            <w:r>
              <w:rPr>
                <w:rFonts w:eastAsia="宋体"/>
                <w:bCs/>
                <w:kern w:val="0"/>
                <w:sz w:val="21"/>
              </w:rPr>
              <w:t>石油、天然气、页岩气开采（含净化），气库（不含加气站的气库），油库（不含加气站的油库）、油气管线</w:t>
            </w:r>
            <w:r>
              <w:rPr>
                <w:rFonts w:eastAsia="宋体"/>
                <w:bCs/>
                <w:kern w:val="0"/>
                <w:sz w:val="21"/>
                <w:vertAlign w:val="superscript"/>
              </w:rPr>
              <w:t>b</w:t>
            </w:r>
            <w:r>
              <w:rPr>
                <w:rFonts w:eastAsia="宋体"/>
                <w:bCs/>
                <w:kern w:val="0"/>
                <w:sz w:val="21"/>
              </w:rPr>
              <w:t>（不含城镇燃气管线）</w:t>
            </w:r>
          </w:p>
        </w:tc>
        <w:tc>
          <w:tcPr>
            <w:tcW w:w="595" w:type="pct"/>
            <w:vAlign w:val="center"/>
          </w:tcPr>
          <w:p>
            <w:pPr>
              <w:autoSpaceDE w:val="0"/>
              <w:autoSpaceDN w:val="0"/>
              <w:jc w:val="center"/>
              <w:rPr>
                <w:rFonts w:eastAsia="宋体"/>
                <w:bCs/>
                <w:kern w:val="0"/>
                <w:sz w:val="21"/>
              </w:rPr>
            </w:pPr>
            <w:r>
              <w:rPr>
                <w:rFonts w:eastAsia="宋体"/>
                <w:bCs/>
                <w:kern w:val="0"/>
                <w:sz w:val="21"/>
              </w:rPr>
              <w:t>10</w:t>
            </w:r>
          </w:p>
        </w:tc>
        <w:tc>
          <w:tcPr>
            <w:tcW w:w="679" w:type="pct"/>
            <w:vAlign w:val="center"/>
          </w:tcPr>
          <w:p>
            <w:pPr>
              <w:autoSpaceDE w:val="0"/>
              <w:autoSpaceDN w:val="0"/>
              <w:jc w:val="center"/>
              <w:rPr>
                <w:rFonts w:eastAsia="宋体"/>
                <w:bCs/>
                <w:kern w:val="0"/>
                <w:sz w:val="21"/>
              </w:rPr>
            </w:pPr>
            <w:r>
              <w:rPr>
                <w:rFonts w:eastAsia="宋体"/>
                <w:bCs/>
                <w:kern w:val="0"/>
                <w:sz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0" w:hRule="atLeast"/>
        </w:trPr>
        <w:tc>
          <w:tcPr>
            <w:tcW w:w="586" w:type="pct"/>
            <w:vAlign w:val="center"/>
          </w:tcPr>
          <w:p>
            <w:pPr>
              <w:autoSpaceDE w:val="0"/>
              <w:autoSpaceDN w:val="0"/>
              <w:jc w:val="center"/>
              <w:rPr>
                <w:rFonts w:eastAsia="宋体"/>
                <w:bCs/>
                <w:kern w:val="0"/>
                <w:sz w:val="21"/>
              </w:rPr>
            </w:pPr>
            <w:r>
              <w:rPr>
                <w:rFonts w:eastAsia="宋体"/>
                <w:bCs/>
                <w:kern w:val="0"/>
                <w:sz w:val="21"/>
              </w:rPr>
              <w:t>其他</w:t>
            </w:r>
          </w:p>
        </w:tc>
        <w:tc>
          <w:tcPr>
            <w:tcW w:w="3140" w:type="pct"/>
            <w:vAlign w:val="center"/>
          </w:tcPr>
          <w:p>
            <w:pPr>
              <w:autoSpaceDE w:val="0"/>
              <w:autoSpaceDN w:val="0"/>
              <w:jc w:val="center"/>
              <w:rPr>
                <w:rFonts w:eastAsia="宋体"/>
                <w:bCs/>
                <w:kern w:val="0"/>
                <w:sz w:val="21"/>
              </w:rPr>
            </w:pPr>
            <w:r>
              <w:rPr>
                <w:rFonts w:eastAsia="宋体"/>
                <w:bCs/>
                <w:kern w:val="0"/>
                <w:sz w:val="21"/>
              </w:rPr>
              <w:t>涉及危险物质使用、贮存的项目</w:t>
            </w:r>
          </w:p>
        </w:tc>
        <w:tc>
          <w:tcPr>
            <w:tcW w:w="595" w:type="pct"/>
            <w:vAlign w:val="center"/>
          </w:tcPr>
          <w:p>
            <w:pPr>
              <w:autoSpaceDE w:val="0"/>
              <w:autoSpaceDN w:val="0"/>
              <w:jc w:val="center"/>
              <w:rPr>
                <w:rFonts w:eastAsia="宋体"/>
                <w:bCs/>
                <w:kern w:val="0"/>
                <w:sz w:val="21"/>
              </w:rPr>
            </w:pPr>
            <w:r>
              <w:rPr>
                <w:rFonts w:eastAsia="宋体"/>
                <w:bCs/>
                <w:kern w:val="0"/>
                <w:sz w:val="21"/>
              </w:rPr>
              <w:t>5</w:t>
            </w:r>
          </w:p>
        </w:tc>
        <w:tc>
          <w:tcPr>
            <w:tcW w:w="679" w:type="pct"/>
            <w:vAlign w:val="center"/>
          </w:tcPr>
          <w:p>
            <w:pPr>
              <w:autoSpaceDE w:val="0"/>
              <w:autoSpaceDN w:val="0"/>
              <w:jc w:val="center"/>
              <w:rPr>
                <w:rFonts w:eastAsia="宋体"/>
                <w:bCs/>
                <w:kern w:val="0"/>
                <w:sz w:val="21"/>
              </w:rPr>
            </w:pPr>
            <w:r>
              <w:rPr>
                <w:rFonts w:eastAsia="宋体"/>
                <w:bCs/>
                <w:kern w:val="0"/>
                <w:sz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0" w:hRule="atLeast"/>
        </w:trPr>
        <w:tc>
          <w:tcPr>
            <w:tcW w:w="5000" w:type="pct"/>
            <w:gridSpan w:val="4"/>
            <w:vAlign w:val="center"/>
          </w:tcPr>
          <w:p>
            <w:pPr>
              <w:autoSpaceDE w:val="0"/>
              <w:autoSpaceDN w:val="0"/>
              <w:jc w:val="center"/>
              <w:rPr>
                <w:rFonts w:eastAsia="宋体"/>
                <w:bCs/>
                <w:kern w:val="0"/>
                <w:sz w:val="21"/>
              </w:rPr>
            </w:pPr>
            <w:r>
              <w:rPr>
                <w:rFonts w:eastAsia="宋体"/>
                <w:bCs/>
                <w:kern w:val="0"/>
                <w:sz w:val="21"/>
              </w:rPr>
              <w:t>a</w:t>
            </w:r>
            <w:r>
              <w:rPr>
                <w:rFonts w:ascii="宋体" w:hAnsi="宋体" w:eastAsia="宋体"/>
                <w:bCs/>
                <w:kern w:val="0"/>
                <w:sz w:val="21"/>
              </w:rPr>
              <w:t>高温指工艺温度</w:t>
            </w:r>
            <w:r>
              <w:rPr>
                <w:rFonts w:eastAsia="宋体"/>
                <w:bCs/>
                <w:kern w:val="0"/>
                <w:sz w:val="21"/>
              </w:rPr>
              <w:t>≥300</w:t>
            </w:r>
            <w:r>
              <w:rPr>
                <w:rFonts w:hint="eastAsia" w:ascii="宋体" w:hAnsi="宋体" w:eastAsia="宋体"/>
                <w:bCs/>
                <w:kern w:val="0"/>
                <w:sz w:val="21"/>
              </w:rPr>
              <w:t>℃</w:t>
            </w:r>
            <w:r>
              <w:rPr>
                <w:rFonts w:eastAsia="宋体"/>
                <w:bCs/>
                <w:kern w:val="0"/>
                <w:sz w:val="21"/>
              </w:rPr>
              <w:t>，高压指压力容器的设计压力（P</w:t>
            </w:r>
            <w:r>
              <w:rPr>
                <w:rFonts w:ascii="宋体" w:hAnsi="宋体" w:eastAsia="宋体"/>
                <w:bCs/>
                <w:kern w:val="0"/>
                <w:sz w:val="21"/>
              </w:rPr>
              <w:t>）</w:t>
            </w:r>
            <w:r>
              <w:rPr>
                <w:rFonts w:eastAsia="宋体"/>
                <w:bCs/>
                <w:kern w:val="0"/>
                <w:sz w:val="21"/>
              </w:rPr>
              <w:t>≥10.0MPa</w:t>
            </w:r>
            <w:r>
              <w:rPr>
                <w:rFonts w:ascii="宋体" w:hAnsi="宋体" w:eastAsia="宋体"/>
                <w:bCs/>
                <w:kern w:val="0"/>
                <w:sz w:val="21"/>
              </w:rPr>
              <w:t>；</w:t>
            </w:r>
          </w:p>
          <w:p>
            <w:pPr>
              <w:autoSpaceDE w:val="0"/>
              <w:autoSpaceDN w:val="0"/>
              <w:jc w:val="center"/>
              <w:rPr>
                <w:rFonts w:eastAsia="宋体"/>
                <w:bCs/>
                <w:kern w:val="0"/>
                <w:sz w:val="21"/>
              </w:rPr>
            </w:pPr>
            <w:r>
              <w:rPr>
                <w:rFonts w:eastAsia="宋体"/>
                <w:bCs/>
                <w:kern w:val="0"/>
                <w:sz w:val="21"/>
              </w:rPr>
              <w:t>b</w:t>
            </w:r>
            <w:r>
              <w:rPr>
                <w:rFonts w:ascii="宋体" w:hAnsi="宋体" w:eastAsia="宋体"/>
                <w:bCs/>
                <w:kern w:val="0"/>
                <w:sz w:val="21"/>
              </w:rPr>
              <w:t>长输管道运输项目应按站场、管线分段进行评价。</w:t>
            </w:r>
          </w:p>
        </w:tc>
      </w:tr>
    </w:tbl>
    <w:p>
      <w:pPr>
        <w:spacing w:line="360" w:lineRule="auto"/>
        <w:ind w:firstLine="480" w:firstLineChars="200"/>
        <w:rPr>
          <w:rFonts w:cs="Times New Roman"/>
        </w:rPr>
      </w:pPr>
      <w:r>
        <w:rPr>
          <w:rFonts w:cs="Times New Roman" w:hAnsiTheme="minorEastAsia"/>
        </w:rPr>
        <w:t>②</w:t>
      </w:r>
      <w:r>
        <w:rPr>
          <w:rFonts w:cs="Times New Roman"/>
        </w:rPr>
        <w:t>本项目M值</w:t>
      </w:r>
    </w:p>
    <w:p>
      <w:pPr>
        <w:spacing w:line="360" w:lineRule="auto"/>
        <w:ind w:firstLine="480" w:firstLineChars="200"/>
        <w:rPr>
          <w:rFonts w:eastAsia="宋体" w:cs="Times New Roman"/>
          <w:color w:val="000000"/>
          <w:kern w:val="0"/>
          <w:szCs w:val="24"/>
        </w:rPr>
      </w:pPr>
      <w:r>
        <w:rPr>
          <w:rFonts w:hAnsi="宋体" w:eastAsia="宋体" w:cs="Times New Roman"/>
          <w:bCs/>
          <w:color w:val="000000"/>
          <w:kern w:val="0"/>
          <w:szCs w:val="24"/>
        </w:rPr>
        <w:t>本项目为</w:t>
      </w:r>
      <w:r>
        <w:rPr>
          <w:rFonts w:eastAsia="宋体" w:cs="Times New Roman"/>
          <w:bCs/>
          <w:color w:val="000000"/>
          <w:kern w:val="0"/>
          <w:szCs w:val="24"/>
        </w:rPr>
        <w:t>“</w:t>
      </w:r>
      <w:r>
        <w:rPr>
          <w:rFonts w:hAnsi="宋体" w:eastAsia="宋体" w:cs="Times New Roman"/>
          <w:bCs/>
          <w:color w:val="000000"/>
          <w:kern w:val="0"/>
          <w:szCs w:val="24"/>
        </w:rPr>
        <w:t>三废</w:t>
      </w:r>
      <w:r>
        <w:rPr>
          <w:rFonts w:eastAsia="宋体" w:cs="Times New Roman"/>
          <w:bCs/>
          <w:color w:val="000000"/>
          <w:kern w:val="0"/>
          <w:szCs w:val="24"/>
        </w:rPr>
        <w:t>”</w:t>
      </w:r>
      <w:r>
        <w:rPr>
          <w:rFonts w:hAnsi="宋体" w:eastAsia="宋体" w:cs="Times New Roman"/>
          <w:bCs/>
          <w:color w:val="000000"/>
          <w:kern w:val="0"/>
          <w:szCs w:val="24"/>
        </w:rPr>
        <w:t>治理环境保护项目，涉及危险物质使用，故本项目</w:t>
      </w:r>
      <w:r>
        <w:rPr>
          <w:rFonts w:eastAsia="宋体" w:cs="Times New Roman"/>
          <w:bCs/>
          <w:color w:val="000000"/>
          <w:kern w:val="0"/>
          <w:szCs w:val="24"/>
        </w:rPr>
        <w:t>M=5</w:t>
      </w:r>
      <w:r>
        <w:rPr>
          <w:rFonts w:hAnsi="宋体" w:eastAsia="宋体" w:cs="Times New Roman"/>
          <w:bCs/>
          <w:color w:val="000000"/>
          <w:kern w:val="0"/>
          <w:szCs w:val="24"/>
        </w:rPr>
        <w:t>，为</w:t>
      </w:r>
      <w:r>
        <w:rPr>
          <w:rFonts w:eastAsia="宋体" w:cs="Times New Roman"/>
          <w:bCs/>
          <w:color w:val="000000"/>
          <w:kern w:val="0"/>
          <w:szCs w:val="24"/>
        </w:rPr>
        <w:t>M4</w:t>
      </w:r>
      <w:r>
        <w:rPr>
          <w:rFonts w:hAnsi="宋体" w:eastAsia="宋体" w:cs="Times New Roman"/>
          <w:bCs/>
          <w:color w:val="000000"/>
          <w:kern w:val="0"/>
          <w:szCs w:val="24"/>
        </w:rPr>
        <w:t>。</w:t>
      </w:r>
    </w:p>
    <w:p>
      <w:pPr>
        <w:pStyle w:val="14"/>
        <w:spacing w:line="240" w:lineRule="auto"/>
      </w:pPr>
      <w:r>
        <w:t>表</w:t>
      </w:r>
      <w:r>
        <w:fldChar w:fldCharType="begin"/>
      </w:r>
      <w:r>
        <w:instrText xml:space="preserve"> STYLEREF 2 \s </w:instrText>
      </w:r>
      <w:r>
        <w:fldChar w:fldCharType="separate"/>
      </w:r>
      <w:r>
        <w:t>7.2</w:t>
      </w:r>
      <w:r>
        <w:fldChar w:fldCharType="end"/>
      </w:r>
      <w:r>
        <w:noBreakHyphen/>
      </w:r>
      <w:r>
        <w:fldChar w:fldCharType="begin"/>
      </w:r>
      <w:r>
        <w:instrText xml:space="preserve"> SEQ 表 \* ARABIC \s 2 </w:instrText>
      </w:r>
      <w:r>
        <w:fldChar w:fldCharType="separate"/>
      </w:r>
      <w:r>
        <w:t>3</w:t>
      </w:r>
      <w:r>
        <w:fldChar w:fldCharType="end"/>
      </w:r>
      <w:r>
        <w:rPr>
          <w:rFonts w:hint="eastAsia"/>
        </w:rPr>
        <w:t xml:space="preserve"> </w:t>
      </w:r>
      <w:r>
        <w:t>建设项目M值确定表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3169"/>
        <w:gridCol w:w="1783"/>
        <w:gridCol w:w="1861"/>
        <w:gridCol w:w="2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vAlign w:val="center"/>
          </w:tcPr>
          <w:p>
            <w:pPr>
              <w:autoSpaceDE w:val="0"/>
              <w:autoSpaceDN w:val="0"/>
              <w:jc w:val="center"/>
              <w:rPr>
                <w:rFonts w:eastAsia="宋体" w:cs="Times New Roman"/>
                <w:bCs/>
                <w:kern w:val="0"/>
                <w:sz w:val="21"/>
              </w:rPr>
            </w:pPr>
            <w:r>
              <w:rPr>
                <w:rFonts w:eastAsia="宋体" w:cs="Times New Roman"/>
                <w:kern w:val="0"/>
                <w:sz w:val="21"/>
              </w:rPr>
              <w:t>序号</w:t>
            </w:r>
          </w:p>
        </w:tc>
        <w:tc>
          <w:tcPr>
            <w:tcW w:w="1642" w:type="pct"/>
            <w:vAlign w:val="center"/>
          </w:tcPr>
          <w:p>
            <w:pPr>
              <w:autoSpaceDE w:val="0"/>
              <w:autoSpaceDN w:val="0"/>
              <w:jc w:val="center"/>
              <w:rPr>
                <w:rFonts w:eastAsia="宋体" w:cs="Times New Roman"/>
                <w:bCs/>
                <w:kern w:val="0"/>
                <w:sz w:val="21"/>
              </w:rPr>
            </w:pPr>
            <w:r>
              <w:rPr>
                <w:rFonts w:eastAsia="宋体" w:cs="Times New Roman"/>
                <w:kern w:val="0"/>
                <w:sz w:val="21"/>
              </w:rPr>
              <w:t>评估依据</w:t>
            </w:r>
          </w:p>
        </w:tc>
        <w:tc>
          <w:tcPr>
            <w:tcW w:w="924" w:type="pct"/>
            <w:vAlign w:val="center"/>
          </w:tcPr>
          <w:p>
            <w:pPr>
              <w:autoSpaceDE w:val="0"/>
              <w:autoSpaceDN w:val="0"/>
              <w:jc w:val="center"/>
              <w:rPr>
                <w:rFonts w:eastAsia="宋体" w:cs="Times New Roman"/>
                <w:bCs/>
                <w:kern w:val="0"/>
                <w:sz w:val="21"/>
              </w:rPr>
            </w:pPr>
            <w:r>
              <w:rPr>
                <w:rFonts w:eastAsia="宋体" w:cs="Times New Roman"/>
                <w:kern w:val="0"/>
                <w:sz w:val="21"/>
              </w:rPr>
              <w:t>分值</w:t>
            </w:r>
          </w:p>
        </w:tc>
        <w:tc>
          <w:tcPr>
            <w:tcW w:w="964" w:type="pct"/>
            <w:vAlign w:val="center"/>
          </w:tcPr>
          <w:p>
            <w:pPr>
              <w:autoSpaceDE w:val="0"/>
              <w:autoSpaceDN w:val="0"/>
              <w:jc w:val="center"/>
              <w:rPr>
                <w:rFonts w:eastAsia="宋体" w:cs="Times New Roman"/>
                <w:bCs/>
                <w:kern w:val="0"/>
                <w:sz w:val="21"/>
              </w:rPr>
            </w:pPr>
            <w:r>
              <w:rPr>
                <w:rFonts w:eastAsia="宋体" w:cs="Times New Roman"/>
                <w:kern w:val="0"/>
                <w:sz w:val="21"/>
              </w:rPr>
              <w:t>数量/</w:t>
            </w:r>
            <w:r>
              <w:rPr>
                <w:rFonts w:hAnsi="宋体" w:eastAsia="宋体" w:cs="Times New Roman"/>
                <w:kern w:val="0"/>
                <w:sz w:val="21"/>
              </w:rPr>
              <w:t>套</w:t>
            </w:r>
            <w:r>
              <w:rPr>
                <w:rFonts w:eastAsia="宋体" w:cs="Times New Roman"/>
                <w:kern w:val="0"/>
                <w:sz w:val="21"/>
              </w:rPr>
              <w:t>(</w:t>
            </w:r>
            <w:r>
              <w:rPr>
                <w:rFonts w:hAnsi="宋体" w:eastAsia="宋体" w:cs="Times New Roman"/>
                <w:kern w:val="0"/>
                <w:sz w:val="21"/>
              </w:rPr>
              <w:t>罐区）</w:t>
            </w:r>
          </w:p>
        </w:tc>
        <w:tc>
          <w:tcPr>
            <w:tcW w:w="1068" w:type="pct"/>
            <w:vAlign w:val="center"/>
          </w:tcPr>
          <w:p>
            <w:pPr>
              <w:autoSpaceDE w:val="0"/>
              <w:autoSpaceDN w:val="0"/>
              <w:jc w:val="center"/>
              <w:rPr>
                <w:rFonts w:eastAsia="宋体" w:cs="Times New Roman"/>
                <w:bCs/>
                <w:kern w:val="0"/>
                <w:sz w:val="21"/>
              </w:rPr>
            </w:pPr>
            <w:r>
              <w:rPr>
                <w:rFonts w:eastAsia="宋体" w:cs="Times New Roman"/>
                <w:kern w:val="0"/>
                <w:sz w:val="21"/>
              </w:rPr>
              <w:t>M</w:t>
            </w:r>
            <w:r>
              <w:rPr>
                <w:rFonts w:hAnsi="宋体" w:eastAsia="宋体" w:cs="Times New Roman"/>
                <w:kern w:val="0"/>
                <w:sz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vAlign w:val="center"/>
          </w:tcPr>
          <w:p>
            <w:pPr>
              <w:autoSpaceDE w:val="0"/>
              <w:autoSpaceDN w:val="0"/>
              <w:jc w:val="center"/>
              <w:rPr>
                <w:rFonts w:eastAsia="宋体" w:cs="Times New Roman"/>
                <w:bCs/>
                <w:kern w:val="0"/>
                <w:sz w:val="21"/>
              </w:rPr>
            </w:pPr>
            <w:r>
              <w:rPr>
                <w:rFonts w:eastAsia="宋体" w:cs="Times New Roman"/>
                <w:bCs/>
                <w:kern w:val="0"/>
                <w:sz w:val="21"/>
              </w:rPr>
              <w:t>1</w:t>
            </w:r>
          </w:p>
        </w:tc>
        <w:tc>
          <w:tcPr>
            <w:tcW w:w="1642" w:type="pct"/>
            <w:vAlign w:val="center"/>
          </w:tcPr>
          <w:p>
            <w:pPr>
              <w:autoSpaceDE w:val="0"/>
              <w:autoSpaceDN w:val="0"/>
              <w:jc w:val="center"/>
              <w:rPr>
                <w:rFonts w:eastAsia="宋体" w:cs="Times New Roman"/>
                <w:bCs/>
                <w:kern w:val="0"/>
                <w:sz w:val="21"/>
              </w:rPr>
            </w:pPr>
            <w:r>
              <w:rPr>
                <w:rFonts w:eastAsia="宋体" w:cs="Times New Roman"/>
                <w:bCs/>
                <w:kern w:val="0"/>
                <w:sz w:val="21"/>
              </w:rPr>
              <w:t>涉及危险物质使用、贮存</w:t>
            </w:r>
          </w:p>
        </w:tc>
        <w:tc>
          <w:tcPr>
            <w:tcW w:w="924" w:type="pct"/>
            <w:vAlign w:val="center"/>
          </w:tcPr>
          <w:p>
            <w:pPr>
              <w:autoSpaceDE w:val="0"/>
              <w:autoSpaceDN w:val="0"/>
              <w:jc w:val="center"/>
              <w:rPr>
                <w:rFonts w:eastAsia="宋体" w:cs="Times New Roman"/>
                <w:bCs/>
                <w:kern w:val="0"/>
                <w:sz w:val="21"/>
              </w:rPr>
            </w:pPr>
            <w:r>
              <w:rPr>
                <w:rFonts w:eastAsia="宋体" w:cs="Times New Roman"/>
                <w:bCs/>
                <w:kern w:val="0"/>
                <w:sz w:val="21"/>
              </w:rPr>
              <w:t>5</w:t>
            </w:r>
          </w:p>
        </w:tc>
        <w:tc>
          <w:tcPr>
            <w:tcW w:w="964" w:type="pct"/>
            <w:vAlign w:val="center"/>
          </w:tcPr>
          <w:p>
            <w:pPr>
              <w:autoSpaceDE w:val="0"/>
              <w:autoSpaceDN w:val="0"/>
              <w:jc w:val="center"/>
              <w:rPr>
                <w:rFonts w:eastAsia="宋体" w:cs="Times New Roman"/>
                <w:bCs/>
                <w:kern w:val="0"/>
                <w:sz w:val="21"/>
              </w:rPr>
            </w:pPr>
            <w:r>
              <w:rPr>
                <w:rFonts w:eastAsia="宋体" w:cs="Times New Roman"/>
                <w:bCs/>
                <w:kern w:val="0"/>
                <w:sz w:val="21"/>
              </w:rPr>
              <w:t>/</w:t>
            </w:r>
          </w:p>
        </w:tc>
        <w:tc>
          <w:tcPr>
            <w:tcW w:w="1068" w:type="pct"/>
            <w:vAlign w:val="center"/>
          </w:tcPr>
          <w:p>
            <w:pPr>
              <w:autoSpaceDE w:val="0"/>
              <w:autoSpaceDN w:val="0"/>
              <w:jc w:val="center"/>
              <w:rPr>
                <w:rFonts w:eastAsia="宋体" w:cs="Times New Roman"/>
                <w:bCs/>
                <w:kern w:val="0"/>
                <w:sz w:val="21"/>
              </w:rPr>
            </w:pPr>
            <w:r>
              <w:rPr>
                <w:rFonts w:eastAsia="宋体" w:cs="Times New Roman"/>
                <w:bCs/>
                <w:kern w:val="0"/>
                <w:sz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2" w:type="pct"/>
            <w:gridSpan w:val="4"/>
            <w:vAlign w:val="center"/>
          </w:tcPr>
          <w:p>
            <w:pPr>
              <w:autoSpaceDE w:val="0"/>
              <w:autoSpaceDN w:val="0"/>
              <w:jc w:val="center"/>
              <w:rPr>
                <w:rFonts w:eastAsia="宋体" w:cs="Times New Roman"/>
                <w:bCs/>
                <w:kern w:val="0"/>
                <w:sz w:val="21"/>
              </w:rPr>
            </w:pPr>
            <w:r>
              <w:rPr>
                <w:rFonts w:eastAsia="宋体" w:cs="Times New Roman"/>
                <w:bCs/>
                <w:kern w:val="0"/>
                <w:sz w:val="21"/>
              </w:rPr>
              <w:t>项目M</w:t>
            </w:r>
            <w:r>
              <w:rPr>
                <w:rFonts w:hAnsi="宋体" w:eastAsia="宋体" w:cs="Times New Roman"/>
                <w:bCs/>
                <w:kern w:val="0"/>
                <w:sz w:val="21"/>
              </w:rPr>
              <w:t>值</w:t>
            </w:r>
            <w:r>
              <w:rPr>
                <w:rFonts w:eastAsia="宋体" w:cs="Times New Roman"/>
                <w:bCs/>
                <w:kern w:val="0"/>
                <w:sz w:val="21"/>
              </w:rPr>
              <w:t>∑</w:t>
            </w:r>
          </w:p>
        </w:tc>
        <w:tc>
          <w:tcPr>
            <w:tcW w:w="1068" w:type="pct"/>
            <w:vAlign w:val="center"/>
          </w:tcPr>
          <w:p>
            <w:pPr>
              <w:autoSpaceDE w:val="0"/>
              <w:autoSpaceDN w:val="0"/>
              <w:jc w:val="center"/>
              <w:rPr>
                <w:rFonts w:eastAsia="宋体" w:cs="Times New Roman"/>
                <w:bCs/>
                <w:kern w:val="0"/>
                <w:sz w:val="21"/>
              </w:rPr>
            </w:pPr>
            <w:r>
              <w:rPr>
                <w:rFonts w:eastAsia="宋体" w:cs="Times New Roman"/>
                <w:bCs/>
                <w:kern w:val="0"/>
                <w:sz w:val="21"/>
              </w:rPr>
              <w:t>5</w:t>
            </w:r>
          </w:p>
        </w:tc>
      </w:tr>
    </w:tbl>
    <w:p>
      <w:pPr>
        <w:spacing w:line="360" w:lineRule="auto"/>
        <w:ind w:firstLine="480" w:firstLineChars="200"/>
        <w:rPr>
          <w:rFonts w:cs="Times New Roman"/>
          <w:b/>
          <w:bCs/>
        </w:rPr>
      </w:pPr>
      <w:r>
        <w:rPr>
          <w:rFonts w:cs="Times New Roman" w:hAnsiTheme="minorEastAsia"/>
        </w:rPr>
        <w:t>③危险物质及工艺系统危险性（</w:t>
      </w:r>
      <w:r>
        <w:rPr>
          <w:rFonts w:cs="Times New Roman"/>
        </w:rPr>
        <w:t>P</w:t>
      </w:r>
      <w:r>
        <w:rPr>
          <w:rFonts w:cs="Times New Roman" w:hAnsiTheme="minorEastAsia"/>
        </w:rPr>
        <w:t>）分级</w:t>
      </w:r>
    </w:p>
    <w:p>
      <w:pPr>
        <w:spacing w:line="360" w:lineRule="auto"/>
        <w:ind w:firstLine="480" w:firstLineChars="200"/>
        <w:rPr>
          <w:rFonts w:eastAsia="宋体" w:cs="Times New Roman"/>
          <w:kern w:val="0"/>
          <w:szCs w:val="24"/>
        </w:rPr>
      </w:pPr>
      <w:r>
        <w:rPr>
          <w:rFonts w:hAnsi="宋体" w:eastAsia="宋体" w:cs="Times New Roman"/>
          <w:bCs/>
          <w:kern w:val="0"/>
          <w:szCs w:val="24"/>
        </w:rPr>
        <w:t>根据《建设项目环境风险评价技术导则》（</w:t>
      </w:r>
      <w:r>
        <w:rPr>
          <w:rFonts w:eastAsia="宋体" w:cs="Times New Roman"/>
          <w:bCs/>
          <w:kern w:val="0"/>
          <w:szCs w:val="24"/>
        </w:rPr>
        <w:t>HJ169-2018</w:t>
      </w:r>
      <w:r>
        <w:rPr>
          <w:rFonts w:hAnsi="宋体" w:eastAsia="宋体" w:cs="Times New Roman"/>
          <w:bCs/>
          <w:kern w:val="0"/>
          <w:szCs w:val="24"/>
        </w:rPr>
        <w:t>）中附录</w:t>
      </w:r>
      <w:r>
        <w:rPr>
          <w:rFonts w:eastAsia="宋体" w:cs="Times New Roman"/>
          <w:bCs/>
          <w:kern w:val="0"/>
          <w:szCs w:val="24"/>
        </w:rPr>
        <w:t>C</w:t>
      </w:r>
      <w:r>
        <w:rPr>
          <w:rFonts w:hAnsi="宋体" w:eastAsia="宋体" w:cs="Times New Roman"/>
          <w:bCs/>
          <w:kern w:val="0"/>
          <w:szCs w:val="24"/>
        </w:rPr>
        <w:t>可知：根据危险物质数量与临界量比值（</w:t>
      </w:r>
      <w:r>
        <w:rPr>
          <w:rFonts w:eastAsia="宋体" w:cs="Times New Roman"/>
          <w:bCs/>
          <w:kern w:val="0"/>
          <w:szCs w:val="24"/>
        </w:rPr>
        <w:t>Q</w:t>
      </w:r>
      <w:r>
        <w:rPr>
          <w:rFonts w:hAnsi="宋体" w:eastAsia="宋体" w:cs="Times New Roman"/>
          <w:bCs/>
          <w:kern w:val="0"/>
          <w:szCs w:val="24"/>
        </w:rPr>
        <w:t>）和行业及生产工艺（</w:t>
      </w:r>
      <w:r>
        <w:rPr>
          <w:rFonts w:eastAsia="宋体" w:cs="Times New Roman"/>
          <w:bCs/>
          <w:kern w:val="0"/>
          <w:szCs w:val="24"/>
        </w:rPr>
        <w:t>M</w:t>
      </w:r>
      <w:r>
        <w:rPr>
          <w:rFonts w:hAnsi="宋体" w:eastAsia="宋体" w:cs="Times New Roman"/>
          <w:bCs/>
          <w:kern w:val="0"/>
          <w:szCs w:val="24"/>
        </w:rPr>
        <w:t>），本项目临界量比值（</w:t>
      </w:r>
      <w:r>
        <w:rPr>
          <w:rFonts w:eastAsia="宋体" w:cs="Times New Roman"/>
          <w:bCs/>
          <w:kern w:val="0"/>
          <w:szCs w:val="24"/>
        </w:rPr>
        <w:t>Q</w:t>
      </w:r>
      <w:r>
        <w:rPr>
          <w:rFonts w:hAnsi="宋体" w:eastAsia="宋体" w:cs="Times New Roman"/>
          <w:bCs/>
          <w:kern w:val="0"/>
          <w:szCs w:val="24"/>
        </w:rPr>
        <w:t>）小</w:t>
      </w:r>
      <w:r>
        <w:rPr>
          <w:rFonts w:eastAsia="宋体" w:cs="Times New Roman"/>
          <w:bCs/>
          <w:kern w:val="0"/>
          <w:szCs w:val="24"/>
        </w:rPr>
        <w:t>1</w:t>
      </w:r>
      <w:r>
        <w:rPr>
          <w:rFonts w:hAnsi="宋体" w:eastAsia="宋体" w:cs="Times New Roman"/>
          <w:bCs/>
          <w:kern w:val="0"/>
          <w:szCs w:val="24"/>
        </w:rPr>
        <w:t>，风险项目环境风险潜势为</w:t>
      </w:r>
      <w:r>
        <w:rPr>
          <w:rFonts w:eastAsia="宋体" w:cs="Times New Roman"/>
          <w:bCs/>
          <w:kern w:val="0"/>
          <w:szCs w:val="24"/>
        </w:rPr>
        <w:t>I</w:t>
      </w:r>
      <w:r>
        <w:rPr>
          <w:rFonts w:hAnsi="宋体" w:eastAsia="宋体" w:cs="Times New Roman"/>
          <w:bCs/>
          <w:kern w:val="0"/>
          <w:szCs w:val="24"/>
        </w:rPr>
        <w:t>。</w:t>
      </w:r>
    </w:p>
    <w:p>
      <w:pPr>
        <w:pStyle w:val="4"/>
      </w:pPr>
      <w:r>
        <w:t>环境敏感程度</w:t>
      </w:r>
      <w:r>
        <w:rPr>
          <w:rFonts w:hint="eastAsia"/>
        </w:rPr>
        <w:t>（E）的分级</w:t>
      </w:r>
    </w:p>
    <w:p>
      <w:pPr>
        <w:spacing w:line="360" w:lineRule="auto"/>
        <w:ind w:firstLine="480" w:firstLineChars="200"/>
        <w:rPr>
          <w:rFonts w:cs="Times New Roman"/>
        </w:rPr>
      </w:pPr>
      <w:r>
        <w:rPr>
          <w:rFonts w:cs="Times New Roman"/>
        </w:rPr>
        <w:t>（1）大气环境</w:t>
      </w:r>
    </w:p>
    <w:p>
      <w:pPr>
        <w:spacing w:line="360" w:lineRule="auto"/>
        <w:ind w:firstLine="480" w:firstLineChars="200"/>
        <w:rPr>
          <w:rFonts w:cs="Times New Roman"/>
        </w:rPr>
      </w:pPr>
      <w:r>
        <w:rPr>
          <w:rFonts w:cs="Times New Roman" w:hAnsiTheme="minorEastAsia"/>
        </w:rPr>
        <w:t>①分级原则</w:t>
      </w:r>
    </w:p>
    <w:p>
      <w:pPr>
        <w:spacing w:line="360" w:lineRule="auto"/>
        <w:ind w:firstLine="480" w:firstLineChars="200"/>
        <w:rPr>
          <w:rFonts w:eastAsia="宋体" w:cs="Times New Roman"/>
          <w:kern w:val="0"/>
          <w:szCs w:val="24"/>
        </w:rPr>
      </w:pPr>
      <w:r>
        <w:rPr>
          <w:rFonts w:hAnsi="宋体" w:eastAsia="宋体" w:cs="Times New Roman"/>
          <w:bCs/>
          <w:kern w:val="0"/>
          <w:szCs w:val="24"/>
        </w:rPr>
        <w:t>根据《建设项目环境风险评价技术导则》（</w:t>
      </w:r>
      <w:r>
        <w:rPr>
          <w:rFonts w:eastAsia="宋体" w:cs="Times New Roman"/>
          <w:bCs/>
          <w:kern w:val="0"/>
          <w:szCs w:val="24"/>
        </w:rPr>
        <w:t>HJ169-2018</w:t>
      </w:r>
      <w:r>
        <w:rPr>
          <w:rFonts w:hAnsi="宋体" w:eastAsia="宋体" w:cs="Times New Roman"/>
          <w:bCs/>
          <w:kern w:val="0"/>
          <w:szCs w:val="24"/>
        </w:rPr>
        <w:t>）附录</w:t>
      </w:r>
      <w:r>
        <w:rPr>
          <w:rFonts w:eastAsia="宋体" w:cs="Times New Roman"/>
          <w:bCs/>
          <w:kern w:val="0"/>
          <w:szCs w:val="24"/>
        </w:rPr>
        <w:t>D</w:t>
      </w:r>
      <w:r>
        <w:rPr>
          <w:rFonts w:hAnsi="宋体" w:eastAsia="宋体" w:cs="Times New Roman"/>
          <w:bCs/>
          <w:kern w:val="0"/>
          <w:szCs w:val="24"/>
        </w:rPr>
        <w:t>可知：依据环境敏感目标环境敏感性及人口密度划分环境风险受体的敏感性，共分为三种类型，</w:t>
      </w:r>
      <w:r>
        <w:rPr>
          <w:rFonts w:eastAsia="宋体" w:cs="Times New Roman"/>
          <w:bCs/>
          <w:kern w:val="0"/>
          <w:szCs w:val="24"/>
        </w:rPr>
        <w:t>E1</w:t>
      </w:r>
      <w:r>
        <w:rPr>
          <w:rFonts w:hAnsi="宋体" w:eastAsia="宋体" w:cs="Times New Roman"/>
          <w:bCs/>
          <w:kern w:val="0"/>
          <w:szCs w:val="24"/>
        </w:rPr>
        <w:t>为环境高度敏感区，</w:t>
      </w:r>
      <w:r>
        <w:rPr>
          <w:rFonts w:eastAsia="宋体" w:cs="Times New Roman"/>
          <w:bCs/>
          <w:kern w:val="0"/>
          <w:szCs w:val="24"/>
        </w:rPr>
        <w:t>E2</w:t>
      </w:r>
      <w:r>
        <w:rPr>
          <w:rFonts w:hAnsi="宋体" w:eastAsia="宋体" w:cs="Times New Roman"/>
          <w:bCs/>
          <w:kern w:val="0"/>
          <w:szCs w:val="24"/>
        </w:rPr>
        <w:t>为环境中度敏感区，</w:t>
      </w:r>
      <w:r>
        <w:rPr>
          <w:rFonts w:eastAsia="宋体" w:cs="Times New Roman"/>
          <w:bCs/>
          <w:kern w:val="0"/>
          <w:szCs w:val="24"/>
        </w:rPr>
        <w:t>E3</w:t>
      </w:r>
      <w:r>
        <w:rPr>
          <w:rFonts w:hAnsi="宋体" w:eastAsia="宋体" w:cs="Times New Roman"/>
          <w:bCs/>
          <w:kern w:val="0"/>
          <w:szCs w:val="24"/>
        </w:rPr>
        <w:t>为环境低度敏感区，分级原则详见下表。</w:t>
      </w:r>
    </w:p>
    <w:p>
      <w:pPr>
        <w:pStyle w:val="14"/>
        <w:spacing w:line="240" w:lineRule="auto"/>
      </w:pPr>
      <w:r>
        <w:t>表</w:t>
      </w:r>
      <w:r>
        <w:fldChar w:fldCharType="begin"/>
      </w:r>
      <w:r>
        <w:instrText xml:space="preserve"> STYLEREF 2 \s </w:instrText>
      </w:r>
      <w:r>
        <w:fldChar w:fldCharType="separate"/>
      </w:r>
      <w:r>
        <w:t>7.3</w:t>
      </w:r>
      <w:r>
        <w:fldChar w:fldCharType="end"/>
      </w:r>
      <w:r>
        <w:noBreakHyphen/>
      </w:r>
      <w:r>
        <w:fldChar w:fldCharType="begin"/>
      </w:r>
      <w:r>
        <w:instrText xml:space="preserve"> SEQ 表 \* ARABIC \s 2 </w:instrText>
      </w:r>
      <w:r>
        <w:fldChar w:fldCharType="separate"/>
      </w:r>
      <w:r>
        <w:t>1</w:t>
      </w:r>
      <w:r>
        <w:fldChar w:fldCharType="end"/>
      </w:r>
      <w:r>
        <w:rPr>
          <w:rFonts w:hint="eastAsia"/>
        </w:rPr>
        <w:t xml:space="preserve"> </w:t>
      </w:r>
      <w:r>
        <w:t>大气环境敏感程度分级</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4"/>
        <w:gridCol w:w="8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Align w:val="center"/>
          </w:tcPr>
          <w:p>
            <w:pPr>
              <w:autoSpaceDE w:val="0"/>
              <w:autoSpaceDN w:val="0"/>
              <w:spacing w:line="240" w:lineRule="exact"/>
              <w:jc w:val="center"/>
              <w:rPr>
                <w:rFonts w:eastAsia="宋体"/>
                <w:bCs/>
                <w:kern w:val="0"/>
                <w:sz w:val="21"/>
              </w:rPr>
            </w:pPr>
            <w:r>
              <w:rPr>
                <w:rFonts w:eastAsia="宋体"/>
                <w:kern w:val="0"/>
                <w:sz w:val="21"/>
              </w:rPr>
              <w:t>分级</w:t>
            </w:r>
          </w:p>
        </w:tc>
        <w:tc>
          <w:tcPr>
            <w:tcW w:w="4604" w:type="pct"/>
            <w:vAlign w:val="center"/>
          </w:tcPr>
          <w:p>
            <w:pPr>
              <w:autoSpaceDE w:val="0"/>
              <w:autoSpaceDN w:val="0"/>
              <w:spacing w:line="240" w:lineRule="exact"/>
              <w:jc w:val="center"/>
              <w:rPr>
                <w:rFonts w:eastAsia="宋体"/>
                <w:bCs/>
                <w:kern w:val="0"/>
                <w:sz w:val="21"/>
              </w:rPr>
            </w:pPr>
            <w:r>
              <w:rPr>
                <w:rFonts w:eastAsia="宋体"/>
                <w:kern w:val="0"/>
                <w:sz w:val="21"/>
              </w:rPr>
              <w:t>大气环境敏感性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396" w:type="pct"/>
            <w:vAlign w:val="center"/>
          </w:tcPr>
          <w:p>
            <w:pPr>
              <w:autoSpaceDE w:val="0"/>
              <w:autoSpaceDN w:val="0"/>
              <w:spacing w:line="240" w:lineRule="exact"/>
              <w:jc w:val="center"/>
              <w:rPr>
                <w:rFonts w:eastAsia="宋体" w:cs="Times New Roman"/>
                <w:bCs/>
                <w:kern w:val="0"/>
                <w:sz w:val="21"/>
              </w:rPr>
            </w:pPr>
            <w:r>
              <w:rPr>
                <w:rFonts w:eastAsia="宋体" w:cs="Times New Roman"/>
                <w:bCs/>
                <w:kern w:val="0"/>
                <w:sz w:val="21"/>
              </w:rPr>
              <w:t>E1</w:t>
            </w:r>
          </w:p>
        </w:tc>
        <w:tc>
          <w:tcPr>
            <w:tcW w:w="4604" w:type="pct"/>
            <w:vAlign w:val="center"/>
          </w:tcPr>
          <w:p>
            <w:pPr>
              <w:autoSpaceDE w:val="0"/>
              <w:autoSpaceDN w:val="0"/>
              <w:spacing w:line="240" w:lineRule="exact"/>
              <w:jc w:val="center"/>
              <w:rPr>
                <w:rFonts w:eastAsia="宋体" w:cs="Times New Roman"/>
                <w:bCs/>
                <w:kern w:val="0"/>
                <w:sz w:val="21"/>
              </w:rPr>
            </w:pPr>
            <w:r>
              <w:rPr>
                <w:rFonts w:eastAsia="宋体" w:cs="Times New Roman"/>
                <w:bCs/>
                <w:kern w:val="0"/>
                <w:sz w:val="21"/>
              </w:rPr>
              <w:t>周边5km</w:t>
            </w:r>
            <w:r>
              <w:rPr>
                <w:rFonts w:hAnsi="宋体" w:eastAsia="宋体" w:cs="Times New Roman"/>
                <w:bCs/>
                <w:kern w:val="0"/>
                <w:sz w:val="21"/>
              </w:rPr>
              <w:t>范围内居住区、医疗卫生、文化教育、科研、行政办公等机构人口总数大于</w:t>
            </w:r>
            <w:r>
              <w:rPr>
                <w:rFonts w:eastAsia="宋体" w:cs="Times New Roman"/>
                <w:bCs/>
                <w:kern w:val="0"/>
                <w:sz w:val="21"/>
              </w:rPr>
              <w:t>5</w:t>
            </w:r>
            <w:r>
              <w:rPr>
                <w:rFonts w:hAnsi="宋体" w:eastAsia="宋体" w:cs="Times New Roman"/>
                <w:bCs/>
                <w:kern w:val="0"/>
                <w:sz w:val="21"/>
              </w:rPr>
              <w:t>万人，或其他需要特殊保护区域；或周边</w:t>
            </w:r>
            <w:r>
              <w:rPr>
                <w:rFonts w:eastAsia="宋体" w:cs="Times New Roman"/>
                <w:bCs/>
                <w:kern w:val="0"/>
                <w:sz w:val="21"/>
              </w:rPr>
              <w:t>500m</w:t>
            </w:r>
            <w:r>
              <w:rPr>
                <w:rFonts w:hAnsi="宋体" w:eastAsia="宋体" w:cs="Times New Roman"/>
                <w:bCs/>
                <w:kern w:val="0"/>
                <w:sz w:val="21"/>
              </w:rPr>
              <w:t>范围内人口总数大于</w:t>
            </w:r>
            <w:r>
              <w:rPr>
                <w:rFonts w:eastAsia="宋体" w:cs="Times New Roman"/>
                <w:bCs/>
                <w:kern w:val="0"/>
                <w:sz w:val="21"/>
              </w:rPr>
              <w:t>1000</w:t>
            </w:r>
            <w:r>
              <w:rPr>
                <w:rFonts w:hAnsi="宋体" w:eastAsia="宋体" w:cs="Times New Roman"/>
                <w:bCs/>
                <w:kern w:val="0"/>
                <w:sz w:val="21"/>
              </w:rPr>
              <w:t>人；油气、化学品输送管线管段周边</w:t>
            </w:r>
            <w:r>
              <w:rPr>
                <w:rFonts w:eastAsia="宋体" w:cs="Times New Roman"/>
                <w:bCs/>
                <w:kern w:val="0"/>
                <w:sz w:val="21"/>
              </w:rPr>
              <w:t>200m</w:t>
            </w:r>
            <w:r>
              <w:rPr>
                <w:rFonts w:hAnsi="宋体" w:eastAsia="宋体" w:cs="Times New Roman"/>
                <w:bCs/>
                <w:kern w:val="0"/>
                <w:sz w:val="21"/>
              </w:rPr>
              <w:t>范围内，每千米管段人口数大于</w:t>
            </w:r>
            <w:r>
              <w:rPr>
                <w:rFonts w:eastAsia="宋体" w:cs="Times New Roman"/>
                <w:bCs/>
                <w:kern w:val="0"/>
                <w:sz w:val="21"/>
              </w:rPr>
              <w:t>200</w:t>
            </w:r>
            <w:r>
              <w:rPr>
                <w:rFonts w:hAnsi="宋体" w:eastAsia="宋体" w:cs="Times New Roman"/>
                <w:bCs/>
                <w:kern w:val="0"/>
                <w:sz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Align w:val="center"/>
          </w:tcPr>
          <w:p>
            <w:pPr>
              <w:autoSpaceDE w:val="0"/>
              <w:autoSpaceDN w:val="0"/>
              <w:spacing w:line="240" w:lineRule="exact"/>
              <w:jc w:val="center"/>
              <w:rPr>
                <w:rFonts w:eastAsia="宋体" w:cs="Times New Roman"/>
                <w:bCs/>
                <w:kern w:val="0"/>
                <w:sz w:val="21"/>
              </w:rPr>
            </w:pPr>
            <w:r>
              <w:rPr>
                <w:rFonts w:eastAsia="宋体" w:cs="Times New Roman"/>
                <w:bCs/>
                <w:kern w:val="0"/>
                <w:sz w:val="21"/>
              </w:rPr>
              <w:t>E2</w:t>
            </w:r>
          </w:p>
        </w:tc>
        <w:tc>
          <w:tcPr>
            <w:tcW w:w="4604" w:type="pct"/>
            <w:vAlign w:val="center"/>
          </w:tcPr>
          <w:p>
            <w:pPr>
              <w:autoSpaceDE w:val="0"/>
              <w:autoSpaceDN w:val="0"/>
              <w:spacing w:line="240" w:lineRule="exact"/>
              <w:jc w:val="center"/>
              <w:rPr>
                <w:rFonts w:eastAsia="宋体" w:cs="Times New Roman"/>
                <w:bCs/>
                <w:kern w:val="0"/>
                <w:sz w:val="21"/>
              </w:rPr>
            </w:pPr>
            <w:r>
              <w:rPr>
                <w:rFonts w:eastAsia="宋体" w:cs="Times New Roman"/>
                <w:bCs/>
                <w:kern w:val="0"/>
                <w:sz w:val="21"/>
              </w:rPr>
              <w:t>周边5km</w:t>
            </w:r>
            <w:r>
              <w:rPr>
                <w:rFonts w:hAnsi="宋体" w:eastAsia="宋体" w:cs="Times New Roman"/>
                <w:bCs/>
                <w:kern w:val="0"/>
                <w:sz w:val="21"/>
              </w:rPr>
              <w:t>范围内居住区、医疗卫生、文化教育、科研、行政办公等机构人口总数大于</w:t>
            </w:r>
            <w:r>
              <w:rPr>
                <w:rFonts w:eastAsia="宋体" w:cs="Times New Roman"/>
                <w:bCs/>
                <w:kern w:val="0"/>
                <w:sz w:val="21"/>
              </w:rPr>
              <w:t>1</w:t>
            </w:r>
            <w:r>
              <w:rPr>
                <w:rFonts w:hAnsi="宋体" w:eastAsia="宋体" w:cs="Times New Roman"/>
                <w:bCs/>
                <w:kern w:val="0"/>
                <w:sz w:val="21"/>
              </w:rPr>
              <w:t>万人，小于</w:t>
            </w:r>
            <w:r>
              <w:rPr>
                <w:rFonts w:eastAsia="宋体" w:cs="Times New Roman"/>
                <w:bCs/>
                <w:kern w:val="0"/>
                <w:sz w:val="21"/>
              </w:rPr>
              <w:t>5</w:t>
            </w:r>
            <w:r>
              <w:rPr>
                <w:rFonts w:hAnsi="宋体" w:eastAsia="宋体" w:cs="Times New Roman"/>
                <w:bCs/>
                <w:kern w:val="0"/>
                <w:sz w:val="21"/>
              </w:rPr>
              <w:t>万人；或周边</w:t>
            </w:r>
            <w:r>
              <w:rPr>
                <w:rFonts w:eastAsia="宋体" w:cs="Times New Roman"/>
                <w:bCs/>
                <w:kern w:val="0"/>
                <w:sz w:val="21"/>
              </w:rPr>
              <w:t>500m</w:t>
            </w:r>
            <w:r>
              <w:rPr>
                <w:rFonts w:hAnsi="宋体" w:eastAsia="宋体" w:cs="Times New Roman"/>
                <w:bCs/>
                <w:kern w:val="0"/>
                <w:sz w:val="21"/>
              </w:rPr>
              <w:t>范围内人口总数大于</w:t>
            </w:r>
            <w:r>
              <w:rPr>
                <w:rFonts w:eastAsia="宋体" w:cs="Times New Roman"/>
                <w:bCs/>
                <w:kern w:val="0"/>
                <w:sz w:val="21"/>
              </w:rPr>
              <w:t>500</w:t>
            </w:r>
            <w:r>
              <w:rPr>
                <w:rFonts w:hAnsi="宋体" w:eastAsia="宋体" w:cs="Times New Roman"/>
                <w:bCs/>
                <w:kern w:val="0"/>
                <w:sz w:val="21"/>
              </w:rPr>
              <w:t>人，小于</w:t>
            </w:r>
            <w:r>
              <w:rPr>
                <w:rFonts w:eastAsia="宋体" w:cs="Times New Roman"/>
                <w:bCs/>
                <w:kern w:val="0"/>
                <w:sz w:val="21"/>
              </w:rPr>
              <w:t>1000</w:t>
            </w:r>
            <w:r>
              <w:rPr>
                <w:rFonts w:hAnsi="宋体" w:eastAsia="宋体" w:cs="Times New Roman"/>
                <w:bCs/>
                <w:kern w:val="0"/>
                <w:sz w:val="21"/>
              </w:rPr>
              <w:t>人；油气、化学品输送管线管段周边</w:t>
            </w:r>
            <w:r>
              <w:rPr>
                <w:rFonts w:eastAsia="宋体" w:cs="Times New Roman"/>
                <w:bCs/>
                <w:kern w:val="0"/>
                <w:sz w:val="21"/>
              </w:rPr>
              <w:t>200m</w:t>
            </w:r>
            <w:r>
              <w:rPr>
                <w:rFonts w:hAnsi="宋体" w:eastAsia="宋体" w:cs="Times New Roman"/>
                <w:bCs/>
                <w:kern w:val="0"/>
                <w:sz w:val="21"/>
              </w:rPr>
              <w:t>范围内，每千米管段人口数大于</w:t>
            </w:r>
            <w:r>
              <w:rPr>
                <w:rFonts w:eastAsia="宋体" w:cs="Times New Roman"/>
                <w:bCs/>
                <w:kern w:val="0"/>
                <w:sz w:val="21"/>
              </w:rPr>
              <w:t>100</w:t>
            </w:r>
            <w:r>
              <w:rPr>
                <w:rFonts w:hAnsi="宋体" w:eastAsia="宋体" w:cs="Times New Roman"/>
                <w:bCs/>
                <w:kern w:val="0"/>
                <w:sz w:val="21"/>
              </w:rPr>
              <w:t>人，小于</w:t>
            </w:r>
            <w:r>
              <w:rPr>
                <w:rFonts w:eastAsia="宋体" w:cs="Times New Roman"/>
                <w:bCs/>
                <w:kern w:val="0"/>
                <w:sz w:val="21"/>
              </w:rPr>
              <w:t>200</w:t>
            </w:r>
            <w:r>
              <w:rPr>
                <w:rFonts w:hAnsi="宋体" w:eastAsia="宋体" w:cs="Times New Roman"/>
                <w:bCs/>
                <w:kern w:val="0"/>
                <w:sz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Align w:val="center"/>
          </w:tcPr>
          <w:p>
            <w:pPr>
              <w:autoSpaceDE w:val="0"/>
              <w:autoSpaceDN w:val="0"/>
              <w:spacing w:line="240" w:lineRule="exact"/>
              <w:jc w:val="center"/>
              <w:rPr>
                <w:rFonts w:eastAsia="宋体" w:cs="Times New Roman"/>
                <w:bCs/>
                <w:kern w:val="0"/>
                <w:sz w:val="21"/>
              </w:rPr>
            </w:pPr>
            <w:r>
              <w:rPr>
                <w:rFonts w:eastAsia="宋体" w:cs="Times New Roman"/>
                <w:bCs/>
                <w:kern w:val="0"/>
                <w:sz w:val="21"/>
              </w:rPr>
              <w:t>E3</w:t>
            </w:r>
          </w:p>
        </w:tc>
        <w:tc>
          <w:tcPr>
            <w:tcW w:w="4604" w:type="pct"/>
            <w:vAlign w:val="center"/>
          </w:tcPr>
          <w:p>
            <w:pPr>
              <w:autoSpaceDE w:val="0"/>
              <w:autoSpaceDN w:val="0"/>
              <w:spacing w:line="240" w:lineRule="exact"/>
              <w:jc w:val="center"/>
              <w:rPr>
                <w:rFonts w:eastAsia="宋体" w:cs="Times New Roman"/>
                <w:bCs/>
                <w:kern w:val="0"/>
                <w:sz w:val="21"/>
              </w:rPr>
            </w:pPr>
            <w:r>
              <w:rPr>
                <w:rFonts w:eastAsia="宋体" w:cs="Times New Roman"/>
                <w:bCs/>
                <w:kern w:val="0"/>
                <w:sz w:val="21"/>
              </w:rPr>
              <w:t>周边5km</w:t>
            </w:r>
            <w:r>
              <w:rPr>
                <w:rFonts w:hAnsi="宋体" w:eastAsia="宋体" w:cs="Times New Roman"/>
                <w:bCs/>
                <w:kern w:val="0"/>
                <w:sz w:val="21"/>
              </w:rPr>
              <w:t>范围内居住区、医疗卫生、文化教育、科研、行政办公等机构人口总数小于</w:t>
            </w:r>
            <w:r>
              <w:rPr>
                <w:rFonts w:eastAsia="宋体" w:cs="Times New Roman"/>
                <w:bCs/>
                <w:kern w:val="0"/>
                <w:sz w:val="21"/>
              </w:rPr>
              <w:t>1</w:t>
            </w:r>
            <w:r>
              <w:rPr>
                <w:rFonts w:hAnsi="宋体" w:eastAsia="宋体" w:cs="Times New Roman"/>
                <w:bCs/>
                <w:kern w:val="0"/>
                <w:sz w:val="21"/>
              </w:rPr>
              <w:t>万人，或其他需要特殊保护区域；或周边</w:t>
            </w:r>
            <w:r>
              <w:rPr>
                <w:rFonts w:eastAsia="宋体" w:cs="Times New Roman"/>
                <w:bCs/>
                <w:kern w:val="0"/>
                <w:sz w:val="21"/>
              </w:rPr>
              <w:t>500m</w:t>
            </w:r>
            <w:r>
              <w:rPr>
                <w:rFonts w:hAnsi="宋体" w:eastAsia="宋体" w:cs="Times New Roman"/>
                <w:bCs/>
                <w:kern w:val="0"/>
                <w:sz w:val="21"/>
              </w:rPr>
              <w:t>范围内人口总数小于</w:t>
            </w:r>
            <w:r>
              <w:rPr>
                <w:rFonts w:eastAsia="宋体" w:cs="Times New Roman"/>
                <w:bCs/>
                <w:kern w:val="0"/>
                <w:sz w:val="21"/>
              </w:rPr>
              <w:t>500</w:t>
            </w:r>
            <w:r>
              <w:rPr>
                <w:rFonts w:hAnsi="宋体" w:eastAsia="宋体" w:cs="Times New Roman"/>
                <w:bCs/>
                <w:kern w:val="0"/>
                <w:sz w:val="21"/>
              </w:rPr>
              <w:t>人；油气、化学品输送管线管段周边</w:t>
            </w:r>
            <w:r>
              <w:rPr>
                <w:rFonts w:eastAsia="宋体" w:cs="Times New Roman"/>
                <w:bCs/>
                <w:kern w:val="0"/>
                <w:sz w:val="21"/>
              </w:rPr>
              <w:t>200m</w:t>
            </w:r>
            <w:r>
              <w:rPr>
                <w:rFonts w:hAnsi="宋体" w:eastAsia="宋体" w:cs="Times New Roman"/>
                <w:bCs/>
                <w:kern w:val="0"/>
                <w:sz w:val="21"/>
              </w:rPr>
              <w:t>范围内，每千米管段人口数小于</w:t>
            </w:r>
            <w:r>
              <w:rPr>
                <w:rFonts w:eastAsia="宋体" w:cs="Times New Roman"/>
                <w:bCs/>
                <w:kern w:val="0"/>
                <w:sz w:val="21"/>
              </w:rPr>
              <w:t>100</w:t>
            </w:r>
            <w:r>
              <w:rPr>
                <w:rFonts w:hAnsi="宋体" w:eastAsia="宋体" w:cs="Times New Roman"/>
                <w:bCs/>
                <w:kern w:val="0"/>
                <w:sz w:val="21"/>
              </w:rPr>
              <w:t>人。</w:t>
            </w:r>
          </w:p>
        </w:tc>
      </w:tr>
    </w:tbl>
    <w:p>
      <w:pPr>
        <w:pStyle w:val="14"/>
        <w:ind w:firstLine="480" w:firstLineChars="200"/>
        <w:jc w:val="both"/>
        <w:rPr>
          <w:b w:val="0"/>
        </w:rPr>
      </w:pPr>
      <w:r>
        <w:rPr>
          <w:rFonts w:hint="eastAsia"/>
          <w:b w:val="0"/>
        </w:rPr>
        <w:t>②本项目大气环境敏感程度</w:t>
      </w:r>
    </w:p>
    <w:p>
      <w:pPr>
        <w:spacing w:line="360" w:lineRule="auto"/>
        <w:ind w:firstLine="480" w:firstLineChars="200"/>
        <w:rPr>
          <w:rFonts w:eastAsia="宋体"/>
          <w:kern w:val="0"/>
          <w:szCs w:val="24"/>
        </w:rPr>
      </w:pPr>
      <w:r>
        <w:rPr>
          <w:rFonts w:ascii="宋体" w:hAnsi="宋体" w:eastAsia="宋体"/>
          <w:bCs/>
          <w:kern w:val="0"/>
          <w:szCs w:val="24"/>
        </w:rPr>
        <w:t>根据调查，本项目周边</w:t>
      </w:r>
      <w:r>
        <w:rPr>
          <w:rFonts w:eastAsia="宋体"/>
          <w:bCs/>
          <w:kern w:val="0"/>
          <w:szCs w:val="24"/>
        </w:rPr>
        <w:t>5km</w:t>
      </w:r>
      <w:r>
        <w:rPr>
          <w:rFonts w:ascii="宋体" w:hAnsi="宋体" w:eastAsia="宋体"/>
          <w:bCs/>
          <w:kern w:val="0"/>
          <w:szCs w:val="24"/>
        </w:rPr>
        <w:t>范围内居住区、医疗卫生、文化教育、科研、行政办公等机构人口总数大于</w:t>
      </w:r>
      <w:r>
        <w:rPr>
          <w:rFonts w:hint="eastAsia" w:eastAsia="宋体"/>
          <w:bCs/>
          <w:kern w:val="0"/>
          <w:szCs w:val="24"/>
        </w:rPr>
        <w:t>1</w:t>
      </w:r>
      <w:r>
        <w:rPr>
          <w:rFonts w:ascii="宋体" w:hAnsi="宋体" w:eastAsia="宋体"/>
          <w:bCs/>
          <w:kern w:val="0"/>
          <w:szCs w:val="24"/>
        </w:rPr>
        <w:t>万人，周边</w:t>
      </w:r>
      <w:r>
        <w:rPr>
          <w:rFonts w:eastAsia="宋体"/>
          <w:bCs/>
          <w:kern w:val="0"/>
          <w:szCs w:val="24"/>
        </w:rPr>
        <w:t>500m</w:t>
      </w:r>
      <w:r>
        <w:rPr>
          <w:rFonts w:ascii="宋体" w:hAnsi="宋体" w:eastAsia="宋体"/>
          <w:bCs/>
          <w:kern w:val="0"/>
          <w:szCs w:val="24"/>
        </w:rPr>
        <w:t>范围内人口总数大于</w:t>
      </w:r>
      <w:r>
        <w:rPr>
          <w:rFonts w:eastAsia="宋体"/>
          <w:bCs/>
          <w:kern w:val="0"/>
          <w:szCs w:val="24"/>
        </w:rPr>
        <w:t>1000</w:t>
      </w:r>
      <w:r>
        <w:rPr>
          <w:rFonts w:ascii="宋体" w:hAnsi="宋体" w:eastAsia="宋体"/>
          <w:bCs/>
          <w:kern w:val="0"/>
          <w:szCs w:val="24"/>
        </w:rPr>
        <w:t>人。故本项目大气环境敏感程度为</w:t>
      </w:r>
      <w:r>
        <w:rPr>
          <w:rFonts w:eastAsia="宋体"/>
          <w:bCs/>
          <w:kern w:val="0"/>
          <w:szCs w:val="24"/>
        </w:rPr>
        <w:t>E1</w:t>
      </w:r>
      <w:r>
        <w:rPr>
          <w:rFonts w:ascii="宋体" w:hAnsi="宋体" w:eastAsia="宋体"/>
          <w:bCs/>
          <w:kern w:val="0"/>
          <w:szCs w:val="24"/>
        </w:rPr>
        <w:t>环境中度敏感区。</w:t>
      </w:r>
    </w:p>
    <w:p>
      <w:pPr>
        <w:pStyle w:val="14"/>
        <w:spacing w:line="240" w:lineRule="auto"/>
      </w:pPr>
      <w:r>
        <w:rPr>
          <w:rFonts w:hint="eastAsia"/>
        </w:rPr>
        <w:t>表</w:t>
      </w:r>
      <w:r>
        <w:fldChar w:fldCharType="begin"/>
      </w:r>
      <w:r>
        <w:instrText xml:space="preserve"> STYLEREF 2 \s </w:instrText>
      </w:r>
      <w:r>
        <w:fldChar w:fldCharType="separate"/>
      </w:r>
      <w:r>
        <w:t>7.3</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w:t>
      </w:r>
      <w:r>
        <w:fldChar w:fldCharType="end"/>
      </w:r>
      <w:r>
        <w:t>建设项目大气环境敏感特征表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0"/>
        <w:gridCol w:w="760"/>
        <w:gridCol w:w="1996"/>
        <w:gridCol w:w="1378"/>
        <w:gridCol w:w="1378"/>
        <w:gridCol w:w="1380"/>
        <w:gridCol w:w="1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715" w:type="pct"/>
          </w:tcPr>
          <w:p>
            <w:pPr>
              <w:autoSpaceDE w:val="0"/>
              <w:autoSpaceDN w:val="0"/>
              <w:jc w:val="center"/>
              <w:rPr>
                <w:rFonts w:eastAsia="宋体"/>
                <w:bCs/>
                <w:kern w:val="0"/>
                <w:sz w:val="21"/>
              </w:rPr>
            </w:pPr>
            <w:r>
              <w:rPr>
                <w:rFonts w:eastAsia="宋体"/>
                <w:kern w:val="0"/>
                <w:sz w:val="21"/>
              </w:rPr>
              <w:t>类别</w:t>
            </w:r>
          </w:p>
        </w:tc>
        <w:tc>
          <w:tcPr>
            <w:tcW w:w="4285" w:type="pct"/>
            <w:gridSpan w:val="6"/>
          </w:tcPr>
          <w:p>
            <w:pPr>
              <w:autoSpaceDE w:val="0"/>
              <w:autoSpaceDN w:val="0"/>
              <w:jc w:val="center"/>
              <w:rPr>
                <w:rFonts w:eastAsia="宋体"/>
                <w:bCs/>
                <w:kern w:val="0"/>
                <w:sz w:val="21"/>
              </w:rPr>
            </w:pPr>
            <w:r>
              <w:rPr>
                <w:rFonts w:eastAsia="宋体"/>
                <w:kern w:val="0"/>
                <w:sz w:val="21"/>
              </w:rPr>
              <w:t>环境敏感特征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pct"/>
            <w:vMerge w:val="restart"/>
            <w:vAlign w:val="center"/>
          </w:tcPr>
          <w:p>
            <w:pPr>
              <w:autoSpaceDE w:val="0"/>
              <w:autoSpaceDN w:val="0"/>
              <w:jc w:val="center"/>
              <w:rPr>
                <w:rFonts w:eastAsia="宋体"/>
                <w:bCs/>
                <w:kern w:val="0"/>
                <w:sz w:val="21"/>
              </w:rPr>
            </w:pPr>
            <w:r>
              <w:rPr>
                <w:rFonts w:eastAsia="宋体"/>
                <w:bCs/>
                <w:kern w:val="0"/>
                <w:sz w:val="21"/>
              </w:rPr>
              <w:t>环境空气</w:t>
            </w:r>
          </w:p>
        </w:tc>
        <w:tc>
          <w:tcPr>
            <w:tcW w:w="4285" w:type="pct"/>
            <w:gridSpan w:val="6"/>
          </w:tcPr>
          <w:p>
            <w:pPr>
              <w:autoSpaceDE w:val="0"/>
              <w:autoSpaceDN w:val="0"/>
              <w:jc w:val="center"/>
              <w:rPr>
                <w:rFonts w:eastAsia="宋体"/>
                <w:bCs/>
                <w:kern w:val="0"/>
                <w:sz w:val="21"/>
              </w:rPr>
            </w:pPr>
            <w:r>
              <w:rPr>
                <w:rFonts w:eastAsia="宋体"/>
                <w:bCs/>
                <w:kern w:val="0"/>
                <w:sz w:val="21"/>
              </w:rPr>
              <w:t>厂址周边5km</w:t>
            </w:r>
            <w:r>
              <w:rPr>
                <w:rFonts w:ascii="宋体" w:hAnsi="宋体" w:eastAsia="宋体"/>
                <w:bCs/>
                <w:kern w:val="0"/>
                <w:sz w:val="21"/>
              </w:rPr>
              <w:t>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pct"/>
            <w:vMerge w:val="continue"/>
            <w:vAlign w:val="center"/>
          </w:tcPr>
          <w:p>
            <w:pPr>
              <w:widowControl/>
              <w:jc w:val="left"/>
              <w:rPr>
                <w:rFonts w:eastAsia="宋体"/>
                <w:bCs/>
                <w:kern w:val="0"/>
                <w:sz w:val="21"/>
              </w:rPr>
            </w:pPr>
          </w:p>
        </w:tc>
        <w:tc>
          <w:tcPr>
            <w:tcW w:w="394" w:type="pct"/>
          </w:tcPr>
          <w:p>
            <w:pPr>
              <w:autoSpaceDE w:val="0"/>
              <w:autoSpaceDN w:val="0"/>
              <w:jc w:val="center"/>
              <w:rPr>
                <w:rFonts w:eastAsia="宋体"/>
                <w:bCs/>
                <w:kern w:val="0"/>
                <w:sz w:val="21"/>
              </w:rPr>
            </w:pPr>
            <w:r>
              <w:rPr>
                <w:rFonts w:eastAsia="宋体"/>
                <w:bCs/>
                <w:kern w:val="0"/>
                <w:sz w:val="21"/>
              </w:rPr>
              <w:t>序号</w:t>
            </w:r>
          </w:p>
        </w:tc>
        <w:tc>
          <w:tcPr>
            <w:tcW w:w="1034" w:type="pct"/>
          </w:tcPr>
          <w:p>
            <w:pPr>
              <w:autoSpaceDE w:val="0"/>
              <w:autoSpaceDN w:val="0"/>
              <w:jc w:val="center"/>
              <w:rPr>
                <w:rFonts w:eastAsia="宋体"/>
                <w:bCs/>
                <w:kern w:val="0"/>
                <w:sz w:val="21"/>
              </w:rPr>
            </w:pPr>
            <w:r>
              <w:rPr>
                <w:rFonts w:eastAsia="宋体"/>
                <w:bCs/>
                <w:kern w:val="0"/>
                <w:sz w:val="21"/>
              </w:rPr>
              <w:t>敏感目标名称</w:t>
            </w:r>
          </w:p>
        </w:tc>
        <w:tc>
          <w:tcPr>
            <w:tcW w:w="714" w:type="pct"/>
          </w:tcPr>
          <w:p>
            <w:pPr>
              <w:autoSpaceDE w:val="0"/>
              <w:autoSpaceDN w:val="0"/>
              <w:jc w:val="center"/>
              <w:rPr>
                <w:rFonts w:eastAsia="宋体"/>
                <w:bCs/>
                <w:kern w:val="0"/>
                <w:sz w:val="21"/>
              </w:rPr>
            </w:pPr>
            <w:r>
              <w:rPr>
                <w:rFonts w:eastAsia="宋体"/>
                <w:bCs/>
                <w:kern w:val="0"/>
                <w:sz w:val="21"/>
              </w:rPr>
              <w:t>相对方位</w:t>
            </w:r>
          </w:p>
        </w:tc>
        <w:tc>
          <w:tcPr>
            <w:tcW w:w="714" w:type="pct"/>
          </w:tcPr>
          <w:p>
            <w:pPr>
              <w:autoSpaceDE w:val="0"/>
              <w:autoSpaceDN w:val="0"/>
              <w:jc w:val="center"/>
              <w:rPr>
                <w:rFonts w:eastAsia="宋体"/>
                <w:bCs/>
                <w:kern w:val="0"/>
                <w:sz w:val="21"/>
              </w:rPr>
            </w:pPr>
            <w:r>
              <w:rPr>
                <w:rFonts w:eastAsia="宋体"/>
                <w:bCs/>
                <w:kern w:val="0"/>
                <w:sz w:val="21"/>
              </w:rPr>
              <w:t>距离/m</w:t>
            </w:r>
          </w:p>
        </w:tc>
        <w:tc>
          <w:tcPr>
            <w:tcW w:w="715" w:type="pct"/>
          </w:tcPr>
          <w:p>
            <w:pPr>
              <w:autoSpaceDE w:val="0"/>
              <w:autoSpaceDN w:val="0"/>
              <w:jc w:val="center"/>
              <w:rPr>
                <w:rFonts w:eastAsia="宋体"/>
                <w:bCs/>
                <w:kern w:val="0"/>
                <w:sz w:val="21"/>
              </w:rPr>
            </w:pPr>
            <w:r>
              <w:rPr>
                <w:rFonts w:eastAsia="宋体"/>
                <w:bCs/>
                <w:kern w:val="0"/>
                <w:sz w:val="21"/>
              </w:rPr>
              <w:t>属性</w:t>
            </w:r>
          </w:p>
        </w:tc>
        <w:tc>
          <w:tcPr>
            <w:tcW w:w="714" w:type="pct"/>
          </w:tcPr>
          <w:p>
            <w:pPr>
              <w:autoSpaceDE w:val="0"/>
              <w:autoSpaceDN w:val="0"/>
              <w:jc w:val="center"/>
              <w:rPr>
                <w:rFonts w:eastAsia="宋体"/>
                <w:bCs/>
                <w:kern w:val="0"/>
                <w:sz w:val="21"/>
              </w:rPr>
            </w:pPr>
            <w:r>
              <w:rPr>
                <w:rFonts w:eastAsia="宋体"/>
                <w:bCs/>
                <w:kern w:val="0"/>
                <w:sz w:val="21"/>
              </w:rPr>
              <w:t>人口数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pct"/>
            <w:vMerge w:val="continue"/>
            <w:vAlign w:val="center"/>
          </w:tcPr>
          <w:p>
            <w:pPr>
              <w:widowControl/>
              <w:jc w:val="left"/>
              <w:rPr>
                <w:rFonts w:eastAsia="宋体"/>
                <w:bCs/>
                <w:kern w:val="0"/>
                <w:sz w:val="21"/>
              </w:rPr>
            </w:pPr>
          </w:p>
        </w:tc>
        <w:tc>
          <w:tcPr>
            <w:tcW w:w="4285" w:type="pct"/>
            <w:gridSpan w:val="6"/>
            <w:vAlign w:val="center"/>
          </w:tcPr>
          <w:p>
            <w:pPr>
              <w:autoSpaceDE w:val="0"/>
              <w:autoSpaceDN w:val="0"/>
              <w:jc w:val="center"/>
              <w:rPr>
                <w:rFonts w:eastAsia="宋体"/>
                <w:bCs/>
                <w:kern w:val="0"/>
                <w:sz w:val="21"/>
              </w:rPr>
            </w:pPr>
            <w:r>
              <w:rPr>
                <w:rFonts w:eastAsia="宋体"/>
                <w:bCs/>
                <w:kern w:val="0"/>
                <w:sz w:val="21"/>
              </w:rPr>
              <w:t>具体详见表</w:t>
            </w:r>
            <w:r>
              <w:rPr>
                <w:rFonts w:hint="eastAsia" w:eastAsia="宋体"/>
                <w:bCs/>
                <w:kern w:val="0"/>
                <w:sz w:val="21"/>
              </w:rPr>
              <w:t>5.2-10</w:t>
            </w:r>
            <w:r>
              <w:rPr>
                <w:rFonts w:ascii="宋体" w:hAnsi="宋体" w:eastAsia="宋体"/>
                <w:bCs/>
                <w:kern w:val="0"/>
                <w:sz w:val="21"/>
              </w:rPr>
              <w:t>中大气环境敏感目标一览表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pct"/>
            <w:vMerge w:val="continue"/>
            <w:vAlign w:val="center"/>
          </w:tcPr>
          <w:p>
            <w:pPr>
              <w:widowControl/>
              <w:jc w:val="left"/>
              <w:rPr>
                <w:rFonts w:eastAsia="宋体"/>
                <w:bCs/>
                <w:kern w:val="0"/>
                <w:sz w:val="21"/>
              </w:rPr>
            </w:pPr>
          </w:p>
        </w:tc>
        <w:tc>
          <w:tcPr>
            <w:tcW w:w="3571" w:type="pct"/>
            <w:gridSpan w:val="5"/>
          </w:tcPr>
          <w:p>
            <w:pPr>
              <w:autoSpaceDE w:val="0"/>
              <w:autoSpaceDN w:val="0"/>
              <w:jc w:val="center"/>
              <w:rPr>
                <w:rFonts w:eastAsia="宋体"/>
                <w:bCs/>
                <w:kern w:val="0"/>
                <w:sz w:val="21"/>
              </w:rPr>
            </w:pPr>
            <w:r>
              <w:rPr>
                <w:rFonts w:eastAsia="宋体"/>
                <w:bCs/>
                <w:kern w:val="0"/>
                <w:sz w:val="21"/>
              </w:rPr>
              <w:t>厂址周边500m</w:t>
            </w:r>
            <w:r>
              <w:rPr>
                <w:rFonts w:ascii="宋体" w:hAnsi="宋体" w:eastAsia="宋体"/>
                <w:bCs/>
                <w:kern w:val="0"/>
                <w:sz w:val="21"/>
              </w:rPr>
              <w:t>范围内人口数小计</w:t>
            </w:r>
          </w:p>
        </w:tc>
        <w:tc>
          <w:tcPr>
            <w:tcW w:w="714" w:type="pct"/>
          </w:tcPr>
          <w:p>
            <w:pPr>
              <w:autoSpaceDE w:val="0"/>
              <w:autoSpaceDN w:val="0"/>
              <w:jc w:val="center"/>
              <w:rPr>
                <w:rFonts w:eastAsia="宋体"/>
                <w:bCs/>
                <w:kern w:val="0"/>
                <w:sz w:val="21"/>
              </w:rPr>
            </w:pPr>
            <w:r>
              <w:rPr>
                <w:rFonts w:eastAsia="宋体"/>
                <w:bCs/>
                <w:kern w:val="0"/>
                <w:sz w:val="21"/>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pct"/>
            <w:vMerge w:val="continue"/>
            <w:vAlign w:val="center"/>
          </w:tcPr>
          <w:p>
            <w:pPr>
              <w:widowControl/>
              <w:jc w:val="left"/>
              <w:rPr>
                <w:rFonts w:eastAsia="宋体"/>
                <w:bCs/>
                <w:kern w:val="0"/>
                <w:sz w:val="21"/>
              </w:rPr>
            </w:pPr>
          </w:p>
        </w:tc>
        <w:tc>
          <w:tcPr>
            <w:tcW w:w="3571" w:type="pct"/>
            <w:gridSpan w:val="5"/>
          </w:tcPr>
          <w:p>
            <w:pPr>
              <w:autoSpaceDE w:val="0"/>
              <w:autoSpaceDN w:val="0"/>
              <w:jc w:val="center"/>
              <w:rPr>
                <w:rFonts w:eastAsia="宋体"/>
                <w:bCs/>
                <w:kern w:val="0"/>
                <w:sz w:val="21"/>
              </w:rPr>
            </w:pPr>
            <w:r>
              <w:rPr>
                <w:rFonts w:eastAsia="宋体"/>
                <w:bCs/>
                <w:kern w:val="0"/>
                <w:sz w:val="21"/>
              </w:rPr>
              <w:t>厂址周边5km</w:t>
            </w:r>
            <w:r>
              <w:rPr>
                <w:rFonts w:ascii="宋体" w:hAnsi="宋体" w:eastAsia="宋体"/>
                <w:bCs/>
                <w:kern w:val="0"/>
                <w:sz w:val="21"/>
              </w:rPr>
              <w:t>范围内人口数小计</w:t>
            </w:r>
          </w:p>
        </w:tc>
        <w:tc>
          <w:tcPr>
            <w:tcW w:w="714" w:type="pct"/>
          </w:tcPr>
          <w:p>
            <w:pPr>
              <w:autoSpaceDE w:val="0"/>
              <w:autoSpaceDN w:val="0"/>
              <w:jc w:val="center"/>
              <w:rPr>
                <w:rFonts w:eastAsia="宋体"/>
                <w:bCs/>
                <w:kern w:val="0"/>
                <w:sz w:val="21"/>
              </w:rPr>
            </w:pPr>
            <w:r>
              <w:rPr>
                <w:rFonts w:eastAsia="宋体"/>
                <w:bCs/>
                <w:kern w:val="0"/>
                <w:sz w:val="21"/>
              </w:rPr>
              <w:t>大于</w:t>
            </w:r>
            <w:r>
              <w:rPr>
                <w:rFonts w:hint="eastAsia" w:eastAsia="宋体"/>
                <w:bCs/>
                <w:kern w:val="0"/>
                <w:sz w:val="21"/>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pct"/>
            <w:vMerge w:val="continue"/>
            <w:vAlign w:val="center"/>
          </w:tcPr>
          <w:p>
            <w:pPr>
              <w:widowControl/>
              <w:jc w:val="left"/>
              <w:rPr>
                <w:rFonts w:eastAsia="宋体"/>
                <w:bCs/>
                <w:kern w:val="0"/>
                <w:sz w:val="21"/>
              </w:rPr>
            </w:pPr>
          </w:p>
        </w:tc>
        <w:tc>
          <w:tcPr>
            <w:tcW w:w="3571" w:type="pct"/>
            <w:gridSpan w:val="5"/>
          </w:tcPr>
          <w:p>
            <w:pPr>
              <w:autoSpaceDE w:val="0"/>
              <w:autoSpaceDN w:val="0"/>
              <w:jc w:val="center"/>
              <w:rPr>
                <w:rFonts w:eastAsia="宋体"/>
                <w:bCs/>
                <w:kern w:val="0"/>
                <w:sz w:val="21"/>
              </w:rPr>
            </w:pPr>
            <w:r>
              <w:rPr>
                <w:rFonts w:eastAsia="宋体"/>
                <w:bCs/>
                <w:kern w:val="0"/>
                <w:sz w:val="21"/>
              </w:rPr>
              <w:t>大气环境敏感程度E</w:t>
            </w:r>
            <w:r>
              <w:rPr>
                <w:rFonts w:ascii="宋体" w:hAnsi="宋体" w:eastAsia="宋体"/>
                <w:bCs/>
                <w:kern w:val="0"/>
                <w:sz w:val="21"/>
              </w:rPr>
              <w:t>值</w:t>
            </w:r>
          </w:p>
        </w:tc>
        <w:tc>
          <w:tcPr>
            <w:tcW w:w="714" w:type="pct"/>
          </w:tcPr>
          <w:p>
            <w:pPr>
              <w:autoSpaceDE w:val="0"/>
              <w:autoSpaceDN w:val="0"/>
              <w:jc w:val="center"/>
              <w:rPr>
                <w:rFonts w:eastAsia="宋体"/>
                <w:bCs/>
                <w:kern w:val="0"/>
                <w:sz w:val="21"/>
              </w:rPr>
            </w:pPr>
            <w:r>
              <w:rPr>
                <w:rFonts w:eastAsia="宋体"/>
                <w:bCs/>
                <w:kern w:val="0"/>
                <w:sz w:val="21"/>
              </w:rPr>
              <w:t>E1</w:t>
            </w:r>
          </w:p>
        </w:tc>
      </w:tr>
    </w:tbl>
    <w:p>
      <w:pPr>
        <w:pStyle w:val="14"/>
        <w:ind w:firstLine="480" w:firstLineChars="200"/>
        <w:jc w:val="left"/>
        <w:rPr>
          <w:b w:val="0"/>
        </w:rPr>
      </w:pPr>
      <w:r>
        <w:rPr>
          <w:rFonts w:hint="eastAsia"/>
          <w:b w:val="0"/>
        </w:rPr>
        <w:t>（2）地表水环境</w:t>
      </w:r>
    </w:p>
    <w:p>
      <w:pPr>
        <w:spacing w:line="360" w:lineRule="auto"/>
        <w:ind w:firstLine="480" w:firstLineChars="200"/>
        <w:rPr>
          <w:rFonts w:cs="Times New Roman"/>
        </w:rPr>
      </w:pPr>
      <w:r>
        <w:rPr>
          <w:rFonts w:cs="Times New Roman" w:hAnsiTheme="minorEastAsia"/>
        </w:rPr>
        <w:t>①分析原则</w:t>
      </w:r>
    </w:p>
    <w:p>
      <w:pPr>
        <w:autoSpaceDE w:val="0"/>
        <w:autoSpaceDN w:val="0"/>
        <w:spacing w:line="360" w:lineRule="auto"/>
        <w:ind w:firstLine="480" w:firstLineChars="200"/>
        <w:rPr>
          <w:rFonts w:eastAsia="宋体" w:cs="Times New Roman"/>
          <w:kern w:val="0"/>
          <w:szCs w:val="24"/>
        </w:rPr>
      </w:pPr>
      <w:r>
        <w:rPr>
          <w:rFonts w:hAnsi="宋体" w:eastAsia="宋体" w:cs="Times New Roman"/>
          <w:bCs/>
          <w:kern w:val="0"/>
          <w:szCs w:val="24"/>
        </w:rPr>
        <w:t>根据《建设项目环境风险评价技术导则》（</w:t>
      </w:r>
      <w:r>
        <w:rPr>
          <w:rFonts w:eastAsia="宋体" w:cs="Times New Roman"/>
          <w:bCs/>
          <w:kern w:val="0"/>
          <w:szCs w:val="24"/>
        </w:rPr>
        <w:t>HJ169-2018</w:t>
      </w:r>
      <w:r>
        <w:rPr>
          <w:rFonts w:hAnsi="宋体" w:eastAsia="宋体" w:cs="Times New Roman"/>
          <w:bCs/>
          <w:kern w:val="0"/>
          <w:szCs w:val="24"/>
        </w:rPr>
        <w:t>）附录</w:t>
      </w:r>
      <w:r>
        <w:rPr>
          <w:rFonts w:eastAsia="宋体" w:cs="Times New Roman"/>
          <w:bCs/>
          <w:kern w:val="0"/>
          <w:szCs w:val="24"/>
        </w:rPr>
        <w:t>D</w:t>
      </w:r>
      <w:r>
        <w:rPr>
          <w:rFonts w:hAnsi="宋体" w:eastAsia="宋体" w:cs="Times New Roman"/>
          <w:bCs/>
          <w:kern w:val="0"/>
          <w:szCs w:val="24"/>
        </w:rPr>
        <w:t>可知：依据事故情况下危险物质泄漏到水体的排放点受纳地表水体功能敏感性，与下游环境敏感目标情况，共分为三种类型，</w:t>
      </w:r>
      <w:r>
        <w:rPr>
          <w:rFonts w:eastAsia="宋体" w:cs="Times New Roman"/>
          <w:bCs/>
          <w:kern w:val="0"/>
          <w:szCs w:val="24"/>
        </w:rPr>
        <w:t>E1</w:t>
      </w:r>
      <w:r>
        <w:rPr>
          <w:rFonts w:hAnsi="宋体" w:eastAsia="宋体" w:cs="Times New Roman"/>
          <w:bCs/>
          <w:kern w:val="0"/>
          <w:szCs w:val="24"/>
        </w:rPr>
        <w:t>为环境高度敏感区，</w:t>
      </w:r>
      <w:r>
        <w:rPr>
          <w:rFonts w:eastAsia="宋体" w:cs="Times New Roman"/>
          <w:bCs/>
          <w:kern w:val="0"/>
          <w:szCs w:val="24"/>
        </w:rPr>
        <w:t>E2</w:t>
      </w:r>
      <w:r>
        <w:rPr>
          <w:rFonts w:hAnsi="宋体" w:eastAsia="宋体" w:cs="Times New Roman"/>
          <w:bCs/>
          <w:kern w:val="0"/>
          <w:szCs w:val="24"/>
        </w:rPr>
        <w:t>为环境中度敏感区，</w:t>
      </w:r>
      <w:r>
        <w:rPr>
          <w:rFonts w:eastAsia="宋体" w:cs="Times New Roman"/>
          <w:bCs/>
          <w:kern w:val="0"/>
          <w:szCs w:val="24"/>
        </w:rPr>
        <w:t>E3</w:t>
      </w:r>
      <w:r>
        <w:rPr>
          <w:rFonts w:hAnsi="宋体" w:eastAsia="宋体" w:cs="Times New Roman"/>
          <w:bCs/>
          <w:kern w:val="0"/>
          <w:szCs w:val="24"/>
        </w:rPr>
        <w:t>为环境低度敏感区，分级原则详见下表。其中地表水功能敏感性分区和环境敏感目标分级详见下表。</w:t>
      </w:r>
    </w:p>
    <w:p>
      <w:pPr>
        <w:pStyle w:val="14"/>
        <w:spacing w:line="240" w:lineRule="auto"/>
        <w:rPr>
          <w:bCs/>
        </w:rPr>
      </w:pPr>
      <w:r>
        <w:rPr>
          <w:rFonts w:hint="eastAsia"/>
        </w:rPr>
        <w:t>表</w:t>
      </w:r>
      <w:r>
        <w:fldChar w:fldCharType="begin"/>
      </w:r>
      <w:r>
        <w:instrText xml:space="preserve"> STYLEREF 2 \s </w:instrText>
      </w:r>
      <w:r>
        <w:fldChar w:fldCharType="separate"/>
      </w:r>
      <w:r>
        <w:t>7.3</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3</w:t>
      </w:r>
      <w:r>
        <w:fldChar w:fldCharType="end"/>
      </w:r>
      <w:r>
        <w:rPr>
          <w:rFonts w:hint="eastAsia"/>
        </w:rPr>
        <w:t xml:space="preserve"> </w:t>
      </w:r>
      <w:r>
        <w:rPr>
          <w:bCs/>
        </w:rPr>
        <w:t>地表水环境敏感程度分级</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65"/>
        <w:gridCol w:w="2057"/>
        <w:gridCol w:w="2264"/>
        <w:gridCol w:w="2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8" w:type="pct"/>
            <w:vMerge w:val="restart"/>
            <w:vAlign w:val="center"/>
          </w:tcPr>
          <w:p>
            <w:pPr>
              <w:autoSpaceDE w:val="0"/>
              <w:autoSpaceDN w:val="0"/>
              <w:jc w:val="center"/>
              <w:rPr>
                <w:rFonts w:eastAsia="宋体"/>
                <w:bCs/>
                <w:kern w:val="0"/>
                <w:sz w:val="21"/>
              </w:rPr>
            </w:pPr>
            <w:r>
              <w:rPr>
                <w:rFonts w:eastAsia="宋体"/>
                <w:bCs/>
                <w:kern w:val="0"/>
                <w:sz w:val="21"/>
              </w:rPr>
              <w:t>环境敏感目标</w:t>
            </w:r>
          </w:p>
        </w:tc>
        <w:tc>
          <w:tcPr>
            <w:tcW w:w="3412" w:type="pct"/>
            <w:gridSpan w:val="3"/>
            <w:vAlign w:val="center"/>
          </w:tcPr>
          <w:p>
            <w:pPr>
              <w:autoSpaceDE w:val="0"/>
              <w:autoSpaceDN w:val="0"/>
              <w:jc w:val="center"/>
              <w:rPr>
                <w:rFonts w:eastAsia="宋体"/>
                <w:bCs/>
                <w:kern w:val="0"/>
                <w:sz w:val="21"/>
              </w:rPr>
            </w:pPr>
            <w:r>
              <w:rPr>
                <w:rFonts w:eastAsia="宋体"/>
                <w:bCs/>
                <w:kern w:val="0"/>
                <w:sz w:val="21"/>
              </w:rPr>
              <w:t>地表水功能敏感性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8" w:type="pct"/>
            <w:vMerge w:val="continue"/>
            <w:vAlign w:val="center"/>
          </w:tcPr>
          <w:p>
            <w:pPr>
              <w:widowControl/>
              <w:jc w:val="left"/>
              <w:rPr>
                <w:rFonts w:eastAsia="宋体"/>
                <w:bCs/>
                <w:kern w:val="0"/>
                <w:sz w:val="21"/>
              </w:rPr>
            </w:pPr>
          </w:p>
        </w:tc>
        <w:tc>
          <w:tcPr>
            <w:tcW w:w="1066" w:type="pct"/>
            <w:vAlign w:val="center"/>
          </w:tcPr>
          <w:p>
            <w:pPr>
              <w:autoSpaceDE w:val="0"/>
              <w:autoSpaceDN w:val="0"/>
              <w:jc w:val="center"/>
              <w:rPr>
                <w:rFonts w:eastAsia="宋体"/>
                <w:bCs/>
                <w:kern w:val="0"/>
                <w:sz w:val="21"/>
              </w:rPr>
            </w:pPr>
            <w:r>
              <w:rPr>
                <w:rFonts w:eastAsia="宋体"/>
                <w:bCs/>
                <w:kern w:val="0"/>
                <w:sz w:val="21"/>
              </w:rPr>
              <w:t>F1</w:t>
            </w:r>
          </w:p>
        </w:tc>
        <w:tc>
          <w:tcPr>
            <w:tcW w:w="1173" w:type="pct"/>
            <w:vAlign w:val="center"/>
          </w:tcPr>
          <w:p>
            <w:pPr>
              <w:autoSpaceDE w:val="0"/>
              <w:autoSpaceDN w:val="0"/>
              <w:jc w:val="center"/>
              <w:rPr>
                <w:rFonts w:eastAsia="宋体"/>
                <w:bCs/>
                <w:kern w:val="0"/>
                <w:sz w:val="21"/>
              </w:rPr>
            </w:pPr>
            <w:r>
              <w:rPr>
                <w:rFonts w:eastAsia="宋体"/>
                <w:bCs/>
                <w:kern w:val="0"/>
                <w:sz w:val="21"/>
              </w:rPr>
              <w:t>F2</w:t>
            </w:r>
          </w:p>
        </w:tc>
        <w:tc>
          <w:tcPr>
            <w:tcW w:w="1173" w:type="pct"/>
            <w:vAlign w:val="center"/>
          </w:tcPr>
          <w:p>
            <w:pPr>
              <w:autoSpaceDE w:val="0"/>
              <w:autoSpaceDN w:val="0"/>
              <w:jc w:val="center"/>
              <w:rPr>
                <w:rFonts w:eastAsia="宋体"/>
                <w:bCs/>
                <w:kern w:val="0"/>
                <w:sz w:val="21"/>
              </w:rPr>
            </w:pPr>
            <w:r>
              <w:rPr>
                <w:rFonts w:eastAsia="宋体"/>
                <w:bCs/>
                <w:kern w:val="0"/>
                <w:sz w:val="21"/>
              </w:rPr>
              <w:t>F3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8" w:type="pct"/>
            <w:vAlign w:val="center"/>
          </w:tcPr>
          <w:p>
            <w:pPr>
              <w:autoSpaceDE w:val="0"/>
              <w:autoSpaceDN w:val="0"/>
              <w:jc w:val="center"/>
              <w:rPr>
                <w:rFonts w:eastAsia="宋体"/>
                <w:bCs/>
                <w:kern w:val="0"/>
                <w:sz w:val="21"/>
              </w:rPr>
            </w:pPr>
            <w:r>
              <w:rPr>
                <w:rFonts w:eastAsia="宋体"/>
                <w:bCs/>
                <w:kern w:val="0"/>
                <w:sz w:val="21"/>
              </w:rPr>
              <w:t>S1</w:t>
            </w:r>
          </w:p>
        </w:tc>
        <w:tc>
          <w:tcPr>
            <w:tcW w:w="1066" w:type="pct"/>
            <w:vAlign w:val="center"/>
          </w:tcPr>
          <w:p>
            <w:pPr>
              <w:autoSpaceDE w:val="0"/>
              <w:autoSpaceDN w:val="0"/>
              <w:jc w:val="center"/>
              <w:rPr>
                <w:rFonts w:eastAsia="宋体"/>
                <w:bCs/>
                <w:kern w:val="0"/>
                <w:sz w:val="21"/>
              </w:rPr>
            </w:pPr>
            <w:r>
              <w:rPr>
                <w:rFonts w:eastAsia="宋体"/>
                <w:bCs/>
                <w:kern w:val="0"/>
                <w:sz w:val="21"/>
              </w:rPr>
              <w:t>E1</w:t>
            </w:r>
          </w:p>
        </w:tc>
        <w:tc>
          <w:tcPr>
            <w:tcW w:w="1173" w:type="pct"/>
            <w:vAlign w:val="center"/>
          </w:tcPr>
          <w:p>
            <w:pPr>
              <w:autoSpaceDE w:val="0"/>
              <w:autoSpaceDN w:val="0"/>
              <w:jc w:val="center"/>
              <w:rPr>
                <w:rFonts w:eastAsia="宋体"/>
                <w:bCs/>
                <w:kern w:val="0"/>
                <w:sz w:val="21"/>
              </w:rPr>
            </w:pPr>
            <w:r>
              <w:rPr>
                <w:rFonts w:eastAsia="宋体"/>
                <w:bCs/>
                <w:kern w:val="0"/>
                <w:sz w:val="21"/>
              </w:rPr>
              <w:t>E1</w:t>
            </w:r>
          </w:p>
        </w:tc>
        <w:tc>
          <w:tcPr>
            <w:tcW w:w="1173" w:type="pct"/>
            <w:vAlign w:val="center"/>
          </w:tcPr>
          <w:p>
            <w:pPr>
              <w:autoSpaceDE w:val="0"/>
              <w:autoSpaceDN w:val="0"/>
              <w:jc w:val="center"/>
              <w:rPr>
                <w:rFonts w:eastAsia="宋体"/>
                <w:bCs/>
                <w:kern w:val="0"/>
                <w:sz w:val="21"/>
              </w:rPr>
            </w:pPr>
            <w:r>
              <w:rPr>
                <w:rFonts w:eastAsia="宋体"/>
                <w:bCs/>
                <w:kern w:val="0"/>
                <w:sz w:val="21"/>
              </w:rPr>
              <w:t>E2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8" w:type="pct"/>
            <w:vAlign w:val="center"/>
          </w:tcPr>
          <w:p>
            <w:pPr>
              <w:autoSpaceDE w:val="0"/>
              <w:autoSpaceDN w:val="0"/>
              <w:jc w:val="center"/>
              <w:rPr>
                <w:rFonts w:eastAsia="宋体"/>
                <w:bCs/>
                <w:kern w:val="0"/>
                <w:sz w:val="21"/>
              </w:rPr>
            </w:pPr>
            <w:r>
              <w:rPr>
                <w:rFonts w:eastAsia="宋体"/>
                <w:bCs/>
                <w:kern w:val="0"/>
                <w:sz w:val="21"/>
              </w:rPr>
              <w:t>S2</w:t>
            </w:r>
          </w:p>
        </w:tc>
        <w:tc>
          <w:tcPr>
            <w:tcW w:w="1066" w:type="pct"/>
            <w:vAlign w:val="center"/>
          </w:tcPr>
          <w:p>
            <w:pPr>
              <w:autoSpaceDE w:val="0"/>
              <w:autoSpaceDN w:val="0"/>
              <w:jc w:val="center"/>
              <w:rPr>
                <w:rFonts w:eastAsia="宋体"/>
                <w:bCs/>
                <w:kern w:val="0"/>
                <w:sz w:val="21"/>
              </w:rPr>
            </w:pPr>
            <w:r>
              <w:rPr>
                <w:rFonts w:eastAsia="宋体"/>
                <w:bCs/>
                <w:kern w:val="0"/>
                <w:sz w:val="21"/>
              </w:rPr>
              <w:t>E1</w:t>
            </w:r>
          </w:p>
        </w:tc>
        <w:tc>
          <w:tcPr>
            <w:tcW w:w="1173" w:type="pct"/>
            <w:vAlign w:val="center"/>
          </w:tcPr>
          <w:p>
            <w:pPr>
              <w:autoSpaceDE w:val="0"/>
              <w:autoSpaceDN w:val="0"/>
              <w:jc w:val="center"/>
              <w:rPr>
                <w:rFonts w:eastAsia="宋体"/>
                <w:bCs/>
                <w:kern w:val="0"/>
                <w:sz w:val="21"/>
              </w:rPr>
            </w:pPr>
            <w:r>
              <w:rPr>
                <w:rFonts w:eastAsia="宋体"/>
                <w:bCs/>
                <w:kern w:val="0"/>
                <w:sz w:val="21"/>
              </w:rPr>
              <w:t>E2</w:t>
            </w:r>
          </w:p>
        </w:tc>
        <w:tc>
          <w:tcPr>
            <w:tcW w:w="1173" w:type="pct"/>
            <w:vAlign w:val="center"/>
          </w:tcPr>
          <w:p>
            <w:pPr>
              <w:autoSpaceDE w:val="0"/>
              <w:autoSpaceDN w:val="0"/>
              <w:jc w:val="center"/>
              <w:rPr>
                <w:rFonts w:eastAsia="宋体"/>
                <w:bCs/>
                <w:kern w:val="0"/>
                <w:sz w:val="21"/>
              </w:rPr>
            </w:pPr>
            <w:r>
              <w:rPr>
                <w:rFonts w:eastAsia="宋体"/>
                <w:bCs/>
                <w:kern w:val="0"/>
                <w:sz w:val="21"/>
              </w:rPr>
              <w:t>E3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8" w:type="pct"/>
            <w:vAlign w:val="center"/>
          </w:tcPr>
          <w:p>
            <w:pPr>
              <w:autoSpaceDE w:val="0"/>
              <w:autoSpaceDN w:val="0"/>
              <w:jc w:val="center"/>
              <w:rPr>
                <w:rFonts w:eastAsia="宋体"/>
                <w:bCs/>
                <w:kern w:val="0"/>
                <w:sz w:val="21"/>
              </w:rPr>
            </w:pPr>
            <w:r>
              <w:rPr>
                <w:rFonts w:eastAsia="宋体"/>
                <w:bCs/>
                <w:kern w:val="0"/>
                <w:sz w:val="21"/>
              </w:rPr>
              <w:t>S3</w:t>
            </w:r>
          </w:p>
        </w:tc>
        <w:tc>
          <w:tcPr>
            <w:tcW w:w="1066" w:type="pct"/>
            <w:vAlign w:val="center"/>
          </w:tcPr>
          <w:p>
            <w:pPr>
              <w:autoSpaceDE w:val="0"/>
              <w:autoSpaceDN w:val="0"/>
              <w:jc w:val="center"/>
              <w:rPr>
                <w:rFonts w:eastAsia="宋体"/>
                <w:bCs/>
                <w:kern w:val="0"/>
                <w:sz w:val="21"/>
              </w:rPr>
            </w:pPr>
            <w:r>
              <w:rPr>
                <w:rFonts w:eastAsia="宋体"/>
                <w:bCs/>
                <w:kern w:val="0"/>
                <w:sz w:val="21"/>
              </w:rPr>
              <w:t>E1</w:t>
            </w:r>
          </w:p>
        </w:tc>
        <w:tc>
          <w:tcPr>
            <w:tcW w:w="1173" w:type="pct"/>
            <w:vAlign w:val="center"/>
          </w:tcPr>
          <w:p>
            <w:pPr>
              <w:autoSpaceDE w:val="0"/>
              <w:autoSpaceDN w:val="0"/>
              <w:jc w:val="center"/>
              <w:rPr>
                <w:rFonts w:eastAsia="宋体"/>
                <w:bCs/>
                <w:kern w:val="0"/>
                <w:sz w:val="21"/>
              </w:rPr>
            </w:pPr>
            <w:r>
              <w:rPr>
                <w:rFonts w:eastAsia="宋体"/>
                <w:bCs/>
                <w:kern w:val="0"/>
                <w:sz w:val="21"/>
              </w:rPr>
              <w:t>E2</w:t>
            </w:r>
          </w:p>
        </w:tc>
        <w:tc>
          <w:tcPr>
            <w:tcW w:w="1173" w:type="pct"/>
            <w:vAlign w:val="center"/>
          </w:tcPr>
          <w:p>
            <w:pPr>
              <w:autoSpaceDE w:val="0"/>
              <w:autoSpaceDN w:val="0"/>
              <w:jc w:val="center"/>
              <w:rPr>
                <w:rFonts w:eastAsia="宋体"/>
                <w:bCs/>
                <w:kern w:val="0"/>
                <w:sz w:val="21"/>
              </w:rPr>
            </w:pPr>
            <w:r>
              <w:rPr>
                <w:rFonts w:eastAsia="宋体"/>
                <w:bCs/>
                <w:kern w:val="0"/>
                <w:sz w:val="21"/>
              </w:rPr>
              <w:t>E3</w:t>
            </w:r>
          </w:p>
        </w:tc>
      </w:tr>
    </w:tbl>
    <w:p>
      <w:pPr>
        <w:pStyle w:val="14"/>
        <w:spacing w:line="240" w:lineRule="auto"/>
        <w:rPr>
          <w:bCs/>
        </w:rPr>
      </w:pPr>
      <w:r>
        <w:rPr>
          <w:bCs/>
        </w:rPr>
        <w:t>表</w:t>
      </w:r>
      <w:r>
        <w:rPr>
          <w:bCs/>
        </w:rPr>
        <w:fldChar w:fldCharType="begin"/>
      </w:r>
      <w:r>
        <w:rPr>
          <w:bCs/>
        </w:rPr>
        <w:instrText xml:space="preserve"> STYLEREF 2 \s </w:instrText>
      </w:r>
      <w:r>
        <w:rPr>
          <w:bCs/>
        </w:rPr>
        <w:fldChar w:fldCharType="separate"/>
      </w:r>
      <w:r>
        <w:rPr>
          <w:bCs/>
        </w:rPr>
        <w:t>7.3</w:t>
      </w:r>
      <w:r>
        <w:rPr>
          <w:bCs/>
        </w:rPr>
        <w:fldChar w:fldCharType="end"/>
      </w:r>
      <w:r>
        <w:rPr>
          <w:bCs/>
        </w:rPr>
        <w:noBreakHyphen/>
      </w:r>
      <w:r>
        <w:rPr>
          <w:bCs/>
        </w:rPr>
        <w:fldChar w:fldCharType="begin"/>
      </w:r>
      <w:r>
        <w:rPr>
          <w:bCs/>
        </w:rPr>
        <w:instrText xml:space="preserve"> SEQ 表 \* ARABIC \s 2 </w:instrText>
      </w:r>
      <w:r>
        <w:rPr>
          <w:bCs/>
        </w:rPr>
        <w:fldChar w:fldCharType="separate"/>
      </w:r>
      <w:r>
        <w:rPr>
          <w:bCs/>
        </w:rPr>
        <w:t>4</w:t>
      </w:r>
      <w:r>
        <w:rPr>
          <w:bCs/>
        </w:rPr>
        <w:fldChar w:fldCharType="end"/>
      </w:r>
      <w:r>
        <w:rPr>
          <w:rFonts w:hint="eastAsia"/>
          <w:bCs/>
        </w:rPr>
        <w:t xml:space="preserve"> </w:t>
      </w:r>
      <w:r>
        <w:rPr>
          <w:bCs/>
        </w:rPr>
        <w:t>地表水功能敏感性分析</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7"/>
        <w:gridCol w:w="8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pct"/>
            <w:vAlign w:val="center"/>
          </w:tcPr>
          <w:p>
            <w:pPr>
              <w:autoSpaceDE w:val="0"/>
              <w:autoSpaceDN w:val="0"/>
              <w:jc w:val="center"/>
              <w:rPr>
                <w:rFonts w:eastAsia="宋体" w:cs="Times New Roman"/>
                <w:bCs/>
                <w:kern w:val="0"/>
                <w:sz w:val="21"/>
              </w:rPr>
            </w:pPr>
            <w:r>
              <w:rPr>
                <w:rFonts w:eastAsia="宋体" w:cs="Times New Roman"/>
                <w:kern w:val="0"/>
                <w:sz w:val="21"/>
              </w:rPr>
              <w:t>分级</w:t>
            </w:r>
          </w:p>
        </w:tc>
        <w:tc>
          <w:tcPr>
            <w:tcW w:w="4354" w:type="pct"/>
            <w:vAlign w:val="center"/>
          </w:tcPr>
          <w:p>
            <w:pPr>
              <w:autoSpaceDE w:val="0"/>
              <w:autoSpaceDN w:val="0"/>
              <w:jc w:val="center"/>
              <w:rPr>
                <w:rFonts w:eastAsia="宋体" w:cs="Times New Roman"/>
                <w:bCs/>
                <w:kern w:val="0"/>
                <w:sz w:val="21"/>
              </w:rPr>
            </w:pPr>
            <w:r>
              <w:rPr>
                <w:rFonts w:eastAsia="宋体" w:cs="Times New Roman"/>
                <w:kern w:val="0"/>
                <w:sz w:val="21"/>
              </w:rPr>
              <w:t>地表水环境敏感特征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646" w:type="pct"/>
            <w:vAlign w:val="center"/>
          </w:tcPr>
          <w:p>
            <w:pPr>
              <w:autoSpaceDE w:val="0"/>
              <w:autoSpaceDN w:val="0"/>
              <w:jc w:val="center"/>
              <w:rPr>
                <w:rFonts w:eastAsia="宋体" w:cs="Times New Roman"/>
                <w:bCs/>
                <w:kern w:val="0"/>
                <w:sz w:val="21"/>
              </w:rPr>
            </w:pPr>
            <w:r>
              <w:rPr>
                <w:rFonts w:eastAsia="宋体" w:cs="Times New Roman"/>
                <w:bCs/>
                <w:kern w:val="0"/>
                <w:sz w:val="21"/>
              </w:rPr>
              <w:t>F1</w:t>
            </w:r>
          </w:p>
        </w:tc>
        <w:tc>
          <w:tcPr>
            <w:tcW w:w="4354" w:type="pct"/>
            <w:vAlign w:val="center"/>
          </w:tcPr>
          <w:p>
            <w:pPr>
              <w:autoSpaceDE w:val="0"/>
              <w:autoSpaceDN w:val="0"/>
              <w:jc w:val="center"/>
              <w:rPr>
                <w:rFonts w:eastAsia="宋体" w:cs="Times New Roman"/>
                <w:bCs/>
                <w:kern w:val="0"/>
                <w:sz w:val="21"/>
              </w:rPr>
            </w:pPr>
            <w:r>
              <w:rPr>
                <w:rFonts w:eastAsia="宋体" w:cs="Times New Roman"/>
                <w:bCs/>
                <w:kern w:val="0"/>
                <w:sz w:val="21"/>
              </w:rPr>
              <w:t>排放点进入地表水水域环境功能为II</w:t>
            </w:r>
            <w:r>
              <w:rPr>
                <w:rFonts w:hAnsi="宋体" w:eastAsia="宋体" w:cs="Times New Roman"/>
                <w:bCs/>
                <w:kern w:val="0"/>
                <w:sz w:val="21"/>
              </w:rPr>
              <w:t>类及以上，或海水水质分类第一类；</w:t>
            </w:r>
          </w:p>
          <w:p>
            <w:pPr>
              <w:autoSpaceDE w:val="0"/>
              <w:autoSpaceDN w:val="0"/>
              <w:jc w:val="center"/>
              <w:rPr>
                <w:rFonts w:eastAsia="宋体" w:cs="Times New Roman"/>
                <w:bCs/>
                <w:kern w:val="0"/>
                <w:sz w:val="21"/>
              </w:rPr>
            </w:pPr>
            <w:r>
              <w:rPr>
                <w:rFonts w:eastAsia="宋体" w:cs="Times New Roman"/>
                <w:bCs/>
                <w:kern w:val="0"/>
                <w:sz w:val="21"/>
              </w:rPr>
              <w:t>或以发生事故时，危险物质泄漏到水体的排放点算起，排放进入受纳河流最大流速时，24h</w:t>
            </w:r>
            <w:r>
              <w:rPr>
                <w:rFonts w:hAnsi="宋体" w:eastAsia="宋体" w:cs="Times New Roman"/>
                <w:bCs/>
                <w:kern w:val="0"/>
                <w:sz w:val="21"/>
              </w:rPr>
              <w:t>流经范围内跨国界的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pct"/>
            <w:vAlign w:val="center"/>
          </w:tcPr>
          <w:p>
            <w:pPr>
              <w:autoSpaceDE w:val="0"/>
              <w:autoSpaceDN w:val="0"/>
              <w:jc w:val="center"/>
              <w:rPr>
                <w:rFonts w:eastAsia="宋体" w:cs="Times New Roman"/>
                <w:bCs/>
                <w:kern w:val="0"/>
                <w:sz w:val="21"/>
              </w:rPr>
            </w:pPr>
            <w:r>
              <w:rPr>
                <w:rFonts w:eastAsia="宋体" w:cs="Times New Roman"/>
                <w:bCs/>
                <w:kern w:val="0"/>
                <w:sz w:val="21"/>
              </w:rPr>
              <w:t>F2</w:t>
            </w:r>
          </w:p>
        </w:tc>
        <w:tc>
          <w:tcPr>
            <w:tcW w:w="4354" w:type="pct"/>
            <w:vAlign w:val="center"/>
          </w:tcPr>
          <w:p>
            <w:pPr>
              <w:autoSpaceDE w:val="0"/>
              <w:autoSpaceDN w:val="0"/>
              <w:jc w:val="center"/>
              <w:rPr>
                <w:rFonts w:eastAsia="宋体" w:cs="Times New Roman"/>
                <w:bCs/>
                <w:kern w:val="0"/>
                <w:sz w:val="21"/>
              </w:rPr>
            </w:pPr>
            <w:r>
              <w:rPr>
                <w:rFonts w:eastAsia="宋体" w:cs="Times New Roman"/>
                <w:bCs/>
                <w:kern w:val="0"/>
                <w:sz w:val="21"/>
              </w:rPr>
              <w:t>排放点进入地表水水域环境功能为III</w:t>
            </w:r>
            <w:r>
              <w:rPr>
                <w:rFonts w:hAnsi="宋体" w:eastAsia="宋体" w:cs="Times New Roman"/>
                <w:bCs/>
                <w:kern w:val="0"/>
                <w:sz w:val="21"/>
              </w:rPr>
              <w:t>类及以上，或海水水质分类第二类；</w:t>
            </w:r>
          </w:p>
          <w:p>
            <w:pPr>
              <w:autoSpaceDE w:val="0"/>
              <w:autoSpaceDN w:val="0"/>
              <w:jc w:val="center"/>
              <w:rPr>
                <w:rFonts w:eastAsia="宋体" w:cs="Times New Roman"/>
                <w:bCs/>
                <w:kern w:val="0"/>
                <w:sz w:val="21"/>
              </w:rPr>
            </w:pPr>
            <w:r>
              <w:rPr>
                <w:rFonts w:eastAsia="宋体" w:cs="Times New Roman"/>
                <w:bCs/>
                <w:kern w:val="0"/>
                <w:sz w:val="21"/>
              </w:rPr>
              <w:t>或以发生事故时，危险物质泄漏到水体的排放点算起，排放进入受纳河流最大流速时，24h</w:t>
            </w:r>
            <w:r>
              <w:rPr>
                <w:rFonts w:hAnsi="宋体" w:eastAsia="宋体" w:cs="Times New Roman"/>
                <w:bCs/>
                <w:kern w:val="0"/>
                <w:sz w:val="21"/>
              </w:rPr>
              <w:t>流经范围内跨省界的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pct"/>
            <w:vAlign w:val="center"/>
          </w:tcPr>
          <w:p>
            <w:pPr>
              <w:autoSpaceDE w:val="0"/>
              <w:autoSpaceDN w:val="0"/>
              <w:jc w:val="center"/>
              <w:rPr>
                <w:rFonts w:eastAsia="宋体" w:cs="Times New Roman"/>
                <w:bCs/>
                <w:kern w:val="0"/>
                <w:sz w:val="21"/>
              </w:rPr>
            </w:pPr>
            <w:r>
              <w:rPr>
                <w:rFonts w:eastAsia="宋体" w:cs="Times New Roman"/>
                <w:bCs/>
                <w:kern w:val="0"/>
                <w:sz w:val="21"/>
              </w:rPr>
              <w:t>F3</w:t>
            </w:r>
          </w:p>
        </w:tc>
        <w:tc>
          <w:tcPr>
            <w:tcW w:w="4354" w:type="pct"/>
            <w:vAlign w:val="center"/>
          </w:tcPr>
          <w:p>
            <w:pPr>
              <w:autoSpaceDE w:val="0"/>
              <w:autoSpaceDN w:val="0"/>
              <w:jc w:val="center"/>
              <w:rPr>
                <w:rFonts w:eastAsia="宋体" w:cs="Times New Roman"/>
                <w:bCs/>
                <w:kern w:val="0"/>
                <w:sz w:val="21"/>
              </w:rPr>
            </w:pPr>
            <w:r>
              <w:rPr>
                <w:rFonts w:eastAsia="宋体" w:cs="Times New Roman"/>
                <w:bCs/>
                <w:kern w:val="0"/>
                <w:sz w:val="21"/>
              </w:rPr>
              <w:t>上述地区之外的其他地区</w:t>
            </w:r>
          </w:p>
        </w:tc>
      </w:tr>
    </w:tbl>
    <w:p>
      <w:pPr>
        <w:pStyle w:val="14"/>
        <w:spacing w:line="240" w:lineRule="auto"/>
        <w:rPr>
          <w:bCs/>
        </w:rPr>
      </w:pPr>
      <w:r>
        <w:rPr>
          <w:bCs/>
        </w:rPr>
        <w:t>表</w:t>
      </w:r>
      <w:r>
        <w:rPr>
          <w:bCs/>
        </w:rPr>
        <w:fldChar w:fldCharType="begin"/>
      </w:r>
      <w:r>
        <w:rPr>
          <w:bCs/>
        </w:rPr>
        <w:instrText xml:space="preserve"> STYLEREF 2 \s </w:instrText>
      </w:r>
      <w:r>
        <w:rPr>
          <w:bCs/>
        </w:rPr>
        <w:fldChar w:fldCharType="separate"/>
      </w:r>
      <w:r>
        <w:rPr>
          <w:bCs/>
        </w:rPr>
        <w:t>7.3</w:t>
      </w:r>
      <w:r>
        <w:rPr>
          <w:bCs/>
        </w:rPr>
        <w:fldChar w:fldCharType="end"/>
      </w:r>
      <w:r>
        <w:rPr>
          <w:bCs/>
        </w:rPr>
        <w:noBreakHyphen/>
      </w:r>
      <w:r>
        <w:rPr>
          <w:bCs/>
        </w:rPr>
        <w:fldChar w:fldCharType="begin"/>
      </w:r>
      <w:r>
        <w:rPr>
          <w:bCs/>
        </w:rPr>
        <w:instrText xml:space="preserve"> SEQ 表 \* ARABIC \s 2 </w:instrText>
      </w:r>
      <w:r>
        <w:rPr>
          <w:bCs/>
        </w:rPr>
        <w:fldChar w:fldCharType="separate"/>
      </w:r>
      <w:r>
        <w:rPr>
          <w:bCs/>
        </w:rPr>
        <w:t>5</w:t>
      </w:r>
      <w:r>
        <w:rPr>
          <w:bCs/>
        </w:rPr>
        <w:fldChar w:fldCharType="end"/>
      </w:r>
      <w:r>
        <w:rPr>
          <w:rFonts w:hint="eastAsia"/>
          <w:bCs/>
        </w:rPr>
        <w:t xml:space="preserve"> </w:t>
      </w:r>
      <w:r>
        <w:rPr>
          <w:bCs/>
        </w:rPr>
        <w:t>环境敏感目标分级</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7"/>
        <w:gridCol w:w="8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pct"/>
            <w:vAlign w:val="center"/>
          </w:tcPr>
          <w:p>
            <w:pPr>
              <w:autoSpaceDE w:val="0"/>
              <w:autoSpaceDN w:val="0"/>
              <w:jc w:val="center"/>
              <w:rPr>
                <w:rFonts w:eastAsia="宋体"/>
                <w:bCs/>
                <w:kern w:val="0"/>
                <w:sz w:val="21"/>
              </w:rPr>
            </w:pPr>
            <w:r>
              <w:rPr>
                <w:rFonts w:eastAsia="宋体"/>
                <w:bCs/>
                <w:kern w:val="0"/>
                <w:sz w:val="21"/>
              </w:rPr>
              <w:t>分级</w:t>
            </w:r>
          </w:p>
        </w:tc>
        <w:tc>
          <w:tcPr>
            <w:tcW w:w="4354" w:type="pct"/>
            <w:vAlign w:val="center"/>
          </w:tcPr>
          <w:p>
            <w:pPr>
              <w:autoSpaceDE w:val="0"/>
              <w:autoSpaceDN w:val="0"/>
              <w:jc w:val="center"/>
              <w:rPr>
                <w:rFonts w:eastAsia="宋体"/>
                <w:bCs/>
                <w:kern w:val="0"/>
                <w:sz w:val="21"/>
              </w:rPr>
            </w:pPr>
            <w:r>
              <w:rPr>
                <w:rFonts w:eastAsia="宋体"/>
                <w:bCs/>
                <w:kern w:val="0"/>
                <w:sz w:val="21"/>
              </w:rPr>
              <w:t>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646" w:type="pct"/>
            <w:vAlign w:val="center"/>
          </w:tcPr>
          <w:p>
            <w:pPr>
              <w:autoSpaceDE w:val="0"/>
              <w:autoSpaceDN w:val="0"/>
              <w:jc w:val="center"/>
              <w:rPr>
                <w:rFonts w:eastAsia="宋体"/>
                <w:bCs/>
                <w:kern w:val="0"/>
                <w:sz w:val="21"/>
              </w:rPr>
            </w:pPr>
            <w:r>
              <w:rPr>
                <w:rFonts w:eastAsia="宋体"/>
                <w:bCs/>
                <w:kern w:val="0"/>
                <w:sz w:val="21"/>
              </w:rPr>
              <w:t>S1</w:t>
            </w:r>
          </w:p>
        </w:tc>
        <w:tc>
          <w:tcPr>
            <w:tcW w:w="4354" w:type="pct"/>
            <w:vAlign w:val="center"/>
          </w:tcPr>
          <w:p>
            <w:pPr>
              <w:autoSpaceDE w:val="0"/>
              <w:autoSpaceDN w:val="0"/>
              <w:jc w:val="center"/>
              <w:rPr>
                <w:rFonts w:eastAsia="宋体"/>
                <w:bCs/>
                <w:kern w:val="0"/>
                <w:sz w:val="21"/>
              </w:rPr>
            </w:pPr>
            <w:r>
              <w:rPr>
                <w:rFonts w:eastAsia="宋体"/>
                <w:bCs/>
                <w:kern w:val="0"/>
                <w:sz w:val="21"/>
              </w:rPr>
              <w:t>发生事故时，危险物质泄漏到内陆水体的排放点下游（顺水流向）10km</w:t>
            </w:r>
            <w:r>
              <w:rPr>
                <w:rFonts w:ascii="宋体" w:hAnsi="宋体" w:eastAsia="宋体"/>
                <w:bCs/>
                <w:kern w:val="0"/>
                <w:sz w:val="21"/>
              </w:rPr>
              <w:t>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pct"/>
            <w:vAlign w:val="center"/>
          </w:tcPr>
          <w:p>
            <w:pPr>
              <w:autoSpaceDE w:val="0"/>
              <w:autoSpaceDN w:val="0"/>
              <w:jc w:val="center"/>
              <w:rPr>
                <w:rFonts w:eastAsia="宋体"/>
                <w:bCs/>
                <w:kern w:val="0"/>
                <w:sz w:val="21"/>
              </w:rPr>
            </w:pPr>
            <w:r>
              <w:rPr>
                <w:rFonts w:eastAsia="宋体"/>
                <w:bCs/>
                <w:kern w:val="0"/>
                <w:sz w:val="21"/>
              </w:rPr>
              <w:t>S2</w:t>
            </w:r>
          </w:p>
        </w:tc>
        <w:tc>
          <w:tcPr>
            <w:tcW w:w="4354" w:type="pct"/>
            <w:vAlign w:val="center"/>
          </w:tcPr>
          <w:p>
            <w:pPr>
              <w:autoSpaceDE w:val="0"/>
              <w:autoSpaceDN w:val="0"/>
              <w:jc w:val="center"/>
              <w:rPr>
                <w:rFonts w:eastAsia="宋体"/>
                <w:bCs/>
                <w:kern w:val="0"/>
                <w:sz w:val="21"/>
              </w:rPr>
            </w:pPr>
            <w:r>
              <w:rPr>
                <w:rFonts w:eastAsia="宋体"/>
                <w:bCs/>
                <w:kern w:val="0"/>
                <w:sz w:val="21"/>
              </w:rPr>
              <w:t>发生事故时，危险物质泄漏到内陆水体的排放点下游（顺水流向）10km</w:t>
            </w:r>
            <w:r>
              <w:rPr>
                <w:rFonts w:ascii="宋体" w:hAnsi="宋体" w:eastAsia="宋体"/>
                <w:bCs/>
                <w:kern w:val="0"/>
                <w:sz w:val="21"/>
              </w:rPr>
              <w:t>范围内、近岸海域一个潮周期水质点可能达到的最大水平距离的两倍范围内，有如下一类或多类环境风险受体的；水产养殖区；天然渔场；森林公园；地质公园；海滨风景游览区；具有重要经济价值的海洋生物生存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pct"/>
            <w:vAlign w:val="center"/>
          </w:tcPr>
          <w:p>
            <w:pPr>
              <w:autoSpaceDE w:val="0"/>
              <w:autoSpaceDN w:val="0"/>
              <w:jc w:val="center"/>
              <w:rPr>
                <w:rFonts w:eastAsia="宋体"/>
                <w:bCs/>
                <w:kern w:val="0"/>
                <w:sz w:val="21"/>
              </w:rPr>
            </w:pPr>
            <w:r>
              <w:rPr>
                <w:rFonts w:eastAsia="宋体"/>
                <w:bCs/>
                <w:kern w:val="0"/>
                <w:sz w:val="21"/>
              </w:rPr>
              <w:t>S3</w:t>
            </w:r>
          </w:p>
        </w:tc>
        <w:tc>
          <w:tcPr>
            <w:tcW w:w="4354" w:type="pct"/>
            <w:vAlign w:val="center"/>
          </w:tcPr>
          <w:p>
            <w:pPr>
              <w:autoSpaceDE w:val="0"/>
              <w:autoSpaceDN w:val="0"/>
              <w:jc w:val="center"/>
              <w:rPr>
                <w:rFonts w:eastAsia="宋体"/>
                <w:bCs/>
                <w:kern w:val="0"/>
                <w:sz w:val="21"/>
              </w:rPr>
            </w:pPr>
            <w:r>
              <w:rPr>
                <w:rFonts w:eastAsia="宋体"/>
                <w:bCs/>
                <w:kern w:val="0"/>
                <w:sz w:val="21"/>
              </w:rPr>
              <w:t>排放点下游（顺水流向）10km</w:t>
            </w:r>
            <w:r>
              <w:rPr>
                <w:rFonts w:ascii="宋体" w:hAnsi="宋体" w:eastAsia="宋体"/>
                <w:bCs/>
                <w:kern w:val="0"/>
                <w:sz w:val="21"/>
              </w:rPr>
              <w:t>范围内、近岸海域一个潮周期水质点可能达到的最大水平距离的两倍范围内无上述类型</w:t>
            </w:r>
            <w:r>
              <w:rPr>
                <w:rFonts w:eastAsia="宋体"/>
                <w:bCs/>
                <w:kern w:val="0"/>
                <w:sz w:val="21"/>
              </w:rPr>
              <w:t>1</w:t>
            </w:r>
            <w:r>
              <w:rPr>
                <w:rFonts w:ascii="宋体" w:hAnsi="宋体" w:eastAsia="宋体"/>
                <w:bCs/>
                <w:kern w:val="0"/>
                <w:sz w:val="21"/>
              </w:rPr>
              <w:t>和类型</w:t>
            </w:r>
            <w:r>
              <w:rPr>
                <w:rFonts w:eastAsia="宋体"/>
                <w:bCs/>
                <w:kern w:val="0"/>
                <w:sz w:val="21"/>
              </w:rPr>
              <w:t>2</w:t>
            </w:r>
            <w:r>
              <w:rPr>
                <w:rFonts w:ascii="宋体" w:hAnsi="宋体" w:eastAsia="宋体"/>
                <w:bCs/>
                <w:kern w:val="0"/>
                <w:sz w:val="21"/>
              </w:rPr>
              <w:t>包括的敏感保护目标</w:t>
            </w:r>
          </w:p>
        </w:tc>
      </w:tr>
    </w:tbl>
    <w:p>
      <w:pPr>
        <w:spacing w:line="360" w:lineRule="auto"/>
        <w:ind w:firstLine="480" w:firstLineChars="200"/>
        <w:rPr>
          <w:rFonts w:asciiTheme="minorEastAsia" w:hAnsiTheme="minorEastAsia"/>
        </w:rPr>
      </w:pPr>
      <w:r>
        <w:rPr>
          <w:rFonts w:hint="eastAsia" w:asciiTheme="minorEastAsia" w:hAnsiTheme="minorEastAsia"/>
        </w:rPr>
        <w:t>②本项目地表水环境敏感程度</w:t>
      </w:r>
    </w:p>
    <w:p>
      <w:pPr>
        <w:spacing w:line="360" w:lineRule="auto"/>
        <w:ind w:firstLine="480" w:firstLineChars="200"/>
      </w:pPr>
      <w:r>
        <w:rPr>
          <w:rFonts w:ascii="宋体" w:hAnsi="宋体" w:eastAsia="宋体"/>
          <w:bCs/>
          <w:kern w:val="0"/>
          <w:szCs w:val="24"/>
        </w:rPr>
        <w:t>本项目地表水功能敏感性分区为</w:t>
      </w:r>
      <w:r>
        <w:rPr>
          <w:rFonts w:eastAsia="宋体"/>
          <w:bCs/>
          <w:kern w:val="0"/>
          <w:szCs w:val="24"/>
        </w:rPr>
        <w:t>F3</w:t>
      </w:r>
      <w:r>
        <w:rPr>
          <w:rFonts w:ascii="宋体" w:hAnsi="宋体" w:eastAsia="宋体"/>
          <w:bCs/>
          <w:kern w:val="0"/>
          <w:szCs w:val="24"/>
        </w:rPr>
        <w:t>（低敏感），环境敏感目标分级为</w:t>
      </w:r>
      <w:r>
        <w:rPr>
          <w:rFonts w:eastAsia="宋体"/>
          <w:bCs/>
          <w:kern w:val="0"/>
          <w:szCs w:val="24"/>
        </w:rPr>
        <w:t>S3</w:t>
      </w:r>
      <w:r>
        <w:rPr>
          <w:rFonts w:ascii="宋体" w:hAnsi="宋体" w:eastAsia="宋体"/>
          <w:bCs/>
          <w:kern w:val="0"/>
          <w:szCs w:val="24"/>
        </w:rPr>
        <w:t>。由此可知本项目地表水环境敏感程度为</w:t>
      </w:r>
      <w:r>
        <w:rPr>
          <w:rFonts w:eastAsia="宋体"/>
          <w:bCs/>
          <w:kern w:val="0"/>
          <w:szCs w:val="24"/>
        </w:rPr>
        <w:t>E3</w:t>
      </w:r>
      <w:r>
        <w:rPr>
          <w:rFonts w:ascii="宋体" w:hAnsi="宋体" w:eastAsia="宋体"/>
          <w:bCs/>
          <w:kern w:val="0"/>
          <w:szCs w:val="24"/>
        </w:rPr>
        <w:t>（环境低度敏感区）。</w:t>
      </w:r>
    </w:p>
    <w:p>
      <w:pPr>
        <w:pStyle w:val="14"/>
        <w:spacing w:line="240" w:lineRule="auto"/>
        <w:rPr>
          <w:bCs/>
        </w:rPr>
      </w:pPr>
      <w:r>
        <w:t>表</w:t>
      </w:r>
      <w:r>
        <w:fldChar w:fldCharType="begin"/>
      </w:r>
      <w:r>
        <w:instrText xml:space="preserve"> STYLEREF 2 \s </w:instrText>
      </w:r>
      <w:r>
        <w:fldChar w:fldCharType="separate"/>
      </w:r>
      <w:r>
        <w:t>7.3</w:t>
      </w:r>
      <w:r>
        <w:fldChar w:fldCharType="end"/>
      </w:r>
      <w:r>
        <w:noBreakHyphen/>
      </w:r>
      <w:r>
        <w:fldChar w:fldCharType="begin"/>
      </w:r>
      <w:r>
        <w:instrText xml:space="preserve"> SEQ 表 \* ARABIC \s 2 </w:instrText>
      </w:r>
      <w:r>
        <w:fldChar w:fldCharType="separate"/>
      </w:r>
      <w:r>
        <w:t>6</w:t>
      </w:r>
      <w:r>
        <w:fldChar w:fldCharType="end"/>
      </w:r>
      <w:r>
        <w:rPr>
          <w:rFonts w:hint="eastAsia"/>
        </w:rPr>
        <w:t xml:space="preserve"> </w:t>
      </w:r>
      <w:r>
        <w:rPr>
          <w:bCs/>
        </w:rPr>
        <w:t>建设项目地表水环境敏感特征表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0"/>
        <w:gridCol w:w="760"/>
        <w:gridCol w:w="2137"/>
        <w:gridCol w:w="1656"/>
        <w:gridCol w:w="959"/>
        <w:gridCol w:w="695"/>
        <w:gridCol w:w="2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pct"/>
          </w:tcPr>
          <w:p>
            <w:pPr>
              <w:autoSpaceDE w:val="0"/>
              <w:autoSpaceDN w:val="0"/>
              <w:jc w:val="center"/>
              <w:rPr>
                <w:rFonts w:eastAsia="宋体"/>
                <w:bCs/>
                <w:kern w:val="0"/>
                <w:sz w:val="21"/>
              </w:rPr>
            </w:pPr>
            <w:r>
              <w:rPr>
                <w:rFonts w:eastAsia="宋体"/>
                <w:kern w:val="0"/>
                <w:sz w:val="21"/>
              </w:rPr>
              <w:t>类别</w:t>
            </w:r>
          </w:p>
        </w:tc>
        <w:tc>
          <w:tcPr>
            <w:tcW w:w="4285" w:type="pct"/>
            <w:gridSpan w:val="6"/>
          </w:tcPr>
          <w:p>
            <w:pPr>
              <w:autoSpaceDE w:val="0"/>
              <w:autoSpaceDN w:val="0"/>
              <w:jc w:val="center"/>
              <w:rPr>
                <w:rFonts w:eastAsia="宋体"/>
                <w:bCs/>
                <w:kern w:val="0"/>
                <w:sz w:val="21"/>
              </w:rPr>
            </w:pPr>
            <w:r>
              <w:rPr>
                <w:rFonts w:eastAsia="宋体"/>
                <w:kern w:val="0"/>
                <w:sz w:val="21"/>
              </w:rPr>
              <w:t>环境敏感特征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pct"/>
            <w:vMerge w:val="restart"/>
            <w:vAlign w:val="center"/>
          </w:tcPr>
          <w:p>
            <w:pPr>
              <w:autoSpaceDE w:val="0"/>
              <w:autoSpaceDN w:val="0"/>
              <w:jc w:val="center"/>
              <w:rPr>
                <w:rFonts w:eastAsia="宋体"/>
                <w:bCs/>
                <w:kern w:val="0"/>
                <w:sz w:val="21"/>
              </w:rPr>
            </w:pPr>
            <w:r>
              <w:rPr>
                <w:rFonts w:eastAsia="宋体"/>
                <w:bCs/>
                <w:kern w:val="0"/>
                <w:sz w:val="21"/>
              </w:rPr>
              <w:t>地表水</w:t>
            </w:r>
          </w:p>
        </w:tc>
        <w:tc>
          <w:tcPr>
            <w:tcW w:w="4285" w:type="pct"/>
            <w:gridSpan w:val="6"/>
          </w:tcPr>
          <w:p>
            <w:pPr>
              <w:autoSpaceDE w:val="0"/>
              <w:autoSpaceDN w:val="0"/>
              <w:jc w:val="center"/>
              <w:rPr>
                <w:rFonts w:eastAsia="宋体"/>
                <w:bCs/>
                <w:kern w:val="0"/>
                <w:sz w:val="21"/>
              </w:rPr>
            </w:pPr>
            <w:r>
              <w:rPr>
                <w:rFonts w:eastAsia="宋体"/>
                <w:bCs/>
                <w:kern w:val="0"/>
                <w:sz w:val="21"/>
              </w:rPr>
              <w:t>受纳水体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pct"/>
            <w:vMerge w:val="continue"/>
            <w:vAlign w:val="center"/>
          </w:tcPr>
          <w:p>
            <w:pPr>
              <w:widowControl/>
              <w:jc w:val="left"/>
              <w:rPr>
                <w:rFonts w:eastAsia="宋体"/>
                <w:bCs/>
                <w:kern w:val="0"/>
                <w:sz w:val="21"/>
              </w:rPr>
            </w:pPr>
          </w:p>
        </w:tc>
        <w:tc>
          <w:tcPr>
            <w:tcW w:w="394" w:type="pct"/>
          </w:tcPr>
          <w:p>
            <w:pPr>
              <w:autoSpaceDE w:val="0"/>
              <w:autoSpaceDN w:val="0"/>
              <w:jc w:val="center"/>
              <w:rPr>
                <w:rFonts w:eastAsia="宋体"/>
                <w:bCs/>
                <w:kern w:val="0"/>
                <w:sz w:val="21"/>
              </w:rPr>
            </w:pPr>
            <w:r>
              <w:rPr>
                <w:rFonts w:eastAsia="宋体"/>
                <w:bCs/>
                <w:kern w:val="0"/>
                <w:sz w:val="21"/>
              </w:rPr>
              <w:t>序号</w:t>
            </w:r>
          </w:p>
        </w:tc>
        <w:tc>
          <w:tcPr>
            <w:tcW w:w="1107" w:type="pct"/>
          </w:tcPr>
          <w:p>
            <w:pPr>
              <w:autoSpaceDE w:val="0"/>
              <w:autoSpaceDN w:val="0"/>
              <w:jc w:val="center"/>
              <w:rPr>
                <w:rFonts w:eastAsia="宋体"/>
                <w:bCs/>
                <w:kern w:val="0"/>
                <w:sz w:val="21"/>
              </w:rPr>
            </w:pPr>
            <w:r>
              <w:rPr>
                <w:rFonts w:eastAsia="宋体"/>
                <w:bCs/>
                <w:kern w:val="0"/>
                <w:sz w:val="21"/>
              </w:rPr>
              <w:t>最终受纳水体名称</w:t>
            </w:r>
          </w:p>
        </w:tc>
        <w:tc>
          <w:tcPr>
            <w:tcW w:w="1355" w:type="pct"/>
            <w:gridSpan w:val="2"/>
          </w:tcPr>
          <w:p>
            <w:pPr>
              <w:autoSpaceDE w:val="0"/>
              <w:autoSpaceDN w:val="0"/>
              <w:jc w:val="center"/>
              <w:rPr>
                <w:rFonts w:eastAsia="宋体"/>
                <w:bCs/>
                <w:kern w:val="0"/>
                <w:sz w:val="21"/>
              </w:rPr>
            </w:pPr>
            <w:r>
              <w:rPr>
                <w:rFonts w:eastAsia="宋体"/>
                <w:bCs/>
                <w:kern w:val="0"/>
                <w:sz w:val="21"/>
              </w:rPr>
              <w:t>排放点水域环境功能</w:t>
            </w:r>
          </w:p>
        </w:tc>
        <w:tc>
          <w:tcPr>
            <w:tcW w:w="1429" w:type="pct"/>
            <w:gridSpan w:val="2"/>
          </w:tcPr>
          <w:p>
            <w:pPr>
              <w:autoSpaceDE w:val="0"/>
              <w:autoSpaceDN w:val="0"/>
              <w:jc w:val="center"/>
              <w:rPr>
                <w:rFonts w:eastAsia="宋体"/>
                <w:bCs/>
                <w:kern w:val="0"/>
                <w:sz w:val="21"/>
              </w:rPr>
            </w:pPr>
            <w:r>
              <w:rPr>
                <w:rFonts w:eastAsia="宋体"/>
                <w:bCs/>
                <w:kern w:val="0"/>
                <w:sz w:val="21"/>
              </w:rPr>
              <w:t>24h</w:t>
            </w:r>
            <w:r>
              <w:rPr>
                <w:rFonts w:ascii="宋体" w:hAnsi="宋体" w:eastAsia="宋体"/>
                <w:bCs/>
                <w:kern w:val="0"/>
                <w:sz w:val="21"/>
              </w:rPr>
              <w:t>内流经范围</w:t>
            </w:r>
            <w:r>
              <w:rPr>
                <w:rFonts w:eastAsia="宋体"/>
                <w:bCs/>
                <w:kern w:val="0"/>
                <w:sz w:val="21"/>
              </w:rPr>
              <w:t>/km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pct"/>
            <w:vMerge w:val="continue"/>
            <w:vAlign w:val="center"/>
          </w:tcPr>
          <w:p>
            <w:pPr>
              <w:widowControl/>
              <w:jc w:val="left"/>
              <w:rPr>
                <w:rFonts w:eastAsia="宋体"/>
                <w:bCs/>
                <w:kern w:val="0"/>
                <w:sz w:val="21"/>
              </w:rPr>
            </w:pPr>
          </w:p>
        </w:tc>
        <w:tc>
          <w:tcPr>
            <w:tcW w:w="394" w:type="pct"/>
          </w:tcPr>
          <w:p>
            <w:pPr>
              <w:autoSpaceDE w:val="0"/>
              <w:autoSpaceDN w:val="0"/>
              <w:jc w:val="center"/>
              <w:rPr>
                <w:rFonts w:eastAsia="宋体"/>
                <w:bCs/>
                <w:kern w:val="0"/>
                <w:sz w:val="21"/>
              </w:rPr>
            </w:pPr>
            <w:r>
              <w:rPr>
                <w:rFonts w:eastAsia="宋体"/>
                <w:bCs/>
                <w:kern w:val="0"/>
                <w:sz w:val="21"/>
              </w:rPr>
              <w:t>1</w:t>
            </w:r>
          </w:p>
        </w:tc>
        <w:tc>
          <w:tcPr>
            <w:tcW w:w="1107" w:type="pct"/>
          </w:tcPr>
          <w:p>
            <w:pPr>
              <w:autoSpaceDE w:val="0"/>
              <w:autoSpaceDN w:val="0"/>
              <w:jc w:val="center"/>
              <w:rPr>
                <w:rFonts w:eastAsia="宋体"/>
                <w:bCs/>
                <w:kern w:val="0"/>
                <w:sz w:val="21"/>
              </w:rPr>
            </w:pPr>
            <w:r>
              <w:rPr>
                <w:rFonts w:eastAsia="宋体"/>
                <w:bCs/>
                <w:kern w:val="0"/>
                <w:sz w:val="21"/>
              </w:rPr>
              <w:t>东风湖</w:t>
            </w:r>
          </w:p>
        </w:tc>
        <w:tc>
          <w:tcPr>
            <w:tcW w:w="1355" w:type="pct"/>
            <w:gridSpan w:val="2"/>
          </w:tcPr>
          <w:p>
            <w:pPr>
              <w:autoSpaceDE w:val="0"/>
              <w:autoSpaceDN w:val="0"/>
              <w:jc w:val="center"/>
              <w:rPr>
                <w:rFonts w:eastAsia="宋体"/>
                <w:bCs/>
                <w:kern w:val="0"/>
                <w:sz w:val="21"/>
              </w:rPr>
            </w:pPr>
            <w:r>
              <w:rPr>
                <w:rFonts w:ascii="宋体" w:hAnsi="宋体" w:eastAsia="宋体"/>
                <w:bCs/>
                <w:kern w:val="0"/>
                <w:sz w:val="21"/>
              </w:rPr>
              <w:t>Ⅳ类</w:t>
            </w:r>
          </w:p>
        </w:tc>
        <w:tc>
          <w:tcPr>
            <w:tcW w:w="1429" w:type="pct"/>
            <w:gridSpan w:val="2"/>
          </w:tcPr>
          <w:p>
            <w:pPr>
              <w:autoSpaceDE w:val="0"/>
              <w:autoSpaceDN w:val="0"/>
              <w:jc w:val="center"/>
              <w:rPr>
                <w:rFonts w:eastAsia="宋体"/>
                <w:bCs/>
                <w:kern w:val="0"/>
                <w:sz w:val="21"/>
              </w:rPr>
            </w:pPr>
            <w:r>
              <w:rPr>
                <w:rFonts w:eastAsia="宋体"/>
                <w:bCs/>
                <w:kern w:val="0"/>
                <w:sz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pct"/>
            <w:vMerge w:val="continue"/>
            <w:vAlign w:val="center"/>
          </w:tcPr>
          <w:p>
            <w:pPr>
              <w:widowControl/>
              <w:jc w:val="left"/>
              <w:rPr>
                <w:rFonts w:eastAsia="宋体"/>
                <w:bCs/>
                <w:kern w:val="0"/>
                <w:sz w:val="21"/>
              </w:rPr>
            </w:pPr>
          </w:p>
        </w:tc>
        <w:tc>
          <w:tcPr>
            <w:tcW w:w="4285" w:type="pct"/>
            <w:gridSpan w:val="6"/>
          </w:tcPr>
          <w:p>
            <w:pPr>
              <w:autoSpaceDE w:val="0"/>
              <w:autoSpaceDN w:val="0"/>
              <w:jc w:val="center"/>
              <w:rPr>
                <w:rFonts w:eastAsia="宋体"/>
                <w:bCs/>
                <w:kern w:val="0"/>
                <w:sz w:val="21"/>
              </w:rPr>
            </w:pPr>
            <w:r>
              <w:rPr>
                <w:rFonts w:eastAsia="宋体"/>
                <w:bCs/>
                <w:kern w:val="0"/>
                <w:sz w:val="21"/>
              </w:rPr>
              <w:t>内陆水体排放点下游10km</w:t>
            </w:r>
            <w:r>
              <w:rPr>
                <w:rFonts w:ascii="宋体" w:hAnsi="宋体" w:eastAsia="宋体"/>
                <w:bCs/>
                <w:kern w:val="0"/>
                <w:sz w:val="21"/>
              </w:rPr>
              <w:t>范围内敏感目标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pct"/>
            <w:vMerge w:val="continue"/>
            <w:vAlign w:val="center"/>
          </w:tcPr>
          <w:p>
            <w:pPr>
              <w:widowControl/>
              <w:jc w:val="left"/>
              <w:rPr>
                <w:rFonts w:eastAsia="宋体"/>
                <w:bCs/>
                <w:kern w:val="0"/>
                <w:sz w:val="21"/>
              </w:rPr>
            </w:pPr>
          </w:p>
        </w:tc>
        <w:tc>
          <w:tcPr>
            <w:tcW w:w="394" w:type="pct"/>
          </w:tcPr>
          <w:p>
            <w:pPr>
              <w:autoSpaceDE w:val="0"/>
              <w:autoSpaceDN w:val="0"/>
              <w:jc w:val="center"/>
              <w:rPr>
                <w:rFonts w:eastAsia="宋体"/>
                <w:bCs/>
                <w:kern w:val="0"/>
                <w:sz w:val="21"/>
              </w:rPr>
            </w:pPr>
            <w:r>
              <w:rPr>
                <w:rFonts w:eastAsia="宋体"/>
                <w:bCs/>
                <w:kern w:val="0"/>
                <w:sz w:val="21"/>
              </w:rPr>
              <w:t>序号</w:t>
            </w:r>
          </w:p>
        </w:tc>
        <w:tc>
          <w:tcPr>
            <w:tcW w:w="1107" w:type="pct"/>
          </w:tcPr>
          <w:p>
            <w:pPr>
              <w:autoSpaceDE w:val="0"/>
              <w:autoSpaceDN w:val="0"/>
              <w:jc w:val="center"/>
              <w:rPr>
                <w:rFonts w:eastAsia="宋体"/>
                <w:bCs/>
                <w:kern w:val="0"/>
                <w:sz w:val="21"/>
              </w:rPr>
            </w:pPr>
            <w:r>
              <w:rPr>
                <w:rFonts w:eastAsia="宋体"/>
                <w:bCs/>
                <w:kern w:val="0"/>
                <w:sz w:val="21"/>
              </w:rPr>
              <w:t>敏感目标名称</w:t>
            </w:r>
          </w:p>
        </w:tc>
        <w:tc>
          <w:tcPr>
            <w:tcW w:w="858" w:type="pct"/>
          </w:tcPr>
          <w:p>
            <w:pPr>
              <w:autoSpaceDE w:val="0"/>
              <w:autoSpaceDN w:val="0"/>
              <w:jc w:val="center"/>
              <w:rPr>
                <w:rFonts w:eastAsia="宋体"/>
                <w:bCs/>
                <w:kern w:val="0"/>
                <w:sz w:val="21"/>
              </w:rPr>
            </w:pPr>
            <w:r>
              <w:rPr>
                <w:rFonts w:eastAsia="宋体"/>
                <w:bCs/>
                <w:kern w:val="0"/>
                <w:sz w:val="21"/>
              </w:rPr>
              <w:t>环境敏感特征</w:t>
            </w:r>
          </w:p>
        </w:tc>
        <w:tc>
          <w:tcPr>
            <w:tcW w:w="857" w:type="pct"/>
            <w:gridSpan w:val="2"/>
          </w:tcPr>
          <w:p>
            <w:pPr>
              <w:autoSpaceDE w:val="0"/>
              <w:autoSpaceDN w:val="0"/>
              <w:jc w:val="center"/>
              <w:rPr>
                <w:rFonts w:eastAsia="宋体"/>
                <w:bCs/>
                <w:kern w:val="0"/>
                <w:sz w:val="21"/>
              </w:rPr>
            </w:pPr>
            <w:r>
              <w:rPr>
                <w:rFonts w:eastAsia="宋体"/>
                <w:bCs/>
                <w:kern w:val="0"/>
                <w:sz w:val="21"/>
              </w:rPr>
              <w:t>水质目标</w:t>
            </w:r>
          </w:p>
        </w:tc>
        <w:tc>
          <w:tcPr>
            <w:tcW w:w="1069" w:type="pct"/>
          </w:tcPr>
          <w:p>
            <w:pPr>
              <w:autoSpaceDE w:val="0"/>
              <w:autoSpaceDN w:val="0"/>
              <w:jc w:val="center"/>
              <w:rPr>
                <w:rFonts w:eastAsia="宋体"/>
                <w:bCs/>
                <w:kern w:val="0"/>
                <w:sz w:val="21"/>
              </w:rPr>
            </w:pPr>
            <w:r>
              <w:rPr>
                <w:rFonts w:eastAsia="宋体"/>
                <w:bCs/>
                <w:kern w:val="0"/>
                <w:sz w:val="21"/>
              </w:rPr>
              <w:t>与排放点距离/m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pct"/>
            <w:vMerge w:val="continue"/>
            <w:vAlign w:val="center"/>
          </w:tcPr>
          <w:p>
            <w:pPr>
              <w:widowControl/>
              <w:jc w:val="left"/>
              <w:rPr>
                <w:rFonts w:eastAsia="宋体"/>
                <w:bCs/>
                <w:kern w:val="0"/>
                <w:sz w:val="21"/>
              </w:rPr>
            </w:pPr>
          </w:p>
        </w:tc>
        <w:tc>
          <w:tcPr>
            <w:tcW w:w="394" w:type="pct"/>
          </w:tcPr>
          <w:p>
            <w:pPr>
              <w:autoSpaceDE w:val="0"/>
              <w:autoSpaceDN w:val="0"/>
              <w:jc w:val="center"/>
              <w:rPr>
                <w:rFonts w:eastAsia="宋体"/>
                <w:bCs/>
                <w:kern w:val="0"/>
                <w:sz w:val="21"/>
              </w:rPr>
            </w:pPr>
            <w:r>
              <w:rPr>
                <w:rFonts w:eastAsia="宋体"/>
                <w:bCs/>
                <w:kern w:val="0"/>
                <w:sz w:val="21"/>
              </w:rPr>
              <w:t>/</w:t>
            </w:r>
          </w:p>
        </w:tc>
        <w:tc>
          <w:tcPr>
            <w:tcW w:w="1107" w:type="pct"/>
          </w:tcPr>
          <w:p>
            <w:pPr>
              <w:autoSpaceDE w:val="0"/>
              <w:autoSpaceDN w:val="0"/>
              <w:jc w:val="center"/>
              <w:rPr>
                <w:rFonts w:eastAsia="宋体"/>
                <w:bCs/>
                <w:kern w:val="0"/>
                <w:sz w:val="21"/>
              </w:rPr>
            </w:pPr>
            <w:r>
              <w:rPr>
                <w:rFonts w:eastAsia="宋体"/>
                <w:bCs/>
                <w:kern w:val="0"/>
                <w:sz w:val="21"/>
              </w:rPr>
              <w:t>/</w:t>
            </w:r>
          </w:p>
        </w:tc>
        <w:tc>
          <w:tcPr>
            <w:tcW w:w="858" w:type="pct"/>
          </w:tcPr>
          <w:p>
            <w:pPr>
              <w:autoSpaceDE w:val="0"/>
              <w:autoSpaceDN w:val="0"/>
              <w:jc w:val="center"/>
              <w:rPr>
                <w:rFonts w:eastAsia="宋体"/>
                <w:bCs/>
                <w:kern w:val="0"/>
                <w:sz w:val="21"/>
              </w:rPr>
            </w:pPr>
            <w:r>
              <w:rPr>
                <w:rFonts w:eastAsia="宋体"/>
                <w:bCs/>
                <w:kern w:val="0"/>
                <w:sz w:val="21"/>
              </w:rPr>
              <w:t>/</w:t>
            </w:r>
          </w:p>
        </w:tc>
        <w:tc>
          <w:tcPr>
            <w:tcW w:w="857" w:type="pct"/>
            <w:gridSpan w:val="2"/>
          </w:tcPr>
          <w:p>
            <w:pPr>
              <w:autoSpaceDE w:val="0"/>
              <w:autoSpaceDN w:val="0"/>
              <w:jc w:val="center"/>
              <w:rPr>
                <w:rFonts w:eastAsia="宋体"/>
                <w:bCs/>
                <w:kern w:val="0"/>
                <w:sz w:val="21"/>
              </w:rPr>
            </w:pPr>
            <w:r>
              <w:rPr>
                <w:rFonts w:eastAsia="宋体"/>
                <w:bCs/>
                <w:kern w:val="0"/>
                <w:sz w:val="21"/>
              </w:rPr>
              <w:t>/</w:t>
            </w:r>
          </w:p>
        </w:tc>
        <w:tc>
          <w:tcPr>
            <w:tcW w:w="1069" w:type="pct"/>
          </w:tcPr>
          <w:p>
            <w:pPr>
              <w:autoSpaceDE w:val="0"/>
              <w:autoSpaceDN w:val="0"/>
              <w:jc w:val="center"/>
              <w:rPr>
                <w:rFonts w:eastAsia="宋体"/>
                <w:bCs/>
                <w:kern w:val="0"/>
                <w:sz w:val="21"/>
              </w:rPr>
            </w:pPr>
            <w:r>
              <w:rPr>
                <w:rFonts w:eastAsia="宋体"/>
                <w:bCs/>
                <w:kern w:val="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pct"/>
            <w:vMerge w:val="continue"/>
            <w:vAlign w:val="center"/>
          </w:tcPr>
          <w:p>
            <w:pPr>
              <w:widowControl/>
              <w:jc w:val="left"/>
              <w:rPr>
                <w:rFonts w:eastAsia="宋体"/>
                <w:bCs/>
                <w:kern w:val="0"/>
                <w:sz w:val="21"/>
              </w:rPr>
            </w:pPr>
          </w:p>
        </w:tc>
        <w:tc>
          <w:tcPr>
            <w:tcW w:w="3216" w:type="pct"/>
            <w:gridSpan w:val="5"/>
          </w:tcPr>
          <w:p>
            <w:pPr>
              <w:autoSpaceDE w:val="0"/>
              <w:autoSpaceDN w:val="0"/>
              <w:jc w:val="center"/>
              <w:rPr>
                <w:rFonts w:eastAsia="宋体"/>
                <w:bCs/>
                <w:kern w:val="0"/>
                <w:sz w:val="21"/>
              </w:rPr>
            </w:pPr>
            <w:r>
              <w:rPr>
                <w:rFonts w:eastAsia="宋体"/>
                <w:bCs/>
                <w:kern w:val="0"/>
                <w:sz w:val="21"/>
              </w:rPr>
              <w:t>地表水环境敏感程度E</w:t>
            </w:r>
            <w:r>
              <w:rPr>
                <w:rFonts w:ascii="宋体" w:hAnsi="宋体" w:eastAsia="宋体"/>
                <w:bCs/>
                <w:kern w:val="0"/>
                <w:sz w:val="21"/>
              </w:rPr>
              <w:t>值</w:t>
            </w:r>
          </w:p>
        </w:tc>
        <w:tc>
          <w:tcPr>
            <w:tcW w:w="1069" w:type="pct"/>
          </w:tcPr>
          <w:p>
            <w:pPr>
              <w:autoSpaceDE w:val="0"/>
              <w:autoSpaceDN w:val="0"/>
              <w:jc w:val="center"/>
              <w:rPr>
                <w:rFonts w:eastAsia="宋体"/>
                <w:bCs/>
                <w:kern w:val="0"/>
                <w:sz w:val="21"/>
              </w:rPr>
            </w:pPr>
            <w:r>
              <w:rPr>
                <w:rFonts w:eastAsia="宋体"/>
                <w:bCs/>
                <w:kern w:val="0"/>
                <w:sz w:val="21"/>
              </w:rPr>
              <w:t>E3</w:t>
            </w:r>
          </w:p>
        </w:tc>
      </w:tr>
    </w:tbl>
    <w:p>
      <w:pPr>
        <w:pStyle w:val="14"/>
        <w:ind w:firstLine="480" w:firstLineChars="200"/>
        <w:jc w:val="both"/>
        <w:rPr>
          <w:b w:val="0"/>
          <w:bCs/>
        </w:rPr>
      </w:pPr>
      <w:r>
        <w:rPr>
          <w:rFonts w:hint="eastAsia"/>
          <w:b w:val="0"/>
          <w:bCs/>
        </w:rPr>
        <w:t>（3）地下水环境</w:t>
      </w:r>
    </w:p>
    <w:p>
      <w:pPr>
        <w:spacing w:line="360" w:lineRule="auto"/>
        <w:ind w:firstLine="480" w:firstLineChars="200"/>
      </w:pPr>
      <w:r>
        <w:rPr>
          <w:rFonts w:hint="eastAsia" w:asciiTheme="minorEastAsia" w:hAnsiTheme="minorEastAsia"/>
        </w:rPr>
        <w:t>①</w:t>
      </w:r>
      <w:r>
        <w:rPr>
          <w:rFonts w:hint="eastAsia"/>
        </w:rPr>
        <w:t>分析原则</w:t>
      </w:r>
    </w:p>
    <w:p>
      <w:pPr>
        <w:spacing w:line="360" w:lineRule="auto"/>
        <w:ind w:firstLine="480" w:firstLineChars="200"/>
        <w:rPr>
          <w:rFonts w:eastAsia="宋体"/>
          <w:kern w:val="0"/>
          <w:szCs w:val="24"/>
        </w:rPr>
      </w:pPr>
      <w:r>
        <w:rPr>
          <w:rFonts w:ascii="宋体" w:hAnsi="宋体" w:eastAsia="宋体"/>
          <w:bCs/>
          <w:kern w:val="0"/>
          <w:szCs w:val="24"/>
        </w:rPr>
        <w:t>根据《建设项目环境风险评价技术导则》（</w:t>
      </w:r>
      <w:r>
        <w:rPr>
          <w:rFonts w:eastAsia="宋体"/>
          <w:bCs/>
          <w:kern w:val="0"/>
          <w:szCs w:val="24"/>
        </w:rPr>
        <w:t>HJ169-2018</w:t>
      </w:r>
      <w:r>
        <w:rPr>
          <w:rFonts w:ascii="宋体" w:hAnsi="宋体" w:eastAsia="宋体"/>
          <w:bCs/>
          <w:kern w:val="0"/>
          <w:szCs w:val="24"/>
        </w:rPr>
        <w:t>）附录</w:t>
      </w:r>
      <w:r>
        <w:rPr>
          <w:rFonts w:eastAsia="宋体"/>
          <w:bCs/>
          <w:kern w:val="0"/>
          <w:szCs w:val="24"/>
        </w:rPr>
        <w:t>D</w:t>
      </w:r>
      <w:r>
        <w:rPr>
          <w:rFonts w:ascii="宋体" w:hAnsi="宋体" w:eastAsia="宋体"/>
          <w:bCs/>
          <w:kern w:val="0"/>
          <w:szCs w:val="24"/>
        </w:rPr>
        <w:t>可知：依据地下水功能敏感性与包气带防污性能，共分为三种类型，</w:t>
      </w:r>
      <w:r>
        <w:rPr>
          <w:rFonts w:eastAsia="宋体"/>
          <w:bCs/>
          <w:kern w:val="0"/>
          <w:szCs w:val="24"/>
        </w:rPr>
        <w:t>E1</w:t>
      </w:r>
      <w:r>
        <w:rPr>
          <w:rFonts w:ascii="宋体" w:hAnsi="宋体" w:eastAsia="宋体"/>
          <w:bCs/>
          <w:kern w:val="0"/>
          <w:szCs w:val="24"/>
        </w:rPr>
        <w:t>为环境高度敏感区，</w:t>
      </w:r>
      <w:r>
        <w:rPr>
          <w:rFonts w:eastAsia="宋体"/>
          <w:bCs/>
          <w:kern w:val="0"/>
          <w:szCs w:val="24"/>
        </w:rPr>
        <w:t>E2</w:t>
      </w:r>
      <w:r>
        <w:rPr>
          <w:rFonts w:ascii="宋体" w:hAnsi="宋体" w:eastAsia="宋体"/>
          <w:bCs/>
          <w:kern w:val="0"/>
          <w:szCs w:val="24"/>
        </w:rPr>
        <w:t>为环境中度敏感区，</w:t>
      </w:r>
      <w:r>
        <w:rPr>
          <w:rFonts w:eastAsia="宋体"/>
          <w:bCs/>
          <w:kern w:val="0"/>
          <w:szCs w:val="24"/>
        </w:rPr>
        <w:t>E3</w:t>
      </w:r>
      <w:r>
        <w:rPr>
          <w:rFonts w:ascii="宋体" w:hAnsi="宋体" w:eastAsia="宋体"/>
          <w:bCs/>
          <w:kern w:val="0"/>
          <w:szCs w:val="24"/>
        </w:rPr>
        <w:t>为环境低度敏感区，分级原则详见下表。其中地下水功能敏感性分区和包气带防污性能分级分别见下表。当同一建设项目涉及两个</w:t>
      </w:r>
      <w:r>
        <w:rPr>
          <w:rFonts w:eastAsia="宋体"/>
          <w:bCs/>
          <w:kern w:val="0"/>
          <w:szCs w:val="24"/>
        </w:rPr>
        <w:t>G</w:t>
      </w:r>
      <w:r>
        <w:rPr>
          <w:rFonts w:ascii="宋体" w:hAnsi="宋体" w:eastAsia="宋体"/>
          <w:bCs/>
          <w:kern w:val="0"/>
          <w:szCs w:val="24"/>
        </w:rPr>
        <w:t>分区或</w:t>
      </w:r>
      <w:r>
        <w:rPr>
          <w:rFonts w:eastAsia="宋体"/>
          <w:bCs/>
          <w:kern w:val="0"/>
          <w:szCs w:val="24"/>
        </w:rPr>
        <w:t>D</w:t>
      </w:r>
      <w:r>
        <w:rPr>
          <w:rFonts w:ascii="宋体" w:hAnsi="宋体" w:eastAsia="宋体"/>
          <w:bCs/>
          <w:kern w:val="0"/>
          <w:szCs w:val="24"/>
        </w:rPr>
        <w:t>分级及以上时，取相对高值。</w:t>
      </w:r>
    </w:p>
    <w:p>
      <w:pPr>
        <w:pStyle w:val="14"/>
        <w:spacing w:line="240" w:lineRule="auto"/>
        <w:ind w:firstLine="482" w:firstLineChars="200"/>
        <w:rPr>
          <w:bCs/>
        </w:rPr>
      </w:pPr>
      <w:r>
        <w:t>表</w:t>
      </w:r>
      <w:r>
        <w:fldChar w:fldCharType="begin"/>
      </w:r>
      <w:r>
        <w:instrText xml:space="preserve"> STYLEREF 2 \s </w:instrText>
      </w:r>
      <w:r>
        <w:fldChar w:fldCharType="separate"/>
      </w:r>
      <w:r>
        <w:t>7.3</w:t>
      </w:r>
      <w:r>
        <w:fldChar w:fldCharType="end"/>
      </w:r>
      <w:r>
        <w:noBreakHyphen/>
      </w:r>
      <w:r>
        <w:fldChar w:fldCharType="begin"/>
      </w:r>
      <w:r>
        <w:instrText xml:space="preserve"> SEQ 表 \* ARABIC \s 2 </w:instrText>
      </w:r>
      <w:r>
        <w:fldChar w:fldCharType="separate"/>
      </w:r>
      <w:r>
        <w:t>7</w:t>
      </w:r>
      <w:r>
        <w:fldChar w:fldCharType="end"/>
      </w:r>
      <w:r>
        <w:rPr>
          <w:rFonts w:hint="eastAsia"/>
        </w:rPr>
        <w:t xml:space="preserve"> </w:t>
      </w:r>
      <w:r>
        <w:rPr>
          <w:bCs/>
        </w:rPr>
        <w:t>地下水环境敏感程度分级</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65"/>
        <w:gridCol w:w="2057"/>
        <w:gridCol w:w="2264"/>
        <w:gridCol w:w="22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588" w:type="pct"/>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宋体"/>
                <w:bCs/>
                <w:kern w:val="0"/>
                <w:sz w:val="21"/>
              </w:rPr>
            </w:pPr>
            <w:r>
              <w:rPr>
                <w:rFonts w:eastAsia="宋体"/>
                <w:kern w:val="0"/>
                <w:sz w:val="21"/>
              </w:rPr>
              <w:t>包气带防污性能</w:t>
            </w:r>
          </w:p>
        </w:tc>
        <w:tc>
          <w:tcPr>
            <w:tcW w:w="3412" w:type="pct"/>
            <w:gridSpan w:val="3"/>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宋体"/>
                <w:bCs/>
                <w:kern w:val="0"/>
                <w:sz w:val="21"/>
              </w:rPr>
            </w:pPr>
            <w:r>
              <w:rPr>
                <w:rFonts w:eastAsia="宋体"/>
                <w:kern w:val="0"/>
                <w:sz w:val="21"/>
              </w:rPr>
              <w:t>地下水功能敏感性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88" w:type="pct"/>
            <w:vMerge w:val="continue"/>
            <w:tcBorders>
              <w:top w:val="single" w:color="auto" w:sz="12" w:space="0"/>
              <w:left w:val="single" w:color="auto" w:sz="4" w:space="0"/>
              <w:bottom w:val="single" w:color="auto" w:sz="4" w:space="0"/>
              <w:right w:val="single" w:color="auto" w:sz="4" w:space="0"/>
            </w:tcBorders>
            <w:vAlign w:val="center"/>
          </w:tcPr>
          <w:p>
            <w:pPr>
              <w:widowControl/>
              <w:jc w:val="left"/>
              <w:rPr>
                <w:rFonts w:eastAsia="宋体"/>
                <w:bCs/>
                <w:kern w:val="0"/>
                <w:sz w:val="21"/>
              </w:rPr>
            </w:pPr>
          </w:p>
        </w:tc>
        <w:tc>
          <w:tcPr>
            <w:tcW w:w="1066"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宋体"/>
                <w:bCs/>
                <w:kern w:val="0"/>
                <w:sz w:val="21"/>
              </w:rPr>
            </w:pPr>
            <w:r>
              <w:rPr>
                <w:rFonts w:eastAsia="宋体"/>
                <w:bCs/>
                <w:kern w:val="0"/>
                <w:sz w:val="21"/>
              </w:rPr>
              <w:t>G1</w:t>
            </w:r>
          </w:p>
        </w:tc>
        <w:tc>
          <w:tcPr>
            <w:tcW w:w="1173"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宋体"/>
                <w:bCs/>
                <w:kern w:val="0"/>
                <w:sz w:val="21"/>
              </w:rPr>
            </w:pPr>
            <w:r>
              <w:rPr>
                <w:rFonts w:eastAsia="宋体"/>
                <w:bCs/>
                <w:kern w:val="0"/>
                <w:sz w:val="21"/>
              </w:rPr>
              <w:t>G2</w:t>
            </w:r>
          </w:p>
        </w:tc>
        <w:tc>
          <w:tcPr>
            <w:tcW w:w="1173"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宋体"/>
                <w:bCs/>
                <w:kern w:val="0"/>
                <w:sz w:val="21"/>
              </w:rPr>
            </w:pPr>
            <w:r>
              <w:rPr>
                <w:rFonts w:eastAsia="宋体"/>
                <w:bCs/>
                <w:kern w:val="0"/>
                <w:sz w:val="21"/>
              </w:rPr>
              <w:t>G3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88"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宋体"/>
                <w:bCs/>
                <w:kern w:val="0"/>
                <w:sz w:val="21"/>
              </w:rPr>
            </w:pPr>
            <w:r>
              <w:rPr>
                <w:rFonts w:eastAsia="宋体"/>
                <w:bCs/>
                <w:kern w:val="0"/>
                <w:sz w:val="21"/>
              </w:rPr>
              <w:t>D1</w:t>
            </w:r>
          </w:p>
        </w:tc>
        <w:tc>
          <w:tcPr>
            <w:tcW w:w="1066"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宋体"/>
                <w:bCs/>
                <w:kern w:val="0"/>
                <w:sz w:val="21"/>
              </w:rPr>
            </w:pPr>
            <w:r>
              <w:rPr>
                <w:rFonts w:eastAsia="宋体"/>
                <w:bCs/>
                <w:kern w:val="0"/>
                <w:sz w:val="21"/>
              </w:rPr>
              <w:t>E1</w:t>
            </w:r>
          </w:p>
        </w:tc>
        <w:tc>
          <w:tcPr>
            <w:tcW w:w="1173"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宋体"/>
                <w:bCs/>
                <w:kern w:val="0"/>
                <w:sz w:val="21"/>
              </w:rPr>
            </w:pPr>
            <w:r>
              <w:rPr>
                <w:rFonts w:eastAsia="宋体"/>
                <w:bCs/>
                <w:kern w:val="0"/>
                <w:sz w:val="21"/>
              </w:rPr>
              <w:t>E1</w:t>
            </w:r>
          </w:p>
        </w:tc>
        <w:tc>
          <w:tcPr>
            <w:tcW w:w="1173"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宋体"/>
                <w:bCs/>
                <w:kern w:val="0"/>
                <w:sz w:val="21"/>
              </w:rPr>
            </w:pPr>
            <w:r>
              <w:rPr>
                <w:rFonts w:eastAsia="宋体"/>
                <w:bCs/>
                <w:kern w:val="0"/>
                <w:sz w:val="21"/>
              </w:rPr>
              <w:t>E2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88"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宋体"/>
                <w:bCs/>
                <w:kern w:val="0"/>
                <w:sz w:val="21"/>
              </w:rPr>
            </w:pPr>
            <w:r>
              <w:rPr>
                <w:rFonts w:eastAsia="宋体"/>
                <w:bCs/>
                <w:kern w:val="0"/>
                <w:sz w:val="21"/>
              </w:rPr>
              <w:t>D2</w:t>
            </w:r>
          </w:p>
        </w:tc>
        <w:tc>
          <w:tcPr>
            <w:tcW w:w="1066"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宋体"/>
                <w:bCs/>
                <w:kern w:val="0"/>
                <w:sz w:val="21"/>
              </w:rPr>
            </w:pPr>
            <w:r>
              <w:rPr>
                <w:rFonts w:eastAsia="宋体"/>
                <w:bCs/>
                <w:kern w:val="0"/>
                <w:sz w:val="21"/>
              </w:rPr>
              <w:t>E1</w:t>
            </w:r>
          </w:p>
        </w:tc>
        <w:tc>
          <w:tcPr>
            <w:tcW w:w="1173"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宋体"/>
                <w:bCs/>
                <w:kern w:val="0"/>
                <w:sz w:val="21"/>
              </w:rPr>
            </w:pPr>
            <w:r>
              <w:rPr>
                <w:rFonts w:eastAsia="宋体"/>
                <w:bCs/>
                <w:kern w:val="0"/>
                <w:sz w:val="21"/>
              </w:rPr>
              <w:t>E2</w:t>
            </w:r>
          </w:p>
        </w:tc>
        <w:tc>
          <w:tcPr>
            <w:tcW w:w="1173"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宋体"/>
                <w:bCs/>
                <w:kern w:val="0"/>
                <w:sz w:val="21"/>
              </w:rPr>
            </w:pPr>
            <w:r>
              <w:rPr>
                <w:rFonts w:eastAsia="宋体"/>
                <w:bCs/>
                <w:kern w:val="0"/>
                <w:sz w:val="21"/>
              </w:rPr>
              <w:t>E3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88"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宋体"/>
                <w:bCs/>
                <w:kern w:val="0"/>
                <w:sz w:val="21"/>
              </w:rPr>
            </w:pPr>
            <w:r>
              <w:rPr>
                <w:rFonts w:eastAsia="宋体"/>
                <w:bCs/>
                <w:kern w:val="0"/>
                <w:sz w:val="21"/>
              </w:rPr>
              <w:t>D3</w:t>
            </w:r>
          </w:p>
        </w:tc>
        <w:tc>
          <w:tcPr>
            <w:tcW w:w="1066"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宋体"/>
                <w:bCs/>
                <w:kern w:val="0"/>
                <w:sz w:val="21"/>
              </w:rPr>
            </w:pPr>
            <w:r>
              <w:rPr>
                <w:rFonts w:eastAsia="宋体"/>
                <w:bCs/>
                <w:kern w:val="0"/>
                <w:sz w:val="21"/>
              </w:rPr>
              <w:t>E1</w:t>
            </w:r>
          </w:p>
        </w:tc>
        <w:tc>
          <w:tcPr>
            <w:tcW w:w="1173"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宋体"/>
                <w:bCs/>
                <w:kern w:val="0"/>
                <w:sz w:val="21"/>
              </w:rPr>
            </w:pPr>
            <w:r>
              <w:rPr>
                <w:rFonts w:eastAsia="宋体"/>
                <w:bCs/>
                <w:kern w:val="0"/>
                <w:sz w:val="21"/>
              </w:rPr>
              <w:t>E2</w:t>
            </w:r>
          </w:p>
        </w:tc>
        <w:tc>
          <w:tcPr>
            <w:tcW w:w="1173"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宋体"/>
                <w:bCs/>
                <w:kern w:val="0"/>
                <w:sz w:val="21"/>
              </w:rPr>
            </w:pPr>
            <w:r>
              <w:rPr>
                <w:rFonts w:eastAsia="宋体"/>
                <w:bCs/>
                <w:kern w:val="0"/>
                <w:sz w:val="21"/>
              </w:rPr>
              <w:t>E3</w:t>
            </w:r>
          </w:p>
        </w:tc>
      </w:tr>
    </w:tbl>
    <w:p>
      <w:pPr>
        <w:pStyle w:val="14"/>
        <w:spacing w:line="240" w:lineRule="auto"/>
        <w:rPr>
          <w:bCs/>
        </w:rPr>
      </w:pPr>
      <w:r>
        <w:rPr>
          <w:bCs/>
        </w:rPr>
        <w:t>表</w:t>
      </w:r>
      <w:r>
        <w:rPr>
          <w:bCs/>
        </w:rPr>
        <w:fldChar w:fldCharType="begin"/>
      </w:r>
      <w:r>
        <w:rPr>
          <w:bCs/>
        </w:rPr>
        <w:instrText xml:space="preserve"> STYLEREF 2 \s </w:instrText>
      </w:r>
      <w:r>
        <w:rPr>
          <w:bCs/>
        </w:rPr>
        <w:fldChar w:fldCharType="separate"/>
      </w:r>
      <w:r>
        <w:rPr>
          <w:bCs/>
        </w:rPr>
        <w:t>7.3</w:t>
      </w:r>
      <w:r>
        <w:rPr>
          <w:bCs/>
        </w:rPr>
        <w:fldChar w:fldCharType="end"/>
      </w:r>
      <w:r>
        <w:rPr>
          <w:bCs/>
        </w:rPr>
        <w:noBreakHyphen/>
      </w:r>
      <w:r>
        <w:rPr>
          <w:bCs/>
        </w:rPr>
        <w:fldChar w:fldCharType="begin"/>
      </w:r>
      <w:r>
        <w:rPr>
          <w:bCs/>
        </w:rPr>
        <w:instrText xml:space="preserve"> SEQ 表 \* ARABIC \s 2 </w:instrText>
      </w:r>
      <w:r>
        <w:rPr>
          <w:bCs/>
        </w:rPr>
        <w:fldChar w:fldCharType="separate"/>
      </w:r>
      <w:r>
        <w:rPr>
          <w:bCs/>
        </w:rPr>
        <w:t>8</w:t>
      </w:r>
      <w:r>
        <w:rPr>
          <w:bCs/>
        </w:rPr>
        <w:fldChar w:fldCharType="end"/>
      </w:r>
      <w:r>
        <w:rPr>
          <w:rFonts w:hint="eastAsia"/>
          <w:bCs/>
        </w:rPr>
        <w:t xml:space="preserve">  </w:t>
      </w:r>
      <w:r>
        <w:rPr>
          <w:bCs/>
        </w:rPr>
        <w:t>地下水功能敏感性分析</w:t>
      </w:r>
    </w:p>
    <w:tbl>
      <w:tblPr>
        <w:tblStyle w:val="39"/>
        <w:tblW w:w="51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6"/>
        <w:gridCol w:w="8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vAlign w:val="center"/>
          </w:tcPr>
          <w:p>
            <w:pPr>
              <w:autoSpaceDE w:val="0"/>
              <w:autoSpaceDN w:val="0"/>
              <w:spacing w:line="240" w:lineRule="exact"/>
              <w:jc w:val="center"/>
              <w:rPr>
                <w:rFonts w:eastAsia="宋体"/>
                <w:bCs/>
                <w:kern w:val="0"/>
                <w:sz w:val="21"/>
              </w:rPr>
            </w:pPr>
            <w:r>
              <w:rPr>
                <w:rFonts w:eastAsia="宋体"/>
                <w:kern w:val="0"/>
                <w:sz w:val="21"/>
              </w:rPr>
              <w:t>分级</w:t>
            </w:r>
          </w:p>
        </w:tc>
        <w:tc>
          <w:tcPr>
            <w:tcW w:w="4295" w:type="pct"/>
            <w:vAlign w:val="center"/>
          </w:tcPr>
          <w:p>
            <w:pPr>
              <w:autoSpaceDE w:val="0"/>
              <w:autoSpaceDN w:val="0"/>
              <w:spacing w:line="240" w:lineRule="exact"/>
              <w:jc w:val="center"/>
              <w:rPr>
                <w:rFonts w:eastAsia="宋体"/>
                <w:bCs/>
                <w:kern w:val="0"/>
                <w:sz w:val="21"/>
              </w:rPr>
            </w:pPr>
            <w:r>
              <w:rPr>
                <w:rFonts w:eastAsia="宋体"/>
                <w:kern w:val="0"/>
                <w:sz w:val="21"/>
              </w:rPr>
              <w:t>地下水环境敏感特征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705" w:type="pct"/>
            <w:vAlign w:val="center"/>
          </w:tcPr>
          <w:p>
            <w:pPr>
              <w:autoSpaceDE w:val="0"/>
              <w:autoSpaceDN w:val="0"/>
              <w:spacing w:line="240" w:lineRule="exact"/>
              <w:jc w:val="center"/>
              <w:rPr>
                <w:rFonts w:eastAsia="宋体"/>
                <w:bCs/>
                <w:kern w:val="0"/>
                <w:sz w:val="21"/>
              </w:rPr>
            </w:pPr>
            <w:r>
              <w:rPr>
                <w:rFonts w:eastAsia="宋体"/>
                <w:bCs/>
                <w:kern w:val="0"/>
                <w:sz w:val="21"/>
              </w:rPr>
              <w:t>敏感G1</w:t>
            </w:r>
          </w:p>
        </w:tc>
        <w:tc>
          <w:tcPr>
            <w:tcW w:w="4295" w:type="pct"/>
            <w:vAlign w:val="center"/>
          </w:tcPr>
          <w:p>
            <w:pPr>
              <w:autoSpaceDE w:val="0"/>
              <w:autoSpaceDN w:val="0"/>
              <w:spacing w:line="240" w:lineRule="exact"/>
              <w:jc w:val="center"/>
              <w:rPr>
                <w:rFonts w:eastAsia="宋体"/>
                <w:bCs/>
                <w:kern w:val="0"/>
                <w:sz w:val="21"/>
              </w:rPr>
            </w:pPr>
            <w:r>
              <w:rPr>
                <w:rFonts w:eastAsia="宋体"/>
                <w:bCs/>
                <w:kern w:val="0"/>
                <w:sz w:val="21"/>
              </w:rPr>
              <w:t>集中式饮用水水源（包括已建成的在用、备用、应急水源，在建和规划的饮用水源）准保护区；除集中式饮用水水源以外的国家或地方政府设定的与地下水环境相关的其他保护区，如热水、矿泉水、温泉等特殊地下水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vAlign w:val="center"/>
          </w:tcPr>
          <w:p>
            <w:pPr>
              <w:autoSpaceDE w:val="0"/>
              <w:autoSpaceDN w:val="0"/>
              <w:spacing w:line="240" w:lineRule="exact"/>
              <w:jc w:val="center"/>
              <w:rPr>
                <w:rFonts w:eastAsia="宋体"/>
                <w:bCs/>
                <w:kern w:val="0"/>
                <w:sz w:val="21"/>
              </w:rPr>
            </w:pPr>
            <w:r>
              <w:rPr>
                <w:rFonts w:eastAsia="宋体"/>
                <w:bCs/>
                <w:kern w:val="0"/>
                <w:sz w:val="21"/>
              </w:rPr>
              <w:t>较敏感G2</w:t>
            </w:r>
          </w:p>
        </w:tc>
        <w:tc>
          <w:tcPr>
            <w:tcW w:w="4295" w:type="pct"/>
            <w:vAlign w:val="center"/>
          </w:tcPr>
          <w:p>
            <w:pPr>
              <w:autoSpaceDE w:val="0"/>
              <w:autoSpaceDN w:val="0"/>
              <w:spacing w:line="240" w:lineRule="exact"/>
              <w:jc w:val="center"/>
              <w:rPr>
                <w:rFonts w:eastAsia="宋体"/>
                <w:bCs/>
                <w:kern w:val="0"/>
                <w:sz w:val="21"/>
              </w:rPr>
            </w:pPr>
            <w:r>
              <w:rPr>
                <w:rFonts w:eastAsia="宋体"/>
                <w:bCs/>
                <w:kern w:val="0"/>
                <w:sz w:val="21"/>
              </w:rPr>
              <w:t>集中式饮用水水源（包括已建成的在用、备用、应急水源，在建和规划的饮用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w:t>
            </w:r>
            <w:r>
              <w:rPr>
                <w:rFonts w:eastAsia="宋体"/>
                <w:bCs/>
                <w:kern w:val="0"/>
                <w:sz w:val="21"/>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vAlign w:val="center"/>
          </w:tcPr>
          <w:p>
            <w:pPr>
              <w:autoSpaceDE w:val="0"/>
              <w:autoSpaceDN w:val="0"/>
              <w:spacing w:line="240" w:lineRule="exact"/>
              <w:jc w:val="center"/>
              <w:rPr>
                <w:rFonts w:eastAsia="宋体"/>
                <w:bCs/>
                <w:kern w:val="0"/>
                <w:sz w:val="21"/>
              </w:rPr>
            </w:pPr>
            <w:r>
              <w:rPr>
                <w:rFonts w:eastAsia="宋体"/>
                <w:bCs/>
                <w:kern w:val="0"/>
                <w:sz w:val="21"/>
              </w:rPr>
              <w:t>不敏感G3</w:t>
            </w:r>
          </w:p>
        </w:tc>
        <w:tc>
          <w:tcPr>
            <w:tcW w:w="4295" w:type="pct"/>
            <w:vAlign w:val="center"/>
          </w:tcPr>
          <w:p>
            <w:pPr>
              <w:autoSpaceDE w:val="0"/>
              <w:autoSpaceDN w:val="0"/>
              <w:spacing w:line="240" w:lineRule="exact"/>
              <w:jc w:val="center"/>
              <w:rPr>
                <w:rFonts w:eastAsia="宋体"/>
                <w:bCs/>
                <w:kern w:val="0"/>
                <w:sz w:val="21"/>
              </w:rPr>
            </w:pPr>
            <w:r>
              <w:rPr>
                <w:rFonts w:eastAsia="宋体"/>
                <w:bCs/>
                <w:kern w:val="0"/>
                <w:sz w:val="21"/>
              </w:rPr>
              <w:t>上述地区之外的其他地区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vAlign w:val="center"/>
          </w:tcPr>
          <w:p>
            <w:pPr>
              <w:autoSpaceDE w:val="0"/>
              <w:autoSpaceDN w:val="0"/>
              <w:spacing w:line="240" w:lineRule="exact"/>
              <w:jc w:val="center"/>
              <w:rPr>
                <w:rFonts w:eastAsia="宋体"/>
                <w:bCs/>
                <w:kern w:val="0"/>
                <w:sz w:val="21"/>
              </w:rPr>
            </w:pPr>
            <w:r>
              <w:rPr>
                <w:rFonts w:eastAsia="宋体"/>
                <w:bCs/>
                <w:kern w:val="0"/>
                <w:sz w:val="21"/>
              </w:rPr>
              <w:t>a“</w:t>
            </w:r>
            <w:r>
              <w:rPr>
                <w:rFonts w:ascii="宋体" w:hAnsi="宋体" w:eastAsia="宋体"/>
                <w:bCs/>
                <w:kern w:val="0"/>
                <w:sz w:val="21"/>
              </w:rPr>
              <w:t>环境敏感区</w:t>
            </w:r>
            <w:r>
              <w:rPr>
                <w:rFonts w:eastAsia="宋体"/>
                <w:bCs/>
                <w:kern w:val="0"/>
                <w:sz w:val="21"/>
              </w:rPr>
              <w:t>”</w:t>
            </w:r>
            <w:r>
              <w:rPr>
                <w:rFonts w:ascii="宋体" w:hAnsi="宋体" w:eastAsia="宋体"/>
                <w:bCs/>
                <w:kern w:val="0"/>
                <w:sz w:val="21"/>
              </w:rPr>
              <w:t>是指《建设项目环境影响评价分类管理名录》中所界定的涉及地下水的环境敏感区</w:t>
            </w:r>
          </w:p>
        </w:tc>
      </w:tr>
    </w:tbl>
    <w:p>
      <w:pPr>
        <w:pStyle w:val="14"/>
        <w:spacing w:line="240" w:lineRule="auto"/>
        <w:rPr>
          <w:bCs/>
        </w:rPr>
      </w:pPr>
      <w:r>
        <w:rPr>
          <w:bCs/>
        </w:rPr>
        <w:t>表</w:t>
      </w:r>
      <w:r>
        <w:rPr>
          <w:bCs/>
        </w:rPr>
        <w:fldChar w:fldCharType="begin"/>
      </w:r>
      <w:r>
        <w:rPr>
          <w:bCs/>
        </w:rPr>
        <w:instrText xml:space="preserve"> STYLEREF 2 \s </w:instrText>
      </w:r>
      <w:r>
        <w:rPr>
          <w:bCs/>
        </w:rPr>
        <w:fldChar w:fldCharType="separate"/>
      </w:r>
      <w:r>
        <w:rPr>
          <w:bCs/>
        </w:rPr>
        <w:t>7.3</w:t>
      </w:r>
      <w:r>
        <w:rPr>
          <w:bCs/>
        </w:rPr>
        <w:fldChar w:fldCharType="end"/>
      </w:r>
      <w:r>
        <w:rPr>
          <w:bCs/>
        </w:rPr>
        <w:noBreakHyphen/>
      </w:r>
      <w:r>
        <w:rPr>
          <w:bCs/>
        </w:rPr>
        <w:fldChar w:fldCharType="begin"/>
      </w:r>
      <w:r>
        <w:rPr>
          <w:bCs/>
        </w:rPr>
        <w:instrText xml:space="preserve"> SEQ 表 \* ARABIC \s 2 </w:instrText>
      </w:r>
      <w:r>
        <w:rPr>
          <w:bCs/>
        </w:rPr>
        <w:fldChar w:fldCharType="separate"/>
      </w:r>
      <w:r>
        <w:rPr>
          <w:bCs/>
        </w:rPr>
        <w:t>9</w:t>
      </w:r>
      <w:r>
        <w:rPr>
          <w:bCs/>
        </w:rPr>
        <w:fldChar w:fldCharType="end"/>
      </w:r>
      <w:r>
        <w:rPr>
          <w:rFonts w:hint="eastAsia"/>
          <w:bCs/>
        </w:rPr>
        <w:t xml:space="preserve"> </w:t>
      </w:r>
      <w:r>
        <w:rPr>
          <w:bCs/>
        </w:rPr>
        <w:t>包气带防污性能分级</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5"/>
        <w:gridCol w:w="8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4" w:type="pct"/>
            <w:vAlign w:val="center"/>
          </w:tcPr>
          <w:p>
            <w:pPr>
              <w:autoSpaceDE w:val="0"/>
              <w:autoSpaceDN w:val="0"/>
              <w:jc w:val="center"/>
              <w:rPr>
                <w:rFonts w:eastAsia="宋体"/>
                <w:bCs/>
                <w:kern w:val="0"/>
                <w:sz w:val="21"/>
              </w:rPr>
            </w:pPr>
            <w:r>
              <w:rPr>
                <w:rFonts w:eastAsia="宋体"/>
                <w:kern w:val="0"/>
                <w:sz w:val="21"/>
              </w:rPr>
              <w:t>分级</w:t>
            </w:r>
          </w:p>
        </w:tc>
        <w:tc>
          <w:tcPr>
            <w:tcW w:w="4526" w:type="pct"/>
            <w:vAlign w:val="center"/>
          </w:tcPr>
          <w:p>
            <w:pPr>
              <w:autoSpaceDE w:val="0"/>
              <w:autoSpaceDN w:val="0"/>
              <w:jc w:val="center"/>
              <w:rPr>
                <w:rFonts w:eastAsia="宋体"/>
                <w:bCs/>
                <w:kern w:val="0"/>
                <w:sz w:val="21"/>
              </w:rPr>
            </w:pPr>
            <w:r>
              <w:rPr>
                <w:rFonts w:eastAsia="宋体"/>
                <w:kern w:val="0"/>
                <w:sz w:val="21"/>
              </w:rPr>
              <w:t>包气带岩土的渗透性能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4" w:type="pct"/>
            <w:vAlign w:val="center"/>
          </w:tcPr>
          <w:p>
            <w:pPr>
              <w:autoSpaceDE w:val="0"/>
              <w:autoSpaceDN w:val="0"/>
              <w:jc w:val="center"/>
              <w:rPr>
                <w:rFonts w:eastAsia="宋体"/>
                <w:bCs/>
                <w:kern w:val="0"/>
                <w:sz w:val="21"/>
              </w:rPr>
            </w:pPr>
            <w:r>
              <w:rPr>
                <w:rFonts w:eastAsia="宋体"/>
                <w:bCs/>
                <w:kern w:val="0"/>
                <w:sz w:val="21"/>
              </w:rPr>
              <w:t>D1</w:t>
            </w:r>
          </w:p>
        </w:tc>
        <w:tc>
          <w:tcPr>
            <w:tcW w:w="4526" w:type="pct"/>
            <w:vAlign w:val="center"/>
          </w:tcPr>
          <w:p>
            <w:pPr>
              <w:autoSpaceDE w:val="0"/>
              <w:autoSpaceDN w:val="0"/>
              <w:jc w:val="center"/>
              <w:rPr>
                <w:rFonts w:eastAsia="宋体"/>
                <w:bCs/>
                <w:kern w:val="0"/>
                <w:sz w:val="21"/>
              </w:rPr>
            </w:pPr>
            <w:r>
              <w:rPr>
                <w:rFonts w:eastAsia="宋体"/>
                <w:bCs/>
                <w:kern w:val="0"/>
                <w:sz w:val="21"/>
              </w:rPr>
              <w:t>Mb≥1.0m</w:t>
            </w:r>
            <w:r>
              <w:rPr>
                <w:rFonts w:ascii="宋体" w:hAnsi="宋体" w:eastAsia="宋体"/>
                <w:bCs/>
                <w:kern w:val="0"/>
                <w:sz w:val="21"/>
              </w:rPr>
              <w:t>，</w:t>
            </w:r>
            <w:r>
              <w:rPr>
                <w:rFonts w:eastAsia="宋体"/>
                <w:bCs/>
                <w:kern w:val="0"/>
                <w:sz w:val="21"/>
              </w:rPr>
              <w:t>K≤1.0×10</w:t>
            </w:r>
            <w:r>
              <w:rPr>
                <w:rFonts w:eastAsia="宋体"/>
                <w:bCs/>
                <w:kern w:val="0"/>
                <w:sz w:val="21"/>
                <w:vertAlign w:val="superscript"/>
              </w:rPr>
              <w:t>-6</w:t>
            </w:r>
            <w:r>
              <w:rPr>
                <w:rFonts w:eastAsia="宋体"/>
                <w:bCs/>
                <w:kern w:val="0"/>
                <w:sz w:val="21"/>
              </w:rPr>
              <w:t>cm/s</w:t>
            </w:r>
            <w:r>
              <w:rPr>
                <w:rFonts w:ascii="宋体" w:hAnsi="宋体" w:eastAsia="宋体"/>
                <w:bCs/>
                <w:kern w:val="0"/>
                <w:sz w:val="21"/>
              </w:rPr>
              <w:t>，且分布连续、稳定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4" w:type="pct"/>
            <w:vAlign w:val="center"/>
          </w:tcPr>
          <w:p>
            <w:pPr>
              <w:autoSpaceDE w:val="0"/>
              <w:autoSpaceDN w:val="0"/>
              <w:jc w:val="center"/>
              <w:rPr>
                <w:rFonts w:eastAsia="宋体"/>
                <w:bCs/>
                <w:kern w:val="0"/>
                <w:sz w:val="21"/>
              </w:rPr>
            </w:pPr>
            <w:r>
              <w:rPr>
                <w:rFonts w:eastAsia="宋体"/>
                <w:bCs/>
                <w:kern w:val="0"/>
                <w:sz w:val="21"/>
              </w:rPr>
              <w:t>D2</w:t>
            </w:r>
          </w:p>
        </w:tc>
        <w:tc>
          <w:tcPr>
            <w:tcW w:w="4526" w:type="pct"/>
            <w:vAlign w:val="center"/>
          </w:tcPr>
          <w:p>
            <w:pPr>
              <w:autoSpaceDE w:val="0"/>
              <w:autoSpaceDN w:val="0"/>
              <w:jc w:val="center"/>
              <w:rPr>
                <w:rFonts w:eastAsia="宋体"/>
                <w:bCs/>
                <w:kern w:val="0"/>
                <w:sz w:val="21"/>
              </w:rPr>
            </w:pPr>
            <w:r>
              <w:rPr>
                <w:rFonts w:eastAsia="宋体"/>
                <w:bCs/>
                <w:kern w:val="0"/>
                <w:sz w:val="21"/>
              </w:rPr>
              <w:t>0.5m≤Mb</w:t>
            </w:r>
            <w:r>
              <w:rPr>
                <w:rFonts w:ascii="宋体" w:hAnsi="宋体" w:eastAsia="宋体"/>
                <w:bCs/>
                <w:kern w:val="0"/>
                <w:sz w:val="21"/>
              </w:rPr>
              <w:t>＜</w:t>
            </w:r>
            <w:r>
              <w:rPr>
                <w:rFonts w:eastAsia="宋体"/>
                <w:bCs/>
                <w:kern w:val="0"/>
                <w:sz w:val="21"/>
              </w:rPr>
              <w:t>1.0m</w:t>
            </w:r>
            <w:r>
              <w:rPr>
                <w:rFonts w:ascii="宋体" w:hAnsi="宋体" w:eastAsia="宋体"/>
                <w:bCs/>
                <w:kern w:val="0"/>
                <w:sz w:val="21"/>
              </w:rPr>
              <w:t>，</w:t>
            </w:r>
            <w:r>
              <w:rPr>
                <w:rFonts w:eastAsia="宋体"/>
                <w:bCs/>
                <w:kern w:val="0"/>
                <w:sz w:val="21"/>
              </w:rPr>
              <w:t>K≤1.0×10</w:t>
            </w:r>
            <w:r>
              <w:rPr>
                <w:rFonts w:eastAsia="宋体"/>
                <w:bCs/>
                <w:kern w:val="0"/>
                <w:sz w:val="21"/>
                <w:vertAlign w:val="superscript"/>
              </w:rPr>
              <w:t>-6</w:t>
            </w:r>
            <w:r>
              <w:rPr>
                <w:rFonts w:eastAsia="宋体"/>
                <w:bCs/>
                <w:kern w:val="0"/>
                <w:sz w:val="21"/>
              </w:rPr>
              <w:t>cm/s</w:t>
            </w:r>
            <w:r>
              <w:rPr>
                <w:rFonts w:ascii="宋体" w:hAnsi="宋体" w:eastAsia="宋体"/>
                <w:bCs/>
                <w:kern w:val="0"/>
                <w:sz w:val="21"/>
              </w:rPr>
              <w:t>，且分布连续、稳定</w:t>
            </w:r>
          </w:p>
          <w:p>
            <w:pPr>
              <w:autoSpaceDE w:val="0"/>
              <w:autoSpaceDN w:val="0"/>
              <w:jc w:val="center"/>
              <w:rPr>
                <w:rFonts w:eastAsia="宋体"/>
                <w:bCs/>
                <w:kern w:val="0"/>
                <w:sz w:val="21"/>
              </w:rPr>
            </w:pPr>
            <w:r>
              <w:rPr>
                <w:rFonts w:eastAsia="宋体"/>
                <w:bCs/>
                <w:kern w:val="0"/>
                <w:sz w:val="21"/>
              </w:rPr>
              <w:t>Mb≥1.0m</w:t>
            </w:r>
            <w:r>
              <w:rPr>
                <w:rFonts w:ascii="宋体" w:hAnsi="宋体" w:eastAsia="宋体"/>
                <w:bCs/>
                <w:kern w:val="0"/>
                <w:sz w:val="21"/>
              </w:rPr>
              <w:t>，</w:t>
            </w:r>
            <w:r>
              <w:rPr>
                <w:rFonts w:eastAsia="宋体"/>
                <w:bCs/>
                <w:kern w:val="0"/>
                <w:sz w:val="21"/>
              </w:rPr>
              <w:t>1.0×10</w:t>
            </w:r>
            <w:r>
              <w:rPr>
                <w:rFonts w:eastAsia="宋体"/>
                <w:bCs/>
                <w:kern w:val="0"/>
                <w:sz w:val="21"/>
                <w:vertAlign w:val="superscript"/>
              </w:rPr>
              <w:t>-6</w:t>
            </w:r>
            <w:r>
              <w:rPr>
                <w:rFonts w:eastAsia="宋体"/>
                <w:bCs/>
                <w:kern w:val="0"/>
                <w:sz w:val="21"/>
              </w:rPr>
              <w:t>cm/s≤ K≤1.0×10</w:t>
            </w:r>
            <w:r>
              <w:rPr>
                <w:rFonts w:eastAsia="宋体"/>
                <w:bCs/>
                <w:kern w:val="0"/>
                <w:sz w:val="21"/>
                <w:vertAlign w:val="superscript"/>
              </w:rPr>
              <w:t>-4</w:t>
            </w:r>
            <w:r>
              <w:rPr>
                <w:rFonts w:eastAsia="宋体"/>
                <w:bCs/>
                <w:kern w:val="0"/>
                <w:sz w:val="21"/>
              </w:rPr>
              <w:t>cm/s</w:t>
            </w:r>
            <w:r>
              <w:rPr>
                <w:rFonts w:ascii="宋体" w:hAnsi="宋体" w:eastAsia="宋体"/>
                <w:bCs/>
                <w:kern w:val="0"/>
                <w:sz w:val="21"/>
              </w:rPr>
              <w:t>，且分布连续、稳定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4" w:type="pct"/>
            <w:vAlign w:val="center"/>
          </w:tcPr>
          <w:p>
            <w:pPr>
              <w:autoSpaceDE w:val="0"/>
              <w:autoSpaceDN w:val="0"/>
              <w:jc w:val="center"/>
              <w:rPr>
                <w:rFonts w:eastAsia="宋体"/>
                <w:bCs/>
                <w:kern w:val="0"/>
                <w:sz w:val="21"/>
              </w:rPr>
            </w:pPr>
            <w:r>
              <w:rPr>
                <w:rFonts w:eastAsia="宋体"/>
                <w:bCs/>
                <w:kern w:val="0"/>
                <w:sz w:val="21"/>
              </w:rPr>
              <w:t>D3</w:t>
            </w:r>
          </w:p>
        </w:tc>
        <w:tc>
          <w:tcPr>
            <w:tcW w:w="4526" w:type="pct"/>
            <w:vAlign w:val="center"/>
          </w:tcPr>
          <w:p>
            <w:pPr>
              <w:autoSpaceDE w:val="0"/>
              <w:autoSpaceDN w:val="0"/>
              <w:jc w:val="center"/>
              <w:rPr>
                <w:rFonts w:eastAsia="宋体"/>
                <w:bCs/>
                <w:kern w:val="0"/>
                <w:sz w:val="21"/>
              </w:rPr>
            </w:pPr>
            <w:r>
              <w:rPr>
                <w:rFonts w:eastAsia="宋体"/>
                <w:bCs/>
                <w:kern w:val="0"/>
                <w:sz w:val="21"/>
              </w:rPr>
              <w:t>岩（土）层不满足上述“D2”</w:t>
            </w:r>
            <w:r>
              <w:rPr>
                <w:rFonts w:ascii="宋体" w:hAnsi="宋体" w:eastAsia="宋体"/>
                <w:bCs/>
                <w:kern w:val="0"/>
                <w:sz w:val="21"/>
              </w:rPr>
              <w:t>和</w:t>
            </w:r>
            <w:r>
              <w:rPr>
                <w:rFonts w:eastAsia="宋体"/>
                <w:bCs/>
                <w:kern w:val="0"/>
                <w:sz w:val="21"/>
              </w:rPr>
              <w:t>“D3”</w:t>
            </w:r>
            <w:r>
              <w:rPr>
                <w:rFonts w:ascii="宋体" w:hAnsi="宋体" w:eastAsia="宋体"/>
                <w:bCs/>
                <w:kern w:val="0"/>
                <w:sz w:val="21"/>
              </w:rPr>
              <w:t>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2"/>
            <w:vAlign w:val="center"/>
          </w:tcPr>
          <w:p>
            <w:pPr>
              <w:autoSpaceDE w:val="0"/>
              <w:autoSpaceDN w:val="0"/>
              <w:jc w:val="center"/>
              <w:rPr>
                <w:rFonts w:eastAsia="宋体"/>
                <w:bCs/>
                <w:kern w:val="0"/>
                <w:sz w:val="21"/>
              </w:rPr>
            </w:pPr>
            <w:r>
              <w:rPr>
                <w:rFonts w:eastAsia="宋体"/>
                <w:bCs/>
                <w:kern w:val="0"/>
                <w:sz w:val="21"/>
              </w:rPr>
              <w:t>Mb:</w:t>
            </w:r>
            <w:r>
              <w:rPr>
                <w:rFonts w:ascii="宋体" w:hAnsi="宋体" w:eastAsia="宋体"/>
                <w:bCs/>
                <w:kern w:val="0"/>
                <w:sz w:val="21"/>
              </w:rPr>
              <w:t xml:space="preserve">岩土层单层厚度      </w:t>
            </w:r>
            <w:r>
              <w:rPr>
                <w:rFonts w:eastAsia="宋体"/>
                <w:bCs/>
                <w:kern w:val="0"/>
                <w:sz w:val="21"/>
              </w:rPr>
              <w:t>K</w:t>
            </w:r>
            <w:r>
              <w:rPr>
                <w:rFonts w:ascii="宋体" w:hAnsi="宋体" w:eastAsia="宋体"/>
                <w:bCs/>
                <w:kern w:val="0"/>
                <w:sz w:val="21"/>
              </w:rPr>
              <w:t>：渗透系数</w:t>
            </w:r>
          </w:p>
        </w:tc>
      </w:tr>
    </w:tbl>
    <w:p>
      <w:pPr>
        <w:pStyle w:val="14"/>
        <w:ind w:firstLine="480" w:firstLineChars="200"/>
        <w:jc w:val="left"/>
        <w:rPr>
          <w:b w:val="0"/>
          <w:bCs/>
        </w:rPr>
      </w:pPr>
      <w:r>
        <w:rPr>
          <w:rFonts w:hint="eastAsia"/>
          <w:b w:val="0"/>
          <w:bCs/>
        </w:rPr>
        <w:t>②本项目地下水环境敏感程度</w:t>
      </w:r>
    </w:p>
    <w:p>
      <w:pPr>
        <w:spacing w:line="360" w:lineRule="auto"/>
        <w:ind w:firstLine="480" w:firstLineChars="200"/>
        <w:rPr>
          <w:rFonts w:eastAsia="宋体" w:cs="Times New Roman"/>
          <w:color w:val="000000" w:themeColor="text1"/>
          <w:kern w:val="0"/>
          <w:szCs w:val="24"/>
        </w:rPr>
      </w:pPr>
      <w:r>
        <w:rPr>
          <w:rFonts w:hAnsi="宋体" w:eastAsia="宋体" w:cs="Times New Roman"/>
          <w:bCs/>
          <w:color w:val="000000" w:themeColor="text1"/>
          <w:kern w:val="0"/>
          <w:szCs w:val="24"/>
        </w:rPr>
        <w:t>本项目周边企业、居民饮用水均采用市政自来水供水，不涉及饮用水水源地，故本项目地下水功能不敏感（</w:t>
      </w:r>
      <w:r>
        <w:rPr>
          <w:rFonts w:eastAsia="宋体" w:cs="Times New Roman"/>
          <w:bCs/>
          <w:color w:val="000000" w:themeColor="text1"/>
          <w:kern w:val="0"/>
          <w:szCs w:val="24"/>
        </w:rPr>
        <w:t>G3</w:t>
      </w:r>
      <w:r>
        <w:rPr>
          <w:rFonts w:hAnsi="宋体" w:eastAsia="宋体" w:cs="Times New Roman"/>
          <w:bCs/>
          <w:color w:val="000000" w:themeColor="text1"/>
          <w:kern w:val="0"/>
          <w:szCs w:val="24"/>
        </w:rPr>
        <w:t>）。根据项目所在地的地质情况，评价区域及项目场区包气带主要为第四系全新统</w:t>
      </w:r>
      <w:r>
        <w:rPr>
          <w:rFonts w:eastAsia="宋体" w:cs="Times New Roman"/>
          <w:bCs/>
          <w:color w:val="000000" w:themeColor="text1"/>
          <w:kern w:val="0"/>
          <w:szCs w:val="24"/>
        </w:rPr>
        <w:t>—</w:t>
      </w:r>
      <w:r>
        <w:rPr>
          <w:rFonts w:hAnsi="宋体" w:eastAsia="宋体" w:cs="Times New Roman"/>
          <w:bCs/>
          <w:color w:val="000000" w:themeColor="text1"/>
          <w:kern w:val="0"/>
          <w:szCs w:val="24"/>
        </w:rPr>
        <w:t>更新统含砾粉质粘土，厚度一般</w:t>
      </w:r>
      <w:r>
        <w:rPr>
          <w:rFonts w:eastAsia="宋体" w:cs="Times New Roman"/>
          <w:bCs/>
          <w:color w:val="000000" w:themeColor="text1"/>
          <w:kern w:val="0"/>
          <w:szCs w:val="24"/>
        </w:rPr>
        <w:t>10</w:t>
      </w:r>
      <w:r>
        <w:rPr>
          <w:rFonts w:hAnsi="宋体" w:eastAsia="宋体" w:cs="Times New Roman"/>
          <w:bCs/>
          <w:color w:val="000000" w:themeColor="text1"/>
          <w:kern w:val="0"/>
          <w:szCs w:val="24"/>
        </w:rPr>
        <w:t>～</w:t>
      </w:r>
      <w:r>
        <w:rPr>
          <w:rFonts w:eastAsia="宋体" w:cs="Times New Roman"/>
          <w:bCs/>
          <w:color w:val="000000" w:themeColor="text1"/>
          <w:kern w:val="0"/>
          <w:szCs w:val="24"/>
        </w:rPr>
        <w:t>20m</w:t>
      </w:r>
      <w:r>
        <w:rPr>
          <w:rFonts w:hAnsi="宋体" w:eastAsia="宋体" w:cs="Times New Roman"/>
          <w:bCs/>
          <w:color w:val="000000" w:themeColor="text1"/>
          <w:kern w:val="0"/>
          <w:szCs w:val="24"/>
        </w:rPr>
        <w:t>，包气带厚度较厚，成分以粘、粉粒为主，颗粒较细。根据现场渗水试验，包气带渗透系数通过双环渗水试验渗透系数</w:t>
      </w:r>
      <w:r>
        <w:rPr>
          <w:rFonts w:eastAsia="宋体" w:cs="Times New Roman"/>
          <w:bCs/>
          <w:color w:val="000000" w:themeColor="text1"/>
          <w:kern w:val="0"/>
          <w:szCs w:val="24"/>
        </w:rPr>
        <w:t>K</w:t>
      </w:r>
      <w:r>
        <w:rPr>
          <w:rFonts w:hAnsi="宋体" w:eastAsia="宋体" w:cs="Times New Roman"/>
          <w:bCs/>
          <w:color w:val="000000" w:themeColor="text1"/>
          <w:kern w:val="0"/>
          <w:szCs w:val="24"/>
        </w:rPr>
        <w:t>＝</w:t>
      </w:r>
      <w:r>
        <w:rPr>
          <w:rFonts w:eastAsia="宋体" w:cs="Times New Roman"/>
          <w:bCs/>
          <w:color w:val="000000" w:themeColor="text1"/>
          <w:kern w:val="0"/>
          <w:szCs w:val="24"/>
        </w:rPr>
        <w:t>1.42×10</w:t>
      </w:r>
      <w:r>
        <w:rPr>
          <w:rFonts w:eastAsia="宋体" w:cs="Times New Roman"/>
          <w:bCs/>
          <w:color w:val="000000" w:themeColor="text1"/>
          <w:kern w:val="0"/>
          <w:szCs w:val="24"/>
          <w:vertAlign w:val="superscript"/>
        </w:rPr>
        <w:t>-5</w:t>
      </w:r>
      <w:r>
        <w:rPr>
          <w:rFonts w:eastAsia="宋体" w:cs="Times New Roman"/>
          <w:bCs/>
          <w:color w:val="000000" w:themeColor="text1"/>
          <w:kern w:val="0"/>
          <w:szCs w:val="24"/>
        </w:rPr>
        <w:t>cm/s</w:t>
      </w:r>
      <w:r>
        <w:rPr>
          <w:rFonts w:hAnsi="宋体" w:eastAsia="宋体" w:cs="Times New Roman"/>
          <w:bCs/>
          <w:color w:val="000000" w:themeColor="text1"/>
          <w:kern w:val="0"/>
          <w:szCs w:val="24"/>
        </w:rPr>
        <w:t>～</w:t>
      </w:r>
      <w:r>
        <w:rPr>
          <w:rFonts w:eastAsia="宋体" w:cs="Times New Roman"/>
          <w:bCs/>
          <w:color w:val="000000" w:themeColor="text1"/>
          <w:kern w:val="0"/>
          <w:szCs w:val="24"/>
        </w:rPr>
        <w:t>4.62×10</w:t>
      </w:r>
      <w:r>
        <w:rPr>
          <w:rFonts w:eastAsia="宋体" w:cs="Times New Roman"/>
          <w:bCs/>
          <w:color w:val="000000" w:themeColor="text1"/>
          <w:kern w:val="0"/>
          <w:szCs w:val="24"/>
          <w:vertAlign w:val="superscript"/>
        </w:rPr>
        <w:t>-5</w:t>
      </w:r>
      <w:r>
        <w:rPr>
          <w:rFonts w:eastAsia="宋体" w:cs="Times New Roman"/>
          <w:bCs/>
          <w:color w:val="000000" w:themeColor="text1"/>
          <w:kern w:val="0"/>
          <w:szCs w:val="24"/>
        </w:rPr>
        <w:t>cm/s</w:t>
      </w:r>
      <w:r>
        <w:rPr>
          <w:rFonts w:hAnsi="宋体" w:eastAsia="宋体" w:cs="Times New Roman"/>
          <w:bCs/>
          <w:color w:val="000000" w:themeColor="text1"/>
          <w:kern w:val="0"/>
          <w:szCs w:val="24"/>
        </w:rPr>
        <w:t>，微透水。由此可知，本项目包气带防污性能为</w:t>
      </w:r>
      <w:r>
        <w:rPr>
          <w:rFonts w:eastAsia="宋体" w:cs="Times New Roman"/>
          <w:bCs/>
          <w:color w:val="000000" w:themeColor="text1"/>
          <w:kern w:val="0"/>
          <w:szCs w:val="24"/>
        </w:rPr>
        <w:t>D2</w:t>
      </w:r>
      <w:r>
        <w:rPr>
          <w:rFonts w:hAnsi="宋体" w:eastAsia="宋体" w:cs="Times New Roman"/>
          <w:bCs/>
          <w:color w:val="000000" w:themeColor="text1"/>
          <w:kern w:val="0"/>
          <w:szCs w:val="24"/>
        </w:rPr>
        <w:t>。</w:t>
      </w:r>
    </w:p>
    <w:p>
      <w:pPr>
        <w:pStyle w:val="14"/>
        <w:spacing w:line="240" w:lineRule="auto"/>
        <w:rPr>
          <w:bCs/>
        </w:rPr>
      </w:pPr>
      <w:r>
        <w:t>表</w:t>
      </w:r>
      <w:r>
        <w:fldChar w:fldCharType="begin"/>
      </w:r>
      <w:r>
        <w:instrText xml:space="preserve"> STYLEREF 2 \s </w:instrText>
      </w:r>
      <w:r>
        <w:fldChar w:fldCharType="separate"/>
      </w:r>
      <w:r>
        <w:t>7.3</w:t>
      </w:r>
      <w:r>
        <w:fldChar w:fldCharType="end"/>
      </w:r>
      <w:r>
        <w:noBreakHyphen/>
      </w:r>
      <w:r>
        <w:fldChar w:fldCharType="begin"/>
      </w:r>
      <w:r>
        <w:instrText xml:space="preserve"> SEQ 表 \* ARABIC \s 2 </w:instrText>
      </w:r>
      <w:r>
        <w:fldChar w:fldCharType="separate"/>
      </w:r>
      <w:r>
        <w:t>10</w:t>
      </w:r>
      <w:r>
        <w:fldChar w:fldCharType="end"/>
      </w:r>
      <w:r>
        <w:rPr>
          <w:rFonts w:hint="eastAsia"/>
        </w:rPr>
        <w:t xml:space="preserve"> </w:t>
      </w:r>
      <w:r>
        <w:rPr>
          <w:bCs/>
        </w:rPr>
        <w:t>建设项目地下水环境敏感特征表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446"/>
        <w:gridCol w:w="1787"/>
        <w:gridCol w:w="1567"/>
        <w:gridCol w:w="1127"/>
        <w:gridCol w:w="1789"/>
        <w:gridCol w:w="2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vAlign w:val="center"/>
          </w:tcPr>
          <w:p>
            <w:pPr>
              <w:autoSpaceDE w:val="0"/>
              <w:autoSpaceDN w:val="0"/>
              <w:jc w:val="center"/>
              <w:rPr>
                <w:rFonts w:eastAsia="宋体"/>
                <w:bCs/>
                <w:kern w:val="0"/>
                <w:sz w:val="21"/>
              </w:rPr>
            </w:pPr>
            <w:r>
              <w:rPr>
                <w:rFonts w:eastAsia="宋体"/>
                <w:kern w:val="0"/>
                <w:sz w:val="21"/>
              </w:rPr>
              <w:t>类别</w:t>
            </w:r>
          </w:p>
        </w:tc>
        <w:tc>
          <w:tcPr>
            <w:tcW w:w="4521" w:type="pct"/>
            <w:gridSpan w:val="6"/>
            <w:vAlign w:val="center"/>
          </w:tcPr>
          <w:p>
            <w:pPr>
              <w:autoSpaceDE w:val="0"/>
              <w:autoSpaceDN w:val="0"/>
              <w:jc w:val="center"/>
              <w:rPr>
                <w:rFonts w:eastAsia="宋体"/>
                <w:bCs/>
                <w:kern w:val="0"/>
                <w:sz w:val="21"/>
              </w:rPr>
            </w:pPr>
            <w:r>
              <w:rPr>
                <w:rFonts w:eastAsia="宋体"/>
                <w:kern w:val="0"/>
                <w:sz w:val="21"/>
              </w:rPr>
              <w:t>环境敏感特征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vMerge w:val="restart"/>
            <w:vAlign w:val="center"/>
          </w:tcPr>
          <w:p>
            <w:pPr>
              <w:autoSpaceDE w:val="0"/>
              <w:autoSpaceDN w:val="0"/>
              <w:jc w:val="center"/>
              <w:rPr>
                <w:rFonts w:eastAsia="宋体"/>
                <w:bCs/>
                <w:kern w:val="0"/>
                <w:sz w:val="21"/>
              </w:rPr>
            </w:pPr>
            <w:r>
              <w:rPr>
                <w:rFonts w:eastAsia="宋体"/>
                <w:bCs/>
                <w:kern w:val="0"/>
                <w:sz w:val="21"/>
              </w:rPr>
              <w:t>地下水</w:t>
            </w:r>
          </w:p>
        </w:tc>
        <w:tc>
          <w:tcPr>
            <w:tcW w:w="231" w:type="pct"/>
            <w:vAlign w:val="center"/>
          </w:tcPr>
          <w:p>
            <w:pPr>
              <w:autoSpaceDE w:val="0"/>
              <w:autoSpaceDN w:val="0"/>
              <w:jc w:val="center"/>
              <w:rPr>
                <w:rFonts w:eastAsia="宋体"/>
                <w:bCs/>
                <w:kern w:val="0"/>
                <w:sz w:val="21"/>
              </w:rPr>
            </w:pPr>
            <w:r>
              <w:rPr>
                <w:rFonts w:eastAsia="宋体"/>
                <w:bCs/>
                <w:kern w:val="0"/>
                <w:sz w:val="21"/>
              </w:rPr>
              <w:t>序号</w:t>
            </w:r>
          </w:p>
        </w:tc>
        <w:tc>
          <w:tcPr>
            <w:tcW w:w="926" w:type="pct"/>
            <w:vAlign w:val="center"/>
          </w:tcPr>
          <w:p>
            <w:pPr>
              <w:autoSpaceDE w:val="0"/>
              <w:autoSpaceDN w:val="0"/>
              <w:jc w:val="center"/>
              <w:rPr>
                <w:rFonts w:eastAsia="宋体"/>
                <w:bCs/>
                <w:kern w:val="0"/>
                <w:sz w:val="21"/>
              </w:rPr>
            </w:pPr>
            <w:r>
              <w:rPr>
                <w:rFonts w:eastAsia="宋体"/>
                <w:bCs/>
                <w:kern w:val="0"/>
                <w:sz w:val="21"/>
              </w:rPr>
              <w:t>环境敏感区名称</w:t>
            </w:r>
          </w:p>
        </w:tc>
        <w:tc>
          <w:tcPr>
            <w:tcW w:w="812" w:type="pct"/>
            <w:vAlign w:val="center"/>
          </w:tcPr>
          <w:p>
            <w:pPr>
              <w:autoSpaceDE w:val="0"/>
              <w:autoSpaceDN w:val="0"/>
              <w:jc w:val="center"/>
              <w:rPr>
                <w:rFonts w:eastAsia="宋体"/>
                <w:bCs/>
                <w:kern w:val="0"/>
                <w:sz w:val="21"/>
              </w:rPr>
            </w:pPr>
            <w:r>
              <w:rPr>
                <w:rFonts w:eastAsia="宋体"/>
                <w:bCs/>
                <w:kern w:val="0"/>
                <w:sz w:val="21"/>
              </w:rPr>
              <w:t>环境敏感特征</w:t>
            </w:r>
          </w:p>
        </w:tc>
        <w:tc>
          <w:tcPr>
            <w:tcW w:w="584" w:type="pct"/>
            <w:vAlign w:val="center"/>
          </w:tcPr>
          <w:p>
            <w:pPr>
              <w:autoSpaceDE w:val="0"/>
              <w:autoSpaceDN w:val="0"/>
              <w:jc w:val="center"/>
              <w:rPr>
                <w:rFonts w:eastAsia="宋体"/>
                <w:bCs/>
                <w:kern w:val="0"/>
                <w:sz w:val="21"/>
              </w:rPr>
            </w:pPr>
            <w:r>
              <w:rPr>
                <w:rFonts w:eastAsia="宋体"/>
                <w:bCs/>
                <w:kern w:val="0"/>
                <w:sz w:val="21"/>
              </w:rPr>
              <w:t>水质目标</w:t>
            </w:r>
          </w:p>
        </w:tc>
        <w:tc>
          <w:tcPr>
            <w:tcW w:w="926" w:type="pct"/>
            <w:vAlign w:val="center"/>
          </w:tcPr>
          <w:p>
            <w:pPr>
              <w:autoSpaceDE w:val="0"/>
              <w:autoSpaceDN w:val="0"/>
              <w:jc w:val="center"/>
              <w:rPr>
                <w:rFonts w:eastAsia="宋体"/>
                <w:bCs/>
                <w:kern w:val="0"/>
                <w:sz w:val="21"/>
              </w:rPr>
            </w:pPr>
            <w:r>
              <w:rPr>
                <w:rFonts w:eastAsia="宋体"/>
                <w:bCs/>
                <w:kern w:val="0"/>
                <w:sz w:val="21"/>
              </w:rPr>
              <w:t>包气带防污性能</w:t>
            </w:r>
          </w:p>
        </w:tc>
        <w:tc>
          <w:tcPr>
            <w:tcW w:w="1041" w:type="pct"/>
            <w:vAlign w:val="center"/>
          </w:tcPr>
          <w:p>
            <w:pPr>
              <w:autoSpaceDE w:val="0"/>
              <w:autoSpaceDN w:val="0"/>
              <w:jc w:val="center"/>
              <w:rPr>
                <w:rFonts w:eastAsia="宋体"/>
                <w:bCs/>
                <w:kern w:val="0"/>
                <w:sz w:val="21"/>
              </w:rPr>
            </w:pPr>
            <w:r>
              <w:rPr>
                <w:rFonts w:eastAsia="宋体"/>
                <w:bCs/>
                <w:kern w:val="0"/>
                <w:sz w:val="21"/>
              </w:rPr>
              <w:t>与下游厂界距离/m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widowControl/>
              <w:jc w:val="left"/>
              <w:rPr>
                <w:rFonts w:eastAsia="宋体"/>
                <w:bCs/>
                <w:kern w:val="0"/>
                <w:sz w:val="21"/>
              </w:rPr>
            </w:pPr>
          </w:p>
        </w:tc>
        <w:tc>
          <w:tcPr>
            <w:tcW w:w="231" w:type="pct"/>
            <w:vAlign w:val="center"/>
          </w:tcPr>
          <w:p>
            <w:pPr>
              <w:autoSpaceDE w:val="0"/>
              <w:autoSpaceDN w:val="0"/>
              <w:jc w:val="center"/>
              <w:rPr>
                <w:rFonts w:eastAsia="宋体"/>
                <w:bCs/>
                <w:kern w:val="0"/>
                <w:sz w:val="21"/>
              </w:rPr>
            </w:pPr>
            <w:r>
              <w:rPr>
                <w:rFonts w:eastAsia="宋体"/>
                <w:bCs/>
                <w:kern w:val="0"/>
                <w:sz w:val="21"/>
              </w:rPr>
              <w:t>1</w:t>
            </w:r>
          </w:p>
        </w:tc>
        <w:tc>
          <w:tcPr>
            <w:tcW w:w="926" w:type="pct"/>
            <w:vAlign w:val="center"/>
          </w:tcPr>
          <w:p>
            <w:pPr>
              <w:autoSpaceDE w:val="0"/>
              <w:autoSpaceDN w:val="0"/>
              <w:jc w:val="center"/>
              <w:rPr>
                <w:rFonts w:eastAsia="宋体"/>
                <w:bCs/>
                <w:kern w:val="0"/>
                <w:sz w:val="21"/>
              </w:rPr>
            </w:pPr>
            <w:r>
              <w:rPr>
                <w:rFonts w:eastAsia="宋体"/>
                <w:bCs/>
                <w:kern w:val="0"/>
                <w:sz w:val="21"/>
              </w:rPr>
              <w:t>/</w:t>
            </w:r>
          </w:p>
        </w:tc>
        <w:tc>
          <w:tcPr>
            <w:tcW w:w="812" w:type="pct"/>
            <w:vAlign w:val="center"/>
          </w:tcPr>
          <w:p>
            <w:pPr>
              <w:autoSpaceDE w:val="0"/>
              <w:autoSpaceDN w:val="0"/>
              <w:jc w:val="center"/>
              <w:rPr>
                <w:rFonts w:eastAsia="宋体"/>
                <w:bCs/>
                <w:kern w:val="0"/>
                <w:sz w:val="21"/>
              </w:rPr>
            </w:pPr>
            <w:r>
              <w:rPr>
                <w:rFonts w:eastAsia="宋体"/>
                <w:bCs/>
                <w:kern w:val="0"/>
                <w:sz w:val="21"/>
              </w:rPr>
              <w:t>G3</w:t>
            </w:r>
          </w:p>
        </w:tc>
        <w:tc>
          <w:tcPr>
            <w:tcW w:w="584" w:type="pct"/>
            <w:vAlign w:val="center"/>
          </w:tcPr>
          <w:p>
            <w:pPr>
              <w:autoSpaceDE w:val="0"/>
              <w:autoSpaceDN w:val="0"/>
              <w:jc w:val="center"/>
              <w:rPr>
                <w:rFonts w:eastAsia="宋体"/>
                <w:bCs/>
                <w:kern w:val="0"/>
                <w:sz w:val="21"/>
              </w:rPr>
            </w:pPr>
            <w:r>
              <w:rPr>
                <w:rFonts w:eastAsia="宋体"/>
                <w:bCs/>
                <w:kern w:val="0"/>
                <w:sz w:val="21"/>
              </w:rPr>
              <w:t>III</w:t>
            </w:r>
            <w:r>
              <w:rPr>
                <w:rFonts w:ascii="宋体" w:hAnsi="宋体" w:eastAsia="宋体"/>
                <w:bCs/>
                <w:kern w:val="0"/>
                <w:sz w:val="21"/>
              </w:rPr>
              <w:t>类</w:t>
            </w:r>
          </w:p>
        </w:tc>
        <w:tc>
          <w:tcPr>
            <w:tcW w:w="926" w:type="pct"/>
            <w:vAlign w:val="center"/>
          </w:tcPr>
          <w:p>
            <w:pPr>
              <w:autoSpaceDE w:val="0"/>
              <w:autoSpaceDN w:val="0"/>
              <w:jc w:val="center"/>
              <w:rPr>
                <w:rFonts w:eastAsia="宋体"/>
                <w:bCs/>
                <w:kern w:val="0"/>
                <w:sz w:val="21"/>
              </w:rPr>
            </w:pPr>
            <w:r>
              <w:rPr>
                <w:rFonts w:eastAsia="宋体"/>
                <w:bCs/>
                <w:kern w:val="0"/>
                <w:sz w:val="21"/>
              </w:rPr>
              <w:t>D2</w:t>
            </w:r>
          </w:p>
        </w:tc>
        <w:tc>
          <w:tcPr>
            <w:tcW w:w="1041" w:type="pct"/>
            <w:vAlign w:val="center"/>
          </w:tcPr>
          <w:p>
            <w:pPr>
              <w:autoSpaceDE w:val="0"/>
              <w:autoSpaceDN w:val="0"/>
              <w:jc w:val="center"/>
              <w:rPr>
                <w:rFonts w:eastAsia="宋体"/>
                <w:bCs/>
                <w:kern w:val="0"/>
                <w:sz w:val="21"/>
              </w:rPr>
            </w:pPr>
            <w:r>
              <w:rPr>
                <w:rFonts w:eastAsia="宋体"/>
                <w:bCs/>
                <w:kern w:val="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widowControl/>
              <w:jc w:val="left"/>
              <w:rPr>
                <w:rFonts w:eastAsia="宋体"/>
                <w:bCs/>
                <w:kern w:val="0"/>
                <w:sz w:val="21"/>
              </w:rPr>
            </w:pPr>
          </w:p>
        </w:tc>
        <w:tc>
          <w:tcPr>
            <w:tcW w:w="3480" w:type="pct"/>
            <w:gridSpan w:val="5"/>
            <w:vAlign w:val="center"/>
          </w:tcPr>
          <w:p>
            <w:pPr>
              <w:autoSpaceDE w:val="0"/>
              <w:autoSpaceDN w:val="0"/>
              <w:jc w:val="center"/>
              <w:rPr>
                <w:rFonts w:eastAsia="宋体"/>
                <w:bCs/>
                <w:kern w:val="0"/>
                <w:sz w:val="21"/>
              </w:rPr>
            </w:pPr>
            <w:r>
              <w:rPr>
                <w:rFonts w:eastAsia="宋体"/>
                <w:bCs/>
                <w:kern w:val="0"/>
                <w:sz w:val="21"/>
              </w:rPr>
              <w:t>地下水环境敏感程度E</w:t>
            </w:r>
            <w:r>
              <w:rPr>
                <w:rFonts w:ascii="宋体" w:hAnsi="宋体" w:eastAsia="宋体"/>
                <w:bCs/>
                <w:kern w:val="0"/>
                <w:sz w:val="21"/>
              </w:rPr>
              <w:t>值</w:t>
            </w:r>
          </w:p>
        </w:tc>
        <w:tc>
          <w:tcPr>
            <w:tcW w:w="1041" w:type="pct"/>
            <w:vAlign w:val="center"/>
          </w:tcPr>
          <w:p>
            <w:pPr>
              <w:autoSpaceDE w:val="0"/>
              <w:autoSpaceDN w:val="0"/>
              <w:jc w:val="center"/>
              <w:rPr>
                <w:rFonts w:eastAsia="宋体"/>
                <w:bCs/>
                <w:kern w:val="0"/>
                <w:sz w:val="21"/>
              </w:rPr>
            </w:pPr>
            <w:r>
              <w:rPr>
                <w:rFonts w:eastAsia="宋体"/>
                <w:bCs/>
                <w:kern w:val="0"/>
                <w:sz w:val="21"/>
              </w:rPr>
              <w:t>E3</w:t>
            </w:r>
          </w:p>
        </w:tc>
      </w:tr>
    </w:tbl>
    <w:p>
      <w:pPr>
        <w:pStyle w:val="4"/>
      </w:pPr>
      <w:r>
        <w:t>建设项目环境风险潜势判断</w:t>
      </w:r>
    </w:p>
    <w:p>
      <w:pPr>
        <w:pStyle w:val="14"/>
        <w:ind w:firstLine="480" w:firstLineChars="200"/>
        <w:jc w:val="both"/>
        <w:rPr>
          <w:rFonts w:hAnsi="宋体" w:cs="Times New Roman"/>
          <w:b w:val="0"/>
          <w:bCs/>
          <w:kern w:val="0"/>
          <w:szCs w:val="24"/>
        </w:rPr>
      </w:pPr>
      <w:r>
        <w:rPr>
          <w:rFonts w:hint="eastAsia" w:hAnsi="宋体" w:cs="Times New Roman"/>
          <w:b w:val="0"/>
          <w:bCs/>
          <w:kern w:val="0"/>
          <w:szCs w:val="24"/>
        </w:rPr>
        <w:t>（1）环境风险潜势划分</w:t>
      </w:r>
    </w:p>
    <w:p>
      <w:pPr>
        <w:spacing w:line="360" w:lineRule="auto"/>
        <w:ind w:firstLine="480" w:firstLineChars="200"/>
        <w:rPr>
          <w:rFonts w:ascii="宋体" w:hAnsi="宋体" w:eastAsia="宋体"/>
          <w:bCs/>
          <w:kern w:val="0"/>
          <w:szCs w:val="24"/>
        </w:rPr>
      </w:pPr>
      <w:r>
        <w:rPr>
          <w:rFonts w:ascii="宋体" w:hAnsi="宋体" w:eastAsia="宋体"/>
          <w:bCs/>
          <w:kern w:val="0"/>
          <w:szCs w:val="24"/>
        </w:rPr>
        <w:t>根据</w:t>
      </w:r>
      <w:r>
        <w:rPr>
          <w:rFonts w:eastAsia="宋体"/>
          <w:bCs/>
          <w:kern w:val="0"/>
          <w:szCs w:val="24"/>
        </w:rPr>
        <w:t>HJ169-2018</w:t>
      </w:r>
      <w:r>
        <w:rPr>
          <w:rFonts w:ascii="宋体" w:hAnsi="宋体" w:eastAsia="宋体"/>
          <w:bCs/>
          <w:kern w:val="0"/>
          <w:szCs w:val="24"/>
        </w:rPr>
        <w:t>可知，建设项目环境风险潜势划分为</w:t>
      </w:r>
      <w:r>
        <w:rPr>
          <w:rFonts w:eastAsia="宋体"/>
          <w:bCs/>
          <w:kern w:val="0"/>
          <w:szCs w:val="24"/>
        </w:rPr>
        <w:t>I</w:t>
      </w:r>
      <w:r>
        <w:rPr>
          <w:rFonts w:ascii="宋体" w:hAnsi="宋体" w:eastAsia="宋体"/>
          <w:bCs/>
          <w:kern w:val="0"/>
          <w:szCs w:val="24"/>
        </w:rPr>
        <w:t>、</w:t>
      </w:r>
      <w:r>
        <w:rPr>
          <w:rFonts w:eastAsia="宋体"/>
          <w:bCs/>
          <w:kern w:val="0"/>
          <w:szCs w:val="24"/>
        </w:rPr>
        <w:t>II</w:t>
      </w:r>
      <w:r>
        <w:rPr>
          <w:rFonts w:ascii="宋体" w:hAnsi="宋体" w:eastAsia="宋体"/>
          <w:bCs/>
          <w:kern w:val="0"/>
          <w:szCs w:val="24"/>
        </w:rPr>
        <w:t>、</w:t>
      </w:r>
      <w:r>
        <w:rPr>
          <w:rFonts w:eastAsia="宋体"/>
          <w:bCs/>
          <w:kern w:val="0"/>
          <w:szCs w:val="24"/>
        </w:rPr>
        <w:t>III</w:t>
      </w:r>
      <w:r>
        <w:rPr>
          <w:rFonts w:ascii="宋体" w:hAnsi="宋体" w:eastAsia="宋体"/>
          <w:bCs/>
          <w:kern w:val="0"/>
          <w:szCs w:val="24"/>
        </w:rPr>
        <w:t>、</w:t>
      </w:r>
      <w:r>
        <w:rPr>
          <w:rFonts w:eastAsia="宋体"/>
          <w:bCs/>
          <w:kern w:val="0"/>
          <w:szCs w:val="24"/>
        </w:rPr>
        <w:t>IV/IV</w:t>
      </w:r>
      <w:r>
        <w:rPr>
          <w:rFonts w:eastAsia="宋体"/>
          <w:bCs/>
          <w:kern w:val="0"/>
          <w:szCs w:val="24"/>
          <w:vertAlign w:val="superscript"/>
        </w:rPr>
        <w:t>+</w:t>
      </w:r>
      <w:r>
        <w:rPr>
          <w:rFonts w:ascii="宋体" w:hAnsi="宋体" w:eastAsia="宋体"/>
          <w:bCs/>
          <w:kern w:val="0"/>
          <w:szCs w:val="24"/>
        </w:rPr>
        <w:t>级，环境风险评价工作等级划分为一级、二级、三级，</w:t>
      </w:r>
    </w:p>
    <w:p>
      <w:pPr>
        <w:pStyle w:val="14"/>
        <w:spacing w:line="240" w:lineRule="auto"/>
        <w:rPr>
          <w:rFonts w:cs="Times New Roman"/>
        </w:rPr>
      </w:pPr>
      <w:r>
        <w:rPr>
          <w:rFonts w:hAnsi="宋体" w:cs="Times New Roman"/>
          <w:bCs/>
          <w:kern w:val="0"/>
          <w:szCs w:val="24"/>
        </w:rPr>
        <w:t>表</w:t>
      </w:r>
      <w:r>
        <w:rPr>
          <w:rFonts w:hAnsi="宋体" w:cs="Times New Roman"/>
          <w:bCs/>
          <w:kern w:val="0"/>
          <w:szCs w:val="24"/>
        </w:rPr>
        <w:fldChar w:fldCharType="begin"/>
      </w:r>
      <w:r>
        <w:rPr>
          <w:rFonts w:hAnsi="宋体" w:cs="Times New Roman"/>
          <w:bCs/>
          <w:kern w:val="0"/>
          <w:szCs w:val="24"/>
        </w:rPr>
        <w:instrText xml:space="preserve"> STYLEREF 2 \s </w:instrText>
      </w:r>
      <w:r>
        <w:rPr>
          <w:rFonts w:hAnsi="宋体" w:cs="Times New Roman"/>
          <w:bCs/>
          <w:kern w:val="0"/>
          <w:szCs w:val="24"/>
        </w:rPr>
        <w:fldChar w:fldCharType="separate"/>
      </w:r>
      <w:r>
        <w:rPr>
          <w:rFonts w:hAnsi="宋体" w:cs="Times New Roman"/>
          <w:bCs/>
          <w:kern w:val="0"/>
          <w:szCs w:val="24"/>
        </w:rPr>
        <w:t>7.4</w:t>
      </w:r>
      <w:r>
        <w:rPr>
          <w:rFonts w:hAnsi="宋体" w:cs="Times New Roman"/>
          <w:bCs/>
          <w:kern w:val="0"/>
          <w:szCs w:val="24"/>
        </w:rPr>
        <w:fldChar w:fldCharType="end"/>
      </w:r>
      <w:r>
        <w:rPr>
          <w:rFonts w:hAnsi="宋体" w:cs="Times New Roman"/>
          <w:bCs/>
          <w:kern w:val="0"/>
          <w:szCs w:val="24"/>
        </w:rPr>
        <w:noBreakHyphen/>
      </w:r>
      <w:r>
        <w:rPr>
          <w:rFonts w:hAnsi="宋体" w:cs="Times New Roman"/>
          <w:bCs/>
          <w:kern w:val="0"/>
          <w:szCs w:val="24"/>
        </w:rPr>
        <w:fldChar w:fldCharType="begin"/>
      </w:r>
      <w:r>
        <w:rPr>
          <w:rFonts w:hAnsi="宋体" w:cs="Times New Roman"/>
          <w:bCs/>
          <w:kern w:val="0"/>
          <w:szCs w:val="24"/>
        </w:rPr>
        <w:instrText xml:space="preserve"> SEQ 表 \* ARABIC \s 2 </w:instrText>
      </w:r>
      <w:r>
        <w:rPr>
          <w:rFonts w:hAnsi="宋体" w:cs="Times New Roman"/>
          <w:bCs/>
          <w:kern w:val="0"/>
          <w:szCs w:val="24"/>
        </w:rPr>
        <w:fldChar w:fldCharType="separate"/>
      </w:r>
      <w:r>
        <w:rPr>
          <w:rFonts w:hAnsi="宋体" w:cs="Times New Roman"/>
          <w:bCs/>
          <w:kern w:val="0"/>
          <w:szCs w:val="24"/>
        </w:rPr>
        <w:t>1</w:t>
      </w:r>
      <w:r>
        <w:rPr>
          <w:rFonts w:hAnsi="宋体" w:cs="Times New Roman"/>
          <w:bCs/>
          <w:kern w:val="0"/>
          <w:szCs w:val="24"/>
        </w:rPr>
        <w:fldChar w:fldCharType="end"/>
      </w:r>
      <w:r>
        <w:rPr>
          <w:rFonts w:cs="Times New Roman"/>
        </w:rPr>
        <w:t xml:space="preserve">  建设项目环境风险潜势划分</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848"/>
        <w:gridCol w:w="1581"/>
        <w:gridCol w:w="1739"/>
        <w:gridCol w:w="1741"/>
        <w:gridCol w:w="17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476" w:type="pct"/>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宋体"/>
                <w:bCs/>
                <w:kern w:val="0"/>
                <w:sz w:val="21"/>
              </w:rPr>
            </w:pPr>
            <w:r>
              <w:rPr>
                <w:rFonts w:eastAsia="宋体"/>
                <w:kern w:val="0"/>
                <w:sz w:val="21"/>
              </w:rPr>
              <w:t>环境敏感程度（E</w:t>
            </w:r>
            <w:r>
              <w:rPr>
                <w:rFonts w:ascii="宋体" w:hAnsi="宋体" w:eastAsia="宋体"/>
                <w:kern w:val="0"/>
                <w:sz w:val="21"/>
              </w:rPr>
              <w:t>）</w:t>
            </w:r>
          </w:p>
        </w:tc>
        <w:tc>
          <w:tcPr>
            <w:tcW w:w="3524" w:type="pct"/>
            <w:gridSpan w:val="4"/>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宋体"/>
                <w:bCs/>
                <w:kern w:val="0"/>
                <w:sz w:val="21"/>
              </w:rPr>
            </w:pPr>
            <w:r>
              <w:rPr>
                <w:rFonts w:eastAsia="宋体"/>
                <w:kern w:val="0"/>
                <w:sz w:val="21"/>
              </w:rPr>
              <w:t>危险物质及工艺系统危险性（P</w:t>
            </w:r>
            <w:r>
              <w:rPr>
                <w:rFonts w:ascii="宋体" w:hAnsi="宋体" w:eastAsia="宋体"/>
                <w:kern w:val="0"/>
                <w:sz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76" w:type="pct"/>
            <w:vMerge w:val="continue"/>
            <w:tcBorders>
              <w:top w:val="single" w:color="auto" w:sz="12" w:space="0"/>
              <w:left w:val="single" w:color="auto" w:sz="4" w:space="0"/>
              <w:bottom w:val="single" w:color="auto" w:sz="4" w:space="0"/>
              <w:right w:val="single" w:color="auto" w:sz="4" w:space="0"/>
            </w:tcBorders>
            <w:vAlign w:val="center"/>
          </w:tcPr>
          <w:p>
            <w:pPr>
              <w:widowControl/>
              <w:jc w:val="left"/>
              <w:rPr>
                <w:rFonts w:eastAsia="宋体"/>
                <w:bCs/>
                <w:kern w:val="0"/>
                <w:sz w:val="21"/>
              </w:rPr>
            </w:pPr>
          </w:p>
        </w:tc>
        <w:tc>
          <w:tcPr>
            <w:tcW w:w="819"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宋体"/>
                <w:bCs/>
                <w:kern w:val="0"/>
                <w:sz w:val="21"/>
              </w:rPr>
            </w:pPr>
            <w:r>
              <w:rPr>
                <w:rFonts w:eastAsia="宋体"/>
                <w:kern w:val="0"/>
                <w:sz w:val="21"/>
              </w:rPr>
              <w:t>极高危害（P1</w:t>
            </w:r>
            <w:r>
              <w:rPr>
                <w:rFonts w:ascii="宋体" w:hAnsi="宋体" w:eastAsia="宋体"/>
                <w:kern w:val="0"/>
                <w:sz w:val="21"/>
              </w:rPr>
              <w:t>）</w:t>
            </w:r>
          </w:p>
        </w:tc>
        <w:tc>
          <w:tcPr>
            <w:tcW w:w="901"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宋体"/>
                <w:bCs/>
                <w:kern w:val="0"/>
                <w:sz w:val="21"/>
              </w:rPr>
            </w:pPr>
            <w:r>
              <w:rPr>
                <w:rFonts w:eastAsia="宋体"/>
                <w:kern w:val="0"/>
                <w:sz w:val="21"/>
              </w:rPr>
              <w:t>高度危害（P2</w:t>
            </w:r>
            <w:r>
              <w:rPr>
                <w:rFonts w:ascii="宋体" w:hAnsi="宋体" w:eastAsia="宋体"/>
                <w:kern w:val="0"/>
                <w:sz w:val="21"/>
              </w:rPr>
              <w:t>）</w:t>
            </w:r>
          </w:p>
        </w:tc>
        <w:tc>
          <w:tcPr>
            <w:tcW w:w="902"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宋体"/>
                <w:bCs/>
                <w:kern w:val="0"/>
                <w:sz w:val="21"/>
              </w:rPr>
            </w:pPr>
            <w:r>
              <w:rPr>
                <w:rFonts w:eastAsia="宋体"/>
                <w:kern w:val="0"/>
                <w:sz w:val="21"/>
              </w:rPr>
              <w:t>中度危害（P3</w:t>
            </w:r>
            <w:r>
              <w:rPr>
                <w:rFonts w:ascii="宋体" w:hAnsi="宋体" w:eastAsia="宋体"/>
                <w:kern w:val="0"/>
                <w:sz w:val="21"/>
              </w:rPr>
              <w:t>）</w:t>
            </w:r>
          </w:p>
        </w:tc>
        <w:tc>
          <w:tcPr>
            <w:tcW w:w="901"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宋体"/>
                <w:bCs/>
                <w:kern w:val="0"/>
                <w:sz w:val="21"/>
              </w:rPr>
            </w:pPr>
            <w:r>
              <w:rPr>
                <w:rFonts w:eastAsia="宋体"/>
                <w:kern w:val="0"/>
                <w:sz w:val="21"/>
              </w:rPr>
              <w:t>轻度危害（P4</w:t>
            </w:r>
            <w:r>
              <w:rPr>
                <w:rFonts w:ascii="宋体" w:hAnsi="宋体" w:eastAsia="宋体"/>
                <w:kern w:val="0"/>
                <w:sz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76"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宋体"/>
                <w:bCs/>
                <w:kern w:val="0"/>
                <w:sz w:val="21"/>
              </w:rPr>
            </w:pPr>
            <w:r>
              <w:rPr>
                <w:rFonts w:eastAsia="宋体"/>
                <w:bCs/>
                <w:kern w:val="0"/>
                <w:sz w:val="21"/>
              </w:rPr>
              <w:t>环境高度敏感区（E1</w:t>
            </w:r>
            <w:r>
              <w:rPr>
                <w:rFonts w:ascii="宋体" w:hAnsi="宋体" w:eastAsia="宋体"/>
                <w:bCs/>
                <w:kern w:val="0"/>
                <w:sz w:val="21"/>
              </w:rPr>
              <w:t>）</w:t>
            </w:r>
          </w:p>
        </w:tc>
        <w:tc>
          <w:tcPr>
            <w:tcW w:w="819"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宋体"/>
                <w:bCs/>
                <w:kern w:val="0"/>
                <w:sz w:val="21"/>
              </w:rPr>
            </w:pPr>
            <w:r>
              <w:rPr>
                <w:rFonts w:eastAsia="宋体"/>
                <w:bCs/>
                <w:kern w:val="0"/>
                <w:sz w:val="21"/>
              </w:rPr>
              <w:t>IV</w:t>
            </w:r>
            <w:r>
              <w:rPr>
                <w:rFonts w:eastAsia="宋体"/>
                <w:bCs/>
                <w:kern w:val="0"/>
                <w:sz w:val="21"/>
                <w:vertAlign w:val="superscript"/>
              </w:rPr>
              <w:t>+</w:t>
            </w:r>
          </w:p>
        </w:tc>
        <w:tc>
          <w:tcPr>
            <w:tcW w:w="901"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宋体"/>
                <w:bCs/>
                <w:kern w:val="0"/>
                <w:sz w:val="21"/>
              </w:rPr>
            </w:pPr>
            <w:r>
              <w:rPr>
                <w:rFonts w:eastAsia="宋体"/>
                <w:bCs/>
                <w:kern w:val="0"/>
                <w:sz w:val="21"/>
              </w:rPr>
              <w:t>IV</w:t>
            </w:r>
          </w:p>
        </w:tc>
        <w:tc>
          <w:tcPr>
            <w:tcW w:w="902"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宋体"/>
                <w:bCs/>
                <w:kern w:val="0"/>
                <w:sz w:val="21"/>
              </w:rPr>
            </w:pPr>
            <w:r>
              <w:rPr>
                <w:rFonts w:eastAsia="宋体"/>
                <w:bCs/>
                <w:kern w:val="0"/>
                <w:sz w:val="21"/>
              </w:rPr>
              <w:t>III</w:t>
            </w:r>
          </w:p>
        </w:tc>
        <w:tc>
          <w:tcPr>
            <w:tcW w:w="901"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宋体"/>
                <w:bCs/>
                <w:kern w:val="0"/>
                <w:sz w:val="21"/>
              </w:rPr>
            </w:pPr>
            <w:r>
              <w:rPr>
                <w:rFonts w:eastAsia="宋体"/>
                <w:bCs/>
                <w:kern w:val="0"/>
                <w:sz w:val="21"/>
              </w:rPr>
              <w:t>III</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76"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宋体"/>
                <w:bCs/>
                <w:kern w:val="0"/>
                <w:sz w:val="21"/>
              </w:rPr>
            </w:pPr>
            <w:r>
              <w:rPr>
                <w:rFonts w:eastAsia="宋体"/>
                <w:bCs/>
                <w:kern w:val="0"/>
                <w:sz w:val="21"/>
              </w:rPr>
              <w:t>环境中度敏感区（E2</w:t>
            </w:r>
            <w:r>
              <w:rPr>
                <w:rFonts w:ascii="宋体" w:hAnsi="宋体" w:eastAsia="宋体"/>
                <w:bCs/>
                <w:kern w:val="0"/>
                <w:sz w:val="21"/>
              </w:rPr>
              <w:t>）</w:t>
            </w:r>
          </w:p>
        </w:tc>
        <w:tc>
          <w:tcPr>
            <w:tcW w:w="819"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宋体"/>
                <w:bCs/>
                <w:kern w:val="0"/>
                <w:sz w:val="21"/>
              </w:rPr>
            </w:pPr>
            <w:r>
              <w:rPr>
                <w:rFonts w:eastAsia="宋体"/>
                <w:bCs/>
                <w:kern w:val="0"/>
                <w:sz w:val="21"/>
              </w:rPr>
              <w:t>IV</w:t>
            </w:r>
          </w:p>
        </w:tc>
        <w:tc>
          <w:tcPr>
            <w:tcW w:w="901"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宋体"/>
                <w:bCs/>
                <w:kern w:val="0"/>
                <w:sz w:val="21"/>
              </w:rPr>
            </w:pPr>
            <w:r>
              <w:rPr>
                <w:rFonts w:eastAsia="宋体"/>
                <w:bCs/>
                <w:kern w:val="0"/>
                <w:sz w:val="21"/>
              </w:rPr>
              <w:t>III</w:t>
            </w:r>
          </w:p>
        </w:tc>
        <w:tc>
          <w:tcPr>
            <w:tcW w:w="902"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宋体"/>
                <w:bCs/>
                <w:kern w:val="0"/>
                <w:sz w:val="21"/>
              </w:rPr>
            </w:pPr>
            <w:r>
              <w:rPr>
                <w:rFonts w:eastAsia="宋体"/>
                <w:bCs/>
                <w:kern w:val="0"/>
                <w:sz w:val="21"/>
              </w:rPr>
              <w:t>III</w:t>
            </w:r>
          </w:p>
        </w:tc>
        <w:tc>
          <w:tcPr>
            <w:tcW w:w="901"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宋体"/>
                <w:bCs/>
                <w:kern w:val="0"/>
                <w:sz w:val="21"/>
              </w:rPr>
            </w:pPr>
            <w:r>
              <w:rPr>
                <w:rFonts w:eastAsia="宋体"/>
                <w:bCs/>
                <w:kern w:val="0"/>
                <w:sz w:val="21"/>
              </w:rPr>
              <w:t>II</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76"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宋体"/>
                <w:bCs/>
                <w:kern w:val="0"/>
                <w:sz w:val="21"/>
              </w:rPr>
            </w:pPr>
            <w:r>
              <w:rPr>
                <w:rFonts w:eastAsia="宋体"/>
                <w:bCs/>
                <w:kern w:val="0"/>
                <w:sz w:val="21"/>
              </w:rPr>
              <w:t>环境低度敏感区（E3</w:t>
            </w:r>
            <w:r>
              <w:rPr>
                <w:rFonts w:ascii="宋体" w:hAnsi="宋体" w:eastAsia="宋体"/>
                <w:bCs/>
                <w:kern w:val="0"/>
                <w:sz w:val="21"/>
              </w:rPr>
              <w:t>）</w:t>
            </w:r>
          </w:p>
        </w:tc>
        <w:tc>
          <w:tcPr>
            <w:tcW w:w="819"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宋体"/>
                <w:bCs/>
                <w:kern w:val="0"/>
                <w:sz w:val="21"/>
              </w:rPr>
            </w:pPr>
            <w:r>
              <w:rPr>
                <w:rFonts w:eastAsia="宋体"/>
                <w:bCs/>
                <w:kern w:val="0"/>
                <w:sz w:val="21"/>
              </w:rPr>
              <w:t>III</w:t>
            </w:r>
          </w:p>
        </w:tc>
        <w:tc>
          <w:tcPr>
            <w:tcW w:w="901"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宋体"/>
                <w:bCs/>
                <w:kern w:val="0"/>
                <w:sz w:val="21"/>
              </w:rPr>
            </w:pPr>
            <w:r>
              <w:rPr>
                <w:rFonts w:eastAsia="宋体"/>
                <w:bCs/>
                <w:kern w:val="0"/>
                <w:sz w:val="21"/>
              </w:rPr>
              <w:t>III</w:t>
            </w:r>
          </w:p>
        </w:tc>
        <w:tc>
          <w:tcPr>
            <w:tcW w:w="902"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宋体"/>
                <w:bCs/>
                <w:kern w:val="0"/>
                <w:sz w:val="21"/>
              </w:rPr>
            </w:pPr>
            <w:r>
              <w:rPr>
                <w:rFonts w:eastAsia="宋体"/>
                <w:bCs/>
                <w:kern w:val="0"/>
                <w:sz w:val="21"/>
              </w:rPr>
              <w:t>II</w:t>
            </w:r>
          </w:p>
        </w:tc>
        <w:tc>
          <w:tcPr>
            <w:tcW w:w="901"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宋体"/>
                <w:bCs/>
                <w:kern w:val="0"/>
                <w:sz w:val="21"/>
              </w:rPr>
            </w:pPr>
            <w:r>
              <w:rPr>
                <w:rFonts w:eastAsia="宋体"/>
                <w:bCs/>
                <w:kern w:val="0"/>
                <w:sz w:val="21"/>
              </w:rPr>
              <w:t>I</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宋体"/>
                <w:bCs/>
                <w:kern w:val="0"/>
                <w:sz w:val="21"/>
              </w:rPr>
            </w:pPr>
            <w:r>
              <w:rPr>
                <w:rFonts w:eastAsia="宋体"/>
                <w:bCs/>
                <w:kern w:val="0"/>
                <w:sz w:val="21"/>
              </w:rPr>
              <w:t>注：IV</w:t>
            </w:r>
            <w:r>
              <w:rPr>
                <w:rFonts w:eastAsia="宋体"/>
                <w:bCs/>
                <w:kern w:val="0"/>
                <w:sz w:val="21"/>
                <w:vertAlign w:val="superscript"/>
              </w:rPr>
              <w:t>+</w:t>
            </w:r>
            <w:r>
              <w:rPr>
                <w:rFonts w:eastAsia="宋体"/>
                <w:bCs/>
                <w:kern w:val="0"/>
                <w:sz w:val="21"/>
              </w:rPr>
              <w:t>为极高环境风险。</w:t>
            </w:r>
          </w:p>
        </w:tc>
      </w:tr>
    </w:tbl>
    <w:p>
      <w:pPr>
        <w:pStyle w:val="14"/>
        <w:spacing w:line="240" w:lineRule="auto"/>
        <w:rPr>
          <w:rFonts w:hAnsi="宋体" w:cs="Times New Roman"/>
          <w:bCs/>
          <w:kern w:val="0"/>
          <w:szCs w:val="24"/>
        </w:rPr>
      </w:pPr>
      <w:r>
        <w:rPr>
          <w:rFonts w:hAnsi="宋体" w:cs="Times New Roman"/>
          <w:bCs/>
          <w:kern w:val="0"/>
          <w:szCs w:val="24"/>
        </w:rPr>
        <w:t>表</w:t>
      </w:r>
      <w:r>
        <w:rPr>
          <w:rFonts w:hAnsi="宋体" w:cs="Times New Roman"/>
          <w:bCs/>
          <w:kern w:val="0"/>
          <w:szCs w:val="24"/>
        </w:rPr>
        <w:fldChar w:fldCharType="begin"/>
      </w:r>
      <w:r>
        <w:rPr>
          <w:rFonts w:hAnsi="宋体" w:cs="Times New Roman"/>
          <w:bCs/>
          <w:kern w:val="0"/>
          <w:szCs w:val="24"/>
        </w:rPr>
        <w:instrText xml:space="preserve"> STYLEREF 2 \s </w:instrText>
      </w:r>
      <w:r>
        <w:rPr>
          <w:rFonts w:hAnsi="宋体" w:cs="Times New Roman"/>
          <w:bCs/>
          <w:kern w:val="0"/>
          <w:szCs w:val="24"/>
        </w:rPr>
        <w:fldChar w:fldCharType="separate"/>
      </w:r>
      <w:r>
        <w:rPr>
          <w:rFonts w:hAnsi="宋体" w:cs="Times New Roman"/>
          <w:bCs/>
          <w:kern w:val="0"/>
          <w:szCs w:val="24"/>
        </w:rPr>
        <w:t>7.4</w:t>
      </w:r>
      <w:r>
        <w:rPr>
          <w:rFonts w:hAnsi="宋体" w:cs="Times New Roman"/>
          <w:bCs/>
          <w:kern w:val="0"/>
          <w:szCs w:val="24"/>
        </w:rPr>
        <w:fldChar w:fldCharType="end"/>
      </w:r>
      <w:r>
        <w:rPr>
          <w:rFonts w:hAnsi="宋体" w:cs="Times New Roman"/>
          <w:bCs/>
          <w:kern w:val="0"/>
          <w:szCs w:val="24"/>
        </w:rPr>
        <w:noBreakHyphen/>
      </w:r>
      <w:r>
        <w:rPr>
          <w:rFonts w:hAnsi="宋体" w:cs="Times New Roman"/>
          <w:bCs/>
          <w:kern w:val="0"/>
          <w:szCs w:val="24"/>
        </w:rPr>
        <w:fldChar w:fldCharType="begin"/>
      </w:r>
      <w:r>
        <w:rPr>
          <w:rFonts w:hAnsi="宋体" w:cs="Times New Roman"/>
          <w:bCs/>
          <w:kern w:val="0"/>
          <w:szCs w:val="24"/>
        </w:rPr>
        <w:instrText xml:space="preserve"> SEQ 表 \* ARABIC \s 2 </w:instrText>
      </w:r>
      <w:r>
        <w:rPr>
          <w:rFonts w:hAnsi="宋体" w:cs="Times New Roman"/>
          <w:bCs/>
          <w:kern w:val="0"/>
          <w:szCs w:val="24"/>
        </w:rPr>
        <w:fldChar w:fldCharType="separate"/>
      </w:r>
      <w:r>
        <w:rPr>
          <w:rFonts w:hAnsi="宋体" w:cs="Times New Roman"/>
          <w:bCs/>
          <w:kern w:val="0"/>
          <w:szCs w:val="24"/>
        </w:rPr>
        <w:t>2</w:t>
      </w:r>
      <w:r>
        <w:rPr>
          <w:rFonts w:hAnsi="宋体" w:cs="Times New Roman"/>
          <w:bCs/>
          <w:kern w:val="0"/>
          <w:szCs w:val="24"/>
        </w:rPr>
        <w:fldChar w:fldCharType="end"/>
      </w:r>
      <w:r>
        <w:rPr>
          <w:rFonts w:hint="eastAsia" w:hAnsi="宋体" w:cs="Times New Roman"/>
          <w:bCs/>
          <w:kern w:val="0"/>
          <w:szCs w:val="24"/>
        </w:rPr>
        <w:t xml:space="preserve">  评价工作等级划分</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930"/>
        <w:gridCol w:w="1930"/>
        <w:gridCol w:w="1930"/>
        <w:gridCol w:w="1930"/>
        <w:gridCol w:w="193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0" w:type="pct"/>
            <w:vAlign w:val="center"/>
          </w:tcPr>
          <w:p>
            <w:pPr>
              <w:spacing w:line="360" w:lineRule="auto"/>
              <w:jc w:val="center"/>
              <w:rPr>
                <w:rFonts w:eastAsia="宋体" w:cs="Times New Roman"/>
                <w:bCs/>
                <w:kern w:val="0"/>
                <w:sz w:val="21"/>
              </w:rPr>
            </w:pPr>
            <w:r>
              <w:rPr>
                <w:rFonts w:eastAsia="宋体" w:cs="Times New Roman"/>
                <w:kern w:val="0"/>
                <w:sz w:val="21"/>
              </w:rPr>
              <w:t>环境风险潜势</w:t>
            </w:r>
          </w:p>
        </w:tc>
        <w:tc>
          <w:tcPr>
            <w:tcW w:w="1000" w:type="pct"/>
            <w:vAlign w:val="center"/>
          </w:tcPr>
          <w:p>
            <w:pPr>
              <w:spacing w:line="360" w:lineRule="auto"/>
              <w:jc w:val="center"/>
              <w:rPr>
                <w:rFonts w:eastAsia="宋体" w:cs="Times New Roman"/>
                <w:bCs/>
                <w:kern w:val="0"/>
                <w:sz w:val="21"/>
              </w:rPr>
            </w:pPr>
            <w:r>
              <w:rPr>
                <w:rFonts w:eastAsia="宋体" w:cs="Times New Roman"/>
                <w:kern w:val="0"/>
                <w:sz w:val="21"/>
              </w:rPr>
              <w:t>Ⅳ、Ⅳ</w:t>
            </w:r>
            <w:r>
              <w:rPr>
                <w:rFonts w:eastAsia="宋体" w:cs="Times New Roman"/>
                <w:kern w:val="0"/>
                <w:sz w:val="21"/>
                <w:vertAlign w:val="superscript"/>
              </w:rPr>
              <w:t>+</w:t>
            </w:r>
          </w:p>
        </w:tc>
        <w:tc>
          <w:tcPr>
            <w:tcW w:w="1000" w:type="pct"/>
            <w:vAlign w:val="center"/>
          </w:tcPr>
          <w:p>
            <w:pPr>
              <w:spacing w:line="360" w:lineRule="auto"/>
              <w:jc w:val="center"/>
              <w:rPr>
                <w:rFonts w:eastAsia="宋体" w:cs="Times New Roman"/>
                <w:bCs/>
                <w:kern w:val="0"/>
                <w:sz w:val="21"/>
              </w:rPr>
            </w:pPr>
            <w:r>
              <w:rPr>
                <w:rFonts w:eastAsia="宋体" w:cs="Times New Roman"/>
                <w:kern w:val="0"/>
                <w:sz w:val="21"/>
              </w:rPr>
              <w:t>Ⅲ</w:t>
            </w:r>
          </w:p>
        </w:tc>
        <w:tc>
          <w:tcPr>
            <w:tcW w:w="1000" w:type="pct"/>
            <w:vAlign w:val="center"/>
          </w:tcPr>
          <w:p>
            <w:pPr>
              <w:spacing w:line="360" w:lineRule="auto"/>
              <w:jc w:val="center"/>
              <w:rPr>
                <w:rFonts w:eastAsia="宋体" w:cs="Times New Roman"/>
                <w:bCs/>
                <w:kern w:val="0"/>
                <w:sz w:val="21"/>
              </w:rPr>
            </w:pPr>
            <w:r>
              <w:rPr>
                <w:rFonts w:eastAsia="宋体" w:cs="Times New Roman"/>
                <w:kern w:val="0"/>
                <w:sz w:val="21"/>
              </w:rPr>
              <w:t>Ⅱ</w:t>
            </w:r>
          </w:p>
        </w:tc>
        <w:tc>
          <w:tcPr>
            <w:tcW w:w="1000" w:type="pct"/>
            <w:vAlign w:val="center"/>
          </w:tcPr>
          <w:p>
            <w:pPr>
              <w:spacing w:line="360" w:lineRule="auto"/>
              <w:jc w:val="center"/>
              <w:rPr>
                <w:rFonts w:eastAsia="宋体" w:cs="Times New Roman"/>
                <w:bCs/>
                <w:kern w:val="0"/>
                <w:sz w:val="21"/>
              </w:rPr>
            </w:pPr>
            <w:r>
              <w:rPr>
                <w:rFonts w:eastAsia="宋体" w:cs="Times New Roman"/>
                <w:kern w:val="0"/>
                <w:sz w:val="21"/>
              </w:rPr>
              <w:t>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0" w:type="pct"/>
            <w:vAlign w:val="center"/>
          </w:tcPr>
          <w:p>
            <w:pPr>
              <w:spacing w:line="360" w:lineRule="auto"/>
              <w:jc w:val="center"/>
              <w:rPr>
                <w:rFonts w:eastAsia="宋体" w:cs="Times New Roman"/>
                <w:bCs/>
                <w:kern w:val="0"/>
                <w:sz w:val="21"/>
              </w:rPr>
            </w:pPr>
            <w:r>
              <w:rPr>
                <w:rFonts w:eastAsia="宋体" w:cs="Times New Roman"/>
                <w:bCs/>
                <w:kern w:val="0"/>
                <w:sz w:val="21"/>
              </w:rPr>
              <w:t>评价工作等级</w:t>
            </w:r>
          </w:p>
        </w:tc>
        <w:tc>
          <w:tcPr>
            <w:tcW w:w="1000" w:type="pct"/>
            <w:vAlign w:val="center"/>
          </w:tcPr>
          <w:p>
            <w:pPr>
              <w:spacing w:line="360" w:lineRule="auto"/>
              <w:jc w:val="center"/>
              <w:rPr>
                <w:rFonts w:eastAsia="宋体" w:cs="Times New Roman"/>
                <w:bCs/>
                <w:kern w:val="0"/>
                <w:sz w:val="21"/>
              </w:rPr>
            </w:pPr>
            <w:r>
              <w:rPr>
                <w:rFonts w:eastAsia="宋体" w:cs="Times New Roman"/>
                <w:bCs/>
                <w:kern w:val="0"/>
                <w:sz w:val="21"/>
              </w:rPr>
              <w:t>一</w:t>
            </w:r>
          </w:p>
        </w:tc>
        <w:tc>
          <w:tcPr>
            <w:tcW w:w="1000" w:type="pct"/>
            <w:vAlign w:val="center"/>
          </w:tcPr>
          <w:p>
            <w:pPr>
              <w:spacing w:line="360" w:lineRule="auto"/>
              <w:jc w:val="center"/>
              <w:rPr>
                <w:rFonts w:eastAsia="宋体" w:cs="Times New Roman"/>
                <w:bCs/>
                <w:kern w:val="0"/>
                <w:sz w:val="21"/>
              </w:rPr>
            </w:pPr>
            <w:r>
              <w:rPr>
                <w:rFonts w:eastAsia="宋体" w:cs="Times New Roman"/>
                <w:bCs/>
                <w:kern w:val="0"/>
                <w:sz w:val="21"/>
              </w:rPr>
              <w:t>二</w:t>
            </w:r>
          </w:p>
        </w:tc>
        <w:tc>
          <w:tcPr>
            <w:tcW w:w="1000" w:type="pct"/>
            <w:vAlign w:val="center"/>
          </w:tcPr>
          <w:p>
            <w:pPr>
              <w:spacing w:line="360" w:lineRule="auto"/>
              <w:jc w:val="center"/>
              <w:rPr>
                <w:rFonts w:eastAsia="宋体" w:cs="Times New Roman"/>
                <w:bCs/>
                <w:kern w:val="0"/>
                <w:sz w:val="21"/>
              </w:rPr>
            </w:pPr>
            <w:r>
              <w:rPr>
                <w:rFonts w:eastAsia="宋体" w:cs="Times New Roman"/>
                <w:bCs/>
                <w:kern w:val="0"/>
                <w:sz w:val="21"/>
              </w:rPr>
              <w:t>三</w:t>
            </w:r>
          </w:p>
        </w:tc>
        <w:tc>
          <w:tcPr>
            <w:tcW w:w="1000" w:type="pct"/>
            <w:vAlign w:val="center"/>
          </w:tcPr>
          <w:p>
            <w:pPr>
              <w:spacing w:line="360" w:lineRule="auto"/>
              <w:jc w:val="center"/>
              <w:rPr>
                <w:rFonts w:eastAsia="宋体" w:cs="Times New Roman"/>
                <w:bCs/>
                <w:kern w:val="0"/>
                <w:sz w:val="21"/>
              </w:rPr>
            </w:pPr>
            <w:r>
              <w:rPr>
                <w:rFonts w:eastAsia="宋体" w:cs="Times New Roman"/>
                <w:bCs/>
                <w:kern w:val="0"/>
                <w:sz w:val="21"/>
              </w:rPr>
              <w:t>简单分析a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5000" w:type="pct"/>
            <w:gridSpan w:val="5"/>
            <w:vAlign w:val="center"/>
          </w:tcPr>
          <w:p>
            <w:pPr>
              <w:spacing w:line="360" w:lineRule="auto"/>
              <w:jc w:val="left"/>
              <w:rPr>
                <w:rFonts w:eastAsia="宋体" w:cs="Times New Roman"/>
                <w:bCs/>
                <w:kern w:val="0"/>
                <w:sz w:val="21"/>
              </w:rPr>
            </w:pPr>
            <w:r>
              <w:rPr>
                <w:rFonts w:eastAsia="宋体" w:cs="Times New Roman"/>
                <w:bCs/>
                <w:kern w:val="0"/>
                <w:sz w:val="21"/>
              </w:rPr>
              <w:t>a 是相对于详细评价工作内容而言，在描述危险物质、环境影响途径、环境危害后果、风险防范措施等方面给出定性的说明。见附录A。</w:t>
            </w:r>
          </w:p>
        </w:tc>
      </w:tr>
    </w:tbl>
    <w:p>
      <w:pPr>
        <w:pStyle w:val="14"/>
        <w:ind w:firstLine="480" w:firstLineChars="200"/>
        <w:jc w:val="both"/>
        <w:rPr>
          <w:rFonts w:hAnsi="宋体" w:cs="Times New Roman"/>
          <w:b w:val="0"/>
          <w:bCs/>
          <w:kern w:val="0"/>
          <w:szCs w:val="24"/>
        </w:rPr>
      </w:pPr>
      <w:r>
        <w:rPr>
          <w:rFonts w:hint="eastAsia" w:hAnsi="宋体" w:cs="Times New Roman"/>
          <w:b w:val="0"/>
          <w:bCs/>
          <w:kern w:val="0"/>
          <w:szCs w:val="24"/>
        </w:rPr>
        <w:t>（2）本项目环境风险潜势和评价等级划分</w:t>
      </w:r>
    </w:p>
    <w:p>
      <w:pPr>
        <w:spacing w:line="360" w:lineRule="auto"/>
        <w:ind w:firstLine="480" w:firstLineChars="200"/>
        <w:rPr>
          <w:rFonts w:eastAsia="宋体"/>
          <w:kern w:val="0"/>
          <w:szCs w:val="24"/>
        </w:rPr>
      </w:pPr>
      <w:r>
        <w:rPr>
          <w:rFonts w:ascii="宋体" w:hAnsi="宋体" w:eastAsia="宋体"/>
          <w:bCs/>
          <w:kern w:val="0"/>
          <w:szCs w:val="24"/>
        </w:rPr>
        <w:t>①大气环境风险潜势和评价等级划分</w:t>
      </w:r>
    </w:p>
    <w:p>
      <w:pPr>
        <w:spacing w:line="360" w:lineRule="auto"/>
        <w:ind w:firstLine="480" w:firstLineChars="200"/>
        <w:rPr>
          <w:rFonts w:eastAsia="宋体"/>
          <w:bCs/>
          <w:kern w:val="0"/>
          <w:szCs w:val="24"/>
        </w:rPr>
      </w:pPr>
      <w:r>
        <w:rPr>
          <w:rFonts w:ascii="宋体" w:hAnsi="宋体" w:eastAsia="宋体"/>
          <w:bCs/>
          <w:kern w:val="0"/>
          <w:szCs w:val="24"/>
        </w:rPr>
        <w:t>本项目</w:t>
      </w:r>
      <w:r>
        <w:rPr>
          <w:rFonts w:eastAsia="宋体"/>
          <w:bCs/>
          <w:kern w:val="0"/>
          <w:szCs w:val="24"/>
        </w:rPr>
        <w:t>Q</w:t>
      </w:r>
      <w:r>
        <w:rPr>
          <w:rFonts w:ascii="宋体" w:hAnsi="宋体" w:eastAsia="宋体"/>
          <w:bCs/>
          <w:kern w:val="0"/>
          <w:szCs w:val="24"/>
        </w:rPr>
        <w:t>小于</w:t>
      </w:r>
      <w:r>
        <w:rPr>
          <w:rFonts w:eastAsia="宋体"/>
          <w:bCs/>
          <w:kern w:val="0"/>
          <w:szCs w:val="24"/>
        </w:rPr>
        <w:t>1</w:t>
      </w:r>
      <w:r>
        <w:rPr>
          <w:rFonts w:ascii="宋体" w:hAnsi="宋体" w:eastAsia="宋体"/>
          <w:bCs/>
          <w:kern w:val="0"/>
          <w:szCs w:val="24"/>
        </w:rPr>
        <w:t>，大气环境敏感程度为环境中度敏感区（</w:t>
      </w:r>
      <w:r>
        <w:rPr>
          <w:rFonts w:eastAsia="宋体"/>
          <w:bCs/>
          <w:kern w:val="0"/>
          <w:szCs w:val="24"/>
        </w:rPr>
        <w:t>E2</w:t>
      </w:r>
      <w:r>
        <w:rPr>
          <w:rFonts w:ascii="宋体" w:hAnsi="宋体" w:eastAsia="宋体"/>
          <w:bCs/>
          <w:kern w:val="0"/>
          <w:szCs w:val="24"/>
        </w:rPr>
        <w:t>），由此可知，本项目环境风险潜势划分为</w:t>
      </w:r>
      <w:r>
        <w:rPr>
          <w:rFonts w:hint="eastAsia" w:ascii="宋体" w:hAnsi="宋体" w:eastAsia="宋体"/>
          <w:bCs/>
          <w:kern w:val="0"/>
          <w:szCs w:val="24"/>
        </w:rPr>
        <w:t>Ⅰ</w:t>
      </w:r>
      <w:r>
        <w:rPr>
          <w:rFonts w:ascii="宋体" w:hAnsi="宋体" w:eastAsia="宋体"/>
          <w:bCs/>
          <w:kern w:val="0"/>
          <w:szCs w:val="24"/>
        </w:rPr>
        <w:t>级，环境风险评价工作等级划分为简单分析。</w:t>
      </w:r>
    </w:p>
    <w:p>
      <w:pPr>
        <w:spacing w:line="360" w:lineRule="auto"/>
        <w:ind w:firstLine="480" w:firstLineChars="200"/>
        <w:rPr>
          <w:rFonts w:eastAsia="宋体"/>
          <w:bCs/>
          <w:kern w:val="0"/>
          <w:szCs w:val="24"/>
        </w:rPr>
      </w:pPr>
      <w:r>
        <w:rPr>
          <w:rFonts w:ascii="宋体" w:hAnsi="宋体" w:eastAsia="宋体"/>
          <w:bCs/>
          <w:kern w:val="0"/>
          <w:szCs w:val="24"/>
        </w:rPr>
        <w:t>②地表水环境风险潜势和评价等级划分</w:t>
      </w:r>
    </w:p>
    <w:p>
      <w:pPr>
        <w:spacing w:line="360" w:lineRule="auto"/>
        <w:ind w:firstLine="480" w:firstLineChars="200"/>
        <w:rPr>
          <w:rFonts w:eastAsia="宋体"/>
          <w:bCs/>
          <w:kern w:val="0"/>
          <w:szCs w:val="24"/>
        </w:rPr>
      </w:pPr>
      <w:r>
        <w:rPr>
          <w:rFonts w:ascii="宋体" w:hAnsi="宋体" w:eastAsia="宋体"/>
          <w:bCs/>
          <w:kern w:val="0"/>
          <w:szCs w:val="24"/>
        </w:rPr>
        <w:t>本项目</w:t>
      </w:r>
      <w:r>
        <w:rPr>
          <w:rFonts w:eastAsia="宋体"/>
          <w:bCs/>
          <w:kern w:val="0"/>
          <w:szCs w:val="24"/>
        </w:rPr>
        <w:t>Q</w:t>
      </w:r>
      <w:r>
        <w:rPr>
          <w:rFonts w:ascii="宋体" w:hAnsi="宋体" w:eastAsia="宋体"/>
          <w:bCs/>
          <w:kern w:val="0"/>
          <w:szCs w:val="24"/>
        </w:rPr>
        <w:t>小于</w:t>
      </w:r>
      <w:r>
        <w:rPr>
          <w:rFonts w:eastAsia="宋体"/>
          <w:bCs/>
          <w:kern w:val="0"/>
          <w:szCs w:val="24"/>
        </w:rPr>
        <w:t>1</w:t>
      </w:r>
      <w:r>
        <w:rPr>
          <w:rFonts w:ascii="宋体" w:hAnsi="宋体" w:eastAsia="宋体"/>
          <w:bCs/>
          <w:kern w:val="0"/>
          <w:szCs w:val="24"/>
        </w:rPr>
        <w:t>，地表水环境敏感程度为环境中度敏感区（</w:t>
      </w:r>
      <w:r>
        <w:rPr>
          <w:rFonts w:eastAsia="宋体"/>
          <w:bCs/>
          <w:kern w:val="0"/>
          <w:szCs w:val="24"/>
        </w:rPr>
        <w:t>E3</w:t>
      </w:r>
      <w:r>
        <w:rPr>
          <w:rFonts w:ascii="宋体" w:hAnsi="宋体" w:eastAsia="宋体"/>
          <w:bCs/>
          <w:kern w:val="0"/>
          <w:szCs w:val="24"/>
        </w:rPr>
        <w:t>），由此可知，本项目环境风险潜势划分为</w:t>
      </w:r>
      <w:r>
        <w:rPr>
          <w:rFonts w:hint="eastAsia" w:ascii="宋体" w:hAnsi="宋体" w:eastAsia="宋体"/>
          <w:bCs/>
          <w:kern w:val="0"/>
          <w:szCs w:val="24"/>
        </w:rPr>
        <w:t>Ⅰ</w:t>
      </w:r>
      <w:r>
        <w:rPr>
          <w:rFonts w:ascii="宋体" w:hAnsi="宋体" w:eastAsia="宋体"/>
          <w:bCs/>
          <w:kern w:val="0"/>
          <w:szCs w:val="24"/>
        </w:rPr>
        <w:t>级，环境风险评价工作等级划分为简单分析。</w:t>
      </w:r>
    </w:p>
    <w:p>
      <w:pPr>
        <w:spacing w:line="360" w:lineRule="auto"/>
        <w:ind w:firstLine="480" w:firstLineChars="200"/>
        <w:rPr>
          <w:rFonts w:eastAsia="宋体"/>
          <w:bCs/>
          <w:kern w:val="0"/>
          <w:szCs w:val="24"/>
        </w:rPr>
      </w:pPr>
      <w:r>
        <w:rPr>
          <w:rFonts w:ascii="宋体" w:hAnsi="宋体" w:eastAsia="宋体"/>
          <w:bCs/>
          <w:kern w:val="0"/>
          <w:szCs w:val="24"/>
        </w:rPr>
        <w:t>③地下水环境风险潜势和评价等级划分</w:t>
      </w:r>
    </w:p>
    <w:p>
      <w:pPr>
        <w:spacing w:line="360" w:lineRule="auto"/>
        <w:ind w:firstLine="480" w:firstLineChars="200"/>
        <w:rPr>
          <w:rFonts w:ascii="宋体" w:hAnsi="宋体" w:eastAsia="宋体"/>
          <w:bCs/>
          <w:kern w:val="0"/>
          <w:szCs w:val="24"/>
        </w:rPr>
      </w:pPr>
      <w:r>
        <w:rPr>
          <w:rFonts w:ascii="宋体" w:hAnsi="宋体" w:eastAsia="宋体"/>
          <w:bCs/>
          <w:kern w:val="0"/>
          <w:szCs w:val="24"/>
        </w:rPr>
        <w:t>本项目</w:t>
      </w:r>
      <w:r>
        <w:rPr>
          <w:rFonts w:eastAsia="宋体"/>
          <w:bCs/>
          <w:kern w:val="0"/>
          <w:szCs w:val="24"/>
        </w:rPr>
        <w:t>Q</w:t>
      </w:r>
      <w:r>
        <w:rPr>
          <w:rFonts w:ascii="宋体" w:hAnsi="宋体" w:eastAsia="宋体"/>
          <w:bCs/>
          <w:kern w:val="0"/>
          <w:szCs w:val="24"/>
        </w:rPr>
        <w:t>小于</w:t>
      </w:r>
      <w:r>
        <w:rPr>
          <w:rFonts w:eastAsia="宋体"/>
          <w:bCs/>
          <w:kern w:val="0"/>
          <w:szCs w:val="24"/>
        </w:rPr>
        <w:t>1</w:t>
      </w:r>
      <w:r>
        <w:rPr>
          <w:rFonts w:ascii="宋体" w:hAnsi="宋体" w:eastAsia="宋体"/>
          <w:bCs/>
          <w:kern w:val="0"/>
          <w:szCs w:val="24"/>
        </w:rPr>
        <w:t>，地表水环境敏感程度为环境中度敏感区（</w:t>
      </w:r>
      <w:r>
        <w:rPr>
          <w:rFonts w:eastAsia="宋体"/>
          <w:bCs/>
          <w:kern w:val="0"/>
          <w:szCs w:val="24"/>
        </w:rPr>
        <w:t>E3</w:t>
      </w:r>
      <w:r>
        <w:rPr>
          <w:rFonts w:ascii="宋体" w:hAnsi="宋体" w:eastAsia="宋体"/>
          <w:bCs/>
          <w:kern w:val="0"/>
          <w:szCs w:val="24"/>
        </w:rPr>
        <w:t>），由此可知，本项目环境风险潜势划分为</w:t>
      </w:r>
      <w:r>
        <w:rPr>
          <w:rFonts w:hint="eastAsia" w:ascii="宋体" w:hAnsi="宋体" w:eastAsia="宋体"/>
          <w:bCs/>
          <w:kern w:val="0"/>
          <w:szCs w:val="24"/>
        </w:rPr>
        <w:t>Ⅰ</w:t>
      </w:r>
      <w:r>
        <w:rPr>
          <w:rFonts w:ascii="宋体" w:hAnsi="宋体" w:eastAsia="宋体"/>
          <w:bCs/>
          <w:kern w:val="0"/>
          <w:szCs w:val="24"/>
        </w:rPr>
        <w:t>级，环境风险评价工作等级划分为简单分析。</w:t>
      </w:r>
    </w:p>
    <w:p>
      <w:pPr>
        <w:spacing w:line="360" w:lineRule="auto"/>
        <w:ind w:firstLine="480" w:firstLineChars="200"/>
        <w:rPr>
          <w:rFonts w:eastAsia="宋体"/>
          <w:bCs/>
          <w:kern w:val="0"/>
          <w:szCs w:val="24"/>
        </w:rPr>
      </w:pPr>
    </w:p>
    <w:p>
      <w:pPr>
        <w:pStyle w:val="4"/>
      </w:pPr>
      <w:r>
        <w:t>风险识别</w:t>
      </w:r>
    </w:p>
    <w:p>
      <w:pPr>
        <w:spacing w:line="360" w:lineRule="auto"/>
        <w:ind w:firstLine="480" w:firstLineChars="200"/>
        <w:rPr>
          <w:rFonts w:eastAsia="宋体" w:cs="Times New Roman"/>
          <w:bCs/>
          <w:kern w:val="0"/>
          <w:szCs w:val="24"/>
        </w:rPr>
      </w:pPr>
      <w:r>
        <w:rPr>
          <w:rFonts w:hAnsi="宋体" w:eastAsia="宋体" w:cs="Times New Roman"/>
          <w:bCs/>
          <w:kern w:val="0"/>
          <w:szCs w:val="24"/>
        </w:rPr>
        <w:t>（</w:t>
      </w:r>
      <w:r>
        <w:rPr>
          <w:rFonts w:eastAsia="宋体" w:cs="Times New Roman"/>
          <w:bCs/>
          <w:kern w:val="0"/>
          <w:szCs w:val="24"/>
        </w:rPr>
        <w:t>1</w:t>
      </w:r>
      <w:r>
        <w:rPr>
          <w:rFonts w:hAnsi="宋体" w:eastAsia="宋体" w:cs="Times New Roman"/>
          <w:bCs/>
          <w:kern w:val="0"/>
          <w:szCs w:val="24"/>
        </w:rPr>
        <w:t>）风险识别内容</w:t>
      </w:r>
    </w:p>
    <w:p>
      <w:pPr>
        <w:spacing w:line="360" w:lineRule="auto"/>
        <w:ind w:firstLine="480" w:firstLineChars="200"/>
        <w:rPr>
          <w:rFonts w:eastAsia="宋体" w:cs="Times New Roman"/>
          <w:bCs/>
          <w:kern w:val="0"/>
          <w:szCs w:val="24"/>
        </w:rPr>
      </w:pPr>
      <w:r>
        <w:rPr>
          <w:rFonts w:hAnsi="宋体" w:eastAsia="宋体" w:cs="Times New Roman"/>
          <w:bCs/>
          <w:kern w:val="0"/>
          <w:szCs w:val="24"/>
        </w:rPr>
        <w:t>①物质危险性识别，包括主要原辅材料、燃料、中间产品、副产品、最终产品、污染物、火灾和爆炸伴生</w:t>
      </w:r>
      <w:r>
        <w:rPr>
          <w:rFonts w:eastAsia="宋体" w:cs="Times New Roman"/>
          <w:bCs/>
          <w:kern w:val="0"/>
          <w:szCs w:val="24"/>
        </w:rPr>
        <w:t>/</w:t>
      </w:r>
      <w:r>
        <w:rPr>
          <w:rFonts w:hAnsi="宋体" w:eastAsia="宋体" w:cs="Times New Roman"/>
          <w:bCs/>
          <w:kern w:val="0"/>
          <w:szCs w:val="24"/>
        </w:rPr>
        <w:t>次生物等。</w:t>
      </w:r>
    </w:p>
    <w:p>
      <w:pPr>
        <w:spacing w:line="360" w:lineRule="auto"/>
        <w:ind w:firstLine="480" w:firstLineChars="200"/>
        <w:rPr>
          <w:rFonts w:eastAsia="宋体" w:cs="Times New Roman"/>
          <w:bCs/>
          <w:kern w:val="0"/>
          <w:szCs w:val="24"/>
        </w:rPr>
      </w:pPr>
      <w:r>
        <w:rPr>
          <w:rFonts w:hAnsi="宋体" w:eastAsia="宋体" w:cs="Times New Roman"/>
          <w:bCs/>
          <w:kern w:val="0"/>
          <w:szCs w:val="24"/>
        </w:rPr>
        <w:t>②生产系统危险性识别，包括主要生产装置、储运设施、公用工程和辅助生产设施，以及环境保护设施等。</w:t>
      </w:r>
    </w:p>
    <w:p>
      <w:pPr>
        <w:spacing w:line="360" w:lineRule="auto"/>
        <w:ind w:firstLine="480" w:firstLineChars="200"/>
        <w:rPr>
          <w:rFonts w:eastAsia="宋体" w:cs="Times New Roman"/>
          <w:bCs/>
          <w:kern w:val="0"/>
          <w:szCs w:val="24"/>
        </w:rPr>
      </w:pPr>
      <w:r>
        <w:rPr>
          <w:rFonts w:hAnsi="宋体" w:eastAsia="宋体" w:cs="Times New Roman"/>
          <w:bCs/>
          <w:kern w:val="0"/>
          <w:szCs w:val="24"/>
        </w:rPr>
        <w:t>③危险物质向环境转移的途径识别，包括分析危险物质特性及可能的环境风险类型，识别危险物质影响环境的途径，分析可能影响的环境敏感目标。</w:t>
      </w:r>
    </w:p>
    <w:p>
      <w:pPr>
        <w:spacing w:line="360" w:lineRule="auto"/>
        <w:ind w:firstLine="480" w:firstLineChars="200"/>
        <w:rPr>
          <w:color w:val="000000" w:themeColor="text1"/>
        </w:rPr>
      </w:pPr>
      <w:r>
        <w:rPr>
          <w:rFonts w:hint="eastAsia"/>
          <w:color w:val="000000" w:themeColor="text1"/>
        </w:rPr>
        <w:t>（2）物质危险性识别</w:t>
      </w:r>
    </w:p>
    <w:p>
      <w:pPr>
        <w:pStyle w:val="155"/>
        <w:ind w:firstLine="480"/>
        <w:rPr>
          <w:rFonts w:ascii="宋体" w:hAnsi="宋体"/>
          <w:color w:val="000000" w:themeColor="text1"/>
        </w:rPr>
      </w:pPr>
      <w:r>
        <w:rPr>
          <w:color w:val="000000" w:themeColor="text1"/>
        </w:rPr>
        <w:t>根据《建设项目环境风险评价技术导则》（HJ 169—2018）附录B，主要原辅材料有：</w:t>
      </w:r>
      <w:r>
        <w:rPr>
          <w:rFonts w:hint="eastAsia"/>
          <w:color w:val="000000" w:themeColor="text1"/>
        </w:rPr>
        <w:t>盐酸、氯酸钠、氧气、天然气、乙醇；</w:t>
      </w:r>
      <w:r>
        <w:rPr>
          <w:rFonts w:ascii="宋体" w:hAnsi="宋体"/>
          <w:color w:val="000000" w:themeColor="text1"/>
        </w:rPr>
        <w:t>火灾和爆炸伴生</w:t>
      </w:r>
      <w:r>
        <w:rPr>
          <w:color w:val="000000" w:themeColor="text1"/>
        </w:rPr>
        <w:t>/</w:t>
      </w:r>
      <w:r>
        <w:rPr>
          <w:rFonts w:ascii="宋体" w:hAnsi="宋体"/>
          <w:color w:val="000000" w:themeColor="text1"/>
        </w:rPr>
        <w:t>次生物：一氧化氮、二氧化氮、一氧化炭污染物：硫化氢、氨气</w:t>
      </w:r>
      <w:r>
        <w:rPr>
          <w:rFonts w:hint="eastAsia" w:ascii="宋体" w:hAnsi="宋体"/>
          <w:color w:val="000000" w:themeColor="text1"/>
        </w:rPr>
        <w:t>。</w:t>
      </w:r>
    </w:p>
    <w:p>
      <w:pPr>
        <w:pStyle w:val="14"/>
        <w:spacing w:line="240" w:lineRule="auto"/>
        <w:rPr>
          <w:rFonts w:hAnsi="宋体"/>
          <w:color w:val="000000" w:themeColor="text1"/>
        </w:rPr>
      </w:pPr>
      <w:r>
        <w:rPr>
          <w:rFonts w:hint="eastAsia" w:hAnsi="宋体"/>
          <w:color w:val="000000" w:themeColor="text1"/>
        </w:rPr>
        <w:t>表</w:t>
      </w:r>
      <w:r>
        <w:rPr>
          <w:rFonts w:hAnsi="宋体"/>
          <w:color w:val="000000" w:themeColor="text1"/>
        </w:rPr>
        <w:fldChar w:fldCharType="begin"/>
      </w:r>
      <w:r>
        <w:rPr>
          <w:rFonts w:hAnsi="宋体"/>
          <w:color w:val="000000" w:themeColor="text1"/>
        </w:rPr>
        <w:instrText xml:space="preserve"> </w:instrText>
      </w:r>
      <w:r>
        <w:rPr>
          <w:rFonts w:hint="eastAsia" w:hAnsi="宋体"/>
          <w:color w:val="000000" w:themeColor="text1"/>
        </w:rPr>
        <w:instrText xml:space="preserve">STYLEREF 2 \s</w:instrText>
      </w:r>
      <w:r>
        <w:rPr>
          <w:rFonts w:hAnsi="宋体"/>
          <w:color w:val="000000" w:themeColor="text1"/>
        </w:rPr>
        <w:instrText xml:space="preserve"> </w:instrText>
      </w:r>
      <w:r>
        <w:rPr>
          <w:rFonts w:hAnsi="宋体"/>
          <w:color w:val="000000" w:themeColor="text1"/>
        </w:rPr>
        <w:fldChar w:fldCharType="separate"/>
      </w:r>
      <w:r>
        <w:rPr>
          <w:rFonts w:hAnsi="宋体"/>
          <w:color w:val="000000" w:themeColor="text1"/>
        </w:rPr>
        <w:t>7.5</w:t>
      </w:r>
      <w:r>
        <w:rPr>
          <w:rFonts w:hAnsi="宋体"/>
          <w:color w:val="000000" w:themeColor="text1"/>
        </w:rPr>
        <w:fldChar w:fldCharType="end"/>
      </w:r>
      <w:r>
        <w:rPr>
          <w:rFonts w:hAnsi="宋体"/>
          <w:color w:val="000000" w:themeColor="text1"/>
        </w:rPr>
        <w:noBreakHyphen/>
      </w:r>
      <w:r>
        <w:rPr>
          <w:rFonts w:hAnsi="宋体"/>
          <w:color w:val="000000" w:themeColor="text1"/>
        </w:rPr>
        <w:fldChar w:fldCharType="begin"/>
      </w:r>
      <w:r>
        <w:rPr>
          <w:rFonts w:hAnsi="宋体"/>
          <w:color w:val="000000" w:themeColor="text1"/>
        </w:rPr>
        <w:instrText xml:space="preserve"> </w:instrText>
      </w:r>
      <w:r>
        <w:rPr>
          <w:rFonts w:hint="eastAsia" w:hAnsi="宋体"/>
          <w:color w:val="000000" w:themeColor="text1"/>
        </w:rPr>
        <w:instrText xml:space="preserve">SEQ 表 \* ARABIC \s 2</w:instrText>
      </w:r>
      <w:r>
        <w:rPr>
          <w:rFonts w:hAnsi="宋体"/>
          <w:color w:val="000000" w:themeColor="text1"/>
        </w:rPr>
        <w:instrText xml:space="preserve"> </w:instrText>
      </w:r>
      <w:r>
        <w:rPr>
          <w:rFonts w:hAnsi="宋体"/>
          <w:color w:val="000000" w:themeColor="text1"/>
        </w:rPr>
        <w:fldChar w:fldCharType="separate"/>
      </w:r>
      <w:r>
        <w:rPr>
          <w:rFonts w:hAnsi="宋体"/>
          <w:color w:val="000000" w:themeColor="text1"/>
        </w:rPr>
        <w:t>1</w:t>
      </w:r>
      <w:r>
        <w:rPr>
          <w:rFonts w:hAnsi="宋体"/>
          <w:color w:val="000000" w:themeColor="text1"/>
        </w:rPr>
        <w:fldChar w:fldCharType="end"/>
      </w:r>
      <w:r>
        <w:rPr>
          <w:rFonts w:hint="eastAsia" w:hAnsi="宋体"/>
          <w:color w:val="000000" w:themeColor="text1"/>
        </w:rPr>
        <w:t xml:space="preserve"> </w:t>
      </w:r>
      <w:r>
        <w:t>乙醇的理化性质及危险特性</w:t>
      </w:r>
    </w:p>
    <w:tbl>
      <w:tblPr>
        <w:tblStyle w:val="39"/>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504"/>
        <w:gridCol w:w="1795"/>
        <w:gridCol w:w="1106"/>
        <w:gridCol w:w="266"/>
        <w:gridCol w:w="378"/>
        <w:gridCol w:w="1096"/>
        <w:gridCol w:w="338"/>
        <w:gridCol w:w="760"/>
        <w:gridCol w:w="249"/>
        <w:gridCol w:w="1453"/>
        <w:gridCol w:w="755"/>
        <w:gridCol w:w="95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99" w:hRule="atLeast"/>
          <w:jc w:val="center"/>
        </w:trPr>
        <w:tc>
          <w:tcPr>
            <w:tcW w:w="261" w:type="pct"/>
            <w:vMerge w:val="restart"/>
            <w:shd w:val="clear" w:color="auto" w:fill="auto"/>
            <w:vAlign w:val="center"/>
          </w:tcPr>
          <w:p>
            <w:pPr>
              <w:jc w:val="center"/>
              <w:rPr>
                <w:spacing w:val="10"/>
                <w:sz w:val="21"/>
              </w:rPr>
            </w:pPr>
            <w:r>
              <w:rPr>
                <w:spacing w:val="10"/>
                <w:sz w:val="21"/>
              </w:rPr>
              <w:t>标识</w:t>
            </w:r>
          </w:p>
        </w:tc>
        <w:tc>
          <w:tcPr>
            <w:tcW w:w="3103" w:type="pct"/>
            <w:gridSpan w:val="8"/>
            <w:shd w:val="clear" w:color="auto" w:fill="auto"/>
            <w:vAlign w:val="center"/>
          </w:tcPr>
          <w:p>
            <w:pPr>
              <w:rPr>
                <w:spacing w:val="10"/>
                <w:sz w:val="21"/>
              </w:rPr>
            </w:pPr>
            <w:r>
              <w:rPr>
                <w:spacing w:val="10"/>
                <w:sz w:val="21"/>
              </w:rPr>
              <w:t>中文名：</w:t>
            </w:r>
            <w:r>
              <w:rPr>
                <w:sz w:val="21"/>
              </w:rPr>
              <w:t>乙醇[无水]；无水酒精</w:t>
            </w:r>
          </w:p>
        </w:tc>
        <w:tc>
          <w:tcPr>
            <w:tcW w:w="1636" w:type="pct"/>
            <w:gridSpan w:val="3"/>
            <w:shd w:val="clear" w:color="auto" w:fill="auto"/>
            <w:vAlign w:val="center"/>
          </w:tcPr>
          <w:p>
            <w:pPr>
              <w:rPr>
                <w:spacing w:val="10"/>
                <w:sz w:val="21"/>
              </w:rPr>
            </w:pPr>
            <w:r>
              <w:rPr>
                <w:spacing w:val="10"/>
                <w:sz w:val="21"/>
              </w:rPr>
              <w:t>危险货物编号：</w:t>
            </w:r>
            <w:r>
              <w:rPr>
                <w:sz w:val="21"/>
              </w:rPr>
              <w:t>32061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05" w:hRule="atLeast"/>
          <w:jc w:val="center"/>
        </w:trPr>
        <w:tc>
          <w:tcPr>
            <w:tcW w:w="261" w:type="pct"/>
            <w:vMerge w:val="continue"/>
            <w:shd w:val="clear" w:color="auto" w:fill="auto"/>
            <w:vAlign w:val="center"/>
          </w:tcPr>
          <w:p>
            <w:pPr>
              <w:widowControl/>
              <w:jc w:val="left"/>
              <w:rPr>
                <w:spacing w:val="10"/>
                <w:sz w:val="21"/>
              </w:rPr>
            </w:pPr>
          </w:p>
        </w:tc>
        <w:tc>
          <w:tcPr>
            <w:tcW w:w="3103" w:type="pct"/>
            <w:gridSpan w:val="8"/>
            <w:shd w:val="clear" w:color="auto" w:fill="auto"/>
            <w:vAlign w:val="center"/>
          </w:tcPr>
          <w:p>
            <w:pPr>
              <w:rPr>
                <w:spacing w:val="10"/>
                <w:sz w:val="21"/>
              </w:rPr>
            </w:pPr>
            <w:r>
              <w:rPr>
                <w:spacing w:val="10"/>
                <w:sz w:val="21"/>
              </w:rPr>
              <w:t>英文名：</w:t>
            </w:r>
            <w:r>
              <w:rPr>
                <w:sz w:val="21"/>
              </w:rPr>
              <w:t>ethyl alcohol；ethanol</w:t>
            </w:r>
          </w:p>
        </w:tc>
        <w:tc>
          <w:tcPr>
            <w:tcW w:w="1636" w:type="pct"/>
            <w:gridSpan w:val="3"/>
            <w:shd w:val="clear" w:color="auto" w:fill="auto"/>
            <w:vAlign w:val="center"/>
          </w:tcPr>
          <w:p>
            <w:pPr>
              <w:rPr>
                <w:spacing w:val="10"/>
                <w:sz w:val="21"/>
              </w:rPr>
            </w:pPr>
            <w:r>
              <w:rPr>
                <w:spacing w:val="10"/>
                <w:sz w:val="21"/>
              </w:rPr>
              <w:t>UN编号：1170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51" w:hRule="atLeast"/>
          <w:jc w:val="center"/>
        </w:trPr>
        <w:tc>
          <w:tcPr>
            <w:tcW w:w="261" w:type="pct"/>
            <w:vMerge w:val="continue"/>
            <w:shd w:val="clear" w:color="auto" w:fill="auto"/>
            <w:vAlign w:val="center"/>
          </w:tcPr>
          <w:p>
            <w:pPr>
              <w:widowControl/>
              <w:jc w:val="left"/>
              <w:rPr>
                <w:spacing w:val="10"/>
                <w:sz w:val="21"/>
              </w:rPr>
            </w:pPr>
          </w:p>
        </w:tc>
        <w:tc>
          <w:tcPr>
            <w:tcW w:w="1641" w:type="pct"/>
            <w:gridSpan w:val="3"/>
            <w:shd w:val="clear" w:color="auto" w:fill="auto"/>
            <w:vAlign w:val="center"/>
          </w:tcPr>
          <w:p>
            <w:pPr>
              <w:ind w:left="920" w:hanging="920" w:hangingChars="400"/>
              <w:rPr>
                <w:spacing w:val="10"/>
                <w:sz w:val="21"/>
              </w:rPr>
            </w:pPr>
            <w:r>
              <w:rPr>
                <w:spacing w:val="10"/>
                <w:sz w:val="21"/>
              </w:rPr>
              <w:t>分子式：</w:t>
            </w:r>
            <w:r>
              <w:rPr>
                <w:sz w:val="21"/>
              </w:rPr>
              <w:t>C</w:t>
            </w:r>
            <w:r>
              <w:rPr>
                <w:sz w:val="21"/>
                <w:vertAlign w:val="subscript"/>
              </w:rPr>
              <w:t>2</w:t>
            </w:r>
            <w:r>
              <w:rPr>
                <w:sz w:val="21"/>
              </w:rPr>
              <w:t>H</w:t>
            </w:r>
            <w:r>
              <w:rPr>
                <w:sz w:val="21"/>
                <w:vertAlign w:val="subscript"/>
              </w:rPr>
              <w:t>6</w:t>
            </w:r>
            <w:r>
              <w:rPr>
                <w:sz w:val="21"/>
              </w:rPr>
              <w:t>O</w:t>
            </w:r>
          </w:p>
        </w:tc>
        <w:tc>
          <w:tcPr>
            <w:tcW w:w="1462" w:type="pct"/>
            <w:gridSpan w:val="5"/>
            <w:shd w:val="clear" w:color="auto" w:fill="auto"/>
            <w:vAlign w:val="center"/>
          </w:tcPr>
          <w:p>
            <w:pPr>
              <w:rPr>
                <w:spacing w:val="10"/>
                <w:sz w:val="21"/>
              </w:rPr>
            </w:pPr>
            <w:r>
              <w:rPr>
                <w:spacing w:val="10"/>
                <w:sz w:val="21"/>
              </w:rPr>
              <w:t>分子量：</w:t>
            </w:r>
            <w:r>
              <w:rPr>
                <w:sz w:val="21"/>
              </w:rPr>
              <w:t>46.07</w:t>
            </w:r>
          </w:p>
        </w:tc>
        <w:tc>
          <w:tcPr>
            <w:tcW w:w="1636" w:type="pct"/>
            <w:gridSpan w:val="3"/>
            <w:shd w:val="clear" w:color="auto" w:fill="auto"/>
            <w:vAlign w:val="center"/>
          </w:tcPr>
          <w:p>
            <w:pPr>
              <w:rPr>
                <w:spacing w:val="10"/>
                <w:sz w:val="21"/>
              </w:rPr>
            </w:pPr>
            <w:r>
              <w:rPr>
                <w:spacing w:val="10"/>
                <w:sz w:val="21"/>
              </w:rPr>
              <w:t>CAS号：</w:t>
            </w:r>
            <w:r>
              <w:rPr>
                <w:sz w:val="21"/>
              </w:rPr>
              <w:t>64-17-5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76" w:hRule="atLeast"/>
          <w:jc w:val="center"/>
        </w:trPr>
        <w:tc>
          <w:tcPr>
            <w:tcW w:w="261" w:type="pct"/>
            <w:vMerge w:val="restart"/>
            <w:shd w:val="clear" w:color="auto" w:fill="auto"/>
            <w:vAlign w:val="center"/>
          </w:tcPr>
          <w:p>
            <w:pPr>
              <w:jc w:val="center"/>
              <w:rPr>
                <w:spacing w:val="10"/>
                <w:sz w:val="21"/>
              </w:rPr>
            </w:pPr>
            <w:r>
              <w:rPr>
                <w:spacing w:val="10"/>
                <w:sz w:val="21"/>
              </w:rPr>
              <w:t>理化性质</w:t>
            </w:r>
          </w:p>
        </w:tc>
        <w:tc>
          <w:tcPr>
            <w:tcW w:w="930" w:type="pct"/>
            <w:shd w:val="clear" w:color="auto" w:fill="auto"/>
            <w:vAlign w:val="center"/>
          </w:tcPr>
          <w:p>
            <w:pPr>
              <w:jc w:val="center"/>
              <w:rPr>
                <w:spacing w:val="10"/>
                <w:sz w:val="21"/>
              </w:rPr>
            </w:pPr>
            <w:r>
              <w:rPr>
                <w:spacing w:val="10"/>
                <w:sz w:val="21"/>
              </w:rPr>
              <w:t>外观与性状</w:t>
            </w:r>
          </w:p>
        </w:tc>
        <w:tc>
          <w:tcPr>
            <w:tcW w:w="3809" w:type="pct"/>
            <w:gridSpan w:val="10"/>
            <w:shd w:val="clear" w:color="auto" w:fill="auto"/>
            <w:vAlign w:val="center"/>
          </w:tcPr>
          <w:p>
            <w:pPr>
              <w:rPr>
                <w:spacing w:val="10"/>
                <w:sz w:val="21"/>
              </w:rPr>
            </w:pPr>
            <w:r>
              <w:rPr>
                <w:sz w:val="21"/>
              </w:rPr>
              <w:t>无色液体，有酒香。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261" w:type="pct"/>
            <w:vMerge w:val="continue"/>
            <w:shd w:val="clear" w:color="auto" w:fill="auto"/>
            <w:vAlign w:val="center"/>
          </w:tcPr>
          <w:p>
            <w:pPr>
              <w:widowControl/>
              <w:jc w:val="left"/>
              <w:rPr>
                <w:spacing w:val="10"/>
                <w:sz w:val="21"/>
              </w:rPr>
            </w:pPr>
          </w:p>
        </w:tc>
        <w:tc>
          <w:tcPr>
            <w:tcW w:w="930" w:type="pct"/>
            <w:shd w:val="clear" w:color="auto" w:fill="auto"/>
            <w:vAlign w:val="center"/>
          </w:tcPr>
          <w:p>
            <w:pPr>
              <w:jc w:val="center"/>
              <w:rPr>
                <w:spacing w:val="10"/>
                <w:sz w:val="21"/>
              </w:rPr>
            </w:pPr>
            <w:r>
              <w:rPr>
                <w:spacing w:val="10"/>
                <w:sz w:val="21"/>
              </w:rPr>
              <w:t>熔点（</w:t>
            </w:r>
            <w:r>
              <w:rPr>
                <w:rFonts w:hint="eastAsia" w:ascii="宋体" w:hAnsi="宋体" w:eastAsia="宋体" w:cs="宋体"/>
                <w:spacing w:val="10"/>
                <w:sz w:val="21"/>
              </w:rPr>
              <w:t>℃</w:t>
            </w:r>
            <w:r>
              <w:rPr>
                <w:spacing w:val="10"/>
                <w:sz w:val="21"/>
              </w:rPr>
              <w:t>）</w:t>
            </w:r>
          </w:p>
        </w:tc>
        <w:tc>
          <w:tcPr>
            <w:tcW w:w="573" w:type="pct"/>
            <w:shd w:val="clear" w:color="auto" w:fill="auto"/>
            <w:vAlign w:val="center"/>
          </w:tcPr>
          <w:p>
            <w:pPr>
              <w:jc w:val="center"/>
              <w:rPr>
                <w:spacing w:val="10"/>
                <w:sz w:val="21"/>
              </w:rPr>
            </w:pPr>
            <w:r>
              <w:rPr>
                <w:sz w:val="21"/>
              </w:rPr>
              <w:t>-114.1</w:t>
            </w:r>
          </w:p>
        </w:tc>
        <w:tc>
          <w:tcPr>
            <w:tcW w:w="1077" w:type="pct"/>
            <w:gridSpan w:val="4"/>
            <w:shd w:val="clear" w:color="auto" w:fill="auto"/>
            <w:vAlign w:val="center"/>
          </w:tcPr>
          <w:p>
            <w:pPr>
              <w:jc w:val="center"/>
              <w:rPr>
                <w:spacing w:val="10"/>
                <w:sz w:val="21"/>
              </w:rPr>
            </w:pPr>
            <w:r>
              <w:rPr>
                <w:spacing w:val="10"/>
                <w:sz w:val="21"/>
              </w:rPr>
              <w:t>相对密度(水=1)</w:t>
            </w:r>
          </w:p>
        </w:tc>
        <w:tc>
          <w:tcPr>
            <w:tcW w:w="523" w:type="pct"/>
            <w:gridSpan w:val="2"/>
            <w:shd w:val="clear" w:color="auto" w:fill="auto"/>
            <w:vAlign w:val="center"/>
          </w:tcPr>
          <w:p>
            <w:pPr>
              <w:jc w:val="center"/>
              <w:rPr>
                <w:spacing w:val="10"/>
                <w:sz w:val="21"/>
              </w:rPr>
            </w:pPr>
            <w:r>
              <w:rPr>
                <w:sz w:val="21"/>
              </w:rPr>
              <w:t>0.79</w:t>
            </w:r>
          </w:p>
        </w:tc>
        <w:tc>
          <w:tcPr>
            <w:tcW w:w="1144" w:type="pct"/>
            <w:gridSpan w:val="2"/>
            <w:shd w:val="clear" w:color="auto" w:fill="auto"/>
            <w:vAlign w:val="center"/>
          </w:tcPr>
          <w:p>
            <w:pPr>
              <w:jc w:val="center"/>
              <w:rPr>
                <w:spacing w:val="10"/>
                <w:sz w:val="21"/>
              </w:rPr>
            </w:pPr>
            <w:r>
              <w:rPr>
                <w:spacing w:val="10"/>
                <w:sz w:val="21"/>
              </w:rPr>
              <w:t>相对密度 (空气=1)</w:t>
            </w:r>
          </w:p>
        </w:tc>
        <w:tc>
          <w:tcPr>
            <w:tcW w:w="492" w:type="pct"/>
            <w:shd w:val="clear" w:color="auto" w:fill="auto"/>
            <w:vAlign w:val="center"/>
          </w:tcPr>
          <w:p>
            <w:pPr>
              <w:jc w:val="center"/>
              <w:rPr>
                <w:spacing w:val="10"/>
                <w:sz w:val="21"/>
              </w:rPr>
            </w:pPr>
            <w:r>
              <w:rPr>
                <w:sz w:val="21"/>
              </w:rPr>
              <w:t>1.59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261" w:type="pct"/>
            <w:vMerge w:val="continue"/>
            <w:shd w:val="clear" w:color="auto" w:fill="auto"/>
            <w:vAlign w:val="center"/>
          </w:tcPr>
          <w:p>
            <w:pPr>
              <w:widowControl/>
              <w:jc w:val="left"/>
              <w:rPr>
                <w:spacing w:val="10"/>
                <w:sz w:val="21"/>
              </w:rPr>
            </w:pPr>
          </w:p>
        </w:tc>
        <w:tc>
          <w:tcPr>
            <w:tcW w:w="930" w:type="pct"/>
            <w:shd w:val="clear" w:color="auto" w:fill="auto"/>
            <w:vAlign w:val="center"/>
          </w:tcPr>
          <w:p>
            <w:pPr>
              <w:jc w:val="center"/>
              <w:rPr>
                <w:spacing w:val="10"/>
                <w:sz w:val="21"/>
              </w:rPr>
            </w:pPr>
            <w:r>
              <w:rPr>
                <w:spacing w:val="10"/>
                <w:sz w:val="21"/>
              </w:rPr>
              <w:t>沸点（</w:t>
            </w:r>
            <w:r>
              <w:rPr>
                <w:rFonts w:hint="eastAsia" w:ascii="宋体" w:hAnsi="宋体" w:eastAsia="宋体" w:cs="宋体"/>
                <w:spacing w:val="10"/>
                <w:sz w:val="21"/>
              </w:rPr>
              <w:t>℃</w:t>
            </w:r>
            <w:r>
              <w:rPr>
                <w:spacing w:val="10"/>
                <w:sz w:val="21"/>
              </w:rPr>
              <w:t>）</w:t>
            </w:r>
          </w:p>
        </w:tc>
        <w:tc>
          <w:tcPr>
            <w:tcW w:w="573" w:type="pct"/>
            <w:shd w:val="clear" w:color="auto" w:fill="auto"/>
            <w:vAlign w:val="center"/>
          </w:tcPr>
          <w:p>
            <w:pPr>
              <w:jc w:val="center"/>
              <w:rPr>
                <w:spacing w:val="10"/>
                <w:sz w:val="21"/>
              </w:rPr>
            </w:pPr>
            <w:r>
              <w:rPr>
                <w:sz w:val="21"/>
              </w:rPr>
              <w:t>78.3</w:t>
            </w:r>
          </w:p>
        </w:tc>
        <w:tc>
          <w:tcPr>
            <w:tcW w:w="1600" w:type="pct"/>
            <w:gridSpan w:val="6"/>
            <w:shd w:val="clear" w:color="auto" w:fill="auto"/>
            <w:vAlign w:val="center"/>
          </w:tcPr>
          <w:p>
            <w:pPr>
              <w:ind w:left="-40"/>
              <w:jc w:val="center"/>
              <w:rPr>
                <w:spacing w:val="10"/>
                <w:sz w:val="21"/>
              </w:rPr>
            </w:pPr>
            <w:r>
              <w:rPr>
                <w:spacing w:val="10"/>
                <w:sz w:val="21"/>
              </w:rPr>
              <w:t>饱和蒸气压（kPa）</w:t>
            </w:r>
          </w:p>
        </w:tc>
        <w:tc>
          <w:tcPr>
            <w:tcW w:w="1636" w:type="pct"/>
            <w:gridSpan w:val="3"/>
            <w:shd w:val="clear" w:color="auto" w:fill="auto"/>
            <w:vAlign w:val="center"/>
          </w:tcPr>
          <w:p>
            <w:pPr>
              <w:jc w:val="center"/>
              <w:rPr>
                <w:spacing w:val="10"/>
                <w:sz w:val="21"/>
              </w:rPr>
            </w:pPr>
            <w:r>
              <w:rPr>
                <w:sz w:val="21"/>
              </w:rPr>
              <w:t>5.33/19</w:t>
            </w:r>
            <w:r>
              <w:rPr>
                <w:rFonts w:hint="eastAsia" w:ascii="宋体" w:hAnsi="宋体" w:eastAsia="宋体" w:cs="宋体"/>
                <w:sz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75" w:hRule="atLeast"/>
          <w:jc w:val="center"/>
        </w:trPr>
        <w:tc>
          <w:tcPr>
            <w:tcW w:w="261" w:type="pct"/>
            <w:vMerge w:val="continue"/>
            <w:shd w:val="clear" w:color="auto" w:fill="auto"/>
            <w:vAlign w:val="center"/>
          </w:tcPr>
          <w:p>
            <w:pPr>
              <w:widowControl/>
              <w:jc w:val="left"/>
              <w:rPr>
                <w:spacing w:val="10"/>
                <w:sz w:val="21"/>
              </w:rPr>
            </w:pPr>
          </w:p>
        </w:tc>
        <w:tc>
          <w:tcPr>
            <w:tcW w:w="930" w:type="pct"/>
            <w:shd w:val="clear" w:color="auto" w:fill="auto"/>
            <w:vAlign w:val="center"/>
          </w:tcPr>
          <w:p>
            <w:pPr>
              <w:jc w:val="center"/>
              <w:rPr>
                <w:spacing w:val="10"/>
                <w:sz w:val="21"/>
              </w:rPr>
            </w:pPr>
            <w:r>
              <w:rPr>
                <w:spacing w:val="10"/>
                <w:sz w:val="21"/>
              </w:rPr>
              <w:t>溶解性</w:t>
            </w:r>
          </w:p>
        </w:tc>
        <w:tc>
          <w:tcPr>
            <w:tcW w:w="3809" w:type="pct"/>
            <w:gridSpan w:val="10"/>
            <w:shd w:val="clear" w:color="auto" w:fill="auto"/>
            <w:vAlign w:val="center"/>
          </w:tcPr>
          <w:p>
            <w:pPr>
              <w:ind w:firstLine="420" w:firstLineChars="200"/>
              <w:rPr>
                <w:spacing w:val="10"/>
                <w:sz w:val="21"/>
              </w:rPr>
            </w:pPr>
            <w:r>
              <w:rPr>
                <w:sz w:val="21"/>
              </w:rPr>
              <w:t>与水混溶，可混溶于醚、氯仿、甘油等多数有机溶剂。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261" w:type="pct"/>
            <w:vMerge w:val="restart"/>
            <w:shd w:val="clear" w:color="auto" w:fill="auto"/>
            <w:vAlign w:val="center"/>
          </w:tcPr>
          <w:p>
            <w:pPr>
              <w:jc w:val="center"/>
              <w:rPr>
                <w:spacing w:val="10"/>
                <w:sz w:val="21"/>
              </w:rPr>
            </w:pPr>
            <w:r>
              <w:rPr>
                <w:spacing w:val="10"/>
                <w:sz w:val="21"/>
              </w:rPr>
              <w:t>毒性及健康危害</w:t>
            </w:r>
          </w:p>
        </w:tc>
        <w:tc>
          <w:tcPr>
            <w:tcW w:w="930" w:type="pct"/>
            <w:shd w:val="clear" w:color="auto" w:fill="auto"/>
            <w:vAlign w:val="center"/>
          </w:tcPr>
          <w:p>
            <w:pPr>
              <w:jc w:val="center"/>
              <w:rPr>
                <w:spacing w:val="10"/>
                <w:sz w:val="21"/>
              </w:rPr>
            </w:pPr>
            <w:r>
              <w:rPr>
                <w:spacing w:val="10"/>
                <w:sz w:val="21"/>
              </w:rPr>
              <w:t>侵入途径</w:t>
            </w:r>
          </w:p>
        </w:tc>
        <w:tc>
          <w:tcPr>
            <w:tcW w:w="3809" w:type="pct"/>
            <w:gridSpan w:val="10"/>
            <w:shd w:val="clear" w:color="auto" w:fill="auto"/>
            <w:vAlign w:val="center"/>
          </w:tcPr>
          <w:p>
            <w:pPr>
              <w:ind w:firstLine="460" w:firstLineChars="200"/>
              <w:rPr>
                <w:spacing w:val="10"/>
                <w:sz w:val="21"/>
              </w:rPr>
            </w:pPr>
            <w:r>
              <w:rPr>
                <w:spacing w:val="10"/>
                <w:sz w:val="21"/>
              </w:rPr>
              <w:t>吸入、食入</w:t>
            </w:r>
            <w:r>
              <w:rPr>
                <w:sz w:val="21"/>
              </w:rPr>
              <w:t>、经皮吸收。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8" w:hRule="atLeast"/>
          <w:jc w:val="center"/>
        </w:trPr>
        <w:tc>
          <w:tcPr>
            <w:tcW w:w="261" w:type="pct"/>
            <w:vMerge w:val="continue"/>
            <w:shd w:val="clear" w:color="auto" w:fill="auto"/>
            <w:vAlign w:val="center"/>
          </w:tcPr>
          <w:p>
            <w:pPr>
              <w:widowControl/>
              <w:jc w:val="left"/>
              <w:rPr>
                <w:spacing w:val="10"/>
                <w:sz w:val="21"/>
              </w:rPr>
            </w:pPr>
          </w:p>
        </w:tc>
        <w:tc>
          <w:tcPr>
            <w:tcW w:w="930" w:type="pct"/>
            <w:shd w:val="clear" w:color="auto" w:fill="auto"/>
            <w:vAlign w:val="center"/>
          </w:tcPr>
          <w:p>
            <w:pPr>
              <w:jc w:val="center"/>
              <w:rPr>
                <w:spacing w:val="10"/>
                <w:sz w:val="21"/>
              </w:rPr>
            </w:pPr>
            <w:r>
              <w:rPr>
                <w:spacing w:val="10"/>
                <w:sz w:val="21"/>
              </w:rPr>
              <w:t>毒性</w:t>
            </w:r>
          </w:p>
        </w:tc>
        <w:tc>
          <w:tcPr>
            <w:tcW w:w="3809" w:type="pct"/>
            <w:gridSpan w:val="10"/>
            <w:shd w:val="clear" w:color="auto" w:fill="auto"/>
            <w:vAlign w:val="center"/>
          </w:tcPr>
          <w:p>
            <w:pPr>
              <w:rPr>
                <w:sz w:val="21"/>
              </w:rPr>
            </w:pPr>
            <w:r>
              <w:rPr>
                <w:sz w:val="21"/>
              </w:rPr>
              <w:t>LD</w:t>
            </w:r>
            <w:r>
              <w:rPr>
                <w:sz w:val="21"/>
                <w:vertAlign w:val="subscript"/>
              </w:rPr>
              <w:t>50</w:t>
            </w:r>
            <w:r>
              <w:rPr>
                <w:sz w:val="21"/>
              </w:rPr>
              <w:t>：7060mg/kg(兔经口)；7340mg/kg(兔经皮)；LC</w:t>
            </w:r>
            <w:r>
              <w:rPr>
                <w:sz w:val="21"/>
                <w:vertAlign w:val="subscript"/>
              </w:rPr>
              <w:t>50</w:t>
            </w:r>
            <w:r>
              <w:rPr>
                <w:sz w:val="21"/>
              </w:rPr>
              <w:t>：37620mg/m</w:t>
            </w:r>
            <w:r>
              <w:rPr>
                <w:sz w:val="21"/>
                <w:vertAlign w:val="superscript"/>
              </w:rPr>
              <w:t>3</w:t>
            </w:r>
            <w:r>
              <w:rPr>
                <w:sz w:val="21"/>
              </w:rPr>
              <w:t>，10小时(大鼠吸入)；人吸入4.3mg/L×50分钟，头面部发热，四肢发凉，头痛；人吸入2.6mg/L×39分钟，头痛，无后作用。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03" w:hRule="atLeast"/>
          <w:jc w:val="center"/>
        </w:trPr>
        <w:tc>
          <w:tcPr>
            <w:tcW w:w="261" w:type="pct"/>
            <w:vMerge w:val="continue"/>
            <w:shd w:val="clear" w:color="auto" w:fill="auto"/>
            <w:vAlign w:val="center"/>
          </w:tcPr>
          <w:p>
            <w:pPr>
              <w:widowControl/>
              <w:jc w:val="left"/>
              <w:rPr>
                <w:spacing w:val="10"/>
                <w:sz w:val="21"/>
              </w:rPr>
            </w:pPr>
          </w:p>
        </w:tc>
        <w:tc>
          <w:tcPr>
            <w:tcW w:w="930" w:type="pct"/>
            <w:shd w:val="clear" w:color="auto" w:fill="auto"/>
            <w:vAlign w:val="center"/>
          </w:tcPr>
          <w:p>
            <w:pPr>
              <w:jc w:val="center"/>
              <w:rPr>
                <w:spacing w:val="10"/>
                <w:sz w:val="21"/>
              </w:rPr>
            </w:pPr>
            <w:r>
              <w:rPr>
                <w:spacing w:val="10"/>
                <w:sz w:val="21"/>
              </w:rPr>
              <w:t>健康危害</w:t>
            </w:r>
          </w:p>
        </w:tc>
        <w:tc>
          <w:tcPr>
            <w:tcW w:w="3809" w:type="pct"/>
            <w:gridSpan w:val="10"/>
            <w:shd w:val="clear" w:color="auto" w:fill="auto"/>
            <w:vAlign w:val="center"/>
          </w:tcPr>
          <w:p>
            <w:pPr>
              <w:rPr>
                <w:spacing w:val="10"/>
                <w:sz w:val="21"/>
              </w:rPr>
            </w:pPr>
            <w:r>
              <w:rPr>
                <w:sz w:val="21"/>
              </w:rPr>
              <w:t>本品为中枢神经系统抑制剂。首先引起兴奋，随后抑制。急性中毒：急性中毒多发生于口服。一般可分为兴奋、催眠、麻醉、窒息四阶段。患者进入第三或第四阶段，出现意识丧失、瞳孔扩大、呼吸不规律、休克、心力循环衰竭及呼吸停止。慢性影响：在生产中长期接触高浓度本品可引起鼻、眼、粘膜刺激症状，以及头痛、头晕、疲乏、易激动、震颤、恶心等。长期酗酒可引起多发性神经病、慢性胃炎、脂肪肝、肝硬化、心肌损害及器质性精神病等。皮肤长期接触可引起干燥、脱屑、皲裂和皮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8" w:hRule="atLeast"/>
          <w:jc w:val="center"/>
        </w:trPr>
        <w:tc>
          <w:tcPr>
            <w:tcW w:w="261" w:type="pct"/>
            <w:vMerge w:val="continue"/>
            <w:shd w:val="clear" w:color="auto" w:fill="auto"/>
            <w:vAlign w:val="center"/>
          </w:tcPr>
          <w:p>
            <w:pPr>
              <w:widowControl/>
              <w:jc w:val="left"/>
              <w:rPr>
                <w:spacing w:val="10"/>
                <w:sz w:val="21"/>
              </w:rPr>
            </w:pPr>
          </w:p>
        </w:tc>
        <w:tc>
          <w:tcPr>
            <w:tcW w:w="930" w:type="pct"/>
            <w:shd w:val="clear" w:color="auto" w:fill="auto"/>
            <w:vAlign w:val="center"/>
          </w:tcPr>
          <w:p>
            <w:pPr>
              <w:jc w:val="center"/>
              <w:rPr>
                <w:spacing w:val="10"/>
                <w:sz w:val="21"/>
              </w:rPr>
            </w:pPr>
            <w:r>
              <w:rPr>
                <w:spacing w:val="10"/>
                <w:sz w:val="21"/>
              </w:rPr>
              <w:t>急救方法</w:t>
            </w:r>
          </w:p>
        </w:tc>
        <w:tc>
          <w:tcPr>
            <w:tcW w:w="3809" w:type="pct"/>
            <w:gridSpan w:val="10"/>
            <w:shd w:val="clear" w:color="auto" w:fill="auto"/>
            <w:vAlign w:val="center"/>
          </w:tcPr>
          <w:p>
            <w:pPr>
              <w:rPr>
                <w:sz w:val="21"/>
              </w:rPr>
            </w:pPr>
            <w:r>
              <w:rPr>
                <w:sz w:val="21"/>
              </w:rPr>
              <w:t>皮肤接触：脱去被污染的衣着，用流动清水冲洗。</w:t>
            </w:r>
          </w:p>
          <w:p>
            <w:pPr>
              <w:rPr>
                <w:sz w:val="21"/>
              </w:rPr>
            </w:pPr>
            <w:r>
              <w:rPr>
                <w:sz w:val="21"/>
              </w:rPr>
              <w:t>眼睛接触：提起眼睑，用流动清水或生理盐水冲洗。就医。</w:t>
            </w:r>
          </w:p>
          <w:p>
            <w:pPr>
              <w:rPr>
                <w:sz w:val="21"/>
              </w:rPr>
            </w:pPr>
            <w:r>
              <w:rPr>
                <w:sz w:val="21"/>
              </w:rPr>
              <w:t>吸入：迅速脱离现场至空气新鲜处。就医。</w:t>
            </w:r>
          </w:p>
          <w:p>
            <w:pPr>
              <w:rPr>
                <w:spacing w:val="10"/>
                <w:sz w:val="21"/>
              </w:rPr>
            </w:pPr>
            <w:r>
              <w:rPr>
                <w:sz w:val="21"/>
              </w:rPr>
              <w:t>食入：饮足量温水，催吐，就医。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261" w:type="pct"/>
            <w:vMerge w:val="restart"/>
            <w:shd w:val="clear" w:color="auto" w:fill="auto"/>
            <w:vAlign w:val="center"/>
          </w:tcPr>
          <w:p>
            <w:pPr>
              <w:jc w:val="center"/>
              <w:rPr>
                <w:spacing w:val="10"/>
                <w:sz w:val="21"/>
              </w:rPr>
            </w:pPr>
            <w:r>
              <w:rPr>
                <w:spacing w:val="10"/>
                <w:sz w:val="21"/>
              </w:rPr>
              <w:t>燃烧爆炸危险性</w:t>
            </w:r>
          </w:p>
        </w:tc>
        <w:tc>
          <w:tcPr>
            <w:tcW w:w="930" w:type="pct"/>
            <w:shd w:val="clear" w:color="auto" w:fill="auto"/>
            <w:vAlign w:val="center"/>
          </w:tcPr>
          <w:p>
            <w:pPr>
              <w:jc w:val="center"/>
              <w:rPr>
                <w:spacing w:val="10"/>
                <w:sz w:val="21"/>
              </w:rPr>
            </w:pPr>
            <w:r>
              <w:rPr>
                <w:spacing w:val="10"/>
                <w:sz w:val="21"/>
              </w:rPr>
              <w:t>燃烧性</w:t>
            </w:r>
          </w:p>
        </w:tc>
        <w:tc>
          <w:tcPr>
            <w:tcW w:w="907" w:type="pct"/>
            <w:gridSpan w:val="3"/>
            <w:shd w:val="clear" w:color="auto" w:fill="auto"/>
            <w:vAlign w:val="center"/>
          </w:tcPr>
          <w:p>
            <w:pPr>
              <w:jc w:val="center"/>
              <w:rPr>
                <w:spacing w:val="10"/>
                <w:sz w:val="21"/>
              </w:rPr>
            </w:pPr>
            <w:r>
              <w:rPr>
                <w:spacing w:val="10"/>
                <w:sz w:val="21"/>
              </w:rPr>
              <w:t>易燃</w:t>
            </w:r>
          </w:p>
        </w:tc>
        <w:tc>
          <w:tcPr>
            <w:tcW w:w="1137" w:type="pct"/>
            <w:gridSpan w:val="3"/>
            <w:shd w:val="clear" w:color="auto" w:fill="auto"/>
            <w:vAlign w:val="center"/>
          </w:tcPr>
          <w:p>
            <w:pPr>
              <w:jc w:val="center"/>
              <w:rPr>
                <w:spacing w:val="10"/>
                <w:sz w:val="21"/>
              </w:rPr>
            </w:pPr>
            <w:r>
              <w:rPr>
                <w:spacing w:val="10"/>
                <w:sz w:val="21"/>
              </w:rPr>
              <w:t>燃烧分解物</w:t>
            </w:r>
          </w:p>
        </w:tc>
        <w:tc>
          <w:tcPr>
            <w:tcW w:w="1765" w:type="pct"/>
            <w:gridSpan w:val="4"/>
            <w:shd w:val="clear" w:color="auto" w:fill="auto"/>
            <w:vAlign w:val="center"/>
          </w:tcPr>
          <w:p>
            <w:pPr>
              <w:jc w:val="center"/>
              <w:rPr>
                <w:spacing w:val="10"/>
                <w:sz w:val="21"/>
              </w:rPr>
            </w:pPr>
            <w:r>
              <w:rPr>
                <w:sz w:val="21"/>
              </w:rPr>
              <w:t>一氧化碳、二氧化碳。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86" w:hRule="atLeast"/>
          <w:jc w:val="center"/>
        </w:trPr>
        <w:tc>
          <w:tcPr>
            <w:tcW w:w="261" w:type="pct"/>
            <w:vMerge w:val="continue"/>
            <w:shd w:val="clear" w:color="auto" w:fill="auto"/>
            <w:vAlign w:val="center"/>
          </w:tcPr>
          <w:p>
            <w:pPr>
              <w:widowControl/>
              <w:jc w:val="left"/>
              <w:rPr>
                <w:spacing w:val="10"/>
                <w:sz w:val="21"/>
              </w:rPr>
            </w:pPr>
          </w:p>
        </w:tc>
        <w:tc>
          <w:tcPr>
            <w:tcW w:w="930" w:type="pct"/>
            <w:shd w:val="clear" w:color="auto" w:fill="auto"/>
            <w:vAlign w:val="center"/>
          </w:tcPr>
          <w:p>
            <w:pPr>
              <w:jc w:val="center"/>
              <w:rPr>
                <w:spacing w:val="10"/>
                <w:sz w:val="21"/>
              </w:rPr>
            </w:pPr>
            <w:r>
              <w:rPr>
                <w:spacing w:val="10"/>
                <w:sz w:val="21"/>
              </w:rPr>
              <w:t>闪点(</w:t>
            </w:r>
            <w:r>
              <w:rPr>
                <w:rFonts w:hint="eastAsia" w:ascii="宋体" w:hAnsi="宋体" w:eastAsia="宋体" w:cs="宋体"/>
                <w:spacing w:val="10"/>
                <w:sz w:val="21"/>
              </w:rPr>
              <w:t>℃</w:t>
            </w:r>
            <w:r>
              <w:rPr>
                <w:spacing w:val="10"/>
                <w:sz w:val="21"/>
              </w:rPr>
              <w:t>)</w:t>
            </w:r>
          </w:p>
        </w:tc>
        <w:tc>
          <w:tcPr>
            <w:tcW w:w="907" w:type="pct"/>
            <w:gridSpan w:val="3"/>
            <w:shd w:val="clear" w:color="auto" w:fill="auto"/>
            <w:vAlign w:val="center"/>
          </w:tcPr>
          <w:p>
            <w:pPr>
              <w:jc w:val="center"/>
              <w:rPr>
                <w:spacing w:val="10"/>
                <w:sz w:val="21"/>
              </w:rPr>
            </w:pPr>
            <w:r>
              <w:rPr>
                <w:spacing w:val="10"/>
                <w:sz w:val="21"/>
              </w:rPr>
              <w:t>12</w:t>
            </w:r>
          </w:p>
        </w:tc>
        <w:tc>
          <w:tcPr>
            <w:tcW w:w="1137" w:type="pct"/>
            <w:gridSpan w:val="3"/>
            <w:shd w:val="clear" w:color="auto" w:fill="auto"/>
            <w:vAlign w:val="center"/>
          </w:tcPr>
          <w:p>
            <w:pPr>
              <w:jc w:val="center"/>
              <w:rPr>
                <w:spacing w:val="10"/>
                <w:sz w:val="21"/>
              </w:rPr>
            </w:pPr>
            <w:r>
              <w:rPr>
                <w:spacing w:val="10"/>
                <w:sz w:val="21"/>
              </w:rPr>
              <w:t>爆炸上限（v%）</w:t>
            </w:r>
          </w:p>
        </w:tc>
        <w:tc>
          <w:tcPr>
            <w:tcW w:w="1765" w:type="pct"/>
            <w:gridSpan w:val="4"/>
            <w:shd w:val="clear" w:color="auto" w:fill="auto"/>
            <w:vAlign w:val="center"/>
          </w:tcPr>
          <w:p>
            <w:pPr>
              <w:jc w:val="center"/>
              <w:rPr>
                <w:spacing w:val="10"/>
                <w:sz w:val="21"/>
              </w:rPr>
            </w:pPr>
            <w:r>
              <w:rPr>
                <w:spacing w:val="10"/>
                <w:sz w:val="21"/>
              </w:rPr>
              <w:t>19.0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76" w:hRule="atLeast"/>
          <w:jc w:val="center"/>
        </w:trPr>
        <w:tc>
          <w:tcPr>
            <w:tcW w:w="261" w:type="pct"/>
            <w:vMerge w:val="continue"/>
            <w:shd w:val="clear" w:color="auto" w:fill="auto"/>
            <w:vAlign w:val="center"/>
          </w:tcPr>
          <w:p>
            <w:pPr>
              <w:widowControl/>
              <w:jc w:val="left"/>
              <w:rPr>
                <w:spacing w:val="10"/>
                <w:sz w:val="21"/>
              </w:rPr>
            </w:pPr>
          </w:p>
        </w:tc>
        <w:tc>
          <w:tcPr>
            <w:tcW w:w="930" w:type="pct"/>
            <w:shd w:val="clear" w:color="auto" w:fill="auto"/>
            <w:vAlign w:val="center"/>
          </w:tcPr>
          <w:p>
            <w:pPr>
              <w:jc w:val="center"/>
              <w:rPr>
                <w:spacing w:val="10"/>
                <w:sz w:val="21"/>
              </w:rPr>
            </w:pPr>
            <w:r>
              <w:rPr>
                <w:spacing w:val="10"/>
                <w:sz w:val="21"/>
              </w:rPr>
              <w:t>引燃温度(</w:t>
            </w:r>
            <w:r>
              <w:rPr>
                <w:rFonts w:hint="eastAsia" w:ascii="宋体" w:hAnsi="宋体" w:eastAsia="宋体" w:cs="宋体"/>
                <w:spacing w:val="10"/>
                <w:sz w:val="21"/>
              </w:rPr>
              <w:t>℃</w:t>
            </w:r>
            <w:r>
              <w:rPr>
                <w:spacing w:val="10"/>
                <w:sz w:val="21"/>
              </w:rPr>
              <w:t>)</w:t>
            </w:r>
          </w:p>
        </w:tc>
        <w:tc>
          <w:tcPr>
            <w:tcW w:w="907" w:type="pct"/>
            <w:gridSpan w:val="3"/>
            <w:shd w:val="clear" w:color="auto" w:fill="auto"/>
            <w:vAlign w:val="center"/>
          </w:tcPr>
          <w:p>
            <w:pPr>
              <w:jc w:val="center"/>
              <w:rPr>
                <w:spacing w:val="10"/>
                <w:sz w:val="21"/>
              </w:rPr>
            </w:pPr>
            <w:r>
              <w:rPr>
                <w:spacing w:val="10"/>
                <w:sz w:val="21"/>
              </w:rPr>
              <w:t>363</w:t>
            </w:r>
          </w:p>
        </w:tc>
        <w:tc>
          <w:tcPr>
            <w:tcW w:w="1137" w:type="pct"/>
            <w:gridSpan w:val="3"/>
            <w:shd w:val="clear" w:color="auto" w:fill="auto"/>
            <w:vAlign w:val="center"/>
          </w:tcPr>
          <w:p>
            <w:pPr>
              <w:jc w:val="center"/>
              <w:rPr>
                <w:spacing w:val="10"/>
                <w:sz w:val="21"/>
              </w:rPr>
            </w:pPr>
            <w:r>
              <w:rPr>
                <w:spacing w:val="10"/>
                <w:sz w:val="21"/>
              </w:rPr>
              <w:t>爆炸下限（v%）</w:t>
            </w:r>
          </w:p>
        </w:tc>
        <w:tc>
          <w:tcPr>
            <w:tcW w:w="1765" w:type="pct"/>
            <w:gridSpan w:val="4"/>
            <w:shd w:val="clear" w:color="auto" w:fill="auto"/>
            <w:vAlign w:val="center"/>
          </w:tcPr>
          <w:p>
            <w:pPr>
              <w:jc w:val="center"/>
              <w:rPr>
                <w:spacing w:val="10"/>
                <w:sz w:val="21"/>
              </w:rPr>
            </w:pPr>
            <w:r>
              <w:rPr>
                <w:spacing w:val="10"/>
                <w:sz w:val="21"/>
              </w:rPr>
              <w:t>3.3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76" w:hRule="atLeast"/>
          <w:jc w:val="center"/>
        </w:trPr>
        <w:tc>
          <w:tcPr>
            <w:tcW w:w="261" w:type="pct"/>
            <w:vMerge w:val="continue"/>
            <w:shd w:val="clear" w:color="auto" w:fill="auto"/>
            <w:vAlign w:val="center"/>
          </w:tcPr>
          <w:p>
            <w:pPr>
              <w:widowControl/>
              <w:jc w:val="left"/>
              <w:rPr>
                <w:spacing w:val="10"/>
                <w:sz w:val="21"/>
              </w:rPr>
            </w:pPr>
          </w:p>
        </w:tc>
        <w:tc>
          <w:tcPr>
            <w:tcW w:w="930" w:type="pct"/>
            <w:shd w:val="clear" w:color="auto" w:fill="auto"/>
            <w:vAlign w:val="center"/>
          </w:tcPr>
          <w:p>
            <w:pPr>
              <w:jc w:val="center"/>
              <w:rPr>
                <w:spacing w:val="10"/>
                <w:sz w:val="21"/>
              </w:rPr>
            </w:pPr>
            <w:r>
              <w:rPr>
                <w:spacing w:val="10"/>
                <w:sz w:val="21"/>
              </w:rPr>
              <w:t>建规火险分级</w:t>
            </w:r>
          </w:p>
        </w:tc>
        <w:tc>
          <w:tcPr>
            <w:tcW w:w="907" w:type="pct"/>
            <w:gridSpan w:val="3"/>
            <w:shd w:val="clear" w:color="auto" w:fill="auto"/>
            <w:vAlign w:val="center"/>
          </w:tcPr>
          <w:p>
            <w:pPr>
              <w:jc w:val="center"/>
              <w:rPr>
                <w:spacing w:val="10"/>
                <w:sz w:val="21"/>
              </w:rPr>
            </w:pPr>
            <w:r>
              <w:rPr>
                <w:spacing w:val="10"/>
                <w:sz w:val="21"/>
              </w:rPr>
              <w:t>甲</w:t>
            </w:r>
          </w:p>
        </w:tc>
        <w:tc>
          <w:tcPr>
            <w:tcW w:w="568" w:type="pct"/>
            <w:shd w:val="clear" w:color="auto" w:fill="auto"/>
            <w:vAlign w:val="center"/>
          </w:tcPr>
          <w:p>
            <w:pPr>
              <w:jc w:val="center"/>
              <w:rPr>
                <w:spacing w:val="10"/>
                <w:sz w:val="21"/>
              </w:rPr>
            </w:pPr>
            <w:r>
              <w:rPr>
                <w:spacing w:val="10"/>
                <w:sz w:val="21"/>
              </w:rPr>
              <w:t>稳定性</w:t>
            </w:r>
          </w:p>
        </w:tc>
        <w:tc>
          <w:tcPr>
            <w:tcW w:w="569" w:type="pct"/>
            <w:gridSpan w:val="2"/>
            <w:shd w:val="clear" w:color="auto" w:fill="auto"/>
            <w:vAlign w:val="center"/>
          </w:tcPr>
          <w:p>
            <w:pPr>
              <w:jc w:val="center"/>
              <w:rPr>
                <w:spacing w:val="10"/>
                <w:sz w:val="21"/>
              </w:rPr>
            </w:pPr>
            <w:r>
              <w:rPr>
                <w:spacing w:val="10"/>
                <w:sz w:val="21"/>
              </w:rPr>
              <w:t>稳定</w:t>
            </w:r>
          </w:p>
        </w:tc>
        <w:tc>
          <w:tcPr>
            <w:tcW w:w="882" w:type="pct"/>
            <w:gridSpan w:val="2"/>
            <w:shd w:val="clear" w:color="auto" w:fill="auto"/>
            <w:vAlign w:val="center"/>
          </w:tcPr>
          <w:p>
            <w:pPr>
              <w:jc w:val="center"/>
              <w:rPr>
                <w:spacing w:val="10"/>
                <w:sz w:val="21"/>
              </w:rPr>
            </w:pPr>
            <w:r>
              <w:rPr>
                <w:spacing w:val="10"/>
                <w:sz w:val="21"/>
              </w:rPr>
              <w:t>聚合危害</w:t>
            </w:r>
          </w:p>
        </w:tc>
        <w:tc>
          <w:tcPr>
            <w:tcW w:w="883" w:type="pct"/>
            <w:gridSpan w:val="2"/>
            <w:shd w:val="clear" w:color="auto" w:fill="auto"/>
            <w:vAlign w:val="center"/>
          </w:tcPr>
          <w:p>
            <w:pPr>
              <w:jc w:val="center"/>
              <w:rPr>
                <w:spacing w:val="10"/>
                <w:sz w:val="21"/>
              </w:rPr>
            </w:pPr>
            <w:r>
              <w:rPr>
                <w:spacing w:val="10"/>
                <w:sz w:val="21"/>
              </w:rPr>
              <w:t>不聚合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76" w:hRule="atLeast"/>
          <w:jc w:val="center"/>
        </w:trPr>
        <w:tc>
          <w:tcPr>
            <w:tcW w:w="261" w:type="pct"/>
            <w:vMerge w:val="continue"/>
            <w:shd w:val="clear" w:color="auto" w:fill="auto"/>
            <w:vAlign w:val="center"/>
          </w:tcPr>
          <w:p>
            <w:pPr>
              <w:widowControl/>
              <w:jc w:val="left"/>
              <w:rPr>
                <w:spacing w:val="10"/>
                <w:sz w:val="21"/>
              </w:rPr>
            </w:pPr>
          </w:p>
        </w:tc>
        <w:tc>
          <w:tcPr>
            <w:tcW w:w="930" w:type="pct"/>
            <w:shd w:val="clear" w:color="auto" w:fill="auto"/>
            <w:vAlign w:val="center"/>
          </w:tcPr>
          <w:p>
            <w:pPr>
              <w:jc w:val="center"/>
              <w:rPr>
                <w:spacing w:val="10"/>
                <w:sz w:val="21"/>
              </w:rPr>
            </w:pPr>
            <w:r>
              <w:rPr>
                <w:spacing w:val="10"/>
                <w:sz w:val="21"/>
              </w:rPr>
              <w:t>禁忌物</w:t>
            </w:r>
          </w:p>
        </w:tc>
        <w:tc>
          <w:tcPr>
            <w:tcW w:w="3809" w:type="pct"/>
            <w:gridSpan w:val="10"/>
            <w:shd w:val="clear" w:color="auto" w:fill="auto"/>
            <w:vAlign w:val="center"/>
          </w:tcPr>
          <w:p>
            <w:pPr>
              <w:rPr>
                <w:spacing w:val="10"/>
                <w:sz w:val="21"/>
              </w:rPr>
            </w:pPr>
            <w:r>
              <w:rPr>
                <w:sz w:val="21"/>
              </w:rPr>
              <w:t>强氧化剂、酸类、酸酐、碱金属、胺类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48" w:hRule="atLeast"/>
          <w:jc w:val="center"/>
        </w:trPr>
        <w:tc>
          <w:tcPr>
            <w:tcW w:w="261" w:type="pct"/>
            <w:vMerge w:val="continue"/>
            <w:shd w:val="clear" w:color="auto" w:fill="auto"/>
            <w:vAlign w:val="center"/>
          </w:tcPr>
          <w:p>
            <w:pPr>
              <w:widowControl/>
              <w:jc w:val="left"/>
              <w:rPr>
                <w:spacing w:val="10"/>
                <w:sz w:val="21"/>
              </w:rPr>
            </w:pPr>
          </w:p>
        </w:tc>
        <w:tc>
          <w:tcPr>
            <w:tcW w:w="930" w:type="pct"/>
            <w:shd w:val="clear" w:color="auto" w:fill="auto"/>
            <w:vAlign w:val="center"/>
          </w:tcPr>
          <w:p>
            <w:pPr>
              <w:jc w:val="center"/>
              <w:rPr>
                <w:spacing w:val="10"/>
                <w:sz w:val="21"/>
              </w:rPr>
            </w:pPr>
            <w:r>
              <w:rPr>
                <w:spacing w:val="10"/>
                <w:sz w:val="21"/>
              </w:rPr>
              <w:t>危险特性</w:t>
            </w:r>
          </w:p>
        </w:tc>
        <w:tc>
          <w:tcPr>
            <w:tcW w:w="3809" w:type="pct"/>
            <w:gridSpan w:val="10"/>
            <w:shd w:val="clear" w:color="auto" w:fill="auto"/>
            <w:vAlign w:val="center"/>
          </w:tcPr>
          <w:p>
            <w:pPr>
              <w:rPr>
                <w:spacing w:val="-4"/>
                <w:sz w:val="21"/>
              </w:rPr>
            </w:pPr>
            <w:r>
              <w:rPr>
                <w:spacing w:val="-4"/>
                <w:sz w:val="21"/>
              </w:rPr>
              <w:t>易燃，其蒸气与空气可形成爆炸性混合物。遇明火、高热能引起燃烧爆炸。与氧化剂接触发生化学反应或引起燃烧。在火场中，受热的容器有爆炸危险。其蒸气比空气重，能在较低处扩散到相当远的地方，遇明火会引着回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5" w:hRule="atLeast"/>
          <w:jc w:val="center"/>
        </w:trPr>
        <w:tc>
          <w:tcPr>
            <w:tcW w:w="261" w:type="pct"/>
            <w:vMerge w:val="continue"/>
            <w:shd w:val="clear" w:color="auto" w:fill="auto"/>
            <w:vAlign w:val="center"/>
          </w:tcPr>
          <w:p>
            <w:pPr>
              <w:widowControl/>
              <w:jc w:val="left"/>
              <w:rPr>
                <w:spacing w:val="10"/>
                <w:sz w:val="21"/>
              </w:rPr>
            </w:pPr>
          </w:p>
        </w:tc>
        <w:tc>
          <w:tcPr>
            <w:tcW w:w="930" w:type="pct"/>
            <w:shd w:val="clear" w:color="auto" w:fill="auto"/>
            <w:vAlign w:val="center"/>
          </w:tcPr>
          <w:p>
            <w:pPr>
              <w:jc w:val="center"/>
              <w:rPr>
                <w:spacing w:val="10"/>
                <w:sz w:val="21"/>
              </w:rPr>
            </w:pPr>
            <w:r>
              <w:rPr>
                <w:spacing w:val="10"/>
                <w:sz w:val="21"/>
              </w:rPr>
              <w:t>储运条件</w:t>
            </w:r>
          </w:p>
          <w:p>
            <w:pPr>
              <w:jc w:val="center"/>
              <w:rPr>
                <w:spacing w:val="10"/>
                <w:sz w:val="21"/>
              </w:rPr>
            </w:pPr>
            <w:r>
              <w:rPr>
                <w:spacing w:val="10"/>
                <w:sz w:val="21"/>
              </w:rPr>
              <w:t>与泄漏处理</w:t>
            </w:r>
          </w:p>
        </w:tc>
        <w:tc>
          <w:tcPr>
            <w:tcW w:w="3809" w:type="pct"/>
            <w:gridSpan w:val="10"/>
            <w:shd w:val="clear" w:color="auto" w:fill="auto"/>
            <w:vAlign w:val="center"/>
          </w:tcPr>
          <w:p>
            <w:pPr>
              <w:rPr>
                <w:spacing w:val="10"/>
                <w:sz w:val="21"/>
              </w:rPr>
            </w:pPr>
            <w:r>
              <w:rPr>
                <w:b/>
                <w:spacing w:val="10"/>
                <w:sz w:val="21"/>
              </w:rPr>
              <w:t>储运条件</w:t>
            </w:r>
            <w:r>
              <w:rPr>
                <w:spacing w:val="10"/>
                <w:sz w:val="21"/>
              </w:rPr>
              <w:t>：储存于阴凉、通风的仓间内，远离火种、热源。防止阳光直射；保持容器密封。</w:t>
            </w:r>
            <w:r>
              <w:rPr>
                <w:sz w:val="21"/>
              </w:rPr>
              <w:t>应与氧化剂、酸类、碱金属、胺类等分开存放，切忌混储。</w:t>
            </w:r>
            <w:r>
              <w:rPr>
                <w:spacing w:val="10"/>
                <w:sz w:val="21"/>
              </w:rPr>
              <w:t>灌装时应注意流速(不越过3m/s)，且有接地装置，防止静电积聚。</w:t>
            </w:r>
            <w:r>
              <w:rPr>
                <w:sz w:val="21"/>
              </w:rPr>
              <w:t>本品铁路运输时限使用钢制企业自备罐车装运，装运前需报有关部门批准。运输时所用的槽（罐）车应有接地链，槽内可设孔隔板以减少震荡产生静电。严禁与氧化剂、酸类、碱金属、胺类、食用化学品等混装混运。装运该物品的车辆排气管必须配备阻火装置，禁止使用易产生火花的机械设备和工具装卸。</w:t>
            </w:r>
            <w:r>
              <w:rPr>
                <w:b/>
                <w:spacing w:val="10"/>
                <w:sz w:val="21"/>
              </w:rPr>
              <w:t>泄漏处理</w:t>
            </w:r>
            <w:r>
              <w:rPr>
                <w:spacing w:val="10"/>
                <w:sz w:val="21"/>
              </w:rPr>
              <w:t>：</w:t>
            </w:r>
            <w:r>
              <w:rPr>
                <w:sz w:val="21"/>
              </w:rPr>
              <w:t>迅速撤离泄漏污染区人员至安全区，并进行隔离，严格限制出入。切断火源。建议应急处理人员戴自给正压式呼吸器，穿消防防护服。不要直接接触泄漏物。尽可能切断泄漏源，防止进入下水道、排洪沟等限制性空间。小量泄漏：用砂土或其它不燃材料吸附或吸收。也可以用大量水冲洗，洗液稀释后放入废水系统。大量泄漏：构筑围堤或挖坑收容；用泡沫覆盖，降低蒸气灾害。用防爆泵转移至槽车或专用收集器内。回收或运至废物处理场所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21" w:hRule="atLeast"/>
          <w:jc w:val="center"/>
        </w:trPr>
        <w:tc>
          <w:tcPr>
            <w:tcW w:w="261" w:type="pct"/>
            <w:vMerge w:val="continue"/>
            <w:shd w:val="clear" w:color="auto" w:fill="auto"/>
            <w:vAlign w:val="center"/>
          </w:tcPr>
          <w:p>
            <w:pPr>
              <w:widowControl/>
              <w:jc w:val="left"/>
              <w:rPr>
                <w:spacing w:val="10"/>
                <w:sz w:val="21"/>
              </w:rPr>
            </w:pPr>
          </w:p>
        </w:tc>
        <w:tc>
          <w:tcPr>
            <w:tcW w:w="930" w:type="pct"/>
            <w:shd w:val="clear" w:color="auto" w:fill="auto"/>
            <w:vAlign w:val="center"/>
          </w:tcPr>
          <w:p>
            <w:pPr>
              <w:jc w:val="center"/>
              <w:rPr>
                <w:spacing w:val="10"/>
                <w:sz w:val="21"/>
              </w:rPr>
            </w:pPr>
            <w:r>
              <w:rPr>
                <w:spacing w:val="10"/>
                <w:sz w:val="21"/>
              </w:rPr>
              <w:t>灭火方法</w:t>
            </w:r>
          </w:p>
        </w:tc>
        <w:tc>
          <w:tcPr>
            <w:tcW w:w="3809" w:type="pct"/>
            <w:gridSpan w:val="10"/>
            <w:shd w:val="clear" w:color="auto" w:fill="auto"/>
            <w:vAlign w:val="center"/>
          </w:tcPr>
          <w:p>
            <w:pPr>
              <w:rPr>
                <w:spacing w:val="10"/>
                <w:sz w:val="21"/>
              </w:rPr>
            </w:pPr>
            <w:r>
              <w:rPr>
                <w:sz w:val="21"/>
              </w:rPr>
              <w:t>尽可能将容器从火场移至空旷处。喷水保持火场容器冷却，直至灭火结束。灭火剂：抗溶性泡沫、干粉、二氧化碳、砂土。</w:t>
            </w:r>
          </w:p>
        </w:tc>
      </w:tr>
    </w:tbl>
    <w:p>
      <w:pPr>
        <w:pStyle w:val="14"/>
        <w:spacing w:line="240" w:lineRule="auto"/>
        <w:rPr>
          <w:rFonts w:hAnsi="宋体"/>
          <w:color w:val="000000" w:themeColor="text1"/>
        </w:rPr>
      </w:pPr>
      <w:r>
        <w:rPr>
          <w:rFonts w:hint="eastAsia" w:hAnsi="宋体"/>
          <w:color w:val="000000" w:themeColor="text1"/>
        </w:rPr>
        <w:t>表</w:t>
      </w:r>
      <w:r>
        <w:rPr>
          <w:rFonts w:hAnsi="宋体"/>
          <w:color w:val="000000" w:themeColor="text1"/>
        </w:rPr>
        <w:fldChar w:fldCharType="begin"/>
      </w:r>
      <w:r>
        <w:rPr>
          <w:rFonts w:hAnsi="宋体"/>
          <w:color w:val="000000" w:themeColor="text1"/>
        </w:rPr>
        <w:instrText xml:space="preserve"> </w:instrText>
      </w:r>
      <w:r>
        <w:rPr>
          <w:rFonts w:hint="eastAsia" w:hAnsi="宋体"/>
          <w:color w:val="000000" w:themeColor="text1"/>
        </w:rPr>
        <w:instrText xml:space="preserve">STYLEREF 2 \s</w:instrText>
      </w:r>
      <w:r>
        <w:rPr>
          <w:rFonts w:hAnsi="宋体"/>
          <w:color w:val="000000" w:themeColor="text1"/>
        </w:rPr>
        <w:instrText xml:space="preserve"> </w:instrText>
      </w:r>
      <w:r>
        <w:rPr>
          <w:rFonts w:hAnsi="宋体"/>
          <w:color w:val="000000" w:themeColor="text1"/>
        </w:rPr>
        <w:fldChar w:fldCharType="separate"/>
      </w:r>
      <w:r>
        <w:rPr>
          <w:rFonts w:hAnsi="宋体"/>
          <w:color w:val="000000" w:themeColor="text1"/>
        </w:rPr>
        <w:t>7.5</w:t>
      </w:r>
      <w:r>
        <w:rPr>
          <w:rFonts w:hAnsi="宋体"/>
          <w:color w:val="000000" w:themeColor="text1"/>
        </w:rPr>
        <w:fldChar w:fldCharType="end"/>
      </w:r>
      <w:r>
        <w:rPr>
          <w:rFonts w:hAnsi="宋体"/>
          <w:color w:val="000000" w:themeColor="text1"/>
        </w:rPr>
        <w:noBreakHyphen/>
      </w:r>
      <w:r>
        <w:rPr>
          <w:rFonts w:hAnsi="宋体"/>
          <w:color w:val="000000" w:themeColor="text1"/>
        </w:rPr>
        <w:fldChar w:fldCharType="begin"/>
      </w:r>
      <w:r>
        <w:rPr>
          <w:rFonts w:hAnsi="宋体"/>
          <w:color w:val="000000" w:themeColor="text1"/>
        </w:rPr>
        <w:instrText xml:space="preserve"> </w:instrText>
      </w:r>
      <w:r>
        <w:rPr>
          <w:rFonts w:hint="eastAsia" w:hAnsi="宋体"/>
          <w:color w:val="000000" w:themeColor="text1"/>
        </w:rPr>
        <w:instrText xml:space="preserve">SEQ 表 \* ARABIC \s 2</w:instrText>
      </w:r>
      <w:r>
        <w:rPr>
          <w:rFonts w:hAnsi="宋体"/>
          <w:color w:val="000000" w:themeColor="text1"/>
        </w:rPr>
        <w:instrText xml:space="preserve"> </w:instrText>
      </w:r>
      <w:r>
        <w:rPr>
          <w:rFonts w:hAnsi="宋体"/>
          <w:color w:val="000000" w:themeColor="text1"/>
        </w:rPr>
        <w:fldChar w:fldCharType="separate"/>
      </w:r>
      <w:r>
        <w:rPr>
          <w:rFonts w:hAnsi="宋体"/>
          <w:color w:val="000000" w:themeColor="text1"/>
        </w:rPr>
        <w:t>2</w:t>
      </w:r>
      <w:r>
        <w:rPr>
          <w:rFonts w:hAnsi="宋体"/>
          <w:color w:val="000000" w:themeColor="text1"/>
        </w:rPr>
        <w:fldChar w:fldCharType="end"/>
      </w:r>
      <w:r>
        <w:rPr>
          <w:rFonts w:hint="eastAsia" w:hAnsi="宋体"/>
          <w:color w:val="000000" w:themeColor="text1"/>
        </w:rPr>
        <w:t xml:space="preserve"> </w:t>
      </w:r>
      <w:r>
        <w:t>盐酸的理化性质及危险特性</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4"/>
        <w:gridCol w:w="1637"/>
        <w:gridCol w:w="1264"/>
        <w:gridCol w:w="266"/>
        <w:gridCol w:w="172"/>
        <w:gridCol w:w="1488"/>
        <w:gridCol w:w="152"/>
        <w:gridCol w:w="1009"/>
        <w:gridCol w:w="189"/>
        <w:gridCol w:w="1530"/>
        <w:gridCol w:w="488"/>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jc w:val="center"/>
        </w:trPr>
        <w:tc>
          <w:tcPr>
            <w:tcW w:w="261" w:type="pct"/>
            <w:vMerge w:val="restart"/>
            <w:vAlign w:val="center"/>
          </w:tcPr>
          <w:p>
            <w:pPr>
              <w:jc w:val="center"/>
              <w:rPr>
                <w:spacing w:val="10"/>
                <w:sz w:val="21"/>
              </w:rPr>
            </w:pPr>
            <w:r>
              <w:rPr>
                <w:spacing w:val="10"/>
                <w:sz w:val="21"/>
              </w:rPr>
              <w:t>标识</w:t>
            </w:r>
          </w:p>
        </w:tc>
        <w:tc>
          <w:tcPr>
            <w:tcW w:w="3103" w:type="pct"/>
            <w:gridSpan w:val="7"/>
            <w:vAlign w:val="center"/>
          </w:tcPr>
          <w:p>
            <w:pPr>
              <w:rPr>
                <w:spacing w:val="10"/>
                <w:sz w:val="21"/>
              </w:rPr>
            </w:pPr>
            <w:r>
              <w:rPr>
                <w:spacing w:val="10"/>
                <w:sz w:val="21"/>
              </w:rPr>
              <w:t>中文名：</w:t>
            </w:r>
            <w:r>
              <w:rPr>
                <w:sz w:val="21"/>
              </w:rPr>
              <w:t>盐酸</w:t>
            </w:r>
            <w:r>
              <w:rPr>
                <w:spacing w:val="10"/>
                <w:sz w:val="21"/>
              </w:rPr>
              <w:t>；</w:t>
            </w:r>
            <w:r>
              <w:rPr>
                <w:sz w:val="21"/>
              </w:rPr>
              <w:t>氢氯酸</w:t>
            </w:r>
          </w:p>
        </w:tc>
        <w:tc>
          <w:tcPr>
            <w:tcW w:w="1636" w:type="pct"/>
            <w:gridSpan w:val="4"/>
            <w:vAlign w:val="center"/>
          </w:tcPr>
          <w:p>
            <w:pPr>
              <w:rPr>
                <w:spacing w:val="10"/>
                <w:sz w:val="21"/>
              </w:rPr>
            </w:pPr>
            <w:r>
              <w:rPr>
                <w:spacing w:val="10"/>
                <w:sz w:val="21"/>
              </w:rPr>
              <w:t>危险货物编号：</w:t>
            </w:r>
            <w:r>
              <w:rPr>
                <w:sz w:val="21"/>
              </w:rPr>
              <w:t>81013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jc w:val="center"/>
        </w:trPr>
        <w:tc>
          <w:tcPr>
            <w:tcW w:w="261" w:type="pct"/>
            <w:vMerge w:val="continue"/>
            <w:vAlign w:val="center"/>
          </w:tcPr>
          <w:p>
            <w:pPr>
              <w:widowControl/>
              <w:jc w:val="left"/>
              <w:rPr>
                <w:spacing w:val="10"/>
                <w:sz w:val="21"/>
              </w:rPr>
            </w:pPr>
          </w:p>
        </w:tc>
        <w:tc>
          <w:tcPr>
            <w:tcW w:w="3103" w:type="pct"/>
            <w:gridSpan w:val="7"/>
            <w:vAlign w:val="center"/>
          </w:tcPr>
          <w:p>
            <w:pPr>
              <w:rPr>
                <w:spacing w:val="10"/>
                <w:sz w:val="21"/>
              </w:rPr>
            </w:pPr>
            <w:r>
              <w:rPr>
                <w:spacing w:val="10"/>
                <w:sz w:val="21"/>
              </w:rPr>
              <w:t>英文名：</w:t>
            </w:r>
            <w:r>
              <w:rPr>
                <w:sz w:val="21"/>
              </w:rPr>
              <w:t>Hydrochloric acid；Chlorohydric acid</w:t>
            </w:r>
          </w:p>
        </w:tc>
        <w:tc>
          <w:tcPr>
            <w:tcW w:w="1636" w:type="pct"/>
            <w:gridSpan w:val="4"/>
            <w:vAlign w:val="center"/>
          </w:tcPr>
          <w:p>
            <w:pPr>
              <w:rPr>
                <w:spacing w:val="10"/>
                <w:sz w:val="21"/>
              </w:rPr>
            </w:pPr>
            <w:r>
              <w:rPr>
                <w:spacing w:val="10"/>
                <w:sz w:val="21"/>
              </w:rPr>
              <w:t>UN编号：1789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jc w:val="center"/>
        </w:trPr>
        <w:tc>
          <w:tcPr>
            <w:tcW w:w="261" w:type="pct"/>
            <w:vMerge w:val="continue"/>
            <w:vAlign w:val="center"/>
          </w:tcPr>
          <w:p>
            <w:pPr>
              <w:widowControl/>
              <w:jc w:val="left"/>
              <w:rPr>
                <w:spacing w:val="10"/>
                <w:sz w:val="21"/>
              </w:rPr>
            </w:pPr>
          </w:p>
        </w:tc>
        <w:tc>
          <w:tcPr>
            <w:tcW w:w="1641" w:type="pct"/>
            <w:gridSpan w:val="3"/>
            <w:vAlign w:val="center"/>
          </w:tcPr>
          <w:p>
            <w:pPr>
              <w:ind w:left="920" w:hanging="920" w:hangingChars="400"/>
              <w:rPr>
                <w:spacing w:val="10"/>
                <w:sz w:val="21"/>
              </w:rPr>
            </w:pPr>
            <w:r>
              <w:rPr>
                <w:spacing w:val="10"/>
                <w:sz w:val="21"/>
              </w:rPr>
              <w:t>分子式：</w:t>
            </w:r>
            <w:r>
              <w:rPr>
                <w:sz w:val="21"/>
              </w:rPr>
              <w:t>HCl</w:t>
            </w:r>
          </w:p>
        </w:tc>
        <w:tc>
          <w:tcPr>
            <w:tcW w:w="1462" w:type="pct"/>
            <w:gridSpan w:val="4"/>
            <w:vAlign w:val="center"/>
          </w:tcPr>
          <w:p>
            <w:pPr>
              <w:rPr>
                <w:spacing w:val="10"/>
                <w:sz w:val="21"/>
              </w:rPr>
            </w:pPr>
            <w:r>
              <w:rPr>
                <w:spacing w:val="10"/>
                <w:sz w:val="21"/>
              </w:rPr>
              <w:t>分子量：</w:t>
            </w:r>
            <w:r>
              <w:rPr>
                <w:sz w:val="21"/>
              </w:rPr>
              <w:t>36.46</w:t>
            </w:r>
          </w:p>
        </w:tc>
        <w:tc>
          <w:tcPr>
            <w:tcW w:w="1636" w:type="pct"/>
            <w:gridSpan w:val="4"/>
            <w:vAlign w:val="center"/>
          </w:tcPr>
          <w:p>
            <w:pPr>
              <w:rPr>
                <w:spacing w:val="10"/>
                <w:sz w:val="21"/>
              </w:rPr>
            </w:pPr>
            <w:r>
              <w:rPr>
                <w:spacing w:val="10"/>
                <w:sz w:val="21"/>
              </w:rPr>
              <w:t>CAS号：</w:t>
            </w:r>
            <w:r>
              <w:rPr>
                <w:sz w:val="21"/>
              </w:rPr>
              <w:t>7647-01-0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jc w:val="center"/>
        </w:trPr>
        <w:tc>
          <w:tcPr>
            <w:tcW w:w="261" w:type="pct"/>
            <w:vMerge w:val="restart"/>
            <w:vAlign w:val="center"/>
          </w:tcPr>
          <w:p>
            <w:pPr>
              <w:jc w:val="center"/>
              <w:rPr>
                <w:spacing w:val="10"/>
                <w:sz w:val="21"/>
              </w:rPr>
            </w:pPr>
            <w:r>
              <w:rPr>
                <w:spacing w:val="10"/>
                <w:sz w:val="21"/>
              </w:rPr>
              <w:t>理化性质</w:t>
            </w:r>
          </w:p>
        </w:tc>
        <w:tc>
          <w:tcPr>
            <w:tcW w:w="848" w:type="pct"/>
            <w:vAlign w:val="center"/>
          </w:tcPr>
          <w:p>
            <w:pPr>
              <w:jc w:val="center"/>
              <w:rPr>
                <w:spacing w:val="10"/>
                <w:sz w:val="21"/>
              </w:rPr>
            </w:pPr>
            <w:r>
              <w:rPr>
                <w:spacing w:val="10"/>
                <w:sz w:val="21"/>
              </w:rPr>
              <w:t>外观与性状</w:t>
            </w:r>
          </w:p>
        </w:tc>
        <w:tc>
          <w:tcPr>
            <w:tcW w:w="3891" w:type="pct"/>
            <w:gridSpan w:val="10"/>
            <w:vAlign w:val="center"/>
          </w:tcPr>
          <w:p>
            <w:pPr>
              <w:rPr>
                <w:spacing w:val="10"/>
                <w:sz w:val="21"/>
              </w:rPr>
            </w:pPr>
            <w:r>
              <w:rPr>
                <w:sz w:val="21"/>
              </w:rPr>
              <w:t>无色或微黄色发烟液体，有刺鼻的酸味。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261" w:type="pct"/>
            <w:vMerge w:val="continue"/>
            <w:vAlign w:val="center"/>
          </w:tcPr>
          <w:p>
            <w:pPr>
              <w:widowControl/>
              <w:jc w:val="left"/>
              <w:rPr>
                <w:spacing w:val="10"/>
                <w:sz w:val="21"/>
              </w:rPr>
            </w:pPr>
          </w:p>
        </w:tc>
        <w:tc>
          <w:tcPr>
            <w:tcW w:w="848" w:type="pct"/>
            <w:vAlign w:val="center"/>
          </w:tcPr>
          <w:p>
            <w:pPr>
              <w:jc w:val="center"/>
              <w:rPr>
                <w:spacing w:val="10"/>
                <w:sz w:val="21"/>
              </w:rPr>
            </w:pPr>
            <w:r>
              <w:rPr>
                <w:spacing w:val="10"/>
                <w:sz w:val="21"/>
              </w:rPr>
              <w:t>熔点（</w:t>
            </w:r>
            <w:r>
              <w:rPr>
                <w:rFonts w:hint="eastAsia" w:ascii="宋体" w:hAnsi="宋体" w:eastAsia="宋体" w:cs="宋体"/>
                <w:spacing w:val="10"/>
                <w:sz w:val="21"/>
              </w:rPr>
              <w:t>℃</w:t>
            </w:r>
            <w:r>
              <w:rPr>
                <w:spacing w:val="10"/>
                <w:sz w:val="21"/>
              </w:rPr>
              <w:t>）</w:t>
            </w:r>
          </w:p>
        </w:tc>
        <w:tc>
          <w:tcPr>
            <w:tcW w:w="655" w:type="pct"/>
            <w:vAlign w:val="center"/>
          </w:tcPr>
          <w:p>
            <w:pPr>
              <w:jc w:val="center"/>
              <w:rPr>
                <w:spacing w:val="10"/>
                <w:sz w:val="21"/>
              </w:rPr>
            </w:pPr>
            <w:r>
              <w:rPr>
                <w:sz w:val="21"/>
              </w:rPr>
              <w:t>-114.8</w:t>
            </w:r>
          </w:p>
        </w:tc>
        <w:tc>
          <w:tcPr>
            <w:tcW w:w="1077" w:type="pct"/>
            <w:gridSpan w:val="4"/>
            <w:vAlign w:val="center"/>
          </w:tcPr>
          <w:p>
            <w:pPr>
              <w:jc w:val="center"/>
              <w:rPr>
                <w:spacing w:val="10"/>
                <w:sz w:val="21"/>
              </w:rPr>
            </w:pPr>
            <w:r>
              <w:rPr>
                <w:spacing w:val="10"/>
                <w:sz w:val="21"/>
              </w:rPr>
              <w:t>相对密度(水=1)</w:t>
            </w:r>
          </w:p>
        </w:tc>
        <w:tc>
          <w:tcPr>
            <w:tcW w:w="523" w:type="pct"/>
            <w:vAlign w:val="center"/>
          </w:tcPr>
          <w:p>
            <w:pPr>
              <w:jc w:val="center"/>
              <w:rPr>
                <w:spacing w:val="10"/>
                <w:sz w:val="21"/>
              </w:rPr>
            </w:pPr>
            <w:r>
              <w:rPr>
                <w:sz w:val="21"/>
              </w:rPr>
              <w:t>1.20</w:t>
            </w:r>
          </w:p>
        </w:tc>
        <w:tc>
          <w:tcPr>
            <w:tcW w:w="1144" w:type="pct"/>
            <w:gridSpan w:val="3"/>
            <w:vAlign w:val="center"/>
          </w:tcPr>
          <w:p>
            <w:pPr>
              <w:jc w:val="center"/>
              <w:rPr>
                <w:spacing w:val="10"/>
                <w:sz w:val="21"/>
              </w:rPr>
            </w:pPr>
            <w:r>
              <w:rPr>
                <w:spacing w:val="10"/>
                <w:sz w:val="21"/>
              </w:rPr>
              <w:t>相对密度(空气=1)</w:t>
            </w:r>
          </w:p>
        </w:tc>
        <w:tc>
          <w:tcPr>
            <w:tcW w:w="492" w:type="pct"/>
            <w:vAlign w:val="center"/>
          </w:tcPr>
          <w:p>
            <w:pPr>
              <w:jc w:val="center"/>
              <w:rPr>
                <w:spacing w:val="10"/>
                <w:sz w:val="21"/>
              </w:rPr>
            </w:pPr>
            <w:r>
              <w:rPr>
                <w:spacing w:val="10"/>
                <w:sz w:val="21"/>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4" w:hRule="atLeast"/>
          <w:jc w:val="center"/>
        </w:trPr>
        <w:tc>
          <w:tcPr>
            <w:tcW w:w="261" w:type="pct"/>
            <w:vMerge w:val="continue"/>
            <w:vAlign w:val="center"/>
          </w:tcPr>
          <w:p>
            <w:pPr>
              <w:widowControl/>
              <w:jc w:val="left"/>
              <w:rPr>
                <w:spacing w:val="10"/>
                <w:sz w:val="21"/>
              </w:rPr>
            </w:pPr>
          </w:p>
        </w:tc>
        <w:tc>
          <w:tcPr>
            <w:tcW w:w="848" w:type="pct"/>
            <w:vAlign w:val="center"/>
          </w:tcPr>
          <w:p>
            <w:pPr>
              <w:jc w:val="center"/>
              <w:rPr>
                <w:spacing w:val="10"/>
                <w:sz w:val="21"/>
              </w:rPr>
            </w:pPr>
            <w:r>
              <w:rPr>
                <w:spacing w:val="10"/>
                <w:sz w:val="21"/>
              </w:rPr>
              <w:t>沸点（</w:t>
            </w:r>
            <w:r>
              <w:rPr>
                <w:rFonts w:hint="eastAsia" w:ascii="宋体" w:hAnsi="宋体" w:eastAsia="宋体" w:cs="宋体"/>
                <w:spacing w:val="10"/>
                <w:sz w:val="21"/>
              </w:rPr>
              <w:t>℃</w:t>
            </w:r>
            <w:r>
              <w:rPr>
                <w:spacing w:val="10"/>
                <w:sz w:val="21"/>
              </w:rPr>
              <w:t>）</w:t>
            </w:r>
          </w:p>
        </w:tc>
        <w:tc>
          <w:tcPr>
            <w:tcW w:w="655" w:type="pct"/>
            <w:vAlign w:val="center"/>
          </w:tcPr>
          <w:p>
            <w:pPr>
              <w:jc w:val="center"/>
              <w:rPr>
                <w:spacing w:val="10"/>
                <w:sz w:val="21"/>
              </w:rPr>
            </w:pPr>
            <w:r>
              <w:rPr>
                <w:sz w:val="21"/>
              </w:rPr>
              <w:t>108.6</w:t>
            </w:r>
          </w:p>
        </w:tc>
        <w:tc>
          <w:tcPr>
            <w:tcW w:w="1600" w:type="pct"/>
            <w:gridSpan w:val="5"/>
            <w:vAlign w:val="center"/>
          </w:tcPr>
          <w:p>
            <w:pPr>
              <w:ind w:left="-40"/>
              <w:jc w:val="center"/>
              <w:rPr>
                <w:spacing w:val="10"/>
                <w:sz w:val="21"/>
              </w:rPr>
            </w:pPr>
            <w:r>
              <w:rPr>
                <w:spacing w:val="10"/>
                <w:sz w:val="21"/>
              </w:rPr>
              <w:t>饱和蒸气压（kPa）</w:t>
            </w:r>
          </w:p>
        </w:tc>
        <w:tc>
          <w:tcPr>
            <w:tcW w:w="1636" w:type="pct"/>
            <w:gridSpan w:val="4"/>
            <w:vAlign w:val="center"/>
          </w:tcPr>
          <w:p>
            <w:pPr>
              <w:jc w:val="center"/>
              <w:rPr>
                <w:spacing w:val="10"/>
                <w:sz w:val="21"/>
              </w:rPr>
            </w:pPr>
            <w:r>
              <w:rPr>
                <w:sz w:val="21"/>
              </w:rPr>
              <w:t>30.66/21</w:t>
            </w:r>
            <w:r>
              <w:rPr>
                <w:rFonts w:hint="eastAsia" w:ascii="宋体" w:hAnsi="宋体" w:eastAsia="宋体" w:cs="宋体"/>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261" w:type="pct"/>
            <w:vMerge w:val="continue"/>
            <w:vAlign w:val="center"/>
          </w:tcPr>
          <w:p>
            <w:pPr>
              <w:widowControl/>
              <w:jc w:val="left"/>
              <w:rPr>
                <w:spacing w:val="10"/>
                <w:sz w:val="21"/>
              </w:rPr>
            </w:pPr>
          </w:p>
        </w:tc>
        <w:tc>
          <w:tcPr>
            <w:tcW w:w="848" w:type="pct"/>
            <w:vAlign w:val="center"/>
          </w:tcPr>
          <w:p>
            <w:pPr>
              <w:jc w:val="center"/>
              <w:rPr>
                <w:spacing w:val="10"/>
                <w:sz w:val="21"/>
              </w:rPr>
            </w:pPr>
            <w:r>
              <w:rPr>
                <w:spacing w:val="10"/>
                <w:sz w:val="21"/>
              </w:rPr>
              <w:t>溶解性</w:t>
            </w:r>
          </w:p>
        </w:tc>
        <w:tc>
          <w:tcPr>
            <w:tcW w:w="3891" w:type="pct"/>
            <w:gridSpan w:val="10"/>
            <w:vAlign w:val="center"/>
          </w:tcPr>
          <w:p>
            <w:pPr>
              <w:rPr>
                <w:spacing w:val="10"/>
                <w:sz w:val="21"/>
              </w:rPr>
            </w:pPr>
            <w:r>
              <w:rPr>
                <w:sz w:val="21"/>
              </w:rPr>
              <w:t>与水混溶，溶于碱液。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261" w:type="pct"/>
            <w:vMerge w:val="restart"/>
            <w:vAlign w:val="center"/>
          </w:tcPr>
          <w:p>
            <w:pPr>
              <w:jc w:val="center"/>
              <w:rPr>
                <w:spacing w:val="10"/>
                <w:sz w:val="21"/>
              </w:rPr>
            </w:pPr>
            <w:r>
              <w:rPr>
                <w:spacing w:val="10"/>
                <w:sz w:val="21"/>
              </w:rPr>
              <w:t>毒性及健康危害</w:t>
            </w:r>
          </w:p>
        </w:tc>
        <w:tc>
          <w:tcPr>
            <w:tcW w:w="848" w:type="pct"/>
            <w:vAlign w:val="center"/>
          </w:tcPr>
          <w:p>
            <w:pPr>
              <w:jc w:val="center"/>
              <w:rPr>
                <w:spacing w:val="10"/>
                <w:sz w:val="21"/>
              </w:rPr>
            </w:pPr>
            <w:r>
              <w:rPr>
                <w:spacing w:val="10"/>
                <w:sz w:val="21"/>
              </w:rPr>
              <w:t>侵入途径</w:t>
            </w:r>
          </w:p>
        </w:tc>
        <w:tc>
          <w:tcPr>
            <w:tcW w:w="3891" w:type="pct"/>
            <w:gridSpan w:val="10"/>
            <w:vAlign w:val="center"/>
          </w:tcPr>
          <w:p>
            <w:pPr>
              <w:rPr>
                <w:spacing w:val="10"/>
                <w:sz w:val="21"/>
              </w:rPr>
            </w:pPr>
            <w:r>
              <w:rPr>
                <w:spacing w:val="10"/>
                <w:sz w:val="21"/>
              </w:rPr>
              <w:t>吸入、食入、经皮吸收。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261" w:type="pct"/>
            <w:vMerge w:val="continue"/>
            <w:vAlign w:val="center"/>
          </w:tcPr>
          <w:p>
            <w:pPr>
              <w:widowControl/>
              <w:jc w:val="left"/>
              <w:rPr>
                <w:spacing w:val="10"/>
                <w:sz w:val="21"/>
              </w:rPr>
            </w:pPr>
          </w:p>
        </w:tc>
        <w:tc>
          <w:tcPr>
            <w:tcW w:w="848" w:type="pct"/>
            <w:vAlign w:val="center"/>
          </w:tcPr>
          <w:p>
            <w:pPr>
              <w:jc w:val="center"/>
              <w:rPr>
                <w:spacing w:val="10"/>
                <w:sz w:val="21"/>
              </w:rPr>
            </w:pPr>
            <w:r>
              <w:rPr>
                <w:spacing w:val="10"/>
                <w:sz w:val="21"/>
              </w:rPr>
              <w:t>毒性</w:t>
            </w:r>
          </w:p>
        </w:tc>
        <w:tc>
          <w:tcPr>
            <w:tcW w:w="3891" w:type="pct"/>
            <w:gridSpan w:val="10"/>
            <w:vAlign w:val="center"/>
          </w:tcPr>
          <w:p>
            <w:pPr>
              <w:rPr>
                <w:sz w:val="21"/>
              </w:rPr>
            </w:pPr>
            <w:r>
              <w:rPr>
                <w:spacing w:val="10"/>
                <w:sz w:val="21"/>
              </w:rPr>
              <w:t xml:space="preserve"> LD</w:t>
            </w:r>
            <w:r>
              <w:rPr>
                <w:spacing w:val="10"/>
                <w:sz w:val="21"/>
                <w:vertAlign w:val="subscript"/>
              </w:rPr>
              <w:t>50</w:t>
            </w:r>
            <w:r>
              <w:rPr>
                <w:spacing w:val="10"/>
                <w:sz w:val="21"/>
              </w:rPr>
              <w:t>：</w:t>
            </w:r>
            <w:r>
              <w:rPr>
                <w:sz w:val="21"/>
              </w:rPr>
              <w:t>900mg/kg(兔经口)；</w:t>
            </w:r>
          </w:p>
          <w:p>
            <w:pPr>
              <w:rPr>
                <w:spacing w:val="10"/>
                <w:sz w:val="21"/>
              </w:rPr>
            </w:pPr>
            <w:r>
              <w:rPr>
                <w:spacing w:val="10"/>
                <w:sz w:val="21"/>
              </w:rPr>
              <w:t xml:space="preserve"> LC</w:t>
            </w:r>
            <w:r>
              <w:rPr>
                <w:spacing w:val="10"/>
                <w:sz w:val="21"/>
                <w:vertAlign w:val="subscript"/>
              </w:rPr>
              <w:t>50</w:t>
            </w:r>
            <w:r>
              <w:rPr>
                <w:spacing w:val="10"/>
                <w:sz w:val="21"/>
              </w:rPr>
              <w:t>：</w:t>
            </w:r>
            <w:r>
              <w:rPr>
                <w:sz w:val="21"/>
              </w:rPr>
              <w:t>3124ppm，1小时(大鼠吸入)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5" w:hRule="atLeast"/>
          <w:jc w:val="center"/>
        </w:trPr>
        <w:tc>
          <w:tcPr>
            <w:tcW w:w="261" w:type="pct"/>
            <w:vMerge w:val="continue"/>
            <w:vAlign w:val="center"/>
          </w:tcPr>
          <w:p>
            <w:pPr>
              <w:widowControl/>
              <w:jc w:val="left"/>
              <w:rPr>
                <w:spacing w:val="10"/>
                <w:sz w:val="21"/>
              </w:rPr>
            </w:pPr>
          </w:p>
        </w:tc>
        <w:tc>
          <w:tcPr>
            <w:tcW w:w="848" w:type="pct"/>
            <w:vAlign w:val="center"/>
          </w:tcPr>
          <w:p>
            <w:pPr>
              <w:jc w:val="center"/>
              <w:rPr>
                <w:spacing w:val="10"/>
                <w:sz w:val="21"/>
              </w:rPr>
            </w:pPr>
            <w:r>
              <w:rPr>
                <w:spacing w:val="10"/>
                <w:sz w:val="21"/>
              </w:rPr>
              <w:t>健康危害</w:t>
            </w:r>
          </w:p>
        </w:tc>
        <w:tc>
          <w:tcPr>
            <w:tcW w:w="3891" w:type="pct"/>
            <w:gridSpan w:val="10"/>
            <w:vAlign w:val="center"/>
          </w:tcPr>
          <w:p>
            <w:pPr>
              <w:rPr>
                <w:spacing w:val="10"/>
                <w:sz w:val="21"/>
              </w:rPr>
            </w:pPr>
            <w:r>
              <w:rPr>
                <w:sz w:val="21"/>
              </w:rPr>
              <w:t>接触其蒸气或烟雾，可引起急性中毒，出现眼结膜炎，鼻及口腔粘膜有烧灼感，鼻衄、齿龈出血，气管炎等。误服可引起消化道灼伤、溃疡形成，有可能引起胃穿孔、腹膜炎等。眼和皮肤接触可致灼伤。慢性影响：长期接触，引起慢性鼻炎、慢性支气管炎、牙齿酸蚀症及皮肤损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jc w:val="center"/>
        </w:trPr>
        <w:tc>
          <w:tcPr>
            <w:tcW w:w="261" w:type="pct"/>
            <w:vMerge w:val="continue"/>
            <w:vAlign w:val="center"/>
          </w:tcPr>
          <w:p>
            <w:pPr>
              <w:widowControl/>
              <w:jc w:val="left"/>
              <w:rPr>
                <w:spacing w:val="10"/>
                <w:sz w:val="21"/>
              </w:rPr>
            </w:pPr>
          </w:p>
        </w:tc>
        <w:tc>
          <w:tcPr>
            <w:tcW w:w="848" w:type="pct"/>
            <w:vAlign w:val="center"/>
          </w:tcPr>
          <w:p>
            <w:pPr>
              <w:jc w:val="center"/>
              <w:rPr>
                <w:spacing w:val="10"/>
                <w:sz w:val="21"/>
              </w:rPr>
            </w:pPr>
            <w:r>
              <w:rPr>
                <w:spacing w:val="10"/>
                <w:sz w:val="21"/>
              </w:rPr>
              <w:t>急救方法</w:t>
            </w:r>
          </w:p>
        </w:tc>
        <w:tc>
          <w:tcPr>
            <w:tcW w:w="3891" w:type="pct"/>
            <w:gridSpan w:val="10"/>
            <w:vAlign w:val="center"/>
          </w:tcPr>
          <w:p>
            <w:pPr>
              <w:rPr>
                <w:spacing w:val="10"/>
                <w:sz w:val="21"/>
              </w:rPr>
            </w:pPr>
            <w:r>
              <w:rPr>
                <w:sz w:val="21"/>
              </w:rPr>
              <w:t>皮肤接触：立即用水冲洗至少15分钟。或用2%碳酸氢钠溶液冲洗。若有灼伤，就医治疗。眼睛接触：立即提起眼睑，用流动清水冲洗10分钟或用2%碳酸氢钠溶液冲洗。吸入：迅速脱离现场至空气新鲜处。呼吸困难时给输氧。给予2-4%碳酸氢钠溶液雾化吸入。就医。食入：误服者立即漱口，给牛奶、蛋清、植物油等口服，不可催吐。立即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2" w:hRule="atLeast"/>
          <w:jc w:val="center"/>
        </w:trPr>
        <w:tc>
          <w:tcPr>
            <w:tcW w:w="261" w:type="pct"/>
            <w:vMerge w:val="restart"/>
            <w:vAlign w:val="center"/>
          </w:tcPr>
          <w:p>
            <w:pPr>
              <w:jc w:val="center"/>
              <w:rPr>
                <w:spacing w:val="10"/>
                <w:sz w:val="21"/>
              </w:rPr>
            </w:pPr>
            <w:r>
              <w:rPr>
                <w:spacing w:val="10"/>
                <w:sz w:val="21"/>
              </w:rPr>
              <w:t>燃烧爆炸危险性</w:t>
            </w:r>
          </w:p>
        </w:tc>
        <w:tc>
          <w:tcPr>
            <w:tcW w:w="848" w:type="pct"/>
            <w:vAlign w:val="center"/>
          </w:tcPr>
          <w:p>
            <w:pPr>
              <w:jc w:val="center"/>
              <w:rPr>
                <w:spacing w:val="10"/>
                <w:sz w:val="21"/>
              </w:rPr>
            </w:pPr>
            <w:r>
              <w:rPr>
                <w:spacing w:val="10"/>
                <w:sz w:val="21"/>
              </w:rPr>
              <w:t>燃烧性</w:t>
            </w:r>
          </w:p>
        </w:tc>
        <w:tc>
          <w:tcPr>
            <w:tcW w:w="882" w:type="pct"/>
            <w:gridSpan w:val="3"/>
            <w:vAlign w:val="center"/>
          </w:tcPr>
          <w:p>
            <w:pPr>
              <w:jc w:val="center"/>
              <w:rPr>
                <w:spacing w:val="10"/>
                <w:sz w:val="21"/>
              </w:rPr>
            </w:pPr>
            <w:r>
              <w:rPr>
                <w:spacing w:val="10"/>
                <w:sz w:val="21"/>
              </w:rPr>
              <w:t>不燃</w:t>
            </w:r>
          </w:p>
        </w:tc>
        <w:tc>
          <w:tcPr>
            <w:tcW w:w="1471" w:type="pct"/>
            <w:gridSpan w:val="4"/>
            <w:vAlign w:val="center"/>
          </w:tcPr>
          <w:p>
            <w:pPr>
              <w:jc w:val="center"/>
              <w:rPr>
                <w:spacing w:val="10"/>
                <w:sz w:val="21"/>
              </w:rPr>
            </w:pPr>
            <w:r>
              <w:rPr>
                <w:spacing w:val="10"/>
                <w:sz w:val="21"/>
              </w:rPr>
              <w:t>燃烧分解物</w:t>
            </w:r>
          </w:p>
        </w:tc>
        <w:tc>
          <w:tcPr>
            <w:tcW w:w="1538" w:type="pct"/>
            <w:gridSpan w:val="3"/>
            <w:vAlign w:val="center"/>
          </w:tcPr>
          <w:p>
            <w:pPr>
              <w:jc w:val="center"/>
              <w:rPr>
                <w:spacing w:val="10"/>
                <w:sz w:val="21"/>
              </w:rPr>
            </w:pPr>
            <w:r>
              <w:rPr>
                <w:sz w:val="21"/>
              </w:rPr>
              <w:t>氯化氢。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atLeast"/>
          <w:jc w:val="center"/>
        </w:trPr>
        <w:tc>
          <w:tcPr>
            <w:tcW w:w="261" w:type="pct"/>
            <w:vMerge w:val="continue"/>
            <w:vAlign w:val="center"/>
          </w:tcPr>
          <w:p>
            <w:pPr>
              <w:widowControl/>
              <w:jc w:val="left"/>
              <w:rPr>
                <w:spacing w:val="10"/>
                <w:sz w:val="21"/>
              </w:rPr>
            </w:pPr>
          </w:p>
        </w:tc>
        <w:tc>
          <w:tcPr>
            <w:tcW w:w="848" w:type="pct"/>
            <w:vAlign w:val="center"/>
          </w:tcPr>
          <w:p>
            <w:pPr>
              <w:jc w:val="center"/>
              <w:rPr>
                <w:spacing w:val="10"/>
                <w:sz w:val="21"/>
              </w:rPr>
            </w:pPr>
            <w:r>
              <w:rPr>
                <w:spacing w:val="10"/>
                <w:sz w:val="21"/>
              </w:rPr>
              <w:t>闪点(</w:t>
            </w:r>
            <w:r>
              <w:rPr>
                <w:rFonts w:hint="eastAsia" w:ascii="宋体" w:hAnsi="宋体" w:eastAsia="宋体" w:cs="宋体"/>
                <w:spacing w:val="10"/>
                <w:sz w:val="21"/>
              </w:rPr>
              <w:t>℃</w:t>
            </w:r>
            <w:r>
              <w:rPr>
                <w:spacing w:val="10"/>
                <w:sz w:val="21"/>
              </w:rPr>
              <w:t>)</w:t>
            </w:r>
          </w:p>
        </w:tc>
        <w:tc>
          <w:tcPr>
            <w:tcW w:w="882" w:type="pct"/>
            <w:gridSpan w:val="3"/>
            <w:vAlign w:val="center"/>
          </w:tcPr>
          <w:p>
            <w:pPr>
              <w:jc w:val="center"/>
              <w:rPr>
                <w:spacing w:val="10"/>
                <w:sz w:val="21"/>
              </w:rPr>
            </w:pPr>
            <w:r>
              <w:rPr>
                <w:spacing w:val="10"/>
                <w:sz w:val="21"/>
              </w:rPr>
              <w:t>/</w:t>
            </w:r>
          </w:p>
        </w:tc>
        <w:tc>
          <w:tcPr>
            <w:tcW w:w="1471" w:type="pct"/>
            <w:gridSpan w:val="4"/>
            <w:vAlign w:val="center"/>
          </w:tcPr>
          <w:p>
            <w:pPr>
              <w:jc w:val="center"/>
              <w:rPr>
                <w:spacing w:val="10"/>
                <w:sz w:val="21"/>
              </w:rPr>
            </w:pPr>
            <w:r>
              <w:rPr>
                <w:spacing w:val="10"/>
                <w:sz w:val="21"/>
              </w:rPr>
              <w:t>爆炸上限（v%）</w:t>
            </w:r>
          </w:p>
        </w:tc>
        <w:tc>
          <w:tcPr>
            <w:tcW w:w="1538" w:type="pct"/>
            <w:gridSpan w:val="3"/>
            <w:vAlign w:val="center"/>
          </w:tcPr>
          <w:p>
            <w:pPr>
              <w:jc w:val="center"/>
              <w:rPr>
                <w:spacing w:val="10"/>
                <w:sz w:val="21"/>
              </w:rPr>
            </w:pPr>
            <w:r>
              <w:rPr>
                <w:spacing w:val="1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261" w:type="pct"/>
            <w:vMerge w:val="continue"/>
            <w:vAlign w:val="center"/>
          </w:tcPr>
          <w:p>
            <w:pPr>
              <w:widowControl/>
              <w:jc w:val="left"/>
              <w:rPr>
                <w:spacing w:val="10"/>
                <w:sz w:val="21"/>
              </w:rPr>
            </w:pPr>
          </w:p>
        </w:tc>
        <w:tc>
          <w:tcPr>
            <w:tcW w:w="848" w:type="pct"/>
            <w:vAlign w:val="center"/>
          </w:tcPr>
          <w:p>
            <w:pPr>
              <w:jc w:val="center"/>
              <w:rPr>
                <w:spacing w:val="10"/>
                <w:sz w:val="21"/>
              </w:rPr>
            </w:pPr>
            <w:r>
              <w:rPr>
                <w:spacing w:val="10"/>
                <w:sz w:val="21"/>
              </w:rPr>
              <w:t>引燃温度(</w:t>
            </w:r>
            <w:r>
              <w:rPr>
                <w:rFonts w:hint="eastAsia" w:ascii="宋体" w:hAnsi="宋体" w:eastAsia="宋体" w:cs="宋体"/>
                <w:spacing w:val="10"/>
                <w:sz w:val="21"/>
              </w:rPr>
              <w:t>℃</w:t>
            </w:r>
            <w:r>
              <w:rPr>
                <w:spacing w:val="10"/>
                <w:sz w:val="21"/>
              </w:rPr>
              <w:t>)</w:t>
            </w:r>
          </w:p>
        </w:tc>
        <w:tc>
          <w:tcPr>
            <w:tcW w:w="882" w:type="pct"/>
            <w:gridSpan w:val="3"/>
            <w:vAlign w:val="center"/>
          </w:tcPr>
          <w:p>
            <w:pPr>
              <w:jc w:val="center"/>
              <w:rPr>
                <w:spacing w:val="10"/>
                <w:sz w:val="21"/>
              </w:rPr>
            </w:pPr>
            <w:r>
              <w:rPr>
                <w:spacing w:val="10"/>
                <w:sz w:val="21"/>
              </w:rPr>
              <w:t>/</w:t>
            </w:r>
          </w:p>
        </w:tc>
        <w:tc>
          <w:tcPr>
            <w:tcW w:w="1471" w:type="pct"/>
            <w:gridSpan w:val="4"/>
            <w:vAlign w:val="center"/>
          </w:tcPr>
          <w:p>
            <w:pPr>
              <w:jc w:val="center"/>
              <w:rPr>
                <w:spacing w:val="10"/>
                <w:sz w:val="21"/>
              </w:rPr>
            </w:pPr>
            <w:r>
              <w:rPr>
                <w:spacing w:val="10"/>
                <w:sz w:val="21"/>
              </w:rPr>
              <w:t>爆炸下限（v%）</w:t>
            </w:r>
          </w:p>
        </w:tc>
        <w:tc>
          <w:tcPr>
            <w:tcW w:w="1538" w:type="pct"/>
            <w:gridSpan w:val="3"/>
            <w:vAlign w:val="center"/>
          </w:tcPr>
          <w:p>
            <w:pPr>
              <w:jc w:val="center"/>
              <w:rPr>
                <w:spacing w:val="10"/>
                <w:sz w:val="21"/>
              </w:rPr>
            </w:pPr>
            <w:r>
              <w:rPr>
                <w:spacing w:val="1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61" w:type="pct"/>
            <w:vMerge w:val="continue"/>
            <w:vAlign w:val="center"/>
          </w:tcPr>
          <w:p>
            <w:pPr>
              <w:widowControl/>
              <w:jc w:val="left"/>
              <w:rPr>
                <w:spacing w:val="10"/>
                <w:sz w:val="21"/>
              </w:rPr>
            </w:pPr>
          </w:p>
        </w:tc>
        <w:tc>
          <w:tcPr>
            <w:tcW w:w="848" w:type="pct"/>
            <w:vAlign w:val="center"/>
          </w:tcPr>
          <w:p>
            <w:pPr>
              <w:jc w:val="center"/>
              <w:rPr>
                <w:sz w:val="21"/>
              </w:rPr>
            </w:pPr>
            <w:r>
              <w:rPr>
                <w:spacing w:val="10"/>
                <w:sz w:val="21"/>
              </w:rPr>
              <w:t>危险特性</w:t>
            </w:r>
          </w:p>
        </w:tc>
        <w:tc>
          <w:tcPr>
            <w:tcW w:w="3891" w:type="pct"/>
            <w:gridSpan w:val="10"/>
          </w:tcPr>
          <w:p>
            <w:pPr>
              <w:rPr>
                <w:sz w:val="21"/>
              </w:rPr>
            </w:pPr>
            <w:r>
              <w:rPr>
                <w:sz w:val="21"/>
              </w:rPr>
              <w:t>能与一些活性金属粉末发生反应，放出氢气。遇氰化物能产生剧毒的氰化氢气体。与碱发生中合反应，并放出大量的热。具有强腐蚀性。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6" w:hRule="atLeast"/>
          <w:jc w:val="center"/>
        </w:trPr>
        <w:tc>
          <w:tcPr>
            <w:tcW w:w="261" w:type="pct"/>
            <w:vMerge w:val="continue"/>
            <w:vAlign w:val="center"/>
          </w:tcPr>
          <w:p>
            <w:pPr>
              <w:widowControl/>
              <w:jc w:val="left"/>
              <w:rPr>
                <w:spacing w:val="10"/>
                <w:sz w:val="21"/>
              </w:rPr>
            </w:pPr>
          </w:p>
        </w:tc>
        <w:tc>
          <w:tcPr>
            <w:tcW w:w="848" w:type="pct"/>
            <w:vAlign w:val="center"/>
          </w:tcPr>
          <w:p>
            <w:pPr>
              <w:jc w:val="center"/>
              <w:rPr>
                <w:sz w:val="21"/>
              </w:rPr>
            </w:pPr>
            <w:r>
              <w:rPr>
                <w:sz w:val="21"/>
              </w:rPr>
              <w:t>建规火险分级</w:t>
            </w:r>
          </w:p>
        </w:tc>
        <w:tc>
          <w:tcPr>
            <w:tcW w:w="882" w:type="pct"/>
            <w:gridSpan w:val="3"/>
            <w:vAlign w:val="center"/>
          </w:tcPr>
          <w:p>
            <w:pPr>
              <w:jc w:val="center"/>
              <w:rPr>
                <w:spacing w:val="10"/>
                <w:sz w:val="21"/>
              </w:rPr>
            </w:pPr>
            <w:r>
              <w:rPr>
                <w:spacing w:val="10"/>
                <w:sz w:val="21"/>
              </w:rPr>
              <w:t>戊</w:t>
            </w:r>
          </w:p>
        </w:tc>
        <w:tc>
          <w:tcPr>
            <w:tcW w:w="771" w:type="pct"/>
            <w:vAlign w:val="center"/>
          </w:tcPr>
          <w:p>
            <w:pPr>
              <w:jc w:val="center"/>
              <w:rPr>
                <w:spacing w:val="10"/>
                <w:sz w:val="21"/>
              </w:rPr>
            </w:pPr>
            <w:r>
              <w:rPr>
                <w:spacing w:val="10"/>
                <w:sz w:val="21"/>
              </w:rPr>
              <w:t>稳定性</w:t>
            </w:r>
          </w:p>
        </w:tc>
        <w:tc>
          <w:tcPr>
            <w:tcW w:w="700" w:type="pct"/>
            <w:gridSpan w:val="3"/>
            <w:vAlign w:val="center"/>
          </w:tcPr>
          <w:p>
            <w:pPr>
              <w:jc w:val="center"/>
              <w:rPr>
                <w:spacing w:val="10"/>
                <w:sz w:val="21"/>
              </w:rPr>
            </w:pPr>
            <w:r>
              <w:rPr>
                <w:spacing w:val="10"/>
                <w:sz w:val="21"/>
              </w:rPr>
              <w:t>稳定</w:t>
            </w:r>
          </w:p>
        </w:tc>
        <w:tc>
          <w:tcPr>
            <w:tcW w:w="793" w:type="pct"/>
            <w:vAlign w:val="center"/>
          </w:tcPr>
          <w:p>
            <w:pPr>
              <w:jc w:val="center"/>
              <w:rPr>
                <w:spacing w:val="10"/>
                <w:sz w:val="21"/>
              </w:rPr>
            </w:pPr>
            <w:r>
              <w:rPr>
                <w:spacing w:val="10"/>
                <w:sz w:val="21"/>
              </w:rPr>
              <w:t>聚合危害</w:t>
            </w:r>
          </w:p>
        </w:tc>
        <w:tc>
          <w:tcPr>
            <w:tcW w:w="746" w:type="pct"/>
            <w:gridSpan w:val="2"/>
            <w:vAlign w:val="center"/>
          </w:tcPr>
          <w:p>
            <w:pPr>
              <w:jc w:val="center"/>
              <w:rPr>
                <w:spacing w:val="10"/>
                <w:sz w:val="21"/>
              </w:rPr>
            </w:pPr>
            <w:r>
              <w:rPr>
                <w:spacing w:val="10"/>
                <w:sz w:val="21"/>
              </w:rPr>
              <w:t>不聚合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jc w:val="center"/>
        </w:trPr>
        <w:tc>
          <w:tcPr>
            <w:tcW w:w="261" w:type="pct"/>
            <w:vMerge w:val="continue"/>
            <w:vAlign w:val="center"/>
          </w:tcPr>
          <w:p>
            <w:pPr>
              <w:widowControl/>
              <w:jc w:val="left"/>
              <w:rPr>
                <w:spacing w:val="10"/>
                <w:sz w:val="21"/>
              </w:rPr>
            </w:pPr>
          </w:p>
        </w:tc>
        <w:tc>
          <w:tcPr>
            <w:tcW w:w="848" w:type="pct"/>
            <w:vAlign w:val="center"/>
          </w:tcPr>
          <w:p>
            <w:pPr>
              <w:jc w:val="center"/>
              <w:rPr>
                <w:spacing w:val="10"/>
                <w:sz w:val="21"/>
              </w:rPr>
            </w:pPr>
            <w:r>
              <w:rPr>
                <w:spacing w:val="10"/>
                <w:sz w:val="21"/>
              </w:rPr>
              <w:t>禁忌物</w:t>
            </w:r>
          </w:p>
        </w:tc>
        <w:tc>
          <w:tcPr>
            <w:tcW w:w="3891" w:type="pct"/>
            <w:gridSpan w:val="10"/>
            <w:vAlign w:val="center"/>
          </w:tcPr>
          <w:p>
            <w:pPr>
              <w:rPr>
                <w:b/>
                <w:spacing w:val="10"/>
                <w:sz w:val="21"/>
              </w:rPr>
            </w:pPr>
            <w:r>
              <w:rPr>
                <w:sz w:val="21"/>
              </w:rPr>
              <w:t>碱类、胺类、碱金属、易燃或可燃物。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jc w:val="center"/>
        </w:trPr>
        <w:tc>
          <w:tcPr>
            <w:tcW w:w="261" w:type="pct"/>
            <w:vMerge w:val="continue"/>
            <w:vAlign w:val="center"/>
          </w:tcPr>
          <w:p>
            <w:pPr>
              <w:widowControl/>
              <w:jc w:val="left"/>
              <w:rPr>
                <w:spacing w:val="10"/>
                <w:sz w:val="21"/>
              </w:rPr>
            </w:pPr>
          </w:p>
        </w:tc>
        <w:tc>
          <w:tcPr>
            <w:tcW w:w="848" w:type="pct"/>
            <w:vAlign w:val="center"/>
          </w:tcPr>
          <w:p>
            <w:pPr>
              <w:jc w:val="center"/>
              <w:rPr>
                <w:spacing w:val="10"/>
                <w:sz w:val="21"/>
              </w:rPr>
            </w:pPr>
            <w:r>
              <w:rPr>
                <w:spacing w:val="10"/>
                <w:sz w:val="21"/>
              </w:rPr>
              <w:t>储运条件</w:t>
            </w:r>
          </w:p>
          <w:p>
            <w:pPr>
              <w:jc w:val="center"/>
              <w:rPr>
                <w:spacing w:val="10"/>
                <w:sz w:val="21"/>
              </w:rPr>
            </w:pPr>
            <w:r>
              <w:rPr>
                <w:spacing w:val="10"/>
                <w:sz w:val="21"/>
              </w:rPr>
              <w:t>与泄漏处理</w:t>
            </w:r>
          </w:p>
        </w:tc>
        <w:tc>
          <w:tcPr>
            <w:tcW w:w="3891" w:type="pct"/>
            <w:gridSpan w:val="10"/>
            <w:vAlign w:val="center"/>
          </w:tcPr>
          <w:p>
            <w:pPr>
              <w:rPr>
                <w:spacing w:val="10"/>
                <w:sz w:val="21"/>
              </w:rPr>
            </w:pPr>
            <w:r>
              <w:rPr>
                <w:b/>
                <w:spacing w:val="10"/>
                <w:sz w:val="21"/>
              </w:rPr>
              <w:t>储运条件</w:t>
            </w:r>
            <w:r>
              <w:rPr>
                <w:spacing w:val="10"/>
                <w:sz w:val="21"/>
              </w:rPr>
              <w:t>：</w:t>
            </w:r>
            <w:r>
              <w:rPr>
                <w:sz w:val="21"/>
              </w:rPr>
              <w:t>储存于阴凉、干燥、通风处。应与易燃、可燃物，碱类、金属粉末等分开存放。不可混储混运。搬运时要轻装轻卸，防止包装及容器损坏。分装和搬运作业要注意个人防护。运输按规定路线行驶。</w:t>
            </w:r>
            <w:r>
              <w:rPr>
                <w:b/>
                <w:spacing w:val="10"/>
                <w:sz w:val="21"/>
              </w:rPr>
              <w:t>泄漏处理</w:t>
            </w:r>
            <w:r>
              <w:rPr>
                <w:spacing w:val="10"/>
                <w:sz w:val="21"/>
              </w:rPr>
              <w:t>：</w:t>
            </w:r>
            <w:r>
              <w:rPr>
                <w:sz w:val="21"/>
              </w:rPr>
              <w:t>疏散泄漏污染区人员至安全区，禁止无关人员进入污染区，建议应急处理人员戴好面罩，穿化学防护服。不要直接接触泄漏物，禁止向泄漏物直接喷水。更不要让水进入包装容器内。用沙土、干燥石灰或苏打灰混合，然后收集运至废物处理场所处置。也可以用大量水冲洗，经稀释的洗水放入废水系统。如大量泄漏，利用围堤收容，然后收集、转移、回收或无害处理后废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61" w:type="pct"/>
            <w:vMerge w:val="continue"/>
            <w:vAlign w:val="center"/>
          </w:tcPr>
          <w:p>
            <w:pPr>
              <w:widowControl/>
              <w:jc w:val="left"/>
              <w:rPr>
                <w:spacing w:val="10"/>
                <w:sz w:val="21"/>
              </w:rPr>
            </w:pPr>
          </w:p>
        </w:tc>
        <w:tc>
          <w:tcPr>
            <w:tcW w:w="848" w:type="pct"/>
            <w:vAlign w:val="center"/>
          </w:tcPr>
          <w:p>
            <w:pPr>
              <w:jc w:val="center"/>
              <w:rPr>
                <w:spacing w:val="10"/>
                <w:sz w:val="21"/>
              </w:rPr>
            </w:pPr>
            <w:r>
              <w:rPr>
                <w:spacing w:val="10"/>
                <w:sz w:val="21"/>
              </w:rPr>
              <w:t>灭火方法</w:t>
            </w:r>
          </w:p>
        </w:tc>
        <w:tc>
          <w:tcPr>
            <w:tcW w:w="3891" w:type="pct"/>
            <w:gridSpan w:val="10"/>
            <w:vAlign w:val="center"/>
          </w:tcPr>
          <w:p>
            <w:pPr>
              <w:ind w:firstLine="420" w:firstLineChars="200"/>
              <w:rPr>
                <w:sz w:val="21"/>
              </w:rPr>
            </w:pPr>
            <w:r>
              <w:rPr>
                <w:sz w:val="21"/>
              </w:rPr>
              <w:t>用碱性物质如碳酸氢钠、碳酸钠、消石灰等中和。也可用大量水扑救。</w:t>
            </w:r>
          </w:p>
        </w:tc>
      </w:tr>
    </w:tbl>
    <w:p>
      <w:pPr>
        <w:pStyle w:val="14"/>
        <w:spacing w:line="240" w:lineRule="auto"/>
        <w:rPr>
          <w:rFonts w:hAnsi="宋体"/>
          <w:color w:val="000000" w:themeColor="text1"/>
        </w:rPr>
      </w:pPr>
      <w:r>
        <w:rPr>
          <w:rFonts w:hint="eastAsia" w:hAnsi="宋体"/>
          <w:color w:val="000000" w:themeColor="text1"/>
        </w:rPr>
        <w:t>表</w:t>
      </w:r>
      <w:r>
        <w:rPr>
          <w:rFonts w:hAnsi="宋体"/>
          <w:color w:val="000000" w:themeColor="text1"/>
        </w:rPr>
        <w:fldChar w:fldCharType="begin"/>
      </w:r>
      <w:r>
        <w:rPr>
          <w:rFonts w:hAnsi="宋体"/>
          <w:color w:val="000000" w:themeColor="text1"/>
        </w:rPr>
        <w:instrText xml:space="preserve"> </w:instrText>
      </w:r>
      <w:r>
        <w:rPr>
          <w:rFonts w:hint="eastAsia" w:hAnsi="宋体"/>
          <w:color w:val="000000" w:themeColor="text1"/>
        </w:rPr>
        <w:instrText xml:space="preserve">STYLEREF 2 \s</w:instrText>
      </w:r>
      <w:r>
        <w:rPr>
          <w:rFonts w:hAnsi="宋体"/>
          <w:color w:val="000000" w:themeColor="text1"/>
        </w:rPr>
        <w:instrText xml:space="preserve"> </w:instrText>
      </w:r>
      <w:r>
        <w:rPr>
          <w:rFonts w:hAnsi="宋体"/>
          <w:color w:val="000000" w:themeColor="text1"/>
        </w:rPr>
        <w:fldChar w:fldCharType="separate"/>
      </w:r>
      <w:r>
        <w:rPr>
          <w:rFonts w:hAnsi="宋体"/>
          <w:color w:val="000000" w:themeColor="text1"/>
        </w:rPr>
        <w:t>7.5</w:t>
      </w:r>
      <w:r>
        <w:rPr>
          <w:rFonts w:hAnsi="宋体"/>
          <w:color w:val="000000" w:themeColor="text1"/>
        </w:rPr>
        <w:fldChar w:fldCharType="end"/>
      </w:r>
      <w:r>
        <w:rPr>
          <w:rFonts w:hAnsi="宋体"/>
          <w:color w:val="000000" w:themeColor="text1"/>
        </w:rPr>
        <w:noBreakHyphen/>
      </w:r>
      <w:r>
        <w:rPr>
          <w:rFonts w:hAnsi="宋体"/>
          <w:color w:val="000000" w:themeColor="text1"/>
        </w:rPr>
        <w:fldChar w:fldCharType="begin"/>
      </w:r>
      <w:r>
        <w:rPr>
          <w:rFonts w:hAnsi="宋体"/>
          <w:color w:val="000000" w:themeColor="text1"/>
        </w:rPr>
        <w:instrText xml:space="preserve"> </w:instrText>
      </w:r>
      <w:r>
        <w:rPr>
          <w:rFonts w:hint="eastAsia" w:hAnsi="宋体"/>
          <w:color w:val="000000" w:themeColor="text1"/>
        </w:rPr>
        <w:instrText xml:space="preserve">SEQ 表 \* ARABIC \s 2</w:instrText>
      </w:r>
      <w:r>
        <w:rPr>
          <w:rFonts w:hAnsi="宋体"/>
          <w:color w:val="000000" w:themeColor="text1"/>
        </w:rPr>
        <w:instrText xml:space="preserve"> </w:instrText>
      </w:r>
      <w:r>
        <w:rPr>
          <w:rFonts w:hAnsi="宋体"/>
          <w:color w:val="000000" w:themeColor="text1"/>
        </w:rPr>
        <w:fldChar w:fldCharType="separate"/>
      </w:r>
      <w:r>
        <w:rPr>
          <w:rFonts w:hAnsi="宋体"/>
          <w:color w:val="000000" w:themeColor="text1"/>
        </w:rPr>
        <w:t>3</w:t>
      </w:r>
      <w:r>
        <w:rPr>
          <w:rFonts w:hAnsi="宋体"/>
          <w:color w:val="000000" w:themeColor="text1"/>
        </w:rPr>
        <w:fldChar w:fldCharType="end"/>
      </w:r>
      <w:r>
        <w:rPr>
          <w:rFonts w:hint="eastAsia" w:hAnsi="宋体"/>
          <w:color w:val="000000" w:themeColor="text1"/>
        </w:rPr>
        <w:t xml:space="preserve"> </w:t>
      </w:r>
      <w:r>
        <w:rPr>
          <w:rFonts w:hint="eastAsia"/>
        </w:rPr>
        <w:t>氯酸钠</w:t>
      </w:r>
      <w:r>
        <w:t>的理化性质及危险特性</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544"/>
        <w:gridCol w:w="810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00" w:type="pct"/>
            <w:vAlign w:val="center"/>
          </w:tcPr>
          <w:p>
            <w:pPr>
              <w:jc w:val="center"/>
              <w:rPr>
                <w:rFonts w:eastAsia="宋体" w:cs="Times New Roman"/>
                <w:sz w:val="21"/>
              </w:rPr>
            </w:pPr>
            <w:r>
              <w:rPr>
                <w:rFonts w:hint="eastAsia" w:eastAsia="宋体" w:cs="Times New Roman"/>
                <w:sz w:val="21"/>
              </w:rPr>
              <w:t>标识</w:t>
            </w:r>
          </w:p>
        </w:tc>
        <w:tc>
          <w:tcPr>
            <w:tcW w:w="4200" w:type="pct"/>
          </w:tcPr>
          <w:p>
            <w:pPr>
              <w:rPr>
                <w:rFonts w:eastAsia="宋体" w:cs="Times New Roman"/>
                <w:sz w:val="21"/>
              </w:rPr>
            </w:pPr>
            <w:r>
              <w:rPr>
                <w:rFonts w:hint="eastAsia" w:eastAsia="宋体" w:cs="Times New Roman"/>
                <w:sz w:val="21"/>
              </w:rPr>
              <w:t xml:space="preserve">名称：氯酸钠；氯酸碱；氯酸曹达；白药钠（  Sodium  chlorate ）   </w:t>
            </w:r>
          </w:p>
          <w:p>
            <w:pPr>
              <w:rPr>
                <w:rFonts w:eastAsia="宋体" w:cs="Times New Roman"/>
                <w:sz w:val="21"/>
              </w:rPr>
            </w:pPr>
            <w:r>
              <w:rPr>
                <w:rFonts w:hint="eastAsia" w:eastAsia="宋体" w:cs="Times New Roman"/>
                <w:sz w:val="21"/>
              </w:rPr>
              <w:t>分子量：106.45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00" w:type="pct"/>
            <w:vAlign w:val="center"/>
          </w:tcPr>
          <w:p>
            <w:pPr>
              <w:jc w:val="center"/>
              <w:rPr>
                <w:rFonts w:eastAsia="宋体" w:cs="Times New Roman"/>
                <w:sz w:val="21"/>
              </w:rPr>
            </w:pPr>
            <w:r>
              <w:rPr>
                <w:rFonts w:hint="eastAsia" w:eastAsia="宋体" w:cs="Times New Roman"/>
                <w:sz w:val="21"/>
              </w:rPr>
              <w:t>理化性状</w:t>
            </w:r>
          </w:p>
        </w:tc>
        <w:tc>
          <w:tcPr>
            <w:tcW w:w="4200" w:type="pct"/>
          </w:tcPr>
          <w:p>
            <w:pPr>
              <w:rPr>
                <w:rFonts w:eastAsia="宋体" w:cs="Times New Roman"/>
                <w:sz w:val="21"/>
              </w:rPr>
            </w:pPr>
            <w:r>
              <w:rPr>
                <w:rFonts w:hint="eastAsia" w:eastAsia="宋体" w:cs="Times New Roman"/>
                <w:sz w:val="21"/>
              </w:rPr>
              <w:t xml:space="preserve">外观与性质：无色无臭结晶，味咸而凉，有潮解性。 </w:t>
            </w:r>
          </w:p>
          <w:p>
            <w:pPr>
              <w:rPr>
                <w:rFonts w:eastAsia="宋体" w:cs="Times New Roman"/>
                <w:sz w:val="21"/>
              </w:rPr>
            </w:pPr>
            <w:r>
              <w:rPr>
                <w:rFonts w:hint="eastAsia" w:eastAsia="宋体" w:cs="Times New Roman"/>
                <w:sz w:val="21"/>
              </w:rPr>
              <w:t xml:space="preserve">主要用途：用作氧化剂，及制氯酸盐、除草剂、医药品等，也用于冶金矿石处理。 </w:t>
            </w:r>
          </w:p>
          <w:p>
            <w:pPr>
              <w:rPr>
                <w:rFonts w:eastAsia="宋体" w:cs="Times New Roman"/>
                <w:sz w:val="21"/>
              </w:rPr>
            </w:pPr>
            <w:r>
              <w:rPr>
                <w:rFonts w:hint="eastAsia" w:eastAsia="宋体" w:cs="Times New Roman"/>
                <w:sz w:val="21"/>
              </w:rPr>
              <w:t>理化性状：相对密度（水＝l）：2.49、沸点：分解、熔点：248~261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00" w:type="pct"/>
            <w:vAlign w:val="center"/>
          </w:tcPr>
          <w:p>
            <w:pPr>
              <w:jc w:val="center"/>
              <w:rPr>
                <w:rFonts w:eastAsia="宋体" w:cs="Times New Roman"/>
                <w:sz w:val="21"/>
              </w:rPr>
            </w:pPr>
            <w:r>
              <w:rPr>
                <w:rFonts w:hint="eastAsia" w:eastAsia="宋体" w:cs="Times New Roman"/>
                <w:sz w:val="21"/>
              </w:rPr>
              <w:t>爆炸特性与消防</w:t>
            </w:r>
          </w:p>
        </w:tc>
        <w:tc>
          <w:tcPr>
            <w:tcW w:w="4200" w:type="pct"/>
          </w:tcPr>
          <w:p>
            <w:pPr>
              <w:tabs>
                <w:tab w:val="left" w:pos="1095"/>
              </w:tabs>
              <w:rPr>
                <w:rFonts w:eastAsia="宋体" w:cs="Times New Roman"/>
                <w:sz w:val="21"/>
              </w:rPr>
            </w:pPr>
            <w:r>
              <w:rPr>
                <w:rFonts w:hint="eastAsia" w:eastAsia="宋体" w:cs="Times New Roman"/>
                <w:sz w:val="21"/>
              </w:rPr>
              <w:t xml:space="preserve">危险特性：具有强氧化性。与有机物、还原剂、易燃物如硫、磷等接触或混合时有引起燃烧爆炸的危险。急剧加热时可发生爆炸。 </w:t>
            </w:r>
          </w:p>
          <w:p>
            <w:pPr>
              <w:tabs>
                <w:tab w:val="left" w:pos="1095"/>
              </w:tabs>
              <w:rPr>
                <w:rFonts w:eastAsia="宋体" w:cs="Times New Roman"/>
                <w:sz w:val="21"/>
              </w:rPr>
            </w:pPr>
            <w:r>
              <w:rPr>
                <w:rFonts w:hint="eastAsia" w:eastAsia="宋体" w:cs="Times New Roman"/>
                <w:sz w:val="21"/>
              </w:rPr>
              <w:t>灭火方法：雾状水、砂土。如果该物质或被污染的流体进入水路，通知有潜在水体污染的下游用户，通知地方卫生、消防官员和污染控制部门。在安全防爆距离以外，使用雾状水冷却暴露的容器。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00" w:type="pct"/>
            <w:vAlign w:val="center"/>
          </w:tcPr>
          <w:p>
            <w:pPr>
              <w:jc w:val="center"/>
              <w:rPr>
                <w:rFonts w:eastAsia="宋体" w:cs="Times New Roman"/>
                <w:sz w:val="21"/>
              </w:rPr>
            </w:pPr>
            <w:r>
              <w:rPr>
                <w:rFonts w:hint="eastAsia" w:eastAsia="宋体" w:cs="Times New Roman"/>
                <w:sz w:val="21"/>
              </w:rPr>
              <w:t>健康危害</w:t>
            </w:r>
          </w:p>
        </w:tc>
        <w:tc>
          <w:tcPr>
            <w:tcW w:w="4200" w:type="pct"/>
          </w:tcPr>
          <w:p>
            <w:pPr>
              <w:rPr>
                <w:rFonts w:eastAsia="宋体" w:cs="Times New Roman"/>
                <w:sz w:val="21"/>
              </w:rPr>
            </w:pPr>
            <w:r>
              <w:rPr>
                <w:rFonts w:hint="eastAsia" w:eastAsia="宋体" w:cs="Times New Roman"/>
                <w:sz w:val="21"/>
              </w:rPr>
              <w:t>本品粉尘对呼吸道、眼及皮肤有刺激性。口服急性中毒，表现为高铁血红蛋白血症，胃肠炎，肝肾损伤，甚至发生窒息。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00" w:type="pct"/>
            <w:vAlign w:val="center"/>
          </w:tcPr>
          <w:p>
            <w:pPr>
              <w:jc w:val="center"/>
              <w:rPr>
                <w:rFonts w:eastAsia="宋体" w:cs="Times New Roman"/>
                <w:sz w:val="21"/>
              </w:rPr>
            </w:pPr>
            <w:r>
              <w:rPr>
                <w:rFonts w:hint="eastAsia" w:eastAsia="宋体" w:cs="Times New Roman"/>
                <w:sz w:val="21"/>
              </w:rPr>
              <w:t>急救措施</w:t>
            </w:r>
          </w:p>
        </w:tc>
        <w:tc>
          <w:tcPr>
            <w:tcW w:w="4200" w:type="pct"/>
          </w:tcPr>
          <w:p>
            <w:pPr>
              <w:rPr>
                <w:rFonts w:eastAsia="宋体" w:cs="Times New Roman"/>
                <w:sz w:val="21"/>
              </w:rPr>
            </w:pPr>
            <w:r>
              <w:rPr>
                <w:rFonts w:hint="eastAsia" w:eastAsia="宋体" w:cs="Times New Roman"/>
                <w:sz w:val="21"/>
              </w:rPr>
              <w:t xml:space="preserve">皮肤接触：脱去污染的衣着，立即用流动清水彻底冲洗。注意患者保暖并且保持安静。确保医务人员了解该物质相关的个体防护知识，注意自身防护。 </w:t>
            </w:r>
          </w:p>
          <w:p>
            <w:pPr>
              <w:rPr>
                <w:rFonts w:eastAsia="宋体" w:cs="Times New Roman"/>
                <w:sz w:val="21"/>
              </w:rPr>
            </w:pPr>
            <w:r>
              <w:rPr>
                <w:rFonts w:hint="eastAsia" w:eastAsia="宋体" w:cs="Times New Roman"/>
                <w:sz w:val="21"/>
              </w:rPr>
              <w:t xml:space="preserve">眼睛接触：立即提起眼睑，用流动清水或生理盐水冲洗至少15分钟。 </w:t>
            </w:r>
          </w:p>
          <w:p>
            <w:pPr>
              <w:rPr>
                <w:rFonts w:eastAsia="宋体" w:cs="Times New Roman"/>
                <w:sz w:val="21"/>
              </w:rPr>
            </w:pPr>
            <w:r>
              <w:rPr>
                <w:rFonts w:hint="eastAsia" w:eastAsia="宋体" w:cs="Times New Roman"/>
                <w:sz w:val="21"/>
              </w:rPr>
              <w:t>吸入：脱离现场至空气新鲜处。必要时进行人工呼吸。就医。如果呼吸困难，给予吸氧。食入：患者清醒时给饮大量温水，催吐，就医。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00" w:type="pct"/>
            <w:vAlign w:val="center"/>
          </w:tcPr>
          <w:p>
            <w:pPr>
              <w:jc w:val="center"/>
              <w:rPr>
                <w:rFonts w:eastAsia="宋体" w:cs="Times New Roman"/>
                <w:sz w:val="21"/>
              </w:rPr>
            </w:pPr>
            <w:r>
              <w:rPr>
                <w:rFonts w:hint="eastAsia" w:eastAsia="宋体" w:cs="Times New Roman"/>
                <w:sz w:val="21"/>
              </w:rPr>
              <w:t>泄漏应</w:t>
            </w:r>
          </w:p>
          <w:p>
            <w:pPr>
              <w:jc w:val="center"/>
              <w:rPr>
                <w:rFonts w:eastAsia="宋体" w:cs="Times New Roman"/>
                <w:sz w:val="21"/>
              </w:rPr>
            </w:pPr>
            <w:r>
              <w:rPr>
                <w:rFonts w:hint="eastAsia" w:eastAsia="宋体" w:cs="Times New Roman"/>
                <w:sz w:val="21"/>
              </w:rPr>
              <w:t>急处理</w:t>
            </w:r>
          </w:p>
        </w:tc>
        <w:tc>
          <w:tcPr>
            <w:tcW w:w="4200" w:type="pct"/>
          </w:tcPr>
          <w:p>
            <w:pPr>
              <w:rPr>
                <w:rFonts w:eastAsia="宋体" w:cs="Times New Roman"/>
                <w:sz w:val="21"/>
              </w:rPr>
            </w:pPr>
            <w:r>
              <w:rPr>
                <w:rFonts w:hint="eastAsia" w:eastAsia="宋体" w:cs="Times New Roman"/>
                <w:sz w:val="21"/>
              </w:rPr>
              <w:t>隔离泄漏污染区，周围设警告标志，建议应急处理人员戴好防毒面具，穿化学防护服。不要直接接触泄漏物，勿使泄漏物与可燃物质(木材、纸、油等)接触，小心扫起，加入水中(3％)，用硫酸调节pH值至2，再逐渐加入过量的亚硫酸氢钠，待反应完后废弃。如大量泄漏，收集回收或无害处理后废弃。  FEMA危险分类：固态：健康危害(蓝色)：1 易燃性(红色)：0 反应活性(黄色)：2 特殊危险：氧化剂溶液态：健康危害(蓝色)：1 易燃性(红色)：0 反应活性(黄色)：0 特殊危险：氧化剂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00" w:type="pct"/>
            <w:vAlign w:val="center"/>
          </w:tcPr>
          <w:p>
            <w:pPr>
              <w:jc w:val="center"/>
              <w:rPr>
                <w:rFonts w:eastAsia="宋体" w:cs="Times New Roman"/>
                <w:sz w:val="21"/>
              </w:rPr>
            </w:pPr>
            <w:r>
              <w:rPr>
                <w:rFonts w:hint="eastAsia" w:eastAsia="宋体" w:cs="Times New Roman"/>
                <w:sz w:val="21"/>
              </w:rPr>
              <w:t>储运注意事项</w:t>
            </w:r>
          </w:p>
        </w:tc>
        <w:tc>
          <w:tcPr>
            <w:tcW w:w="4200" w:type="pct"/>
          </w:tcPr>
          <w:p>
            <w:pPr>
              <w:rPr>
                <w:rFonts w:eastAsia="宋体" w:cs="Times New Roman"/>
                <w:sz w:val="21"/>
              </w:rPr>
            </w:pPr>
            <w:r>
              <w:rPr>
                <w:rFonts w:hint="eastAsia" w:eastAsia="宋体" w:cs="Times New Roman"/>
                <w:sz w:val="21"/>
              </w:rPr>
              <w:t>储存于阴凉、通风仓间内。远离火种、热源。防止阳光直射。保持容器密封。应与易燃、可燃物，还原剂、硫、铵化合物、金属粉末、硫酸等分开存放。切忌混储混运。搬运时要轻装轻卸，防止包装及容器损坏。禁止震动、撞击和摩擦。 ERG指南：140 ERG指南分类：氧化剂。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00" w:type="pct"/>
            <w:vAlign w:val="center"/>
          </w:tcPr>
          <w:p>
            <w:pPr>
              <w:jc w:val="center"/>
              <w:rPr>
                <w:rFonts w:eastAsia="宋体" w:cs="Times New Roman"/>
                <w:sz w:val="21"/>
              </w:rPr>
            </w:pPr>
            <w:r>
              <w:rPr>
                <w:rFonts w:hint="eastAsia" w:eastAsia="宋体" w:cs="Times New Roman"/>
                <w:sz w:val="21"/>
              </w:rPr>
              <w:t>防护措施</w:t>
            </w:r>
          </w:p>
        </w:tc>
        <w:tc>
          <w:tcPr>
            <w:tcW w:w="4200" w:type="pct"/>
          </w:tcPr>
          <w:p>
            <w:pPr>
              <w:rPr>
                <w:rFonts w:eastAsia="宋体" w:cs="Times New Roman"/>
                <w:sz w:val="21"/>
              </w:rPr>
            </w:pPr>
            <w:r>
              <w:rPr>
                <w:rFonts w:hint="eastAsia" w:eastAsia="宋体" w:cs="Times New Roman"/>
                <w:sz w:val="21"/>
              </w:rPr>
              <w:t>工程控制：生产过程密闭，加强通风。 呼吸防护：作业工人应戴口罩。高于NIOSH  REL浓度或尚未建立REL，任何可检测浓度下：自携式正压全面罩呼吸器、供气式正压全面罩呼吸器辅之以辅助自携式正压呼吸器。逃生：装有机蒸气滤毒盒的空气净化式全面罩呼吸器(防毒面具)、自携式逃生呼吸器。 眼睛防护：可采用安全面罩。 身体防护：穿相应的防护服。 手防护：戴防护手套。 其它防护：工作后，淋浴更衣。保持良好的卫生习惯。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00" w:type="pct"/>
            <w:vAlign w:val="center"/>
          </w:tcPr>
          <w:p>
            <w:pPr>
              <w:jc w:val="center"/>
              <w:rPr>
                <w:rFonts w:eastAsia="宋体" w:cs="Times New Roman"/>
                <w:sz w:val="21"/>
              </w:rPr>
            </w:pPr>
            <w:r>
              <w:rPr>
                <w:rFonts w:hint="eastAsia" w:eastAsia="宋体" w:cs="Times New Roman"/>
                <w:sz w:val="21"/>
              </w:rPr>
              <w:t>稳定性和</w:t>
            </w:r>
          </w:p>
          <w:p>
            <w:pPr>
              <w:jc w:val="center"/>
              <w:rPr>
                <w:rFonts w:eastAsia="宋体" w:cs="Times New Roman"/>
                <w:sz w:val="21"/>
              </w:rPr>
            </w:pPr>
            <w:r>
              <w:rPr>
                <w:rFonts w:hint="eastAsia" w:eastAsia="宋体" w:cs="Times New Roman"/>
                <w:sz w:val="21"/>
              </w:rPr>
              <w:t>反应活性</w:t>
            </w:r>
          </w:p>
        </w:tc>
        <w:tc>
          <w:tcPr>
            <w:tcW w:w="4200" w:type="pct"/>
            <w:vAlign w:val="center"/>
          </w:tcPr>
          <w:p>
            <w:pPr>
              <w:ind w:firstLine="420" w:firstLineChars="200"/>
              <w:jc w:val="center"/>
              <w:rPr>
                <w:rFonts w:eastAsia="宋体" w:cs="Times New Roman"/>
                <w:sz w:val="21"/>
              </w:rPr>
            </w:pPr>
            <w:r>
              <w:rPr>
                <w:rFonts w:hint="eastAsia" w:eastAsia="宋体" w:cs="Times New Roman"/>
                <w:sz w:val="21"/>
              </w:rPr>
              <w:t>禁忌物：强还原剂、易燃或可燃物、醇类、强酸、硫、磷、铝。</w:t>
            </w:r>
          </w:p>
        </w:tc>
      </w:tr>
    </w:tbl>
    <w:p>
      <w:pPr>
        <w:ind w:firstLine="482" w:firstLineChars="200"/>
        <w:jc w:val="center"/>
        <w:rPr>
          <w:rFonts w:hAnsi="宋体"/>
          <w:b/>
          <w:color w:val="000000" w:themeColor="text1"/>
        </w:rPr>
      </w:pPr>
    </w:p>
    <w:p>
      <w:pPr>
        <w:ind w:firstLine="482" w:firstLineChars="200"/>
        <w:jc w:val="center"/>
        <w:rPr>
          <w:rFonts w:hAnsi="宋体"/>
          <w:b/>
          <w:color w:val="000000" w:themeColor="text1"/>
        </w:rPr>
      </w:pPr>
    </w:p>
    <w:p>
      <w:pPr>
        <w:ind w:firstLine="482" w:firstLineChars="200"/>
        <w:jc w:val="center"/>
        <w:rPr>
          <w:rFonts w:hAnsi="宋体"/>
          <w:b/>
          <w:color w:val="000000" w:themeColor="text1"/>
        </w:rPr>
      </w:pPr>
    </w:p>
    <w:p>
      <w:pPr>
        <w:ind w:firstLine="482" w:firstLineChars="200"/>
        <w:jc w:val="center"/>
        <w:rPr>
          <w:rFonts w:hAnsi="宋体"/>
          <w:b/>
          <w:color w:val="000000" w:themeColor="text1"/>
        </w:rPr>
      </w:pPr>
    </w:p>
    <w:p>
      <w:pPr>
        <w:ind w:firstLine="482" w:firstLineChars="200"/>
        <w:jc w:val="center"/>
        <w:rPr>
          <w:rFonts w:hAnsi="宋体"/>
          <w:b/>
          <w:color w:val="000000" w:themeColor="text1"/>
        </w:rPr>
      </w:pPr>
    </w:p>
    <w:p>
      <w:pPr>
        <w:ind w:firstLine="482" w:firstLineChars="200"/>
        <w:jc w:val="center"/>
        <w:rPr>
          <w:rFonts w:hAnsi="宋体"/>
          <w:b/>
          <w:color w:val="000000" w:themeColor="text1"/>
        </w:rPr>
      </w:pPr>
    </w:p>
    <w:p>
      <w:pPr>
        <w:ind w:firstLine="482" w:firstLineChars="200"/>
        <w:jc w:val="center"/>
        <w:rPr>
          <w:b/>
        </w:rPr>
      </w:pPr>
      <w:r>
        <w:rPr>
          <w:rFonts w:hint="eastAsia" w:hAnsi="宋体"/>
          <w:b/>
          <w:color w:val="000000" w:themeColor="text1"/>
        </w:rPr>
        <w:t>表</w:t>
      </w:r>
      <w:r>
        <w:rPr>
          <w:rFonts w:hAnsi="宋体"/>
          <w:b/>
          <w:color w:val="000000" w:themeColor="text1"/>
        </w:rPr>
        <w:fldChar w:fldCharType="begin"/>
      </w:r>
      <w:r>
        <w:rPr>
          <w:rFonts w:hAnsi="宋体"/>
          <w:b/>
          <w:color w:val="000000" w:themeColor="text1"/>
        </w:rPr>
        <w:instrText xml:space="preserve"> </w:instrText>
      </w:r>
      <w:r>
        <w:rPr>
          <w:rFonts w:hint="eastAsia" w:hAnsi="宋体"/>
          <w:b/>
          <w:color w:val="000000" w:themeColor="text1"/>
        </w:rPr>
        <w:instrText xml:space="preserve">STYLEREF 2 \s</w:instrText>
      </w:r>
      <w:r>
        <w:rPr>
          <w:rFonts w:hAnsi="宋体"/>
          <w:b/>
          <w:color w:val="000000" w:themeColor="text1"/>
        </w:rPr>
        <w:instrText xml:space="preserve"> </w:instrText>
      </w:r>
      <w:r>
        <w:rPr>
          <w:rFonts w:hAnsi="宋体"/>
          <w:b/>
          <w:color w:val="000000" w:themeColor="text1"/>
        </w:rPr>
        <w:fldChar w:fldCharType="separate"/>
      </w:r>
      <w:r>
        <w:rPr>
          <w:rFonts w:hAnsi="宋体"/>
          <w:b/>
          <w:color w:val="000000" w:themeColor="text1"/>
        </w:rPr>
        <w:t>7.5</w:t>
      </w:r>
      <w:r>
        <w:rPr>
          <w:rFonts w:hAnsi="宋体"/>
          <w:b/>
          <w:color w:val="000000" w:themeColor="text1"/>
        </w:rPr>
        <w:fldChar w:fldCharType="end"/>
      </w:r>
      <w:r>
        <w:rPr>
          <w:rFonts w:hAnsi="宋体"/>
          <w:b/>
          <w:color w:val="000000" w:themeColor="text1"/>
        </w:rPr>
        <w:noBreakHyphen/>
      </w:r>
      <w:r>
        <w:rPr>
          <w:rFonts w:hAnsi="宋体"/>
          <w:b/>
          <w:color w:val="000000" w:themeColor="text1"/>
        </w:rPr>
        <w:fldChar w:fldCharType="begin"/>
      </w:r>
      <w:r>
        <w:rPr>
          <w:rFonts w:hAnsi="宋体"/>
          <w:b/>
          <w:color w:val="000000" w:themeColor="text1"/>
        </w:rPr>
        <w:instrText xml:space="preserve"> </w:instrText>
      </w:r>
      <w:r>
        <w:rPr>
          <w:rFonts w:hint="eastAsia" w:hAnsi="宋体"/>
          <w:b/>
          <w:color w:val="000000" w:themeColor="text1"/>
        </w:rPr>
        <w:instrText xml:space="preserve">SEQ 表 \* ARABIC \s 2</w:instrText>
      </w:r>
      <w:r>
        <w:rPr>
          <w:rFonts w:hAnsi="宋体"/>
          <w:b/>
          <w:color w:val="000000" w:themeColor="text1"/>
        </w:rPr>
        <w:instrText xml:space="preserve"> </w:instrText>
      </w:r>
      <w:r>
        <w:rPr>
          <w:rFonts w:hAnsi="宋体"/>
          <w:b/>
          <w:color w:val="000000" w:themeColor="text1"/>
        </w:rPr>
        <w:fldChar w:fldCharType="separate"/>
      </w:r>
      <w:r>
        <w:rPr>
          <w:rFonts w:hAnsi="宋体"/>
          <w:b/>
          <w:color w:val="000000" w:themeColor="text1"/>
        </w:rPr>
        <w:t>4</w:t>
      </w:r>
      <w:r>
        <w:rPr>
          <w:rFonts w:hAnsi="宋体"/>
          <w:b/>
          <w:color w:val="000000" w:themeColor="text1"/>
        </w:rPr>
        <w:fldChar w:fldCharType="end"/>
      </w:r>
      <w:r>
        <w:rPr>
          <w:rFonts w:hint="eastAsia" w:hAnsi="宋体"/>
          <w:b/>
          <w:color w:val="000000" w:themeColor="text1"/>
        </w:rPr>
        <w:t xml:space="preserve"> </w:t>
      </w:r>
      <w:r>
        <w:rPr>
          <w:b/>
        </w:rPr>
        <w:t>二氧化氯的理化性质及危险特性</w:t>
      </w:r>
    </w:p>
    <w:tbl>
      <w:tblPr>
        <w:tblStyle w:val="39"/>
        <w:tblW w:w="5000"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504"/>
        <w:gridCol w:w="1795"/>
        <w:gridCol w:w="1372"/>
        <w:gridCol w:w="172"/>
        <w:gridCol w:w="1488"/>
        <w:gridCol w:w="164"/>
        <w:gridCol w:w="1009"/>
        <w:gridCol w:w="178"/>
        <w:gridCol w:w="1530"/>
        <w:gridCol w:w="500"/>
        <w:gridCol w:w="938"/>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157" w:hRule="atLeast"/>
          <w:jc w:val="center"/>
        </w:trPr>
        <w:tc>
          <w:tcPr>
            <w:tcW w:w="261" w:type="pct"/>
            <w:vMerge w:val="restart"/>
            <w:vAlign w:val="center"/>
          </w:tcPr>
          <w:p>
            <w:pPr>
              <w:jc w:val="center"/>
              <w:rPr>
                <w:spacing w:val="10"/>
                <w:sz w:val="21"/>
              </w:rPr>
            </w:pPr>
            <w:r>
              <w:rPr>
                <w:spacing w:val="10"/>
                <w:sz w:val="21"/>
              </w:rPr>
              <w:t>标识</w:t>
            </w:r>
          </w:p>
        </w:tc>
        <w:tc>
          <w:tcPr>
            <w:tcW w:w="3103" w:type="pct"/>
            <w:gridSpan w:val="6"/>
            <w:vAlign w:val="center"/>
          </w:tcPr>
          <w:p>
            <w:pPr>
              <w:rPr>
                <w:spacing w:val="10"/>
                <w:sz w:val="21"/>
              </w:rPr>
            </w:pPr>
            <w:r>
              <w:rPr>
                <w:spacing w:val="10"/>
                <w:sz w:val="21"/>
              </w:rPr>
              <w:t>中文名：</w:t>
            </w:r>
            <w:r>
              <w:rPr>
                <w:sz w:val="21"/>
              </w:rPr>
              <w:t>二氧化氯</w:t>
            </w:r>
          </w:p>
        </w:tc>
        <w:tc>
          <w:tcPr>
            <w:tcW w:w="1636" w:type="pct"/>
            <w:gridSpan w:val="4"/>
            <w:vAlign w:val="center"/>
          </w:tcPr>
          <w:p>
            <w:pPr>
              <w:rPr>
                <w:spacing w:val="10"/>
                <w:sz w:val="21"/>
              </w:rPr>
            </w:pPr>
            <w:r>
              <w:rPr>
                <w:spacing w:val="10"/>
                <w:sz w:val="21"/>
              </w:rPr>
              <w:t>危险货物编号：</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164" w:hRule="atLeast"/>
          <w:jc w:val="center"/>
        </w:trPr>
        <w:tc>
          <w:tcPr>
            <w:tcW w:w="261" w:type="pct"/>
            <w:vMerge w:val="continue"/>
            <w:vAlign w:val="center"/>
          </w:tcPr>
          <w:p>
            <w:pPr>
              <w:widowControl/>
              <w:jc w:val="left"/>
              <w:rPr>
                <w:spacing w:val="10"/>
                <w:sz w:val="21"/>
              </w:rPr>
            </w:pPr>
          </w:p>
        </w:tc>
        <w:tc>
          <w:tcPr>
            <w:tcW w:w="3103" w:type="pct"/>
            <w:gridSpan w:val="6"/>
            <w:vAlign w:val="center"/>
          </w:tcPr>
          <w:p>
            <w:pPr>
              <w:rPr>
                <w:spacing w:val="10"/>
                <w:sz w:val="21"/>
              </w:rPr>
            </w:pPr>
            <w:r>
              <w:rPr>
                <w:spacing w:val="10"/>
                <w:sz w:val="21"/>
              </w:rPr>
              <w:t>英文名：</w:t>
            </w:r>
            <w:r>
              <w:rPr>
                <w:sz w:val="21"/>
              </w:rPr>
              <w:t>Cholrine dioxode；Chlorine oxide</w:t>
            </w:r>
          </w:p>
        </w:tc>
        <w:tc>
          <w:tcPr>
            <w:tcW w:w="1636" w:type="pct"/>
            <w:gridSpan w:val="4"/>
            <w:vAlign w:val="center"/>
          </w:tcPr>
          <w:p>
            <w:pPr>
              <w:rPr>
                <w:spacing w:val="10"/>
                <w:sz w:val="21"/>
              </w:rPr>
            </w:pPr>
            <w:r>
              <w:rPr>
                <w:spacing w:val="10"/>
                <w:sz w:val="21"/>
              </w:rPr>
              <w:t>UN编号：</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65" w:hRule="atLeast"/>
          <w:jc w:val="center"/>
        </w:trPr>
        <w:tc>
          <w:tcPr>
            <w:tcW w:w="261" w:type="pct"/>
            <w:vMerge w:val="continue"/>
            <w:vAlign w:val="center"/>
          </w:tcPr>
          <w:p>
            <w:pPr>
              <w:widowControl/>
              <w:jc w:val="left"/>
              <w:rPr>
                <w:spacing w:val="10"/>
                <w:sz w:val="21"/>
              </w:rPr>
            </w:pPr>
          </w:p>
        </w:tc>
        <w:tc>
          <w:tcPr>
            <w:tcW w:w="1641" w:type="pct"/>
            <w:gridSpan w:val="2"/>
            <w:vAlign w:val="center"/>
          </w:tcPr>
          <w:p>
            <w:pPr>
              <w:ind w:left="920" w:hanging="920" w:hangingChars="400"/>
              <w:rPr>
                <w:spacing w:val="10"/>
                <w:sz w:val="21"/>
              </w:rPr>
            </w:pPr>
            <w:r>
              <w:rPr>
                <w:spacing w:val="10"/>
                <w:sz w:val="21"/>
              </w:rPr>
              <w:t>分子式：</w:t>
            </w:r>
            <w:r>
              <w:rPr>
                <w:sz w:val="21"/>
              </w:rPr>
              <w:t>ClO</w:t>
            </w:r>
            <w:r>
              <w:rPr>
                <w:sz w:val="21"/>
                <w:vertAlign w:val="subscript"/>
              </w:rPr>
              <w:t>2</w:t>
            </w:r>
          </w:p>
        </w:tc>
        <w:tc>
          <w:tcPr>
            <w:tcW w:w="1462" w:type="pct"/>
            <w:gridSpan w:val="4"/>
            <w:vAlign w:val="center"/>
          </w:tcPr>
          <w:p>
            <w:pPr>
              <w:rPr>
                <w:spacing w:val="10"/>
                <w:sz w:val="21"/>
              </w:rPr>
            </w:pPr>
            <w:r>
              <w:rPr>
                <w:spacing w:val="10"/>
                <w:sz w:val="21"/>
              </w:rPr>
              <w:t>分子量：</w:t>
            </w:r>
            <w:r>
              <w:rPr>
                <w:sz w:val="21"/>
              </w:rPr>
              <w:t>67.45</w:t>
            </w:r>
          </w:p>
        </w:tc>
        <w:tc>
          <w:tcPr>
            <w:tcW w:w="1636" w:type="pct"/>
            <w:gridSpan w:val="4"/>
            <w:vAlign w:val="center"/>
          </w:tcPr>
          <w:p>
            <w:pPr>
              <w:rPr>
                <w:spacing w:val="10"/>
                <w:sz w:val="21"/>
              </w:rPr>
            </w:pPr>
            <w:r>
              <w:rPr>
                <w:spacing w:val="10"/>
                <w:sz w:val="21"/>
              </w:rPr>
              <w:t>CAS号：</w:t>
            </w:r>
            <w:r>
              <w:rPr>
                <w:sz w:val="21"/>
              </w:rPr>
              <w:t>10049-04-4</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55" w:hRule="atLeast"/>
          <w:jc w:val="center"/>
        </w:trPr>
        <w:tc>
          <w:tcPr>
            <w:tcW w:w="261" w:type="pct"/>
            <w:vMerge w:val="restart"/>
            <w:vAlign w:val="center"/>
          </w:tcPr>
          <w:p>
            <w:pPr>
              <w:jc w:val="center"/>
              <w:rPr>
                <w:spacing w:val="10"/>
                <w:sz w:val="21"/>
              </w:rPr>
            </w:pPr>
            <w:r>
              <w:rPr>
                <w:spacing w:val="10"/>
                <w:sz w:val="21"/>
              </w:rPr>
              <w:t>理化性质</w:t>
            </w:r>
          </w:p>
        </w:tc>
        <w:tc>
          <w:tcPr>
            <w:tcW w:w="930" w:type="pct"/>
            <w:vAlign w:val="center"/>
          </w:tcPr>
          <w:p>
            <w:pPr>
              <w:jc w:val="center"/>
              <w:rPr>
                <w:spacing w:val="10"/>
                <w:sz w:val="21"/>
              </w:rPr>
            </w:pPr>
            <w:r>
              <w:rPr>
                <w:spacing w:val="10"/>
                <w:sz w:val="21"/>
              </w:rPr>
              <w:t>外观与性状</w:t>
            </w:r>
          </w:p>
        </w:tc>
        <w:tc>
          <w:tcPr>
            <w:tcW w:w="3809" w:type="pct"/>
            <w:gridSpan w:val="9"/>
            <w:vAlign w:val="center"/>
          </w:tcPr>
          <w:p>
            <w:pPr>
              <w:rPr>
                <w:spacing w:val="10"/>
                <w:sz w:val="21"/>
              </w:rPr>
            </w:pPr>
            <w:r>
              <w:rPr>
                <w:sz w:val="21"/>
              </w:rPr>
              <w:t>黄红色气体，有刺激性气味，能沿地面扩散，一般稀释为10%以下的溶液使用、贮存</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261" w:type="pct"/>
            <w:vMerge w:val="continue"/>
            <w:vAlign w:val="center"/>
          </w:tcPr>
          <w:p>
            <w:pPr>
              <w:widowControl/>
              <w:jc w:val="left"/>
              <w:rPr>
                <w:spacing w:val="10"/>
                <w:sz w:val="21"/>
              </w:rPr>
            </w:pPr>
          </w:p>
        </w:tc>
        <w:tc>
          <w:tcPr>
            <w:tcW w:w="930" w:type="pct"/>
            <w:vAlign w:val="center"/>
          </w:tcPr>
          <w:p>
            <w:pPr>
              <w:jc w:val="center"/>
              <w:rPr>
                <w:spacing w:val="10"/>
                <w:sz w:val="21"/>
              </w:rPr>
            </w:pPr>
            <w:r>
              <w:rPr>
                <w:spacing w:val="10"/>
                <w:sz w:val="21"/>
              </w:rPr>
              <w:t>熔点（</w:t>
            </w:r>
            <w:r>
              <w:rPr>
                <w:rFonts w:hint="eastAsia" w:ascii="宋体" w:hAnsi="宋体" w:cs="宋体"/>
                <w:spacing w:val="10"/>
                <w:sz w:val="21"/>
              </w:rPr>
              <w:t>℃</w:t>
            </w:r>
            <w:r>
              <w:rPr>
                <w:spacing w:val="10"/>
                <w:sz w:val="21"/>
              </w:rPr>
              <w:t>）</w:t>
            </w:r>
          </w:p>
        </w:tc>
        <w:tc>
          <w:tcPr>
            <w:tcW w:w="794" w:type="pct"/>
            <w:gridSpan w:val="2"/>
            <w:vAlign w:val="center"/>
          </w:tcPr>
          <w:p>
            <w:pPr>
              <w:jc w:val="center"/>
              <w:rPr>
                <w:spacing w:val="10"/>
                <w:sz w:val="21"/>
              </w:rPr>
            </w:pPr>
            <w:r>
              <w:rPr>
                <w:sz w:val="21"/>
              </w:rPr>
              <w:t>-59</w:t>
            </w:r>
          </w:p>
        </w:tc>
        <w:tc>
          <w:tcPr>
            <w:tcW w:w="856" w:type="pct"/>
            <w:gridSpan w:val="2"/>
            <w:vAlign w:val="center"/>
          </w:tcPr>
          <w:p>
            <w:pPr>
              <w:jc w:val="center"/>
              <w:rPr>
                <w:spacing w:val="10"/>
                <w:sz w:val="21"/>
              </w:rPr>
            </w:pPr>
            <w:r>
              <w:rPr>
                <w:spacing w:val="10"/>
                <w:sz w:val="21"/>
              </w:rPr>
              <w:t>相对密度(水=1)</w:t>
            </w:r>
          </w:p>
        </w:tc>
        <w:tc>
          <w:tcPr>
            <w:tcW w:w="523" w:type="pct"/>
            <w:vAlign w:val="center"/>
          </w:tcPr>
          <w:p>
            <w:pPr>
              <w:jc w:val="center"/>
              <w:rPr>
                <w:sz w:val="21"/>
              </w:rPr>
            </w:pPr>
            <w:r>
              <w:rPr>
                <w:sz w:val="21"/>
              </w:rPr>
              <w:t>3.09</w:t>
            </w:r>
          </w:p>
          <w:p>
            <w:pPr>
              <w:jc w:val="center"/>
              <w:rPr>
                <w:spacing w:val="10"/>
                <w:sz w:val="21"/>
              </w:rPr>
            </w:pPr>
            <w:r>
              <w:rPr>
                <w:sz w:val="21"/>
              </w:rPr>
              <w:t>(11</w:t>
            </w:r>
            <w:r>
              <w:rPr>
                <w:rFonts w:hint="eastAsia" w:ascii="宋体" w:hAnsi="宋体" w:cs="宋体"/>
                <w:sz w:val="21"/>
              </w:rPr>
              <w:t>℃</w:t>
            </w:r>
            <w:r>
              <w:rPr>
                <w:sz w:val="21"/>
              </w:rPr>
              <w:t>)</w:t>
            </w:r>
          </w:p>
        </w:tc>
        <w:tc>
          <w:tcPr>
            <w:tcW w:w="1144" w:type="pct"/>
            <w:gridSpan w:val="3"/>
            <w:vAlign w:val="center"/>
          </w:tcPr>
          <w:p>
            <w:pPr>
              <w:jc w:val="center"/>
              <w:rPr>
                <w:spacing w:val="10"/>
                <w:sz w:val="21"/>
              </w:rPr>
            </w:pPr>
            <w:r>
              <w:rPr>
                <w:spacing w:val="10"/>
                <w:sz w:val="21"/>
              </w:rPr>
              <w:t>相对密度(空气=1)</w:t>
            </w:r>
          </w:p>
        </w:tc>
        <w:tc>
          <w:tcPr>
            <w:tcW w:w="492" w:type="pct"/>
            <w:vAlign w:val="center"/>
          </w:tcPr>
          <w:p>
            <w:pPr>
              <w:jc w:val="center"/>
              <w:rPr>
                <w:spacing w:val="10"/>
                <w:sz w:val="21"/>
              </w:rPr>
            </w:pPr>
            <w:r>
              <w:rPr>
                <w:spacing w:val="10"/>
                <w:sz w:val="21"/>
              </w:rPr>
              <w:t>2.3</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314" w:hRule="atLeast"/>
          <w:jc w:val="center"/>
        </w:trPr>
        <w:tc>
          <w:tcPr>
            <w:tcW w:w="261" w:type="pct"/>
            <w:vMerge w:val="continue"/>
            <w:vAlign w:val="center"/>
          </w:tcPr>
          <w:p>
            <w:pPr>
              <w:widowControl/>
              <w:jc w:val="left"/>
              <w:rPr>
                <w:spacing w:val="10"/>
                <w:sz w:val="21"/>
              </w:rPr>
            </w:pPr>
          </w:p>
        </w:tc>
        <w:tc>
          <w:tcPr>
            <w:tcW w:w="930" w:type="pct"/>
            <w:vAlign w:val="center"/>
          </w:tcPr>
          <w:p>
            <w:pPr>
              <w:jc w:val="center"/>
              <w:rPr>
                <w:spacing w:val="10"/>
                <w:sz w:val="21"/>
              </w:rPr>
            </w:pPr>
            <w:r>
              <w:rPr>
                <w:spacing w:val="10"/>
                <w:sz w:val="21"/>
              </w:rPr>
              <w:t>沸点（</w:t>
            </w:r>
            <w:r>
              <w:rPr>
                <w:rFonts w:hint="eastAsia" w:ascii="宋体" w:hAnsi="宋体" w:cs="宋体"/>
                <w:spacing w:val="10"/>
                <w:sz w:val="21"/>
              </w:rPr>
              <w:t>℃</w:t>
            </w:r>
            <w:r>
              <w:rPr>
                <w:spacing w:val="10"/>
                <w:sz w:val="21"/>
              </w:rPr>
              <w:t>）</w:t>
            </w:r>
          </w:p>
        </w:tc>
        <w:tc>
          <w:tcPr>
            <w:tcW w:w="794" w:type="pct"/>
            <w:gridSpan w:val="2"/>
            <w:vAlign w:val="center"/>
          </w:tcPr>
          <w:p>
            <w:pPr>
              <w:jc w:val="center"/>
              <w:rPr>
                <w:spacing w:val="10"/>
                <w:sz w:val="21"/>
              </w:rPr>
            </w:pPr>
            <w:r>
              <w:rPr>
                <w:sz w:val="21"/>
              </w:rPr>
              <w:t>9.9/97.2kPa(爆炸)</w:t>
            </w:r>
          </w:p>
        </w:tc>
        <w:tc>
          <w:tcPr>
            <w:tcW w:w="1379" w:type="pct"/>
            <w:gridSpan w:val="3"/>
            <w:vAlign w:val="center"/>
          </w:tcPr>
          <w:p>
            <w:pPr>
              <w:ind w:left="-40"/>
              <w:jc w:val="center"/>
              <w:rPr>
                <w:spacing w:val="10"/>
                <w:sz w:val="21"/>
              </w:rPr>
            </w:pPr>
            <w:r>
              <w:rPr>
                <w:spacing w:val="10"/>
                <w:sz w:val="21"/>
              </w:rPr>
              <w:t>饱和蒸气压（kPa）</w:t>
            </w:r>
          </w:p>
        </w:tc>
        <w:tc>
          <w:tcPr>
            <w:tcW w:w="1636" w:type="pct"/>
            <w:gridSpan w:val="4"/>
            <w:vAlign w:val="center"/>
          </w:tcPr>
          <w:p>
            <w:pPr>
              <w:jc w:val="center"/>
              <w:rPr>
                <w:spacing w:val="10"/>
                <w:sz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261" w:type="pct"/>
            <w:vMerge w:val="continue"/>
            <w:vAlign w:val="center"/>
          </w:tcPr>
          <w:p>
            <w:pPr>
              <w:widowControl/>
              <w:jc w:val="left"/>
              <w:rPr>
                <w:spacing w:val="10"/>
                <w:sz w:val="21"/>
              </w:rPr>
            </w:pPr>
          </w:p>
        </w:tc>
        <w:tc>
          <w:tcPr>
            <w:tcW w:w="930" w:type="pct"/>
            <w:vAlign w:val="center"/>
          </w:tcPr>
          <w:p>
            <w:pPr>
              <w:jc w:val="center"/>
              <w:rPr>
                <w:spacing w:val="10"/>
                <w:sz w:val="21"/>
              </w:rPr>
            </w:pPr>
            <w:r>
              <w:rPr>
                <w:spacing w:val="10"/>
                <w:sz w:val="21"/>
              </w:rPr>
              <w:t>溶解性</w:t>
            </w:r>
          </w:p>
        </w:tc>
        <w:tc>
          <w:tcPr>
            <w:tcW w:w="3809" w:type="pct"/>
            <w:gridSpan w:val="9"/>
            <w:vAlign w:val="center"/>
          </w:tcPr>
          <w:p>
            <w:pPr>
              <w:rPr>
                <w:spacing w:val="10"/>
                <w:sz w:val="21"/>
              </w:rPr>
            </w:pPr>
            <w:r>
              <w:rPr>
                <w:sz w:val="21"/>
              </w:rPr>
              <w:t>不溶于水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261" w:type="pct"/>
            <w:vMerge w:val="restart"/>
            <w:vAlign w:val="center"/>
          </w:tcPr>
          <w:p>
            <w:pPr>
              <w:jc w:val="center"/>
              <w:rPr>
                <w:spacing w:val="10"/>
                <w:sz w:val="21"/>
              </w:rPr>
            </w:pPr>
            <w:r>
              <w:rPr>
                <w:spacing w:val="10"/>
                <w:sz w:val="21"/>
              </w:rPr>
              <w:t>毒性及健康危害</w:t>
            </w:r>
          </w:p>
        </w:tc>
        <w:tc>
          <w:tcPr>
            <w:tcW w:w="930" w:type="pct"/>
            <w:vAlign w:val="center"/>
          </w:tcPr>
          <w:p>
            <w:pPr>
              <w:jc w:val="center"/>
              <w:rPr>
                <w:spacing w:val="10"/>
                <w:sz w:val="21"/>
              </w:rPr>
            </w:pPr>
            <w:r>
              <w:rPr>
                <w:spacing w:val="10"/>
                <w:sz w:val="21"/>
              </w:rPr>
              <w:t>侵入途径</w:t>
            </w:r>
          </w:p>
        </w:tc>
        <w:tc>
          <w:tcPr>
            <w:tcW w:w="3809" w:type="pct"/>
            <w:gridSpan w:val="9"/>
            <w:vAlign w:val="center"/>
          </w:tcPr>
          <w:p>
            <w:pPr>
              <w:rPr>
                <w:spacing w:val="10"/>
                <w:sz w:val="21"/>
              </w:rPr>
            </w:pPr>
            <w:r>
              <w:rPr>
                <w:sz w:val="21"/>
              </w:rPr>
              <w:t>吸入、食入</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752" w:hRule="atLeast"/>
          <w:jc w:val="center"/>
        </w:trPr>
        <w:tc>
          <w:tcPr>
            <w:tcW w:w="261" w:type="pct"/>
            <w:vMerge w:val="continue"/>
            <w:vAlign w:val="center"/>
          </w:tcPr>
          <w:p>
            <w:pPr>
              <w:widowControl/>
              <w:jc w:val="left"/>
              <w:rPr>
                <w:spacing w:val="10"/>
                <w:sz w:val="21"/>
              </w:rPr>
            </w:pPr>
          </w:p>
        </w:tc>
        <w:tc>
          <w:tcPr>
            <w:tcW w:w="930" w:type="pct"/>
            <w:vAlign w:val="center"/>
          </w:tcPr>
          <w:p>
            <w:pPr>
              <w:jc w:val="center"/>
              <w:rPr>
                <w:spacing w:val="10"/>
                <w:sz w:val="21"/>
              </w:rPr>
            </w:pPr>
            <w:r>
              <w:rPr>
                <w:spacing w:val="10"/>
                <w:sz w:val="21"/>
              </w:rPr>
              <w:t>健康危害</w:t>
            </w:r>
          </w:p>
        </w:tc>
        <w:tc>
          <w:tcPr>
            <w:tcW w:w="3809" w:type="pct"/>
            <w:gridSpan w:val="9"/>
            <w:vAlign w:val="center"/>
          </w:tcPr>
          <w:p>
            <w:pPr>
              <w:rPr>
                <w:spacing w:val="10"/>
                <w:sz w:val="21"/>
              </w:rPr>
            </w:pPr>
            <w:r>
              <w:rPr>
                <w:sz w:val="21"/>
              </w:rPr>
              <w:t>本品具有强烈刺激性。接触后主要引起眼和呼吸道刺激。吸入高浓度可发生肺水肿。能致死。对呼吸道产生严重损伤浓度的本品气体，可能对皮肤有刺激性。皮肤接触或摄入本品的高浓度溶液，可能引起强烈刺激和腐蚀。长期接触可导致慢性支气管炎。</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318" w:hRule="atLeast"/>
          <w:jc w:val="center"/>
        </w:trPr>
        <w:tc>
          <w:tcPr>
            <w:tcW w:w="261" w:type="pct"/>
            <w:vMerge w:val="continue"/>
            <w:vAlign w:val="center"/>
          </w:tcPr>
          <w:p>
            <w:pPr>
              <w:widowControl/>
              <w:jc w:val="left"/>
              <w:rPr>
                <w:spacing w:val="10"/>
                <w:sz w:val="21"/>
              </w:rPr>
            </w:pPr>
          </w:p>
        </w:tc>
        <w:tc>
          <w:tcPr>
            <w:tcW w:w="930" w:type="pct"/>
            <w:vAlign w:val="center"/>
          </w:tcPr>
          <w:p>
            <w:pPr>
              <w:jc w:val="center"/>
              <w:rPr>
                <w:spacing w:val="10"/>
                <w:sz w:val="21"/>
              </w:rPr>
            </w:pPr>
            <w:r>
              <w:rPr>
                <w:spacing w:val="10"/>
                <w:sz w:val="21"/>
              </w:rPr>
              <w:t>急救方法</w:t>
            </w:r>
          </w:p>
        </w:tc>
        <w:tc>
          <w:tcPr>
            <w:tcW w:w="3809" w:type="pct"/>
            <w:gridSpan w:val="9"/>
            <w:vAlign w:val="center"/>
          </w:tcPr>
          <w:p>
            <w:pPr>
              <w:rPr>
                <w:spacing w:val="10"/>
                <w:sz w:val="21"/>
              </w:rPr>
            </w:pPr>
            <w:r>
              <w:rPr>
                <w:sz w:val="21"/>
              </w:rPr>
              <w:t>皮肤接触：脱去污染的衣着，立即用大量流动清水彻底冲洗至少15分钟。就医。眼睛接触：立即翻开上下眼睑，用流动清水或生理盐水冲洗至少15分钟。就医。吸入：迅速脱离现场至空气新鲜处。保持呼吸道通畅。呼吸困难时给输氧。呼吸停止时，立即进行人工呼吸。就医。食入：误服者漱口，饮牛奶或蛋清。就医。</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322" w:hRule="atLeast"/>
          <w:jc w:val="center"/>
        </w:trPr>
        <w:tc>
          <w:tcPr>
            <w:tcW w:w="261" w:type="pct"/>
            <w:vMerge w:val="restart"/>
            <w:vAlign w:val="center"/>
          </w:tcPr>
          <w:p>
            <w:pPr>
              <w:jc w:val="center"/>
              <w:rPr>
                <w:spacing w:val="10"/>
                <w:sz w:val="21"/>
              </w:rPr>
            </w:pPr>
            <w:r>
              <w:rPr>
                <w:spacing w:val="10"/>
                <w:sz w:val="21"/>
              </w:rPr>
              <w:t>燃烧爆炸危险性</w:t>
            </w:r>
          </w:p>
        </w:tc>
        <w:tc>
          <w:tcPr>
            <w:tcW w:w="930" w:type="pct"/>
            <w:vAlign w:val="center"/>
          </w:tcPr>
          <w:p>
            <w:pPr>
              <w:jc w:val="center"/>
              <w:rPr>
                <w:spacing w:val="10"/>
                <w:sz w:val="21"/>
              </w:rPr>
            </w:pPr>
            <w:r>
              <w:rPr>
                <w:spacing w:val="10"/>
                <w:sz w:val="21"/>
              </w:rPr>
              <w:t>燃烧性</w:t>
            </w:r>
          </w:p>
        </w:tc>
        <w:tc>
          <w:tcPr>
            <w:tcW w:w="800" w:type="pct"/>
            <w:gridSpan w:val="2"/>
            <w:vAlign w:val="center"/>
          </w:tcPr>
          <w:p>
            <w:pPr>
              <w:jc w:val="center"/>
              <w:rPr>
                <w:spacing w:val="10"/>
                <w:sz w:val="21"/>
              </w:rPr>
            </w:pPr>
            <w:r>
              <w:rPr>
                <w:spacing w:val="10"/>
                <w:sz w:val="21"/>
              </w:rPr>
              <w:t>不燃</w:t>
            </w:r>
          </w:p>
        </w:tc>
        <w:tc>
          <w:tcPr>
            <w:tcW w:w="1471" w:type="pct"/>
            <w:gridSpan w:val="4"/>
            <w:vAlign w:val="center"/>
          </w:tcPr>
          <w:p>
            <w:pPr>
              <w:jc w:val="center"/>
              <w:rPr>
                <w:spacing w:val="10"/>
                <w:sz w:val="21"/>
              </w:rPr>
            </w:pPr>
            <w:r>
              <w:rPr>
                <w:spacing w:val="10"/>
                <w:sz w:val="21"/>
              </w:rPr>
              <w:t>燃烧分解物</w:t>
            </w:r>
          </w:p>
        </w:tc>
        <w:tc>
          <w:tcPr>
            <w:tcW w:w="1538" w:type="pct"/>
            <w:gridSpan w:val="3"/>
            <w:vAlign w:val="center"/>
          </w:tcPr>
          <w:p>
            <w:pPr>
              <w:jc w:val="center"/>
              <w:rPr>
                <w:spacing w:val="10"/>
                <w:sz w:val="21"/>
              </w:rPr>
            </w:pPr>
            <w:r>
              <w:rPr>
                <w:sz w:val="21"/>
              </w:rPr>
              <w:t>氯化氢</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65" w:hRule="atLeast"/>
          <w:jc w:val="center"/>
        </w:trPr>
        <w:tc>
          <w:tcPr>
            <w:tcW w:w="261" w:type="pct"/>
            <w:vMerge w:val="continue"/>
            <w:vAlign w:val="center"/>
          </w:tcPr>
          <w:p>
            <w:pPr>
              <w:widowControl/>
              <w:jc w:val="left"/>
              <w:rPr>
                <w:spacing w:val="10"/>
                <w:sz w:val="21"/>
              </w:rPr>
            </w:pPr>
          </w:p>
        </w:tc>
        <w:tc>
          <w:tcPr>
            <w:tcW w:w="930" w:type="pct"/>
            <w:vAlign w:val="center"/>
          </w:tcPr>
          <w:p>
            <w:pPr>
              <w:jc w:val="center"/>
              <w:rPr>
                <w:spacing w:val="10"/>
                <w:sz w:val="21"/>
              </w:rPr>
            </w:pPr>
            <w:r>
              <w:rPr>
                <w:spacing w:val="10"/>
                <w:sz w:val="21"/>
              </w:rPr>
              <w:t>闪点(</w:t>
            </w:r>
            <w:r>
              <w:rPr>
                <w:rFonts w:hint="eastAsia" w:ascii="宋体" w:hAnsi="宋体" w:cs="宋体"/>
                <w:spacing w:val="10"/>
                <w:sz w:val="21"/>
              </w:rPr>
              <w:t>℃</w:t>
            </w:r>
            <w:r>
              <w:rPr>
                <w:spacing w:val="10"/>
                <w:sz w:val="21"/>
              </w:rPr>
              <w:t>)</w:t>
            </w:r>
          </w:p>
        </w:tc>
        <w:tc>
          <w:tcPr>
            <w:tcW w:w="800" w:type="pct"/>
            <w:gridSpan w:val="2"/>
            <w:vAlign w:val="center"/>
          </w:tcPr>
          <w:p>
            <w:pPr>
              <w:jc w:val="center"/>
              <w:rPr>
                <w:spacing w:val="10"/>
                <w:sz w:val="21"/>
              </w:rPr>
            </w:pPr>
            <w:r>
              <w:rPr>
                <w:spacing w:val="10"/>
                <w:sz w:val="21"/>
              </w:rPr>
              <w:t>/</w:t>
            </w:r>
          </w:p>
        </w:tc>
        <w:tc>
          <w:tcPr>
            <w:tcW w:w="1471" w:type="pct"/>
            <w:gridSpan w:val="4"/>
            <w:vAlign w:val="center"/>
          </w:tcPr>
          <w:p>
            <w:pPr>
              <w:jc w:val="center"/>
              <w:rPr>
                <w:spacing w:val="10"/>
                <w:sz w:val="21"/>
              </w:rPr>
            </w:pPr>
            <w:r>
              <w:rPr>
                <w:spacing w:val="10"/>
                <w:sz w:val="21"/>
              </w:rPr>
              <w:t>爆炸上限（v%）</w:t>
            </w:r>
          </w:p>
        </w:tc>
        <w:tc>
          <w:tcPr>
            <w:tcW w:w="1538" w:type="pct"/>
            <w:gridSpan w:val="3"/>
            <w:vAlign w:val="center"/>
          </w:tcPr>
          <w:p>
            <w:pPr>
              <w:jc w:val="center"/>
              <w:rPr>
                <w:spacing w:val="10"/>
                <w:sz w:val="21"/>
              </w:rPr>
            </w:pPr>
            <w:r>
              <w:rPr>
                <w:spacing w:val="10"/>
                <w:sz w:val="21"/>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65" w:hRule="atLeast"/>
          <w:jc w:val="center"/>
        </w:trPr>
        <w:tc>
          <w:tcPr>
            <w:tcW w:w="261" w:type="pct"/>
            <w:vMerge w:val="continue"/>
            <w:vAlign w:val="center"/>
          </w:tcPr>
          <w:p>
            <w:pPr>
              <w:widowControl/>
              <w:jc w:val="left"/>
              <w:rPr>
                <w:spacing w:val="10"/>
                <w:sz w:val="21"/>
              </w:rPr>
            </w:pPr>
          </w:p>
        </w:tc>
        <w:tc>
          <w:tcPr>
            <w:tcW w:w="930" w:type="pct"/>
            <w:vAlign w:val="center"/>
          </w:tcPr>
          <w:p>
            <w:pPr>
              <w:jc w:val="center"/>
              <w:rPr>
                <w:spacing w:val="10"/>
                <w:sz w:val="21"/>
              </w:rPr>
            </w:pPr>
            <w:r>
              <w:rPr>
                <w:spacing w:val="10"/>
                <w:sz w:val="21"/>
              </w:rPr>
              <w:t>引燃温度(</w:t>
            </w:r>
            <w:r>
              <w:rPr>
                <w:rFonts w:hint="eastAsia" w:ascii="宋体" w:hAnsi="宋体" w:cs="宋体"/>
                <w:spacing w:val="10"/>
                <w:sz w:val="21"/>
              </w:rPr>
              <w:t>℃</w:t>
            </w:r>
            <w:r>
              <w:rPr>
                <w:spacing w:val="10"/>
                <w:sz w:val="21"/>
              </w:rPr>
              <w:t>)</w:t>
            </w:r>
          </w:p>
        </w:tc>
        <w:tc>
          <w:tcPr>
            <w:tcW w:w="800" w:type="pct"/>
            <w:gridSpan w:val="2"/>
            <w:vAlign w:val="center"/>
          </w:tcPr>
          <w:p>
            <w:pPr>
              <w:jc w:val="center"/>
              <w:rPr>
                <w:spacing w:val="10"/>
                <w:sz w:val="21"/>
              </w:rPr>
            </w:pPr>
            <w:r>
              <w:rPr>
                <w:spacing w:val="10"/>
                <w:sz w:val="21"/>
              </w:rPr>
              <w:t>/</w:t>
            </w:r>
          </w:p>
        </w:tc>
        <w:tc>
          <w:tcPr>
            <w:tcW w:w="1471" w:type="pct"/>
            <w:gridSpan w:val="4"/>
            <w:vAlign w:val="center"/>
          </w:tcPr>
          <w:p>
            <w:pPr>
              <w:jc w:val="center"/>
              <w:rPr>
                <w:spacing w:val="10"/>
                <w:sz w:val="21"/>
              </w:rPr>
            </w:pPr>
            <w:r>
              <w:rPr>
                <w:spacing w:val="10"/>
                <w:sz w:val="21"/>
              </w:rPr>
              <w:t>爆炸下限（v%）</w:t>
            </w:r>
          </w:p>
        </w:tc>
        <w:tc>
          <w:tcPr>
            <w:tcW w:w="1538" w:type="pct"/>
            <w:gridSpan w:val="3"/>
            <w:vAlign w:val="center"/>
          </w:tcPr>
          <w:p>
            <w:pPr>
              <w:jc w:val="center"/>
              <w:rPr>
                <w:spacing w:val="10"/>
                <w:sz w:val="21"/>
              </w:rPr>
            </w:pPr>
            <w:r>
              <w:rPr>
                <w:spacing w:val="10"/>
                <w:sz w:val="21"/>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61" w:type="pct"/>
            <w:vMerge w:val="continue"/>
            <w:vAlign w:val="center"/>
          </w:tcPr>
          <w:p>
            <w:pPr>
              <w:widowControl/>
              <w:jc w:val="left"/>
              <w:rPr>
                <w:spacing w:val="10"/>
                <w:sz w:val="21"/>
              </w:rPr>
            </w:pPr>
          </w:p>
        </w:tc>
        <w:tc>
          <w:tcPr>
            <w:tcW w:w="930" w:type="pct"/>
            <w:vAlign w:val="center"/>
          </w:tcPr>
          <w:p>
            <w:pPr>
              <w:jc w:val="center"/>
              <w:rPr>
                <w:sz w:val="21"/>
              </w:rPr>
            </w:pPr>
            <w:r>
              <w:rPr>
                <w:spacing w:val="10"/>
                <w:sz w:val="21"/>
              </w:rPr>
              <w:t>危险特性</w:t>
            </w:r>
          </w:p>
        </w:tc>
        <w:tc>
          <w:tcPr>
            <w:tcW w:w="3809" w:type="pct"/>
            <w:gridSpan w:val="9"/>
          </w:tcPr>
          <w:p>
            <w:pPr>
              <w:rPr>
                <w:sz w:val="21"/>
              </w:rPr>
            </w:pPr>
            <w:r>
              <w:rPr>
                <w:sz w:val="21"/>
              </w:rPr>
              <w:t>具有强氧化性。能与许多化学物质发生爆炸性反应。受热、震动、撞击、摩擦，相当敏感，极易分解发生爆炸。</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06" w:hRule="atLeast"/>
          <w:jc w:val="center"/>
        </w:trPr>
        <w:tc>
          <w:tcPr>
            <w:tcW w:w="261" w:type="pct"/>
            <w:vMerge w:val="continue"/>
            <w:vAlign w:val="center"/>
          </w:tcPr>
          <w:p>
            <w:pPr>
              <w:widowControl/>
              <w:jc w:val="left"/>
              <w:rPr>
                <w:spacing w:val="10"/>
                <w:sz w:val="21"/>
              </w:rPr>
            </w:pPr>
          </w:p>
        </w:tc>
        <w:tc>
          <w:tcPr>
            <w:tcW w:w="930" w:type="pct"/>
            <w:vAlign w:val="center"/>
          </w:tcPr>
          <w:p>
            <w:pPr>
              <w:jc w:val="center"/>
              <w:rPr>
                <w:sz w:val="21"/>
              </w:rPr>
            </w:pPr>
            <w:r>
              <w:rPr>
                <w:sz w:val="21"/>
              </w:rPr>
              <w:t>建规火险分级</w:t>
            </w:r>
          </w:p>
        </w:tc>
        <w:tc>
          <w:tcPr>
            <w:tcW w:w="800" w:type="pct"/>
            <w:gridSpan w:val="2"/>
            <w:vAlign w:val="center"/>
          </w:tcPr>
          <w:p>
            <w:pPr>
              <w:jc w:val="center"/>
              <w:rPr>
                <w:spacing w:val="10"/>
                <w:sz w:val="21"/>
              </w:rPr>
            </w:pPr>
            <w:r>
              <w:rPr>
                <w:spacing w:val="10"/>
                <w:sz w:val="21"/>
              </w:rPr>
              <w:t>/</w:t>
            </w:r>
          </w:p>
        </w:tc>
        <w:tc>
          <w:tcPr>
            <w:tcW w:w="771" w:type="pct"/>
            <w:vAlign w:val="center"/>
          </w:tcPr>
          <w:p>
            <w:pPr>
              <w:jc w:val="center"/>
              <w:rPr>
                <w:spacing w:val="10"/>
                <w:sz w:val="21"/>
              </w:rPr>
            </w:pPr>
            <w:r>
              <w:rPr>
                <w:spacing w:val="10"/>
                <w:sz w:val="21"/>
              </w:rPr>
              <w:t>稳定性</w:t>
            </w:r>
          </w:p>
        </w:tc>
        <w:tc>
          <w:tcPr>
            <w:tcW w:w="700" w:type="pct"/>
            <w:gridSpan w:val="3"/>
            <w:vAlign w:val="center"/>
          </w:tcPr>
          <w:p>
            <w:pPr>
              <w:jc w:val="center"/>
              <w:rPr>
                <w:spacing w:val="10"/>
                <w:sz w:val="21"/>
              </w:rPr>
            </w:pPr>
            <w:r>
              <w:rPr>
                <w:spacing w:val="10"/>
                <w:sz w:val="21"/>
              </w:rPr>
              <w:t>不稳定</w:t>
            </w:r>
          </w:p>
        </w:tc>
        <w:tc>
          <w:tcPr>
            <w:tcW w:w="793" w:type="pct"/>
            <w:vAlign w:val="center"/>
          </w:tcPr>
          <w:p>
            <w:pPr>
              <w:jc w:val="center"/>
              <w:rPr>
                <w:spacing w:val="10"/>
                <w:sz w:val="21"/>
              </w:rPr>
            </w:pPr>
            <w:r>
              <w:rPr>
                <w:spacing w:val="10"/>
                <w:sz w:val="21"/>
              </w:rPr>
              <w:t>聚合危害</w:t>
            </w:r>
          </w:p>
        </w:tc>
        <w:tc>
          <w:tcPr>
            <w:tcW w:w="746" w:type="pct"/>
            <w:gridSpan w:val="2"/>
            <w:vAlign w:val="center"/>
          </w:tcPr>
          <w:p>
            <w:pPr>
              <w:jc w:val="center"/>
              <w:rPr>
                <w:spacing w:val="10"/>
                <w:sz w:val="21"/>
              </w:rPr>
            </w:pPr>
            <w:r>
              <w:rPr>
                <w:spacing w:val="10"/>
                <w:sz w:val="21"/>
              </w:rPr>
              <w:t>不聚合</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22" w:hRule="atLeast"/>
          <w:jc w:val="center"/>
        </w:trPr>
        <w:tc>
          <w:tcPr>
            <w:tcW w:w="261" w:type="pct"/>
            <w:vMerge w:val="continue"/>
            <w:vAlign w:val="center"/>
          </w:tcPr>
          <w:p>
            <w:pPr>
              <w:widowControl/>
              <w:jc w:val="left"/>
              <w:rPr>
                <w:spacing w:val="10"/>
                <w:sz w:val="21"/>
              </w:rPr>
            </w:pPr>
          </w:p>
        </w:tc>
        <w:tc>
          <w:tcPr>
            <w:tcW w:w="930" w:type="pct"/>
            <w:vAlign w:val="center"/>
          </w:tcPr>
          <w:p>
            <w:pPr>
              <w:jc w:val="center"/>
              <w:rPr>
                <w:spacing w:val="10"/>
                <w:sz w:val="21"/>
              </w:rPr>
            </w:pPr>
            <w:r>
              <w:rPr>
                <w:spacing w:val="10"/>
                <w:sz w:val="21"/>
              </w:rPr>
              <w:t>泄漏处理</w:t>
            </w:r>
          </w:p>
        </w:tc>
        <w:tc>
          <w:tcPr>
            <w:tcW w:w="3809" w:type="pct"/>
            <w:gridSpan w:val="9"/>
            <w:vAlign w:val="center"/>
          </w:tcPr>
          <w:p>
            <w:pPr>
              <w:rPr>
                <w:spacing w:val="10"/>
                <w:sz w:val="21"/>
              </w:rPr>
            </w:pPr>
            <w:r>
              <w:rPr>
                <w:spacing w:val="10"/>
                <w:sz w:val="21"/>
              </w:rPr>
              <w:t>泄漏处理：</w:t>
            </w:r>
            <w:r>
              <w:rPr>
                <w:sz w:val="21"/>
              </w:rPr>
              <w:t>疏散泄漏污染区人员至上风处，并隔离直至气体散尽。应急处理人员戴正压自给式呼吸器，穿化学防护服。切断火源。铁使泄漏物与可燃物质(木材、纸、油等)接触，切断气源，喷洒雾状水稀释，抽排(室内)或强力通风(室外)。漏气容器不能再用，且要经过技术处理以清除可能剩下的气体。</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61" w:type="pct"/>
            <w:vMerge w:val="continue"/>
            <w:vAlign w:val="center"/>
          </w:tcPr>
          <w:p>
            <w:pPr>
              <w:widowControl/>
              <w:jc w:val="left"/>
              <w:rPr>
                <w:spacing w:val="10"/>
                <w:sz w:val="21"/>
              </w:rPr>
            </w:pPr>
          </w:p>
        </w:tc>
        <w:tc>
          <w:tcPr>
            <w:tcW w:w="930" w:type="pct"/>
            <w:vAlign w:val="center"/>
          </w:tcPr>
          <w:p>
            <w:pPr>
              <w:jc w:val="center"/>
              <w:rPr>
                <w:spacing w:val="10"/>
                <w:sz w:val="21"/>
              </w:rPr>
            </w:pPr>
            <w:r>
              <w:rPr>
                <w:spacing w:val="10"/>
                <w:sz w:val="21"/>
              </w:rPr>
              <w:t>灭火方法</w:t>
            </w:r>
          </w:p>
        </w:tc>
        <w:tc>
          <w:tcPr>
            <w:tcW w:w="3809" w:type="pct"/>
            <w:gridSpan w:val="9"/>
            <w:vAlign w:val="center"/>
          </w:tcPr>
          <w:p>
            <w:pPr>
              <w:ind w:firstLine="420" w:firstLineChars="200"/>
              <w:rPr>
                <w:sz w:val="21"/>
              </w:rPr>
            </w:pPr>
            <w:r>
              <w:rPr>
                <w:sz w:val="21"/>
              </w:rPr>
              <w:t>切断气源。喷水冷却容器，可能的话将容器从火场移至空旷处。</w:t>
            </w:r>
          </w:p>
        </w:tc>
      </w:tr>
    </w:tbl>
    <w:p>
      <w:pPr>
        <w:pStyle w:val="14"/>
        <w:spacing w:line="240" w:lineRule="auto"/>
      </w:pPr>
      <w:r>
        <w:rPr>
          <w:rFonts w:hint="eastAsia"/>
        </w:rPr>
        <w:t>表</w:t>
      </w:r>
      <w:r>
        <w:fldChar w:fldCharType="begin"/>
      </w:r>
      <w:r>
        <w:instrText xml:space="preserve"> STYLEREF 2 \s </w:instrText>
      </w:r>
      <w:r>
        <w:fldChar w:fldCharType="separate"/>
      </w:r>
      <w:r>
        <w:t>7.5</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5</w:t>
      </w:r>
      <w:r>
        <w:fldChar w:fldCharType="end"/>
      </w:r>
      <w:r>
        <w:rPr>
          <w:rFonts w:hint="eastAsia"/>
        </w:rPr>
        <w:t xml:space="preserve">  氧气</w:t>
      </w:r>
      <w:r>
        <w:t>的理化性质及危险特性</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3"/>
        <w:gridCol w:w="7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903" w:type="pct"/>
            <w:vAlign w:val="center"/>
          </w:tcPr>
          <w:p>
            <w:pPr>
              <w:jc w:val="center"/>
              <w:rPr>
                <w:rFonts w:eastAsia="宋体" w:cs="Times New Roman"/>
                <w:sz w:val="21"/>
              </w:rPr>
            </w:pPr>
            <w:r>
              <w:rPr>
                <w:rFonts w:hint="eastAsia" w:eastAsia="宋体" w:cs="Times New Roman"/>
                <w:sz w:val="21"/>
              </w:rPr>
              <w:t>标识</w:t>
            </w:r>
          </w:p>
        </w:tc>
        <w:tc>
          <w:tcPr>
            <w:tcW w:w="4097" w:type="pct"/>
          </w:tcPr>
          <w:p>
            <w:pPr>
              <w:rPr>
                <w:rFonts w:eastAsia="宋体" w:cs="Times New Roman"/>
                <w:sz w:val="21"/>
              </w:rPr>
            </w:pPr>
            <w:r>
              <w:rPr>
                <w:rFonts w:hint="eastAsia" w:eastAsia="宋体" w:cs="Times New Roman"/>
                <w:sz w:val="21"/>
              </w:rPr>
              <w:t>名称：氧、氧气（oxygen）分子量：32.00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903" w:type="pct"/>
            <w:vAlign w:val="center"/>
          </w:tcPr>
          <w:p>
            <w:pPr>
              <w:jc w:val="center"/>
              <w:rPr>
                <w:rFonts w:eastAsia="宋体" w:cs="Times New Roman"/>
                <w:sz w:val="21"/>
              </w:rPr>
            </w:pPr>
            <w:r>
              <w:rPr>
                <w:rFonts w:hint="eastAsia" w:eastAsia="宋体" w:cs="Times New Roman"/>
                <w:sz w:val="21"/>
              </w:rPr>
              <w:t>理化性状</w:t>
            </w:r>
          </w:p>
        </w:tc>
        <w:tc>
          <w:tcPr>
            <w:tcW w:w="4097" w:type="pct"/>
          </w:tcPr>
          <w:p>
            <w:pPr>
              <w:rPr>
                <w:rFonts w:eastAsia="宋体" w:cs="Times New Roman"/>
                <w:sz w:val="21"/>
              </w:rPr>
            </w:pPr>
            <w:r>
              <w:rPr>
                <w:rFonts w:hint="eastAsia" w:eastAsia="宋体" w:cs="Times New Roman"/>
                <w:sz w:val="21"/>
              </w:rPr>
              <w:t xml:space="preserve">无色无臭气体。 </w:t>
            </w:r>
          </w:p>
          <w:p>
            <w:pPr>
              <w:rPr>
                <w:rFonts w:eastAsia="宋体" w:cs="Times New Roman"/>
                <w:sz w:val="21"/>
              </w:rPr>
            </w:pPr>
            <w:r>
              <w:rPr>
                <w:rFonts w:hint="eastAsia" w:eastAsia="宋体" w:cs="Times New Roman"/>
                <w:sz w:val="21"/>
              </w:rPr>
              <w:t xml:space="preserve">理化性状：相对蒸气密度(空气=1)：1.43、相对密度（水＝l）：1.14(-183℃) 、   </w:t>
            </w:r>
          </w:p>
          <w:p>
            <w:pPr>
              <w:rPr>
                <w:rFonts w:eastAsia="宋体" w:cs="Times New Roman"/>
                <w:sz w:val="21"/>
              </w:rPr>
            </w:pPr>
            <w:r>
              <w:rPr>
                <w:rFonts w:hint="eastAsia" w:eastAsia="宋体" w:cs="Times New Roman"/>
                <w:sz w:val="21"/>
              </w:rPr>
              <w:t>饱和蒸汽压（kpa）：506.62(-164℃) 、熔点：-218.8℃沸点：-183.1℃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903" w:type="pct"/>
            <w:vAlign w:val="center"/>
          </w:tcPr>
          <w:p>
            <w:pPr>
              <w:jc w:val="center"/>
              <w:rPr>
                <w:rFonts w:eastAsia="宋体" w:cs="Times New Roman"/>
                <w:sz w:val="21"/>
              </w:rPr>
            </w:pPr>
            <w:r>
              <w:rPr>
                <w:rFonts w:hint="eastAsia" w:eastAsia="宋体" w:cs="Times New Roman"/>
                <w:sz w:val="21"/>
              </w:rPr>
              <w:t>爆炸特性</w:t>
            </w:r>
          </w:p>
          <w:p>
            <w:pPr>
              <w:jc w:val="center"/>
              <w:rPr>
                <w:rFonts w:eastAsia="宋体" w:cs="Times New Roman"/>
                <w:sz w:val="21"/>
              </w:rPr>
            </w:pPr>
            <w:r>
              <w:rPr>
                <w:rFonts w:hint="eastAsia" w:eastAsia="宋体" w:cs="Times New Roman"/>
                <w:sz w:val="21"/>
              </w:rPr>
              <w:t>与消防</w:t>
            </w:r>
          </w:p>
        </w:tc>
        <w:tc>
          <w:tcPr>
            <w:tcW w:w="4097" w:type="pct"/>
          </w:tcPr>
          <w:p>
            <w:pPr>
              <w:rPr>
                <w:rFonts w:eastAsia="宋体" w:cs="Times New Roman"/>
                <w:sz w:val="21"/>
              </w:rPr>
            </w:pPr>
            <w:r>
              <w:rPr>
                <w:rFonts w:hint="eastAsia" w:eastAsia="宋体" w:cs="Times New Roman"/>
                <w:sz w:val="21"/>
              </w:rPr>
              <w:t>危险特性：是易燃物、可燃物燃烧爆炸的基本要素之一,  能氧化大多数活性物质。与易燃物（如乙炔、甲烷等）形成有爆炸性的混合物。 灭火方法：用水保持容器冷却，以防受热爆炸，急剧助长火势。迅速切断气源，用水喷淋保护切断气源的人员，然后根据着火原因选择适当灭火剂灭火。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903" w:type="pct"/>
            <w:vAlign w:val="center"/>
          </w:tcPr>
          <w:p>
            <w:pPr>
              <w:jc w:val="center"/>
              <w:rPr>
                <w:rFonts w:eastAsia="宋体" w:cs="Times New Roman"/>
                <w:sz w:val="21"/>
              </w:rPr>
            </w:pPr>
            <w:r>
              <w:rPr>
                <w:rFonts w:hint="eastAsia" w:eastAsia="宋体" w:cs="Times New Roman"/>
                <w:sz w:val="21"/>
              </w:rPr>
              <w:t>健康危害</w:t>
            </w:r>
          </w:p>
        </w:tc>
        <w:tc>
          <w:tcPr>
            <w:tcW w:w="4097" w:type="pct"/>
          </w:tcPr>
          <w:p>
            <w:pPr>
              <w:rPr>
                <w:rFonts w:eastAsia="宋体" w:cs="Times New Roman"/>
                <w:sz w:val="21"/>
              </w:rPr>
            </w:pPr>
            <w:r>
              <w:rPr>
                <w:rFonts w:hint="eastAsia" w:eastAsia="宋体" w:cs="Times New Roman"/>
                <w:sz w:val="21"/>
              </w:rPr>
              <w:t>常压下，当氧的浓度超过40％时，有可能发生氧中毒。吸入40％～60％的氧时，出现胸骨后不适感、轻咳，进而胸闷、胸骨后烧灼感和呼吸困难，咳嗽加剧；严重时可发生肺水肿，甚至出现呼吸窘迫综合征。吸入氧浓度在80％以上时，出现面部肌肉抽动、面色苍白、眩晕、心动过速、虚脱，继而全身强直性抽搐、昏迷、呼吸衰竭而死亡。长期处于氧分压为60～100kPa(相当于吸入氧浓度40％左右)的条件下可发生眼损害，严重者可失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903" w:type="pct"/>
            <w:vAlign w:val="center"/>
          </w:tcPr>
          <w:p>
            <w:pPr>
              <w:jc w:val="center"/>
              <w:rPr>
                <w:rFonts w:eastAsia="宋体" w:cs="Times New Roman"/>
                <w:sz w:val="21"/>
              </w:rPr>
            </w:pPr>
            <w:r>
              <w:rPr>
                <w:rFonts w:hint="eastAsia" w:eastAsia="宋体" w:cs="Times New Roman"/>
                <w:sz w:val="21"/>
              </w:rPr>
              <w:t>环境危害</w:t>
            </w:r>
          </w:p>
        </w:tc>
        <w:tc>
          <w:tcPr>
            <w:tcW w:w="4097" w:type="pct"/>
          </w:tcPr>
          <w:p>
            <w:pPr>
              <w:rPr>
                <w:rFonts w:eastAsia="宋体" w:cs="Times New Roman"/>
                <w:sz w:val="21"/>
              </w:rPr>
            </w:pPr>
            <w:r>
              <w:rPr>
                <w:rFonts w:hint="eastAsia" w:eastAsia="宋体" w:cs="Times New Roman"/>
                <w:sz w:val="21"/>
              </w:rPr>
              <w:t>对环境无害。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903" w:type="pct"/>
            <w:vAlign w:val="center"/>
          </w:tcPr>
          <w:p>
            <w:pPr>
              <w:jc w:val="center"/>
              <w:rPr>
                <w:rFonts w:eastAsia="宋体" w:cs="Times New Roman"/>
                <w:sz w:val="21"/>
              </w:rPr>
            </w:pPr>
            <w:r>
              <w:rPr>
                <w:rFonts w:hint="eastAsia" w:eastAsia="宋体" w:cs="Times New Roman"/>
                <w:sz w:val="21"/>
              </w:rPr>
              <w:t>急救措施</w:t>
            </w:r>
          </w:p>
        </w:tc>
        <w:tc>
          <w:tcPr>
            <w:tcW w:w="4097" w:type="pct"/>
          </w:tcPr>
          <w:p>
            <w:pPr>
              <w:rPr>
                <w:rFonts w:eastAsia="宋体" w:cs="Times New Roman"/>
                <w:sz w:val="21"/>
              </w:rPr>
            </w:pPr>
            <w:r>
              <w:rPr>
                <w:rFonts w:hint="eastAsia" w:eastAsia="宋体" w:cs="Times New Roman"/>
                <w:sz w:val="21"/>
              </w:rPr>
              <w:t>吸入：迅速脱离现场至空气新鲜处。保持呼吸道通畅。如呼吸停止，立即进行人工呼吸。就医。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903" w:type="pct"/>
            <w:vAlign w:val="center"/>
          </w:tcPr>
          <w:p>
            <w:pPr>
              <w:jc w:val="center"/>
              <w:rPr>
                <w:rFonts w:eastAsia="宋体" w:cs="Times New Roman"/>
                <w:sz w:val="21"/>
              </w:rPr>
            </w:pPr>
            <w:r>
              <w:rPr>
                <w:rFonts w:hint="eastAsia" w:eastAsia="宋体" w:cs="Times New Roman"/>
                <w:sz w:val="21"/>
              </w:rPr>
              <w:t>泄漏应急处理</w:t>
            </w:r>
          </w:p>
        </w:tc>
        <w:tc>
          <w:tcPr>
            <w:tcW w:w="4097" w:type="pct"/>
          </w:tcPr>
          <w:p>
            <w:pPr>
              <w:rPr>
                <w:rFonts w:eastAsia="宋体" w:cs="Times New Roman"/>
                <w:sz w:val="21"/>
              </w:rPr>
            </w:pPr>
            <w:r>
              <w:rPr>
                <w:rFonts w:hint="eastAsia" w:eastAsia="宋体" w:cs="Times New Roman"/>
                <w:sz w:val="21"/>
              </w:rPr>
              <w:t>迅速撤离泄漏污染区人员至上风处，并进行隔离，严格限制出入。切断火源。建议应急处理人员戴自给正压式呼吸器，穿一般作业工作服。避免与可燃物或易燃物接触。尽可能切断泄漏源。合理通风，加速扩散。漏气容器要妥善处理，修复、检验后再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903" w:type="pct"/>
            <w:vAlign w:val="center"/>
          </w:tcPr>
          <w:p>
            <w:pPr>
              <w:jc w:val="center"/>
              <w:rPr>
                <w:rFonts w:eastAsia="宋体" w:cs="Times New Roman"/>
                <w:sz w:val="21"/>
              </w:rPr>
            </w:pPr>
            <w:r>
              <w:rPr>
                <w:rFonts w:hint="eastAsia" w:eastAsia="宋体" w:cs="Times New Roman"/>
                <w:sz w:val="21"/>
              </w:rPr>
              <w:t>储运注意事项</w:t>
            </w:r>
          </w:p>
        </w:tc>
        <w:tc>
          <w:tcPr>
            <w:tcW w:w="4097" w:type="pct"/>
          </w:tcPr>
          <w:p>
            <w:pPr>
              <w:rPr>
                <w:rFonts w:eastAsia="宋体" w:cs="Times New Roman"/>
                <w:sz w:val="21"/>
              </w:rPr>
            </w:pPr>
            <w:r>
              <w:rPr>
                <w:rFonts w:hint="eastAsia" w:eastAsia="宋体" w:cs="Times New Roman"/>
                <w:sz w:val="21"/>
              </w:rPr>
              <w:t xml:space="preserve">储存于阴凉、通风的库房。远离火种、热源。库温不宜超过30℃。应与易（可）燃物、活性金属粉末等分开存放，切忌混储。储区应备有泄漏应急处理设备。 </w:t>
            </w:r>
          </w:p>
          <w:p>
            <w:pPr>
              <w:rPr>
                <w:rFonts w:eastAsia="宋体" w:cs="Times New Roman"/>
                <w:sz w:val="21"/>
              </w:rPr>
            </w:pPr>
            <w:r>
              <w:rPr>
                <w:rFonts w:hint="eastAsia" w:eastAsia="宋体" w:cs="Times New Roman"/>
                <w:sz w:val="21"/>
              </w:rPr>
              <w:t>氧气钢瓶不得沾污油脂。采用刚瓶运输时必须戴好钢瓶上的安全帽。钢瓶一般平放，并应将瓶口朝同一方向，不可交叉；高度不得超过车辆的防护栏板，并用三角木垫卡牢，防止滚动。严禁与易燃物或可燃物、活性金属粉末等混装混运。夏季应早晚运输，防止日光曝晒。铁路运输时要禁止溜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903" w:type="pct"/>
            <w:vAlign w:val="center"/>
          </w:tcPr>
          <w:p>
            <w:pPr>
              <w:jc w:val="center"/>
              <w:rPr>
                <w:rFonts w:eastAsia="宋体" w:cs="Times New Roman"/>
                <w:sz w:val="21"/>
              </w:rPr>
            </w:pPr>
            <w:r>
              <w:rPr>
                <w:rFonts w:hint="eastAsia" w:eastAsia="宋体" w:cs="Times New Roman"/>
                <w:sz w:val="21"/>
              </w:rPr>
              <w:t>防护措施</w:t>
            </w:r>
          </w:p>
        </w:tc>
        <w:tc>
          <w:tcPr>
            <w:tcW w:w="4097" w:type="pct"/>
          </w:tcPr>
          <w:p>
            <w:pPr>
              <w:rPr>
                <w:rFonts w:eastAsia="宋体" w:cs="Times New Roman"/>
                <w:sz w:val="21"/>
              </w:rPr>
            </w:pPr>
            <w:r>
              <w:rPr>
                <w:rFonts w:hint="eastAsia" w:eastAsia="宋体" w:cs="Times New Roman"/>
                <w:sz w:val="21"/>
              </w:rPr>
              <w:t>工程控制：密闭操作。提供良好的自然通风条件。 呼吸防护：一般不需特殊防护。 眼睛防护：一般不需特殊防护。 身体防护：穿一般作业防护服。 手防护：戴一般作业防护手套。 其它防护：避免高浓度吸入。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903" w:type="pct"/>
            <w:vAlign w:val="center"/>
          </w:tcPr>
          <w:p>
            <w:pPr>
              <w:jc w:val="center"/>
              <w:rPr>
                <w:rFonts w:eastAsia="宋体" w:cs="Times New Roman"/>
                <w:sz w:val="21"/>
              </w:rPr>
            </w:pPr>
            <w:r>
              <w:rPr>
                <w:rFonts w:hint="eastAsia" w:eastAsia="宋体" w:cs="Times New Roman"/>
                <w:sz w:val="21"/>
              </w:rPr>
              <w:t>稳定性和</w:t>
            </w:r>
          </w:p>
          <w:p>
            <w:pPr>
              <w:jc w:val="center"/>
              <w:rPr>
                <w:rFonts w:eastAsia="宋体" w:cs="Times New Roman"/>
                <w:sz w:val="21"/>
              </w:rPr>
            </w:pPr>
            <w:r>
              <w:rPr>
                <w:rFonts w:hint="eastAsia" w:eastAsia="宋体" w:cs="Times New Roman"/>
                <w:sz w:val="21"/>
              </w:rPr>
              <w:t>反应活性</w:t>
            </w:r>
          </w:p>
        </w:tc>
        <w:tc>
          <w:tcPr>
            <w:tcW w:w="4097" w:type="pct"/>
            <w:vAlign w:val="center"/>
          </w:tcPr>
          <w:p>
            <w:pPr>
              <w:jc w:val="center"/>
              <w:rPr>
                <w:rFonts w:eastAsia="宋体" w:cs="Times New Roman"/>
                <w:sz w:val="21"/>
              </w:rPr>
            </w:pPr>
            <w:r>
              <w:rPr>
                <w:rFonts w:hint="eastAsia" w:eastAsia="宋体" w:cs="Times New Roman"/>
                <w:sz w:val="21"/>
              </w:rPr>
              <w:t>禁忌物：易燃或可燃物、活性金属粉末、乙炔。</w:t>
            </w:r>
          </w:p>
        </w:tc>
      </w:tr>
    </w:tbl>
    <w:p>
      <w:pPr>
        <w:jc w:val="center"/>
        <w:rPr>
          <w:b/>
        </w:rPr>
      </w:pPr>
      <w:r>
        <w:rPr>
          <w:b/>
        </w:rPr>
        <w:t>表</w:t>
      </w:r>
      <w:r>
        <w:rPr>
          <w:b/>
        </w:rPr>
        <w:fldChar w:fldCharType="begin"/>
      </w:r>
      <w:r>
        <w:rPr>
          <w:b/>
        </w:rPr>
        <w:instrText xml:space="preserve"> STYLEREF 2 \s </w:instrText>
      </w:r>
      <w:r>
        <w:rPr>
          <w:b/>
        </w:rPr>
        <w:fldChar w:fldCharType="separate"/>
      </w:r>
      <w:r>
        <w:rPr>
          <w:b/>
        </w:rPr>
        <w:t>7.5</w:t>
      </w:r>
      <w:r>
        <w:rPr>
          <w:b/>
        </w:rPr>
        <w:fldChar w:fldCharType="end"/>
      </w:r>
      <w:r>
        <w:rPr>
          <w:b/>
        </w:rPr>
        <w:noBreakHyphen/>
      </w:r>
      <w:r>
        <w:rPr>
          <w:b/>
        </w:rPr>
        <w:fldChar w:fldCharType="begin"/>
      </w:r>
      <w:r>
        <w:rPr>
          <w:b/>
        </w:rPr>
        <w:instrText xml:space="preserve"> SEQ 表 \* ARABIC \s 2 </w:instrText>
      </w:r>
      <w:r>
        <w:rPr>
          <w:b/>
        </w:rPr>
        <w:fldChar w:fldCharType="separate"/>
      </w:r>
      <w:r>
        <w:rPr>
          <w:b/>
        </w:rPr>
        <w:t>6</w:t>
      </w:r>
      <w:r>
        <w:rPr>
          <w:b/>
        </w:rPr>
        <w:fldChar w:fldCharType="end"/>
      </w:r>
      <w:r>
        <w:rPr>
          <w:rFonts w:hint="eastAsia"/>
          <w:b/>
        </w:rPr>
        <w:t xml:space="preserve"> </w:t>
      </w:r>
      <w:r>
        <w:rPr>
          <w:rFonts w:ascii="宋体" w:hAnsi="宋体" w:eastAsia="宋体"/>
          <w:b/>
          <w:kern w:val="0"/>
          <w:szCs w:val="24"/>
        </w:rPr>
        <w:t>氨气</w:t>
      </w:r>
      <w:r>
        <w:rPr>
          <w:b/>
        </w:rPr>
        <w:t>的理化性质及危险特性</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0"/>
        <w:gridCol w:w="2802"/>
        <w:gridCol w:w="19"/>
        <w:gridCol w:w="1475"/>
        <w:gridCol w:w="4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679" w:type="pct"/>
            <w:vAlign w:val="center"/>
          </w:tcPr>
          <w:p>
            <w:pPr>
              <w:jc w:val="center"/>
              <w:rPr>
                <w:rFonts w:eastAsia="宋体"/>
                <w:bCs/>
                <w:color w:val="000000"/>
                <w:kern w:val="0"/>
                <w:sz w:val="21"/>
              </w:rPr>
            </w:pPr>
            <w:r>
              <w:rPr>
                <w:rFonts w:eastAsia="宋体"/>
                <w:bCs/>
                <w:color w:val="000000"/>
                <w:kern w:val="0"/>
                <w:sz w:val="21"/>
              </w:rPr>
              <w:t>国标编号</w:t>
            </w:r>
          </w:p>
        </w:tc>
        <w:tc>
          <w:tcPr>
            <w:tcW w:w="4321" w:type="pct"/>
            <w:gridSpan w:val="4"/>
            <w:vAlign w:val="center"/>
          </w:tcPr>
          <w:p>
            <w:pPr>
              <w:jc w:val="center"/>
              <w:rPr>
                <w:rFonts w:eastAsia="宋体"/>
                <w:bCs/>
                <w:kern w:val="0"/>
                <w:sz w:val="21"/>
              </w:rPr>
            </w:pPr>
            <w:r>
              <w:rPr>
                <w:rFonts w:eastAsia="宋体"/>
                <w:bCs/>
                <w:kern w:val="0"/>
                <w:sz w:val="21"/>
              </w:rPr>
              <w:t>23003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679" w:type="pct"/>
            <w:vAlign w:val="center"/>
          </w:tcPr>
          <w:p>
            <w:pPr>
              <w:jc w:val="center"/>
              <w:rPr>
                <w:rFonts w:eastAsia="宋体"/>
                <w:bCs/>
                <w:color w:val="000000"/>
                <w:kern w:val="0"/>
                <w:sz w:val="21"/>
              </w:rPr>
            </w:pPr>
            <w:r>
              <w:rPr>
                <w:rFonts w:eastAsia="宋体"/>
                <w:bCs/>
                <w:color w:val="000000"/>
                <w:kern w:val="0"/>
                <w:sz w:val="21"/>
              </w:rPr>
              <w:t>CAS</w:t>
            </w:r>
            <w:r>
              <w:rPr>
                <w:rFonts w:ascii="宋体" w:hAnsi="宋体" w:eastAsia="宋体"/>
                <w:bCs/>
                <w:color w:val="000000"/>
                <w:kern w:val="0"/>
                <w:sz w:val="21"/>
              </w:rPr>
              <w:t>号</w:t>
            </w:r>
          </w:p>
        </w:tc>
        <w:tc>
          <w:tcPr>
            <w:tcW w:w="4321" w:type="pct"/>
            <w:gridSpan w:val="4"/>
            <w:vAlign w:val="center"/>
          </w:tcPr>
          <w:p>
            <w:pPr>
              <w:jc w:val="center"/>
              <w:rPr>
                <w:rFonts w:eastAsia="宋体"/>
                <w:bCs/>
                <w:kern w:val="0"/>
                <w:sz w:val="21"/>
              </w:rPr>
            </w:pPr>
            <w:r>
              <w:rPr>
                <w:rFonts w:eastAsia="宋体"/>
                <w:bCs/>
                <w:kern w:val="0"/>
                <w:sz w:val="21"/>
              </w:rPr>
              <w:t>7664-41-7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679" w:type="pct"/>
            <w:vAlign w:val="center"/>
          </w:tcPr>
          <w:p>
            <w:pPr>
              <w:jc w:val="center"/>
              <w:rPr>
                <w:rFonts w:eastAsia="宋体"/>
                <w:bCs/>
                <w:kern w:val="0"/>
                <w:sz w:val="21"/>
              </w:rPr>
            </w:pPr>
            <w:r>
              <w:rPr>
                <w:rFonts w:eastAsia="宋体"/>
                <w:bCs/>
                <w:kern w:val="0"/>
                <w:sz w:val="21"/>
              </w:rPr>
              <w:t>中文名称</w:t>
            </w:r>
          </w:p>
        </w:tc>
        <w:tc>
          <w:tcPr>
            <w:tcW w:w="1452" w:type="pct"/>
            <w:vAlign w:val="center"/>
          </w:tcPr>
          <w:p>
            <w:pPr>
              <w:jc w:val="center"/>
              <w:rPr>
                <w:rFonts w:eastAsia="宋体"/>
                <w:bCs/>
                <w:kern w:val="0"/>
                <w:sz w:val="21"/>
              </w:rPr>
            </w:pPr>
            <w:r>
              <w:rPr>
                <w:rFonts w:eastAsia="宋体"/>
                <w:bCs/>
                <w:kern w:val="0"/>
                <w:sz w:val="21"/>
              </w:rPr>
              <w:t>氨</w:t>
            </w:r>
          </w:p>
        </w:tc>
        <w:tc>
          <w:tcPr>
            <w:tcW w:w="774" w:type="pct"/>
            <w:gridSpan w:val="2"/>
            <w:vAlign w:val="center"/>
          </w:tcPr>
          <w:p>
            <w:pPr>
              <w:jc w:val="center"/>
              <w:rPr>
                <w:rFonts w:eastAsia="宋体"/>
                <w:bCs/>
                <w:kern w:val="0"/>
                <w:sz w:val="21"/>
              </w:rPr>
            </w:pPr>
            <w:r>
              <w:rPr>
                <w:rFonts w:eastAsia="宋体"/>
                <w:bCs/>
                <w:kern w:val="0"/>
                <w:sz w:val="21"/>
              </w:rPr>
              <w:t>英文名称</w:t>
            </w:r>
          </w:p>
        </w:tc>
        <w:tc>
          <w:tcPr>
            <w:tcW w:w="2095" w:type="pct"/>
            <w:vAlign w:val="center"/>
          </w:tcPr>
          <w:p>
            <w:pPr>
              <w:jc w:val="center"/>
              <w:rPr>
                <w:rFonts w:eastAsia="宋体"/>
                <w:bCs/>
                <w:kern w:val="0"/>
                <w:sz w:val="21"/>
              </w:rPr>
            </w:pPr>
            <w:r>
              <w:rPr>
                <w:rFonts w:eastAsia="宋体"/>
                <w:bCs/>
                <w:kern w:val="0"/>
                <w:sz w:val="21"/>
              </w:rPr>
              <w:t>ammonia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679" w:type="pct"/>
            <w:vAlign w:val="center"/>
          </w:tcPr>
          <w:p>
            <w:pPr>
              <w:jc w:val="center"/>
              <w:rPr>
                <w:rFonts w:eastAsia="宋体"/>
                <w:bCs/>
                <w:kern w:val="0"/>
                <w:sz w:val="21"/>
              </w:rPr>
            </w:pPr>
            <w:r>
              <w:rPr>
                <w:rFonts w:eastAsia="宋体"/>
                <w:bCs/>
                <w:kern w:val="0"/>
                <w:sz w:val="21"/>
              </w:rPr>
              <w:t>别 名</w:t>
            </w:r>
          </w:p>
        </w:tc>
        <w:tc>
          <w:tcPr>
            <w:tcW w:w="4321" w:type="pct"/>
            <w:gridSpan w:val="4"/>
            <w:vAlign w:val="center"/>
          </w:tcPr>
          <w:p>
            <w:pPr>
              <w:jc w:val="center"/>
              <w:rPr>
                <w:rFonts w:eastAsia="宋体"/>
                <w:bCs/>
                <w:kern w:val="0"/>
                <w:sz w:val="21"/>
              </w:rPr>
            </w:pPr>
            <w:r>
              <w:rPr>
                <w:rFonts w:eastAsia="宋体"/>
                <w:bCs/>
                <w:kern w:val="0"/>
                <w:sz w:val="21"/>
              </w:rPr>
              <w:t>氨气(</w:t>
            </w:r>
            <w:r>
              <w:rPr>
                <w:rFonts w:ascii="宋体" w:hAnsi="宋体" w:eastAsia="宋体"/>
                <w:bCs/>
                <w:kern w:val="0"/>
                <w:sz w:val="21"/>
              </w:rPr>
              <w:t>液氨</w:t>
            </w:r>
            <w:r>
              <w:rPr>
                <w:rFonts w:eastAsia="宋体"/>
                <w:bCs/>
                <w:kern w:val="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679" w:type="pct"/>
            <w:vAlign w:val="center"/>
          </w:tcPr>
          <w:p>
            <w:pPr>
              <w:jc w:val="center"/>
              <w:rPr>
                <w:rFonts w:eastAsia="宋体"/>
                <w:bCs/>
                <w:kern w:val="0"/>
                <w:sz w:val="21"/>
              </w:rPr>
            </w:pPr>
            <w:r>
              <w:rPr>
                <w:rFonts w:eastAsia="宋体"/>
                <w:bCs/>
                <w:kern w:val="0"/>
                <w:sz w:val="21"/>
              </w:rPr>
              <w:t>分子式</w:t>
            </w:r>
          </w:p>
        </w:tc>
        <w:tc>
          <w:tcPr>
            <w:tcW w:w="1462" w:type="pct"/>
            <w:gridSpan w:val="2"/>
            <w:vAlign w:val="center"/>
          </w:tcPr>
          <w:p>
            <w:pPr>
              <w:jc w:val="center"/>
              <w:rPr>
                <w:rFonts w:eastAsia="宋体"/>
                <w:bCs/>
                <w:kern w:val="0"/>
                <w:sz w:val="21"/>
              </w:rPr>
            </w:pPr>
            <w:r>
              <w:rPr>
                <w:rFonts w:eastAsia="宋体"/>
                <w:bCs/>
                <w:kern w:val="0"/>
                <w:sz w:val="21"/>
              </w:rPr>
              <w:t>NH</w:t>
            </w:r>
            <w:r>
              <w:rPr>
                <w:rFonts w:eastAsia="宋体"/>
                <w:bCs/>
                <w:kern w:val="0"/>
                <w:sz w:val="21"/>
                <w:vertAlign w:val="subscript"/>
              </w:rPr>
              <w:t>3</w:t>
            </w:r>
          </w:p>
        </w:tc>
        <w:tc>
          <w:tcPr>
            <w:tcW w:w="764" w:type="pct"/>
            <w:vAlign w:val="center"/>
          </w:tcPr>
          <w:p>
            <w:pPr>
              <w:jc w:val="center"/>
              <w:rPr>
                <w:rFonts w:eastAsia="宋体"/>
                <w:bCs/>
                <w:kern w:val="0"/>
                <w:sz w:val="21"/>
              </w:rPr>
            </w:pPr>
            <w:r>
              <w:rPr>
                <w:rFonts w:eastAsia="宋体"/>
                <w:bCs/>
                <w:kern w:val="0"/>
                <w:sz w:val="21"/>
              </w:rPr>
              <w:t>外观与</w:t>
            </w:r>
          </w:p>
          <w:p>
            <w:pPr>
              <w:jc w:val="center"/>
              <w:rPr>
                <w:rFonts w:eastAsia="宋体"/>
                <w:bCs/>
                <w:kern w:val="0"/>
                <w:sz w:val="21"/>
              </w:rPr>
            </w:pPr>
            <w:r>
              <w:rPr>
                <w:rFonts w:eastAsia="宋体"/>
                <w:bCs/>
                <w:kern w:val="0"/>
                <w:sz w:val="21"/>
              </w:rPr>
              <w:t>性状</w:t>
            </w:r>
          </w:p>
        </w:tc>
        <w:tc>
          <w:tcPr>
            <w:tcW w:w="2095" w:type="pct"/>
            <w:vAlign w:val="center"/>
          </w:tcPr>
          <w:p>
            <w:pPr>
              <w:jc w:val="center"/>
              <w:rPr>
                <w:rFonts w:eastAsia="宋体"/>
                <w:bCs/>
                <w:kern w:val="0"/>
                <w:sz w:val="21"/>
              </w:rPr>
            </w:pPr>
            <w:r>
              <w:rPr>
                <w:rFonts w:eastAsia="宋体"/>
                <w:bCs/>
                <w:kern w:val="0"/>
                <w:sz w:val="21"/>
              </w:rPr>
              <w:t>无色有刺激性恶臭的气体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679" w:type="pct"/>
            <w:vAlign w:val="center"/>
          </w:tcPr>
          <w:p>
            <w:pPr>
              <w:jc w:val="center"/>
              <w:rPr>
                <w:rFonts w:eastAsia="宋体"/>
                <w:bCs/>
                <w:kern w:val="0"/>
                <w:sz w:val="21"/>
              </w:rPr>
            </w:pPr>
            <w:r>
              <w:rPr>
                <w:rFonts w:eastAsia="宋体"/>
                <w:bCs/>
                <w:kern w:val="0"/>
                <w:sz w:val="21"/>
              </w:rPr>
              <w:t>分子量</w:t>
            </w:r>
          </w:p>
        </w:tc>
        <w:tc>
          <w:tcPr>
            <w:tcW w:w="1462" w:type="pct"/>
            <w:gridSpan w:val="2"/>
            <w:vAlign w:val="center"/>
          </w:tcPr>
          <w:p>
            <w:pPr>
              <w:jc w:val="center"/>
              <w:rPr>
                <w:rFonts w:eastAsia="宋体"/>
                <w:bCs/>
                <w:kern w:val="0"/>
                <w:sz w:val="21"/>
              </w:rPr>
            </w:pPr>
            <w:r>
              <w:rPr>
                <w:rFonts w:eastAsia="宋体"/>
                <w:bCs/>
                <w:kern w:val="0"/>
                <w:sz w:val="21"/>
              </w:rPr>
              <w:t>17.03</w:t>
            </w:r>
          </w:p>
        </w:tc>
        <w:tc>
          <w:tcPr>
            <w:tcW w:w="764" w:type="pct"/>
            <w:vAlign w:val="center"/>
          </w:tcPr>
          <w:p>
            <w:pPr>
              <w:jc w:val="center"/>
              <w:rPr>
                <w:rFonts w:eastAsia="宋体"/>
                <w:bCs/>
                <w:kern w:val="0"/>
                <w:sz w:val="21"/>
              </w:rPr>
            </w:pPr>
            <w:r>
              <w:rPr>
                <w:rFonts w:eastAsia="宋体"/>
                <w:bCs/>
                <w:kern w:val="0"/>
                <w:sz w:val="21"/>
              </w:rPr>
              <w:t>蒸汽压</w:t>
            </w:r>
          </w:p>
        </w:tc>
        <w:tc>
          <w:tcPr>
            <w:tcW w:w="2095" w:type="pct"/>
            <w:vAlign w:val="center"/>
          </w:tcPr>
          <w:p>
            <w:pPr>
              <w:jc w:val="center"/>
              <w:rPr>
                <w:rFonts w:eastAsia="宋体"/>
                <w:bCs/>
                <w:kern w:val="0"/>
                <w:sz w:val="21"/>
              </w:rPr>
            </w:pPr>
            <w:r>
              <w:rPr>
                <w:rFonts w:eastAsia="宋体"/>
                <w:bCs/>
                <w:kern w:val="0"/>
                <w:sz w:val="21"/>
              </w:rPr>
              <w:t>506.62kPa(4.7</w:t>
            </w:r>
            <w:r>
              <w:rPr>
                <w:rFonts w:hint="eastAsia" w:ascii="宋体" w:hAnsi="宋体" w:eastAsia="宋体"/>
                <w:bCs/>
                <w:kern w:val="0"/>
                <w:sz w:val="21"/>
              </w:rPr>
              <w:t>℃</w:t>
            </w:r>
            <w:r>
              <w:rPr>
                <w:rFonts w:eastAsia="宋体"/>
                <w:bCs/>
                <w:kern w:val="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679" w:type="pct"/>
            <w:vAlign w:val="center"/>
          </w:tcPr>
          <w:p>
            <w:pPr>
              <w:jc w:val="center"/>
              <w:rPr>
                <w:rFonts w:eastAsia="宋体"/>
                <w:bCs/>
                <w:kern w:val="0"/>
                <w:sz w:val="21"/>
              </w:rPr>
            </w:pPr>
            <w:r>
              <w:rPr>
                <w:rFonts w:eastAsia="宋体"/>
                <w:bCs/>
                <w:kern w:val="0"/>
                <w:sz w:val="21"/>
              </w:rPr>
              <w:t>熔 点</w:t>
            </w:r>
          </w:p>
        </w:tc>
        <w:tc>
          <w:tcPr>
            <w:tcW w:w="1462" w:type="pct"/>
            <w:gridSpan w:val="2"/>
            <w:vAlign w:val="center"/>
          </w:tcPr>
          <w:p>
            <w:pPr>
              <w:jc w:val="center"/>
              <w:rPr>
                <w:rFonts w:eastAsia="宋体"/>
                <w:bCs/>
                <w:kern w:val="0"/>
                <w:sz w:val="21"/>
              </w:rPr>
            </w:pPr>
            <w:r>
              <w:rPr>
                <w:rFonts w:eastAsia="宋体"/>
                <w:bCs/>
                <w:kern w:val="0"/>
                <w:sz w:val="21"/>
              </w:rPr>
              <w:t>-77.7</w:t>
            </w:r>
            <w:r>
              <w:rPr>
                <w:rFonts w:hint="eastAsia" w:ascii="宋体" w:hAnsi="宋体" w:eastAsia="宋体"/>
                <w:bCs/>
                <w:kern w:val="0"/>
                <w:sz w:val="21"/>
              </w:rPr>
              <w:t>℃</w:t>
            </w:r>
            <w:r>
              <w:rPr>
                <w:rFonts w:eastAsia="宋体"/>
                <w:bCs/>
                <w:kern w:val="0"/>
                <w:sz w:val="21"/>
              </w:rPr>
              <w:t xml:space="preserve"> 沸点：-33.5</w:t>
            </w:r>
            <w:r>
              <w:rPr>
                <w:rFonts w:hint="eastAsia" w:ascii="宋体" w:hAnsi="宋体" w:eastAsia="宋体"/>
                <w:bCs/>
                <w:kern w:val="0"/>
                <w:sz w:val="21"/>
              </w:rPr>
              <w:t>℃</w:t>
            </w:r>
          </w:p>
        </w:tc>
        <w:tc>
          <w:tcPr>
            <w:tcW w:w="764" w:type="pct"/>
            <w:vAlign w:val="center"/>
          </w:tcPr>
          <w:p>
            <w:pPr>
              <w:jc w:val="center"/>
              <w:rPr>
                <w:rFonts w:eastAsia="宋体"/>
                <w:bCs/>
                <w:kern w:val="0"/>
                <w:sz w:val="21"/>
              </w:rPr>
            </w:pPr>
            <w:r>
              <w:rPr>
                <w:rFonts w:eastAsia="宋体"/>
                <w:bCs/>
                <w:kern w:val="0"/>
                <w:sz w:val="21"/>
              </w:rPr>
              <w:t>溶解性</w:t>
            </w:r>
          </w:p>
        </w:tc>
        <w:tc>
          <w:tcPr>
            <w:tcW w:w="2095" w:type="pct"/>
            <w:vAlign w:val="center"/>
          </w:tcPr>
          <w:p>
            <w:pPr>
              <w:jc w:val="center"/>
              <w:rPr>
                <w:rFonts w:eastAsia="宋体"/>
                <w:bCs/>
                <w:kern w:val="0"/>
                <w:sz w:val="21"/>
              </w:rPr>
            </w:pPr>
            <w:r>
              <w:rPr>
                <w:rFonts w:eastAsia="宋体"/>
                <w:bCs/>
                <w:kern w:val="0"/>
                <w:sz w:val="21"/>
              </w:rPr>
              <w:t>易溶于水、乙醇、乙醚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679" w:type="pct"/>
            <w:vAlign w:val="center"/>
          </w:tcPr>
          <w:p>
            <w:pPr>
              <w:jc w:val="center"/>
              <w:rPr>
                <w:rFonts w:eastAsia="宋体"/>
                <w:bCs/>
                <w:kern w:val="0"/>
                <w:sz w:val="21"/>
              </w:rPr>
            </w:pPr>
            <w:r>
              <w:rPr>
                <w:rFonts w:eastAsia="宋体"/>
                <w:bCs/>
                <w:kern w:val="0"/>
                <w:sz w:val="21"/>
              </w:rPr>
              <w:t>密 度</w:t>
            </w:r>
          </w:p>
        </w:tc>
        <w:tc>
          <w:tcPr>
            <w:tcW w:w="1462" w:type="pct"/>
            <w:gridSpan w:val="2"/>
            <w:vAlign w:val="center"/>
          </w:tcPr>
          <w:p>
            <w:pPr>
              <w:rPr>
                <w:rFonts w:eastAsia="宋体"/>
                <w:bCs/>
                <w:kern w:val="0"/>
                <w:sz w:val="18"/>
                <w:szCs w:val="18"/>
              </w:rPr>
            </w:pPr>
            <w:r>
              <w:rPr>
                <w:rFonts w:eastAsia="宋体"/>
                <w:bCs/>
                <w:kern w:val="0"/>
                <w:sz w:val="18"/>
                <w:szCs w:val="18"/>
              </w:rPr>
              <w:t>相对密度(</w:t>
            </w:r>
            <w:r>
              <w:rPr>
                <w:rFonts w:ascii="宋体" w:hAnsi="宋体" w:eastAsia="宋体"/>
                <w:bCs/>
                <w:kern w:val="0"/>
                <w:sz w:val="18"/>
                <w:szCs w:val="18"/>
              </w:rPr>
              <w:t>水</w:t>
            </w:r>
            <w:r>
              <w:rPr>
                <w:rFonts w:eastAsia="宋体"/>
                <w:bCs/>
                <w:kern w:val="0"/>
                <w:sz w:val="18"/>
                <w:szCs w:val="18"/>
              </w:rPr>
              <w:t>=1)0.82(-79</w:t>
            </w:r>
            <w:r>
              <w:rPr>
                <w:rFonts w:hint="eastAsia" w:ascii="宋体" w:hAnsi="宋体" w:eastAsia="宋体"/>
                <w:bCs/>
                <w:kern w:val="0"/>
                <w:sz w:val="18"/>
                <w:szCs w:val="18"/>
              </w:rPr>
              <w:t>℃</w:t>
            </w:r>
            <w:r>
              <w:rPr>
                <w:rFonts w:eastAsia="宋体"/>
                <w:bCs/>
                <w:kern w:val="0"/>
                <w:sz w:val="18"/>
                <w:szCs w:val="18"/>
              </w:rPr>
              <w:t>)</w:t>
            </w:r>
            <w:r>
              <w:rPr>
                <w:rFonts w:ascii="宋体" w:hAnsi="宋体" w:eastAsia="宋体"/>
                <w:bCs/>
                <w:kern w:val="0"/>
                <w:sz w:val="18"/>
                <w:szCs w:val="18"/>
              </w:rPr>
              <w:t>；相对密度</w:t>
            </w:r>
            <w:r>
              <w:rPr>
                <w:rFonts w:eastAsia="宋体"/>
                <w:bCs/>
                <w:kern w:val="0"/>
                <w:sz w:val="18"/>
                <w:szCs w:val="18"/>
              </w:rPr>
              <w:t>(</w:t>
            </w:r>
            <w:r>
              <w:rPr>
                <w:rFonts w:ascii="宋体" w:hAnsi="宋体" w:eastAsia="宋体"/>
                <w:bCs/>
                <w:kern w:val="0"/>
                <w:sz w:val="18"/>
                <w:szCs w:val="18"/>
              </w:rPr>
              <w:t>空气</w:t>
            </w:r>
            <w:r>
              <w:rPr>
                <w:rFonts w:eastAsia="宋体"/>
                <w:bCs/>
                <w:kern w:val="0"/>
                <w:sz w:val="18"/>
                <w:szCs w:val="18"/>
              </w:rPr>
              <w:t>=1)0.6</w:t>
            </w:r>
          </w:p>
        </w:tc>
        <w:tc>
          <w:tcPr>
            <w:tcW w:w="764" w:type="pct"/>
            <w:vAlign w:val="center"/>
          </w:tcPr>
          <w:p>
            <w:pPr>
              <w:jc w:val="center"/>
              <w:rPr>
                <w:rFonts w:eastAsia="宋体"/>
                <w:bCs/>
                <w:kern w:val="0"/>
                <w:sz w:val="21"/>
              </w:rPr>
            </w:pPr>
            <w:r>
              <w:rPr>
                <w:rFonts w:eastAsia="宋体"/>
                <w:bCs/>
                <w:kern w:val="0"/>
                <w:sz w:val="21"/>
              </w:rPr>
              <w:t>稳定性</w:t>
            </w:r>
          </w:p>
        </w:tc>
        <w:tc>
          <w:tcPr>
            <w:tcW w:w="2095" w:type="pct"/>
            <w:vAlign w:val="center"/>
          </w:tcPr>
          <w:p>
            <w:pPr>
              <w:jc w:val="center"/>
              <w:rPr>
                <w:rFonts w:eastAsia="宋体"/>
                <w:bCs/>
                <w:kern w:val="0"/>
                <w:sz w:val="21"/>
              </w:rPr>
            </w:pPr>
            <w:r>
              <w:rPr>
                <w:rFonts w:eastAsia="宋体"/>
                <w:bCs/>
                <w:kern w:val="0"/>
                <w:sz w:val="21"/>
              </w:rPr>
              <w:t>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79" w:type="pct"/>
            <w:vAlign w:val="center"/>
          </w:tcPr>
          <w:p>
            <w:pPr>
              <w:jc w:val="center"/>
              <w:rPr>
                <w:rFonts w:eastAsia="宋体"/>
                <w:bCs/>
                <w:kern w:val="0"/>
                <w:sz w:val="21"/>
              </w:rPr>
            </w:pPr>
            <w:r>
              <w:rPr>
                <w:rFonts w:eastAsia="宋体"/>
                <w:bCs/>
                <w:kern w:val="0"/>
                <w:sz w:val="21"/>
              </w:rPr>
              <w:t>危险标记</w:t>
            </w:r>
          </w:p>
        </w:tc>
        <w:tc>
          <w:tcPr>
            <w:tcW w:w="1462" w:type="pct"/>
            <w:gridSpan w:val="2"/>
            <w:vAlign w:val="center"/>
          </w:tcPr>
          <w:p>
            <w:pPr>
              <w:jc w:val="center"/>
              <w:rPr>
                <w:rFonts w:eastAsia="宋体"/>
                <w:bCs/>
                <w:kern w:val="0"/>
                <w:sz w:val="21"/>
              </w:rPr>
            </w:pPr>
            <w:r>
              <w:rPr>
                <w:rFonts w:eastAsia="宋体"/>
                <w:bCs/>
                <w:kern w:val="0"/>
                <w:sz w:val="21"/>
              </w:rPr>
              <w:t>6(</w:t>
            </w:r>
            <w:r>
              <w:rPr>
                <w:rFonts w:ascii="宋体" w:hAnsi="宋体" w:eastAsia="宋体"/>
                <w:bCs/>
                <w:kern w:val="0"/>
                <w:sz w:val="21"/>
              </w:rPr>
              <w:t>有毒气体</w:t>
            </w:r>
            <w:r>
              <w:rPr>
                <w:rFonts w:eastAsia="宋体"/>
                <w:bCs/>
                <w:kern w:val="0"/>
                <w:sz w:val="21"/>
              </w:rPr>
              <w:t>)</w:t>
            </w:r>
          </w:p>
        </w:tc>
        <w:tc>
          <w:tcPr>
            <w:tcW w:w="764" w:type="pct"/>
            <w:vAlign w:val="center"/>
          </w:tcPr>
          <w:p>
            <w:pPr>
              <w:jc w:val="center"/>
              <w:rPr>
                <w:rFonts w:eastAsia="宋体"/>
                <w:bCs/>
                <w:kern w:val="0"/>
                <w:sz w:val="21"/>
              </w:rPr>
            </w:pPr>
            <w:r>
              <w:rPr>
                <w:rFonts w:eastAsia="宋体"/>
                <w:bCs/>
                <w:kern w:val="0"/>
                <w:sz w:val="21"/>
              </w:rPr>
              <w:t>主要用途</w:t>
            </w:r>
          </w:p>
        </w:tc>
        <w:tc>
          <w:tcPr>
            <w:tcW w:w="2095" w:type="pct"/>
            <w:vAlign w:val="center"/>
          </w:tcPr>
          <w:p>
            <w:pPr>
              <w:jc w:val="left"/>
              <w:rPr>
                <w:rFonts w:eastAsia="宋体"/>
                <w:bCs/>
                <w:kern w:val="0"/>
                <w:sz w:val="21"/>
              </w:rPr>
            </w:pPr>
            <w:r>
              <w:rPr>
                <w:rFonts w:eastAsia="宋体"/>
                <w:bCs/>
                <w:kern w:val="0"/>
                <w:sz w:val="21"/>
              </w:rPr>
              <w:t>用作致冷剂及制取铵盐和氮肥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79" w:type="pct"/>
            <w:vAlign w:val="center"/>
          </w:tcPr>
          <w:p>
            <w:pPr>
              <w:jc w:val="center"/>
              <w:rPr>
                <w:rFonts w:eastAsia="宋体"/>
                <w:bCs/>
                <w:kern w:val="0"/>
                <w:sz w:val="21"/>
              </w:rPr>
            </w:pPr>
            <w:r>
              <w:rPr>
                <w:rFonts w:eastAsia="宋体"/>
                <w:bCs/>
                <w:kern w:val="0"/>
                <w:sz w:val="21"/>
              </w:rPr>
              <w:t>对</w:t>
            </w:r>
          </w:p>
          <w:p>
            <w:pPr>
              <w:jc w:val="center"/>
              <w:rPr>
                <w:rFonts w:eastAsia="宋体"/>
                <w:bCs/>
                <w:kern w:val="0"/>
                <w:sz w:val="21"/>
              </w:rPr>
            </w:pPr>
            <w:r>
              <w:rPr>
                <w:rFonts w:eastAsia="宋体"/>
                <w:bCs/>
                <w:kern w:val="0"/>
                <w:sz w:val="21"/>
              </w:rPr>
              <w:t>环</w:t>
            </w:r>
          </w:p>
          <w:p>
            <w:pPr>
              <w:jc w:val="center"/>
              <w:rPr>
                <w:rFonts w:eastAsia="宋体"/>
                <w:bCs/>
                <w:kern w:val="0"/>
                <w:sz w:val="21"/>
              </w:rPr>
            </w:pPr>
            <w:r>
              <w:rPr>
                <w:rFonts w:eastAsia="宋体"/>
                <w:bCs/>
                <w:kern w:val="0"/>
                <w:sz w:val="21"/>
              </w:rPr>
              <w:t>境</w:t>
            </w:r>
          </w:p>
          <w:p>
            <w:pPr>
              <w:jc w:val="center"/>
              <w:rPr>
                <w:rFonts w:eastAsia="宋体"/>
                <w:bCs/>
                <w:kern w:val="0"/>
                <w:sz w:val="21"/>
              </w:rPr>
            </w:pPr>
            <w:r>
              <w:rPr>
                <w:rFonts w:eastAsia="宋体"/>
                <w:bCs/>
                <w:kern w:val="0"/>
                <w:sz w:val="21"/>
              </w:rPr>
              <w:t>的</w:t>
            </w:r>
          </w:p>
          <w:p>
            <w:pPr>
              <w:jc w:val="center"/>
              <w:rPr>
                <w:rFonts w:eastAsia="宋体"/>
                <w:bCs/>
                <w:kern w:val="0"/>
                <w:sz w:val="21"/>
              </w:rPr>
            </w:pPr>
            <w:r>
              <w:rPr>
                <w:rFonts w:eastAsia="宋体"/>
                <w:bCs/>
                <w:kern w:val="0"/>
                <w:sz w:val="21"/>
              </w:rPr>
              <w:t>影</w:t>
            </w:r>
          </w:p>
          <w:p>
            <w:pPr>
              <w:jc w:val="center"/>
              <w:rPr>
                <w:rFonts w:eastAsia="宋体"/>
                <w:bCs/>
                <w:kern w:val="0"/>
                <w:sz w:val="21"/>
              </w:rPr>
            </w:pPr>
            <w:r>
              <w:rPr>
                <w:rFonts w:eastAsia="宋体"/>
                <w:bCs/>
                <w:kern w:val="0"/>
                <w:sz w:val="21"/>
              </w:rPr>
              <w:t>响</w:t>
            </w:r>
          </w:p>
        </w:tc>
        <w:tc>
          <w:tcPr>
            <w:tcW w:w="4321" w:type="pct"/>
            <w:gridSpan w:val="4"/>
            <w:vAlign w:val="center"/>
          </w:tcPr>
          <w:p>
            <w:pPr>
              <w:jc w:val="left"/>
              <w:rPr>
                <w:rFonts w:eastAsia="宋体"/>
                <w:bCs/>
                <w:kern w:val="0"/>
                <w:sz w:val="21"/>
              </w:rPr>
            </w:pPr>
            <w:r>
              <w:rPr>
                <w:rFonts w:eastAsia="宋体"/>
                <w:bCs/>
                <w:kern w:val="0"/>
                <w:sz w:val="21"/>
              </w:rPr>
              <w:t>（1</w:t>
            </w:r>
            <w:r>
              <w:rPr>
                <w:rFonts w:ascii="宋体" w:hAnsi="宋体" w:eastAsia="宋体"/>
                <w:bCs/>
                <w:kern w:val="0"/>
                <w:sz w:val="21"/>
              </w:rPr>
              <w:t>）健康危害</w:t>
            </w:r>
          </w:p>
          <w:p>
            <w:pPr>
              <w:jc w:val="left"/>
              <w:rPr>
                <w:rFonts w:eastAsia="宋体"/>
                <w:bCs/>
                <w:kern w:val="0"/>
                <w:sz w:val="21"/>
              </w:rPr>
            </w:pPr>
            <w:r>
              <w:rPr>
                <w:rFonts w:eastAsia="宋体"/>
                <w:bCs/>
                <w:kern w:val="0"/>
                <w:sz w:val="21"/>
              </w:rPr>
              <w:t>侵入途径：吸入。</w:t>
            </w:r>
          </w:p>
          <w:p>
            <w:pPr>
              <w:jc w:val="left"/>
              <w:rPr>
                <w:rFonts w:eastAsia="宋体"/>
                <w:bCs/>
                <w:kern w:val="0"/>
                <w:sz w:val="21"/>
              </w:rPr>
            </w:pPr>
            <w:r>
              <w:rPr>
                <w:rFonts w:eastAsia="宋体"/>
                <w:bCs/>
                <w:kern w:val="0"/>
                <w:sz w:val="21"/>
              </w:rPr>
              <w:t>健康危害：低浓度氨对粘膜有刺激作用，高浓度可造成组织溶解坏死。</w:t>
            </w:r>
          </w:p>
          <w:p>
            <w:pPr>
              <w:jc w:val="left"/>
              <w:rPr>
                <w:rFonts w:eastAsia="宋体"/>
                <w:bCs/>
                <w:kern w:val="0"/>
                <w:sz w:val="21"/>
              </w:rPr>
            </w:pPr>
            <w:r>
              <w:rPr>
                <w:rFonts w:eastAsia="宋体"/>
                <w:bCs/>
                <w:kern w:val="0"/>
                <w:sz w:val="21"/>
              </w:rPr>
              <w:t>急性中毒：轻度者出现流泪、咽痛、声音嘶哑、咳嗽、咯痰等；眼结膜、鼻粘膜、咽部充血、水肿；胸部X</w:t>
            </w:r>
            <w:r>
              <w:rPr>
                <w:rFonts w:ascii="宋体" w:hAnsi="宋体" w:eastAsia="宋体"/>
                <w:bCs/>
                <w:kern w:val="0"/>
                <w:sz w:val="21"/>
              </w:rPr>
              <w:t>线征象符合支气管炎或支气管周围炎。中度中毒上述症状加剧，出现呼吸困难、紫绀；胸部</w:t>
            </w:r>
            <w:r>
              <w:rPr>
                <w:rFonts w:eastAsia="宋体"/>
                <w:bCs/>
                <w:kern w:val="0"/>
                <w:sz w:val="21"/>
              </w:rPr>
              <w:t>X</w:t>
            </w:r>
            <w:r>
              <w:rPr>
                <w:rFonts w:ascii="宋体" w:hAnsi="宋体" w:eastAsia="宋体"/>
                <w:bCs/>
                <w:kern w:val="0"/>
                <w:sz w:val="21"/>
              </w:rPr>
              <w:t>线征象符合肺炎或间质性肺炎。严重者可发生中毒性肺水肿，或有呼吸窘迫综合征，患者剧烈咳嗽、咯大量粉红色泡沫痰、呼吸窘迫、谵妄、昏迷、休克等。可发生喉头水肿或支气管粘膜坏死脱落窒息。高浓度氨可引起反射性呼吸停止。液氨或高浓度氨可致眼灼伤；液氨可致皮肤灼伤。</w:t>
            </w:r>
          </w:p>
          <w:p>
            <w:pPr>
              <w:rPr>
                <w:rFonts w:eastAsia="宋体"/>
                <w:bCs/>
                <w:kern w:val="0"/>
                <w:sz w:val="21"/>
              </w:rPr>
            </w:pPr>
            <w:r>
              <w:rPr>
                <w:rFonts w:eastAsia="宋体"/>
                <w:bCs/>
                <w:kern w:val="0"/>
                <w:sz w:val="21"/>
              </w:rPr>
              <w:t>（2</w:t>
            </w:r>
            <w:r>
              <w:rPr>
                <w:rFonts w:ascii="宋体" w:hAnsi="宋体" w:eastAsia="宋体"/>
                <w:bCs/>
                <w:kern w:val="0"/>
                <w:sz w:val="21"/>
              </w:rPr>
              <w:t>）毒理学资料及环境行为</w:t>
            </w:r>
          </w:p>
          <w:p>
            <w:pPr>
              <w:rPr>
                <w:rFonts w:eastAsia="宋体"/>
                <w:bCs/>
                <w:kern w:val="0"/>
                <w:sz w:val="21"/>
              </w:rPr>
            </w:pPr>
            <w:r>
              <w:rPr>
                <w:rFonts w:eastAsia="宋体"/>
                <w:bCs/>
                <w:kern w:val="0"/>
                <w:sz w:val="21"/>
              </w:rPr>
              <w:t>毒性：属低毒类。</w:t>
            </w:r>
          </w:p>
          <w:p>
            <w:pPr>
              <w:rPr>
                <w:rFonts w:eastAsia="宋体"/>
                <w:bCs/>
                <w:kern w:val="0"/>
                <w:sz w:val="21"/>
              </w:rPr>
            </w:pPr>
            <w:r>
              <w:rPr>
                <w:rFonts w:eastAsia="宋体"/>
                <w:bCs/>
                <w:kern w:val="0"/>
                <w:sz w:val="21"/>
              </w:rPr>
              <w:t>急性毒性：LD50350mg/kg(</w:t>
            </w:r>
            <w:r>
              <w:rPr>
                <w:rFonts w:ascii="宋体" w:hAnsi="宋体" w:eastAsia="宋体"/>
                <w:bCs/>
                <w:kern w:val="0"/>
                <w:sz w:val="21"/>
              </w:rPr>
              <w:t>大鼠经口</w:t>
            </w:r>
            <w:r>
              <w:rPr>
                <w:rFonts w:eastAsia="宋体"/>
                <w:bCs/>
                <w:kern w:val="0"/>
                <w:sz w:val="21"/>
              </w:rPr>
              <w:t>)</w:t>
            </w:r>
            <w:r>
              <w:rPr>
                <w:rFonts w:ascii="宋体" w:hAnsi="宋体" w:eastAsia="宋体"/>
                <w:bCs/>
                <w:kern w:val="0"/>
                <w:sz w:val="21"/>
              </w:rPr>
              <w:t>；</w:t>
            </w:r>
            <w:r>
              <w:rPr>
                <w:rFonts w:eastAsia="宋体"/>
                <w:bCs/>
                <w:kern w:val="0"/>
                <w:sz w:val="21"/>
              </w:rPr>
              <w:t>LC501390mg/m</w:t>
            </w:r>
            <w:r>
              <w:rPr>
                <w:rFonts w:eastAsia="宋体"/>
                <w:bCs/>
                <w:kern w:val="0"/>
                <w:sz w:val="21"/>
                <w:vertAlign w:val="superscript"/>
              </w:rPr>
              <w:t>3</w:t>
            </w:r>
            <w:r>
              <w:rPr>
                <w:rFonts w:ascii="宋体" w:hAnsi="宋体" w:eastAsia="宋体"/>
                <w:bCs/>
                <w:kern w:val="0"/>
                <w:sz w:val="21"/>
              </w:rPr>
              <w:t>，</w:t>
            </w:r>
            <w:r>
              <w:rPr>
                <w:rFonts w:eastAsia="宋体"/>
                <w:bCs/>
                <w:kern w:val="0"/>
                <w:sz w:val="21"/>
              </w:rPr>
              <w:t>4</w:t>
            </w:r>
            <w:r>
              <w:rPr>
                <w:rFonts w:ascii="宋体" w:hAnsi="宋体" w:eastAsia="宋体"/>
                <w:bCs/>
                <w:kern w:val="0"/>
                <w:sz w:val="21"/>
              </w:rPr>
              <w:t>小时，</w:t>
            </w:r>
            <w:r>
              <w:rPr>
                <w:rFonts w:eastAsia="宋体"/>
                <w:bCs/>
                <w:kern w:val="0"/>
                <w:sz w:val="21"/>
              </w:rPr>
              <w:t>(</w:t>
            </w:r>
            <w:r>
              <w:rPr>
                <w:rFonts w:ascii="宋体" w:hAnsi="宋体" w:eastAsia="宋体"/>
                <w:bCs/>
                <w:kern w:val="0"/>
                <w:sz w:val="21"/>
              </w:rPr>
              <w:t>大鼠吸入</w:t>
            </w:r>
            <w:r>
              <w:rPr>
                <w:rFonts w:eastAsia="宋体"/>
                <w:bCs/>
                <w:kern w:val="0"/>
                <w:sz w:val="21"/>
              </w:rPr>
              <w:t>)</w:t>
            </w:r>
            <w:r>
              <w:rPr>
                <w:rFonts w:ascii="宋体" w:hAnsi="宋体" w:eastAsia="宋体"/>
                <w:bCs/>
                <w:kern w:val="0"/>
                <w:sz w:val="21"/>
              </w:rPr>
              <w:t>。</w:t>
            </w:r>
          </w:p>
          <w:p>
            <w:pPr>
              <w:rPr>
                <w:rFonts w:eastAsia="宋体"/>
                <w:bCs/>
                <w:kern w:val="0"/>
                <w:sz w:val="21"/>
              </w:rPr>
            </w:pPr>
            <w:r>
              <w:rPr>
                <w:rFonts w:eastAsia="宋体"/>
                <w:bCs/>
                <w:kern w:val="0"/>
                <w:sz w:val="21"/>
              </w:rPr>
              <w:t>刺激性：家兔经眼：100ppm</w:t>
            </w:r>
            <w:r>
              <w:rPr>
                <w:rFonts w:ascii="宋体" w:hAnsi="宋体" w:eastAsia="宋体"/>
                <w:bCs/>
                <w:kern w:val="0"/>
                <w:sz w:val="21"/>
              </w:rPr>
              <w:t>，重度刺激。</w:t>
            </w:r>
          </w:p>
          <w:p>
            <w:pPr>
              <w:rPr>
                <w:rFonts w:eastAsia="宋体"/>
                <w:bCs/>
                <w:kern w:val="0"/>
                <w:sz w:val="21"/>
              </w:rPr>
            </w:pPr>
            <w:r>
              <w:rPr>
                <w:rFonts w:eastAsia="宋体"/>
                <w:bCs/>
                <w:kern w:val="0"/>
                <w:sz w:val="21"/>
              </w:rPr>
              <w:t>亚急性慢性毒性：大鼠，20mg/m</w:t>
            </w:r>
            <w:r>
              <w:rPr>
                <w:rFonts w:eastAsia="宋体"/>
                <w:bCs/>
                <w:kern w:val="0"/>
                <w:sz w:val="21"/>
                <w:vertAlign w:val="superscript"/>
              </w:rPr>
              <w:t>3</w:t>
            </w:r>
            <w:r>
              <w:rPr>
                <w:rFonts w:ascii="宋体" w:hAnsi="宋体" w:eastAsia="宋体"/>
                <w:bCs/>
                <w:kern w:val="0"/>
                <w:sz w:val="21"/>
              </w:rPr>
              <w:t>，</w:t>
            </w:r>
            <w:r>
              <w:rPr>
                <w:rFonts w:eastAsia="宋体"/>
                <w:bCs/>
                <w:kern w:val="0"/>
                <w:sz w:val="21"/>
              </w:rPr>
              <w:t>24</w:t>
            </w:r>
            <w:r>
              <w:rPr>
                <w:rFonts w:ascii="宋体" w:hAnsi="宋体" w:eastAsia="宋体"/>
                <w:bCs/>
                <w:kern w:val="0"/>
                <w:sz w:val="21"/>
              </w:rPr>
              <w:t>小时</w:t>
            </w:r>
            <w:r>
              <w:rPr>
                <w:rFonts w:eastAsia="宋体"/>
                <w:bCs/>
                <w:kern w:val="0"/>
                <w:sz w:val="21"/>
              </w:rPr>
              <w:t>/</w:t>
            </w:r>
            <w:r>
              <w:rPr>
                <w:rFonts w:ascii="宋体" w:hAnsi="宋体" w:eastAsia="宋体"/>
                <w:bCs/>
                <w:kern w:val="0"/>
                <w:sz w:val="21"/>
              </w:rPr>
              <w:t>天，</w:t>
            </w:r>
            <w:r>
              <w:rPr>
                <w:rFonts w:eastAsia="宋体"/>
                <w:bCs/>
                <w:kern w:val="0"/>
                <w:sz w:val="21"/>
              </w:rPr>
              <w:t>84</w:t>
            </w:r>
            <w:r>
              <w:rPr>
                <w:rFonts w:ascii="宋体" w:hAnsi="宋体" w:eastAsia="宋体"/>
                <w:bCs/>
                <w:kern w:val="0"/>
                <w:sz w:val="21"/>
              </w:rPr>
              <w:t>天，或</w:t>
            </w:r>
            <w:r>
              <w:rPr>
                <w:rFonts w:eastAsia="宋体"/>
                <w:bCs/>
                <w:kern w:val="0"/>
                <w:sz w:val="21"/>
              </w:rPr>
              <w:t>5</w:t>
            </w:r>
            <w:r>
              <w:rPr>
                <w:rFonts w:ascii="宋体" w:hAnsi="宋体" w:eastAsia="宋体"/>
                <w:bCs/>
                <w:kern w:val="0"/>
                <w:sz w:val="21"/>
              </w:rPr>
              <w:t>～</w:t>
            </w:r>
            <w:r>
              <w:rPr>
                <w:rFonts w:eastAsia="宋体"/>
                <w:bCs/>
                <w:kern w:val="0"/>
                <w:sz w:val="21"/>
              </w:rPr>
              <w:t>6</w:t>
            </w:r>
            <w:r>
              <w:rPr>
                <w:rFonts w:ascii="宋体" w:hAnsi="宋体" w:eastAsia="宋体"/>
                <w:bCs/>
                <w:kern w:val="0"/>
                <w:sz w:val="21"/>
              </w:rPr>
              <w:t>小时</w:t>
            </w:r>
            <w:r>
              <w:rPr>
                <w:rFonts w:eastAsia="宋体"/>
                <w:bCs/>
                <w:kern w:val="0"/>
                <w:sz w:val="21"/>
              </w:rPr>
              <w:t>/</w:t>
            </w:r>
            <w:r>
              <w:rPr>
                <w:rFonts w:ascii="宋体" w:hAnsi="宋体" w:eastAsia="宋体"/>
                <w:bCs/>
                <w:kern w:val="0"/>
                <w:sz w:val="21"/>
              </w:rPr>
              <w:t>天，</w:t>
            </w:r>
            <w:r>
              <w:rPr>
                <w:rFonts w:eastAsia="宋体"/>
                <w:bCs/>
                <w:kern w:val="0"/>
                <w:sz w:val="21"/>
              </w:rPr>
              <w:t>7</w:t>
            </w:r>
            <w:r>
              <w:rPr>
                <w:rFonts w:ascii="宋体" w:hAnsi="宋体" w:eastAsia="宋体"/>
                <w:bCs/>
                <w:kern w:val="0"/>
                <w:sz w:val="21"/>
              </w:rPr>
              <w:t>个月，出现神经系统功能紊乱，血胆碱酯酶活性抑制等。</w:t>
            </w:r>
          </w:p>
          <w:p>
            <w:pPr>
              <w:rPr>
                <w:rFonts w:eastAsia="宋体"/>
                <w:bCs/>
                <w:kern w:val="0"/>
                <w:sz w:val="21"/>
              </w:rPr>
            </w:pPr>
            <w:r>
              <w:rPr>
                <w:rFonts w:eastAsia="宋体"/>
                <w:bCs/>
                <w:kern w:val="0"/>
                <w:sz w:val="21"/>
              </w:rPr>
              <w:t>致突变性：微生物致突变性：大肠杆菌1500ppm(3</w:t>
            </w:r>
            <w:r>
              <w:rPr>
                <w:rFonts w:ascii="宋体" w:hAnsi="宋体" w:eastAsia="宋体"/>
                <w:bCs/>
                <w:kern w:val="0"/>
                <w:sz w:val="21"/>
              </w:rPr>
              <w:t>小时</w:t>
            </w:r>
            <w:r>
              <w:rPr>
                <w:rFonts w:eastAsia="宋体"/>
                <w:bCs/>
                <w:kern w:val="0"/>
                <w:sz w:val="21"/>
              </w:rPr>
              <w:t>)</w:t>
            </w:r>
            <w:r>
              <w:rPr>
                <w:rFonts w:ascii="宋体" w:hAnsi="宋体" w:eastAsia="宋体"/>
                <w:bCs/>
                <w:kern w:val="0"/>
                <w:sz w:val="21"/>
              </w:rPr>
              <w:t>。细胞遗传学分析：大鼠吸入</w:t>
            </w:r>
            <w:r>
              <w:rPr>
                <w:rFonts w:eastAsia="宋体"/>
                <w:bCs/>
                <w:kern w:val="0"/>
                <w:sz w:val="21"/>
              </w:rPr>
              <w:t>19800µg/m</w:t>
            </w:r>
            <w:r>
              <w:rPr>
                <w:rFonts w:eastAsia="宋体"/>
                <w:bCs/>
                <w:kern w:val="0"/>
                <w:sz w:val="21"/>
                <w:vertAlign w:val="superscript"/>
              </w:rPr>
              <w:t>3</w:t>
            </w:r>
            <w:r>
              <w:rPr>
                <w:rFonts w:ascii="宋体" w:hAnsi="宋体" w:eastAsia="宋体"/>
                <w:bCs/>
                <w:kern w:val="0"/>
                <w:sz w:val="21"/>
              </w:rPr>
              <w:t>，</w:t>
            </w:r>
            <w:r>
              <w:rPr>
                <w:rFonts w:eastAsia="宋体"/>
                <w:bCs/>
                <w:kern w:val="0"/>
                <w:sz w:val="21"/>
              </w:rPr>
              <w:t>16</w:t>
            </w:r>
            <w:r>
              <w:rPr>
                <w:rFonts w:ascii="宋体" w:hAnsi="宋体" w:eastAsia="宋体"/>
                <w:bCs/>
                <w:kern w:val="0"/>
                <w:sz w:val="21"/>
              </w:rPr>
              <w:t>周。</w:t>
            </w:r>
          </w:p>
          <w:p>
            <w:pPr>
              <w:rPr>
                <w:rFonts w:eastAsia="宋体"/>
                <w:bCs/>
                <w:kern w:val="0"/>
                <w:sz w:val="21"/>
              </w:rPr>
            </w:pPr>
            <w:r>
              <w:rPr>
                <w:rFonts w:eastAsia="宋体"/>
                <w:bCs/>
                <w:kern w:val="0"/>
                <w:sz w:val="21"/>
              </w:rPr>
              <w:t>污染来源：在石油精炼、氮肥工业、合成纤维、鞣皮、人造冰、油漆、塑料、树脂、染料、医药以及制造氰化物和有机腈的生产中都有氨的使用和排放，氨系用氢和氮在触媒作用下合成，为制取各种含氨产品的主要原料。</w:t>
            </w:r>
          </w:p>
          <w:p>
            <w:pPr>
              <w:rPr>
                <w:rFonts w:eastAsia="宋体"/>
                <w:bCs/>
                <w:kern w:val="0"/>
                <w:sz w:val="21"/>
              </w:rPr>
            </w:pPr>
            <w:r>
              <w:rPr>
                <w:rFonts w:eastAsia="宋体"/>
                <w:bCs/>
                <w:kern w:val="0"/>
                <w:sz w:val="21"/>
              </w:rPr>
              <w:t>危险特性：与空气混合能形成爆炸性混合物。遇明火、高热能引起燃烧爆炸。与氟、氯等接触会发生剧烈的化学反应。若遇高热，容器内压增大，有开裂和爆炸的危险。燃烧(</w:t>
            </w:r>
            <w:r>
              <w:rPr>
                <w:rFonts w:ascii="宋体" w:hAnsi="宋体" w:eastAsia="宋体"/>
                <w:bCs/>
                <w:kern w:val="0"/>
                <w:sz w:val="21"/>
              </w:rPr>
              <w:t>分解</w:t>
            </w:r>
            <w:r>
              <w:rPr>
                <w:rFonts w:eastAsia="宋体"/>
                <w:bCs/>
                <w:kern w:val="0"/>
                <w:sz w:val="21"/>
              </w:rPr>
              <w:t>)</w:t>
            </w:r>
            <w:r>
              <w:rPr>
                <w:rFonts w:ascii="宋体" w:hAnsi="宋体" w:eastAsia="宋体"/>
                <w:bCs/>
                <w:kern w:val="0"/>
                <w:sz w:val="21"/>
              </w:rPr>
              <w:t xml:space="preserve">产物：氧化氮、氨。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79" w:type="pct"/>
            <w:vAlign w:val="center"/>
          </w:tcPr>
          <w:p>
            <w:pPr>
              <w:jc w:val="center"/>
              <w:rPr>
                <w:rFonts w:eastAsia="宋体"/>
                <w:bCs/>
                <w:kern w:val="0"/>
                <w:sz w:val="21"/>
              </w:rPr>
            </w:pPr>
            <w:r>
              <w:rPr>
                <w:rFonts w:eastAsia="宋体"/>
                <w:bCs/>
                <w:kern w:val="0"/>
                <w:sz w:val="21"/>
              </w:rPr>
              <w:t>应</w:t>
            </w:r>
          </w:p>
          <w:p>
            <w:pPr>
              <w:jc w:val="center"/>
              <w:rPr>
                <w:rFonts w:eastAsia="宋体"/>
                <w:bCs/>
                <w:kern w:val="0"/>
                <w:sz w:val="21"/>
              </w:rPr>
            </w:pPr>
            <w:r>
              <w:rPr>
                <w:rFonts w:eastAsia="宋体"/>
                <w:bCs/>
                <w:kern w:val="0"/>
                <w:sz w:val="21"/>
              </w:rPr>
              <w:t>急</w:t>
            </w:r>
          </w:p>
          <w:p>
            <w:pPr>
              <w:jc w:val="center"/>
              <w:rPr>
                <w:rFonts w:eastAsia="宋体"/>
                <w:bCs/>
                <w:kern w:val="0"/>
                <w:sz w:val="21"/>
              </w:rPr>
            </w:pPr>
            <w:r>
              <w:rPr>
                <w:rFonts w:eastAsia="宋体"/>
                <w:bCs/>
                <w:kern w:val="0"/>
                <w:sz w:val="21"/>
              </w:rPr>
              <w:t>处</w:t>
            </w:r>
          </w:p>
          <w:p>
            <w:pPr>
              <w:jc w:val="center"/>
              <w:rPr>
                <w:rFonts w:eastAsia="宋体"/>
                <w:bCs/>
                <w:kern w:val="0"/>
                <w:sz w:val="21"/>
              </w:rPr>
            </w:pPr>
            <w:r>
              <w:rPr>
                <w:rFonts w:eastAsia="宋体"/>
                <w:bCs/>
                <w:kern w:val="0"/>
                <w:sz w:val="21"/>
              </w:rPr>
              <w:t>理</w:t>
            </w:r>
          </w:p>
          <w:p>
            <w:pPr>
              <w:jc w:val="center"/>
              <w:rPr>
                <w:rFonts w:eastAsia="宋体"/>
                <w:bCs/>
                <w:kern w:val="0"/>
                <w:sz w:val="21"/>
              </w:rPr>
            </w:pPr>
            <w:r>
              <w:rPr>
                <w:rFonts w:eastAsia="宋体"/>
                <w:bCs/>
                <w:kern w:val="0"/>
                <w:sz w:val="21"/>
              </w:rPr>
              <w:t>处</w:t>
            </w:r>
          </w:p>
          <w:p>
            <w:pPr>
              <w:jc w:val="center"/>
              <w:rPr>
                <w:rFonts w:eastAsia="宋体"/>
                <w:bCs/>
                <w:kern w:val="0"/>
                <w:sz w:val="21"/>
              </w:rPr>
            </w:pPr>
            <w:r>
              <w:rPr>
                <w:rFonts w:eastAsia="宋体"/>
                <w:bCs/>
                <w:kern w:val="0"/>
                <w:sz w:val="21"/>
              </w:rPr>
              <w:t>置</w:t>
            </w:r>
          </w:p>
          <w:p>
            <w:pPr>
              <w:jc w:val="center"/>
              <w:rPr>
                <w:rFonts w:eastAsia="宋体"/>
                <w:bCs/>
                <w:kern w:val="0"/>
                <w:sz w:val="21"/>
              </w:rPr>
            </w:pPr>
            <w:r>
              <w:rPr>
                <w:rFonts w:eastAsia="宋体"/>
                <w:bCs/>
                <w:kern w:val="0"/>
                <w:sz w:val="21"/>
              </w:rPr>
              <w:t>方</w:t>
            </w:r>
          </w:p>
          <w:p>
            <w:pPr>
              <w:jc w:val="center"/>
              <w:rPr>
                <w:rFonts w:eastAsia="宋体"/>
                <w:bCs/>
                <w:kern w:val="0"/>
                <w:sz w:val="21"/>
              </w:rPr>
            </w:pPr>
            <w:r>
              <w:rPr>
                <w:rFonts w:eastAsia="宋体"/>
                <w:bCs/>
                <w:kern w:val="0"/>
                <w:sz w:val="21"/>
              </w:rPr>
              <w:t>法</w:t>
            </w:r>
          </w:p>
        </w:tc>
        <w:tc>
          <w:tcPr>
            <w:tcW w:w="4321" w:type="pct"/>
            <w:gridSpan w:val="4"/>
            <w:vAlign w:val="center"/>
          </w:tcPr>
          <w:p>
            <w:pPr>
              <w:rPr>
                <w:rFonts w:eastAsia="宋体"/>
                <w:bCs/>
                <w:kern w:val="0"/>
                <w:sz w:val="21"/>
              </w:rPr>
            </w:pPr>
            <w:r>
              <w:rPr>
                <w:rFonts w:eastAsia="宋体"/>
                <w:bCs/>
                <w:kern w:val="0"/>
                <w:sz w:val="21"/>
              </w:rPr>
              <w:t>（1</w:t>
            </w:r>
            <w:r>
              <w:rPr>
                <w:rFonts w:ascii="宋体" w:hAnsi="宋体" w:eastAsia="宋体"/>
                <w:bCs/>
                <w:kern w:val="0"/>
                <w:sz w:val="21"/>
              </w:rPr>
              <w:t xml:space="preserve">）泄漏应急处理 </w:t>
            </w:r>
          </w:p>
          <w:p>
            <w:pPr>
              <w:rPr>
                <w:rFonts w:eastAsia="宋体"/>
                <w:bCs/>
                <w:kern w:val="0"/>
                <w:sz w:val="21"/>
              </w:rPr>
            </w:pPr>
            <w:r>
              <w:rPr>
                <w:rFonts w:eastAsia="宋体"/>
                <w:bCs/>
                <w:kern w:val="0"/>
                <w:sz w:val="21"/>
              </w:rPr>
              <w:t>迅速撤离泄漏污染区人员至上风处，并立即进行隔离150</w:t>
            </w:r>
            <w:r>
              <w:rPr>
                <w:rFonts w:ascii="宋体" w:hAnsi="宋体" w:eastAsia="宋体"/>
                <w:bCs/>
                <w:kern w:val="0"/>
                <w:sz w:val="21"/>
              </w:rPr>
              <w:t>米，严格限制出入，切断火源。建议应急处理人员戴自给正压式呼吸器，穿防毒服。尽可能切断泄漏源。合理通风，加速扩散。高浓度泄漏区，喷含盐酸的雾状水中和、稀释、溶解。构筑围堤或挖坑收容产生的大量废水。如有可能，将残余气或漏出气用排风机送至水洗塔或与塔相连的通风橱内。储罐区最好设稀酸喷洒设施。漏气容器要妥善处理，修复、检验后再用。</w:t>
            </w:r>
          </w:p>
          <w:p>
            <w:pPr>
              <w:rPr>
                <w:rFonts w:eastAsia="宋体"/>
                <w:bCs/>
                <w:kern w:val="0"/>
                <w:sz w:val="21"/>
              </w:rPr>
            </w:pPr>
            <w:r>
              <w:rPr>
                <w:rFonts w:eastAsia="宋体"/>
                <w:bCs/>
                <w:kern w:val="0"/>
                <w:sz w:val="21"/>
              </w:rPr>
              <w:t>废弃物处置方法：建议废料液用水稀释，加盐酸中和后，排入下水道。造纸、纺织、肥料工业中的含氨废料回收使用。</w:t>
            </w:r>
          </w:p>
          <w:p>
            <w:pPr>
              <w:rPr>
                <w:rFonts w:eastAsia="宋体"/>
                <w:bCs/>
                <w:kern w:val="0"/>
                <w:sz w:val="21"/>
              </w:rPr>
            </w:pPr>
            <w:r>
              <w:rPr>
                <w:rFonts w:eastAsia="宋体"/>
                <w:bCs/>
                <w:kern w:val="0"/>
                <w:sz w:val="21"/>
              </w:rPr>
              <w:t>（2</w:t>
            </w:r>
            <w:r>
              <w:rPr>
                <w:rFonts w:ascii="宋体" w:hAnsi="宋体" w:eastAsia="宋体"/>
                <w:bCs/>
                <w:kern w:val="0"/>
                <w:sz w:val="21"/>
              </w:rPr>
              <w:t>）防护措施</w:t>
            </w:r>
          </w:p>
          <w:p>
            <w:pPr>
              <w:rPr>
                <w:rFonts w:eastAsia="宋体"/>
                <w:bCs/>
                <w:kern w:val="0"/>
                <w:sz w:val="21"/>
              </w:rPr>
            </w:pPr>
            <w:r>
              <w:rPr>
                <w:rFonts w:eastAsia="宋体"/>
                <w:bCs/>
                <w:kern w:val="0"/>
                <w:sz w:val="21"/>
              </w:rPr>
              <w:t>呼吸系统防护：空气中浓度超标时，建议佩戴过滤式防毒面具(</w:t>
            </w:r>
            <w:r>
              <w:rPr>
                <w:rFonts w:ascii="宋体" w:hAnsi="宋体" w:eastAsia="宋体"/>
                <w:bCs/>
                <w:kern w:val="0"/>
                <w:sz w:val="21"/>
              </w:rPr>
              <w:t>半面罩</w:t>
            </w:r>
            <w:r>
              <w:rPr>
                <w:rFonts w:eastAsia="宋体"/>
                <w:bCs/>
                <w:kern w:val="0"/>
                <w:sz w:val="21"/>
              </w:rPr>
              <w:t>)</w:t>
            </w:r>
            <w:r>
              <w:rPr>
                <w:rFonts w:ascii="宋体" w:hAnsi="宋体" w:eastAsia="宋体"/>
                <w:bCs/>
                <w:kern w:val="0"/>
                <w:sz w:val="21"/>
              </w:rPr>
              <w:t>。紧急事态抢救或撤离时，必须佩戴空气呼吸器。</w:t>
            </w:r>
          </w:p>
          <w:p>
            <w:pPr>
              <w:rPr>
                <w:rFonts w:eastAsia="宋体"/>
                <w:bCs/>
                <w:kern w:val="0"/>
                <w:sz w:val="21"/>
              </w:rPr>
            </w:pPr>
            <w:r>
              <w:rPr>
                <w:rFonts w:eastAsia="宋体"/>
                <w:bCs/>
                <w:kern w:val="0"/>
                <w:sz w:val="21"/>
              </w:rPr>
              <w:t>眼睛防护：戴化学安全防护眼镜。</w:t>
            </w:r>
          </w:p>
          <w:p>
            <w:pPr>
              <w:rPr>
                <w:rFonts w:eastAsia="宋体"/>
                <w:bCs/>
                <w:kern w:val="0"/>
                <w:sz w:val="21"/>
              </w:rPr>
            </w:pPr>
            <w:r>
              <w:rPr>
                <w:rFonts w:eastAsia="宋体"/>
                <w:bCs/>
                <w:kern w:val="0"/>
                <w:sz w:val="21"/>
              </w:rPr>
              <w:t>身体防护：穿防静电工作服。</w:t>
            </w:r>
          </w:p>
          <w:p>
            <w:pPr>
              <w:rPr>
                <w:rFonts w:eastAsia="宋体"/>
                <w:bCs/>
                <w:kern w:val="0"/>
                <w:sz w:val="21"/>
              </w:rPr>
            </w:pPr>
            <w:r>
              <w:rPr>
                <w:rFonts w:eastAsia="宋体"/>
                <w:bCs/>
                <w:kern w:val="0"/>
                <w:sz w:val="21"/>
              </w:rPr>
              <w:t>手防护：戴橡胶手套。</w:t>
            </w:r>
          </w:p>
          <w:p>
            <w:pPr>
              <w:rPr>
                <w:rFonts w:eastAsia="宋体"/>
                <w:bCs/>
                <w:kern w:val="0"/>
                <w:sz w:val="21"/>
              </w:rPr>
            </w:pPr>
            <w:r>
              <w:rPr>
                <w:rFonts w:eastAsia="宋体"/>
                <w:bCs/>
                <w:kern w:val="0"/>
                <w:sz w:val="21"/>
              </w:rPr>
              <w:t>其它：工作现场严禁吸烟、进食和饮水。工作毕，淋浴更衣。保持良好的卫生习惯。</w:t>
            </w:r>
          </w:p>
          <w:p>
            <w:pPr>
              <w:rPr>
                <w:rFonts w:eastAsia="宋体"/>
                <w:bCs/>
                <w:kern w:val="0"/>
                <w:sz w:val="21"/>
              </w:rPr>
            </w:pPr>
            <w:r>
              <w:rPr>
                <w:rFonts w:eastAsia="宋体"/>
                <w:bCs/>
                <w:kern w:val="0"/>
                <w:sz w:val="21"/>
              </w:rPr>
              <w:t>（3</w:t>
            </w:r>
            <w:r>
              <w:rPr>
                <w:rFonts w:ascii="宋体" w:hAnsi="宋体" w:eastAsia="宋体"/>
                <w:bCs/>
                <w:kern w:val="0"/>
                <w:sz w:val="21"/>
              </w:rPr>
              <w:t>）急救措施</w:t>
            </w:r>
          </w:p>
          <w:p>
            <w:pPr>
              <w:rPr>
                <w:rFonts w:eastAsia="宋体"/>
                <w:bCs/>
                <w:kern w:val="0"/>
                <w:sz w:val="21"/>
              </w:rPr>
            </w:pPr>
            <w:r>
              <w:rPr>
                <w:rFonts w:eastAsia="宋体"/>
                <w:bCs/>
                <w:kern w:val="0"/>
                <w:sz w:val="21"/>
              </w:rPr>
              <w:t>皮肤接触：立即脱去被污染的衣着，应用2%</w:t>
            </w:r>
            <w:r>
              <w:rPr>
                <w:rFonts w:ascii="宋体" w:hAnsi="宋体" w:eastAsia="宋体"/>
                <w:bCs/>
                <w:kern w:val="0"/>
                <w:sz w:val="21"/>
              </w:rPr>
              <w:t>硼酸液或大量流动清水彻底冲洗。就医。</w:t>
            </w:r>
          </w:p>
          <w:p>
            <w:pPr>
              <w:rPr>
                <w:rFonts w:eastAsia="宋体"/>
                <w:bCs/>
                <w:kern w:val="0"/>
                <w:sz w:val="21"/>
              </w:rPr>
            </w:pPr>
            <w:r>
              <w:rPr>
                <w:rFonts w:eastAsia="宋体"/>
                <w:bCs/>
                <w:kern w:val="0"/>
                <w:sz w:val="21"/>
              </w:rPr>
              <w:t>眼睛接触：立即提起眼睑，用大量流动清水或生理盐水彻底冲洗至少15</w:t>
            </w:r>
            <w:r>
              <w:rPr>
                <w:rFonts w:ascii="宋体" w:hAnsi="宋体" w:eastAsia="宋体"/>
                <w:bCs/>
                <w:kern w:val="0"/>
                <w:sz w:val="21"/>
              </w:rPr>
              <w:t>分钟。就医。</w:t>
            </w:r>
          </w:p>
          <w:p>
            <w:pPr>
              <w:rPr>
                <w:rFonts w:eastAsia="宋体"/>
                <w:bCs/>
                <w:kern w:val="0"/>
                <w:sz w:val="21"/>
              </w:rPr>
            </w:pPr>
            <w:r>
              <w:rPr>
                <w:rFonts w:eastAsia="宋体"/>
                <w:bCs/>
                <w:kern w:val="0"/>
                <w:sz w:val="21"/>
              </w:rPr>
              <w:t>吸入：迅速脱离现场至空气新鲜处。保持呼吸道通畅。如呼吸困难，给输氧。如呼吸停止，立即进行人工呼吸。就医。</w:t>
            </w:r>
          </w:p>
          <w:p>
            <w:pPr>
              <w:rPr>
                <w:rFonts w:eastAsia="宋体"/>
                <w:bCs/>
                <w:kern w:val="0"/>
                <w:sz w:val="21"/>
              </w:rPr>
            </w:pPr>
            <w:r>
              <w:rPr>
                <w:rFonts w:eastAsia="宋体"/>
                <w:bCs/>
                <w:kern w:val="0"/>
                <w:sz w:val="21"/>
              </w:rPr>
              <w:t>灭火方法：消防人员必须穿戴全身防火防毒服。切断气源。若不能立即切断气源，则不允许熄灭正在燃烧的气体。喷水冷却容器，可能的话将容器从火场移至空旷处。灭火剂：雾状水、抗溶性泡沫、二氧化碳、砂土。</w:t>
            </w:r>
          </w:p>
        </w:tc>
      </w:tr>
    </w:tbl>
    <w:p>
      <w:pPr>
        <w:jc w:val="center"/>
        <w:rPr>
          <w:b/>
        </w:rPr>
      </w:pPr>
      <w:r>
        <w:rPr>
          <w:b/>
        </w:rPr>
        <w:t>表</w:t>
      </w:r>
      <w:r>
        <w:rPr>
          <w:b/>
        </w:rPr>
        <w:fldChar w:fldCharType="begin"/>
      </w:r>
      <w:r>
        <w:rPr>
          <w:b/>
        </w:rPr>
        <w:instrText xml:space="preserve"> STYLEREF 2 \s </w:instrText>
      </w:r>
      <w:r>
        <w:rPr>
          <w:b/>
        </w:rPr>
        <w:fldChar w:fldCharType="separate"/>
      </w:r>
      <w:r>
        <w:rPr>
          <w:b/>
        </w:rPr>
        <w:t>7.5</w:t>
      </w:r>
      <w:r>
        <w:rPr>
          <w:b/>
        </w:rPr>
        <w:fldChar w:fldCharType="end"/>
      </w:r>
      <w:r>
        <w:rPr>
          <w:b/>
        </w:rPr>
        <w:noBreakHyphen/>
      </w:r>
      <w:r>
        <w:rPr>
          <w:b/>
        </w:rPr>
        <w:fldChar w:fldCharType="begin"/>
      </w:r>
      <w:r>
        <w:rPr>
          <w:b/>
        </w:rPr>
        <w:instrText xml:space="preserve"> SEQ 表 \* ARABIC \s 2 </w:instrText>
      </w:r>
      <w:r>
        <w:rPr>
          <w:b/>
        </w:rPr>
        <w:fldChar w:fldCharType="separate"/>
      </w:r>
      <w:r>
        <w:rPr>
          <w:b/>
        </w:rPr>
        <w:t>7</w:t>
      </w:r>
      <w:r>
        <w:rPr>
          <w:b/>
        </w:rPr>
        <w:fldChar w:fldCharType="end"/>
      </w:r>
      <w:r>
        <w:rPr>
          <w:rFonts w:hint="eastAsia"/>
          <w:b/>
        </w:rPr>
        <w:t xml:space="preserve"> </w:t>
      </w:r>
      <w:r>
        <w:rPr>
          <w:rFonts w:eastAsia="宋体" w:cstheme="majorBidi"/>
          <w:b/>
          <w:bCs/>
          <w:szCs w:val="20"/>
        </w:rPr>
        <w:t>硫化氢</w:t>
      </w:r>
      <w:r>
        <w:rPr>
          <w:b/>
        </w:rPr>
        <w:t>的理化性质及危险特性</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0"/>
        <w:gridCol w:w="2802"/>
        <w:gridCol w:w="19"/>
        <w:gridCol w:w="1475"/>
        <w:gridCol w:w="4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679" w:type="pct"/>
            <w:vAlign w:val="center"/>
          </w:tcPr>
          <w:p>
            <w:pPr>
              <w:jc w:val="center"/>
              <w:rPr>
                <w:rFonts w:eastAsia="宋体" w:cs="Times New Roman"/>
                <w:color w:val="000000"/>
                <w:kern w:val="0"/>
                <w:sz w:val="21"/>
              </w:rPr>
            </w:pPr>
            <w:r>
              <w:rPr>
                <w:rFonts w:eastAsia="宋体" w:cs="Times New Roman"/>
                <w:color w:val="000000"/>
                <w:kern w:val="0"/>
                <w:sz w:val="21"/>
              </w:rPr>
              <w:t>国标编号</w:t>
            </w:r>
          </w:p>
        </w:tc>
        <w:tc>
          <w:tcPr>
            <w:tcW w:w="4321" w:type="pct"/>
            <w:gridSpan w:val="4"/>
            <w:vAlign w:val="center"/>
          </w:tcPr>
          <w:p>
            <w:pPr>
              <w:jc w:val="center"/>
              <w:rPr>
                <w:rFonts w:eastAsia="宋体" w:cs="Times New Roman"/>
                <w:kern w:val="0"/>
                <w:sz w:val="21"/>
              </w:rPr>
            </w:pPr>
            <w:r>
              <w:rPr>
                <w:rFonts w:eastAsia="宋体" w:cs="Times New Roman"/>
                <w:kern w:val="0"/>
                <w:sz w:val="21"/>
              </w:rPr>
              <w:t>21006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679" w:type="pct"/>
            <w:vAlign w:val="center"/>
          </w:tcPr>
          <w:p>
            <w:pPr>
              <w:jc w:val="center"/>
              <w:rPr>
                <w:rFonts w:eastAsia="宋体" w:cs="Times New Roman"/>
                <w:color w:val="000000"/>
                <w:kern w:val="0"/>
                <w:sz w:val="21"/>
              </w:rPr>
            </w:pPr>
            <w:r>
              <w:rPr>
                <w:rFonts w:eastAsia="宋体" w:cs="Times New Roman"/>
                <w:color w:val="000000"/>
                <w:kern w:val="0"/>
                <w:sz w:val="21"/>
              </w:rPr>
              <w:t>CAS</w:t>
            </w:r>
            <w:r>
              <w:rPr>
                <w:rFonts w:ascii="宋体" w:hAnsi="宋体" w:eastAsia="宋体" w:cs="Times New Roman"/>
                <w:color w:val="000000"/>
                <w:kern w:val="0"/>
                <w:sz w:val="21"/>
              </w:rPr>
              <w:t>号</w:t>
            </w:r>
          </w:p>
        </w:tc>
        <w:tc>
          <w:tcPr>
            <w:tcW w:w="4321" w:type="pct"/>
            <w:gridSpan w:val="4"/>
            <w:vAlign w:val="center"/>
          </w:tcPr>
          <w:p>
            <w:pPr>
              <w:jc w:val="center"/>
              <w:rPr>
                <w:rFonts w:eastAsia="宋体" w:cs="Times New Roman"/>
                <w:kern w:val="0"/>
                <w:sz w:val="21"/>
              </w:rPr>
            </w:pPr>
            <w:r>
              <w:rPr>
                <w:rFonts w:eastAsia="宋体" w:cs="Times New Roman"/>
                <w:kern w:val="0"/>
                <w:sz w:val="21"/>
              </w:rPr>
              <w:t>7783-06-4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679" w:type="pct"/>
            <w:vAlign w:val="center"/>
          </w:tcPr>
          <w:p>
            <w:pPr>
              <w:jc w:val="center"/>
              <w:rPr>
                <w:rFonts w:eastAsia="宋体" w:cs="Times New Roman"/>
                <w:kern w:val="0"/>
                <w:sz w:val="21"/>
              </w:rPr>
            </w:pPr>
            <w:r>
              <w:rPr>
                <w:rFonts w:eastAsia="宋体" w:cs="Times New Roman"/>
                <w:kern w:val="0"/>
                <w:sz w:val="21"/>
              </w:rPr>
              <w:t>中文名称</w:t>
            </w:r>
          </w:p>
        </w:tc>
        <w:tc>
          <w:tcPr>
            <w:tcW w:w="1452" w:type="pct"/>
            <w:vAlign w:val="center"/>
          </w:tcPr>
          <w:p>
            <w:pPr>
              <w:jc w:val="center"/>
              <w:rPr>
                <w:rFonts w:eastAsia="宋体" w:cs="Times New Roman"/>
                <w:kern w:val="0"/>
                <w:sz w:val="21"/>
              </w:rPr>
            </w:pPr>
            <w:r>
              <w:rPr>
                <w:rFonts w:eastAsia="宋体" w:cs="Times New Roman"/>
                <w:kern w:val="0"/>
                <w:sz w:val="21"/>
              </w:rPr>
              <w:t>硫化氢</w:t>
            </w:r>
          </w:p>
        </w:tc>
        <w:tc>
          <w:tcPr>
            <w:tcW w:w="774" w:type="pct"/>
            <w:gridSpan w:val="2"/>
            <w:vAlign w:val="center"/>
          </w:tcPr>
          <w:p>
            <w:pPr>
              <w:jc w:val="center"/>
              <w:rPr>
                <w:rFonts w:eastAsia="宋体" w:cs="Times New Roman"/>
                <w:kern w:val="0"/>
                <w:sz w:val="21"/>
              </w:rPr>
            </w:pPr>
            <w:r>
              <w:rPr>
                <w:rFonts w:eastAsia="宋体" w:cs="Times New Roman"/>
                <w:kern w:val="0"/>
                <w:sz w:val="21"/>
              </w:rPr>
              <w:t>英文名称</w:t>
            </w:r>
          </w:p>
        </w:tc>
        <w:tc>
          <w:tcPr>
            <w:tcW w:w="2095" w:type="pct"/>
            <w:vAlign w:val="center"/>
          </w:tcPr>
          <w:p>
            <w:pPr>
              <w:jc w:val="center"/>
              <w:rPr>
                <w:rFonts w:eastAsia="宋体" w:cs="Times New Roman"/>
                <w:kern w:val="0"/>
                <w:sz w:val="21"/>
              </w:rPr>
            </w:pPr>
            <w:r>
              <w:rPr>
                <w:rFonts w:eastAsia="宋体" w:cs="Times New Roman"/>
                <w:kern w:val="0"/>
                <w:sz w:val="21"/>
              </w:rPr>
              <w:t>hydrogen  sulfide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679" w:type="pct"/>
            <w:vAlign w:val="center"/>
          </w:tcPr>
          <w:p>
            <w:pPr>
              <w:jc w:val="center"/>
              <w:rPr>
                <w:rFonts w:eastAsia="宋体" w:cs="Times New Roman"/>
                <w:kern w:val="0"/>
                <w:sz w:val="21"/>
              </w:rPr>
            </w:pPr>
            <w:r>
              <w:rPr>
                <w:rFonts w:eastAsia="宋体" w:cs="Times New Roman"/>
                <w:kern w:val="0"/>
                <w:sz w:val="21"/>
              </w:rPr>
              <w:t>别 名</w:t>
            </w:r>
          </w:p>
        </w:tc>
        <w:tc>
          <w:tcPr>
            <w:tcW w:w="4321" w:type="pct"/>
            <w:gridSpan w:val="4"/>
            <w:vAlign w:val="center"/>
          </w:tcPr>
          <w:p>
            <w:pPr>
              <w:jc w:val="center"/>
              <w:rPr>
                <w:rFonts w:eastAsia="宋体" w:cs="Times New Roman"/>
                <w:kern w:val="0"/>
                <w:sz w:val="21"/>
              </w:rPr>
            </w:pPr>
            <w:r>
              <w:rPr>
                <w:rFonts w:eastAsia="宋体" w:cs="Times New Roman"/>
                <w:kern w:val="0"/>
                <w:sz w:val="21"/>
              </w:rPr>
              <w:t>氢硫酸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679" w:type="pct"/>
            <w:vAlign w:val="center"/>
          </w:tcPr>
          <w:p>
            <w:pPr>
              <w:jc w:val="center"/>
              <w:rPr>
                <w:rFonts w:eastAsia="宋体" w:cs="Times New Roman"/>
                <w:kern w:val="0"/>
                <w:sz w:val="21"/>
              </w:rPr>
            </w:pPr>
            <w:r>
              <w:rPr>
                <w:rFonts w:eastAsia="宋体" w:cs="Times New Roman"/>
                <w:kern w:val="0"/>
                <w:sz w:val="21"/>
              </w:rPr>
              <w:t>分子式</w:t>
            </w:r>
          </w:p>
        </w:tc>
        <w:tc>
          <w:tcPr>
            <w:tcW w:w="1462" w:type="pct"/>
            <w:gridSpan w:val="2"/>
            <w:vAlign w:val="center"/>
          </w:tcPr>
          <w:p>
            <w:pPr>
              <w:jc w:val="center"/>
              <w:rPr>
                <w:rFonts w:eastAsia="宋体" w:cs="Times New Roman"/>
                <w:kern w:val="0"/>
                <w:sz w:val="21"/>
              </w:rPr>
            </w:pPr>
            <w:r>
              <w:rPr>
                <w:rFonts w:eastAsia="宋体" w:cs="Times New Roman"/>
                <w:kern w:val="0"/>
                <w:sz w:val="21"/>
              </w:rPr>
              <w:t>H</w:t>
            </w:r>
            <w:r>
              <w:rPr>
                <w:rFonts w:eastAsia="宋体" w:cs="Times New Roman"/>
                <w:kern w:val="0"/>
                <w:sz w:val="21"/>
                <w:vertAlign w:val="subscript"/>
              </w:rPr>
              <w:t>2</w:t>
            </w:r>
            <w:r>
              <w:rPr>
                <w:rFonts w:eastAsia="宋体" w:cs="Times New Roman"/>
                <w:kern w:val="0"/>
                <w:sz w:val="21"/>
              </w:rPr>
              <w:t>S</w:t>
            </w:r>
          </w:p>
        </w:tc>
        <w:tc>
          <w:tcPr>
            <w:tcW w:w="764" w:type="pct"/>
            <w:vAlign w:val="center"/>
          </w:tcPr>
          <w:p>
            <w:pPr>
              <w:jc w:val="center"/>
              <w:rPr>
                <w:rFonts w:eastAsia="宋体" w:cs="Times New Roman"/>
                <w:kern w:val="0"/>
                <w:sz w:val="21"/>
              </w:rPr>
            </w:pPr>
            <w:r>
              <w:rPr>
                <w:rFonts w:eastAsia="宋体" w:cs="Times New Roman"/>
                <w:kern w:val="0"/>
                <w:sz w:val="21"/>
              </w:rPr>
              <w:t>外观与</w:t>
            </w:r>
          </w:p>
          <w:p>
            <w:pPr>
              <w:jc w:val="center"/>
              <w:rPr>
                <w:rFonts w:eastAsia="宋体" w:cs="Times New Roman"/>
                <w:kern w:val="0"/>
                <w:sz w:val="21"/>
              </w:rPr>
            </w:pPr>
            <w:r>
              <w:rPr>
                <w:rFonts w:eastAsia="宋体" w:cs="Times New Roman"/>
                <w:kern w:val="0"/>
                <w:sz w:val="21"/>
              </w:rPr>
              <w:t>性状</w:t>
            </w:r>
          </w:p>
        </w:tc>
        <w:tc>
          <w:tcPr>
            <w:tcW w:w="2095" w:type="pct"/>
            <w:vAlign w:val="center"/>
          </w:tcPr>
          <w:p>
            <w:pPr>
              <w:jc w:val="center"/>
              <w:rPr>
                <w:rFonts w:eastAsia="宋体" w:cs="Times New Roman"/>
                <w:kern w:val="0"/>
                <w:sz w:val="21"/>
              </w:rPr>
            </w:pPr>
            <w:r>
              <w:rPr>
                <w:rFonts w:eastAsia="宋体" w:cs="Times New Roman"/>
                <w:kern w:val="0"/>
                <w:sz w:val="21"/>
              </w:rPr>
              <w:t>无色有恶臭气体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679" w:type="pct"/>
            <w:vAlign w:val="center"/>
          </w:tcPr>
          <w:p>
            <w:pPr>
              <w:jc w:val="center"/>
              <w:rPr>
                <w:rFonts w:eastAsia="宋体" w:cs="Times New Roman"/>
                <w:kern w:val="0"/>
                <w:sz w:val="21"/>
              </w:rPr>
            </w:pPr>
            <w:r>
              <w:rPr>
                <w:rFonts w:eastAsia="宋体" w:cs="Times New Roman"/>
                <w:kern w:val="0"/>
                <w:sz w:val="21"/>
              </w:rPr>
              <w:t>分子量</w:t>
            </w:r>
          </w:p>
        </w:tc>
        <w:tc>
          <w:tcPr>
            <w:tcW w:w="1462" w:type="pct"/>
            <w:gridSpan w:val="2"/>
            <w:vAlign w:val="center"/>
          </w:tcPr>
          <w:p>
            <w:pPr>
              <w:jc w:val="center"/>
              <w:rPr>
                <w:rFonts w:eastAsia="宋体" w:cs="Times New Roman"/>
                <w:kern w:val="0"/>
                <w:sz w:val="21"/>
              </w:rPr>
            </w:pPr>
            <w:r>
              <w:rPr>
                <w:rFonts w:eastAsia="宋体" w:cs="Times New Roman"/>
                <w:kern w:val="0"/>
                <w:sz w:val="21"/>
              </w:rPr>
              <w:t>34.08</w:t>
            </w:r>
          </w:p>
        </w:tc>
        <w:tc>
          <w:tcPr>
            <w:tcW w:w="764" w:type="pct"/>
            <w:vAlign w:val="center"/>
          </w:tcPr>
          <w:p>
            <w:pPr>
              <w:jc w:val="center"/>
              <w:rPr>
                <w:rFonts w:eastAsia="宋体" w:cs="Times New Roman"/>
                <w:kern w:val="0"/>
                <w:sz w:val="21"/>
              </w:rPr>
            </w:pPr>
            <w:r>
              <w:rPr>
                <w:rFonts w:eastAsia="宋体" w:cs="Times New Roman"/>
                <w:kern w:val="0"/>
                <w:sz w:val="21"/>
              </w:rPr>
              <w:t>蒸汽压</w:t>
            </w:r>
          </w:p>
        </w:tc>
        <w:tc>
          <w:tcPr>
            <w:tcW w:w="2095" w:type="pct"/>
            <w:vAlign w:val="center"/>
          </w:tcPr>
          <w:p>
            <w:pPr>
              <w:jc w:val="center"/>
              <w:rPr>
                <w:rFonts w:eastAsia="宋体" w:cs="Times New Roman"/>
                <w:kern w:val="0"/>
                <w:sz w:val="21"/>
              </w:rPr>
            </w:pPr>
            <w:r>
              <w:rPr>
                <w:rFonts w:eastAsia="宋体" w:cs="Times New Roman"/>
                <w:kern w:val="0"/>
                <w:sz w:val="21"/>
              </w:rPr>
              <w:t>2026.5kPa/25.5</w:t>
            </w:r>
            <w:r>
              <w:rPr>
                <w:rFonts w:hint="eastAsia" w:ascii="宋体" w:hAnsi="宋体" w:eastAsia="宋体" w:cs="Times New Roman"/>
                <w:kern w:val="0"/>
                <w:sz w:val="21"/>
              </w:rPr>
              <w:t>℃</w:t>
            </w:r>
            <w:r>
              <w:rPr>
                <w:rFonts w:eastAsia="宋体" w:cs="Times New Roman"/>
                <w:kern w:val="0"/>
                <w:sz w:val="21"/>
              </w:rPr>
              <w:t xml:space="preserve"> 闪点：&lt;-50</w:t>
            </w:r>
            <w:r>
              <w:rPr>
                <w:rFonts w:hint="eastAsia" w:ascii="宋体" w:hAnsi="宋体" w:eastAsia="宋体" w:cs="Times New Roman"/>
                <w:kern w:val="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679" w:type="pct"/>
            <w:vAlign w:val="center"/>
          </w:tcPr>
          <w:p>
            <w:pPr>
              <w:jc w:val="center"/>
              <w:rPr>
                <w:rFonts w:eastAsia="宋体" w:cs="Times New Roman"/>
                <w:kern w:val="0"/>
                <w:sz w:val="21"/>
              </w:rPr>
            </w:pPr>
            <w:r>
              <w:rPr>
                <w:rFonts w:eastAsia="宋体" w:cs="Times New Roman"/>
                <w:kern w:val="0"/>
                <w:sz w:val="21"/>
              </w:rPr>
              <w:t>熔 点</w:t>
            </w:r>
          </w:p>
        </w:tc>
        <w:tc>
          <w:tcPr>
            <w:tcW w:w="1462" w:type="pct"/>
            <w:gridSpan w:val="2"/>
            <w:vAlign w:val="center"/>
          </w:tcPr>
          <w:p>
            <w:pPr>
              <w:jc w:val="center"/>
              <w:rPr>
                <w:rFonts w:eastAsia="宋体" w:cs="Times New Roman"/>
                <w:kern w:val="0"/>
                <w:sz w:val="21"/>
              </w:rPr>
            </w:pPr>
            <w:r>
              <w:rPr>
                <w:rFonts w:eastAsia="宋体" w:cs="Times New Roman"/>
                <w:kern w:val="0"/>
                <w:sz w:val="21"/>
              </w:rPr>
              <w:t>85.5</w:t>
            </w:r>
            <w:r>
              <w:rPr>
                <w:rFonts w:hint="eastAsia" w:ascii="宋体" w:hAnsi="宋体" w:eastAsia="宋体" w:cs="Times New Roman"/>
                <w:kern w:val="0"/>
                <w:sz w:val="21"/>
              </w:rPr>
              <w:t>℃</w:t>
            </w:r>
            <w:r>
              <w:rPr>
                <w:rFonts w:eastAsia="宋体" w:cs="Times New Roman"/>
                <w:kern w:val="0"/>
                <w:sz w:val="21"/>
              </w:rPr>
              <w:t xml:space="preserve"> 沸点：-60.4</w:t>
            </w:r>
            <w:r>
              <w:rPr>
                <w:rFonts w:hint="eastAsia" w:ascii="宋体" w:hAnsi="宋体" w:eastAsia="宋体" w:cs="Times New Roman"/>
                <w:kern w:val="0"/>
                <w:sz w:val="21"/>
              </w:rPr>
              <w:t>℃</w:t>
            </w:r>
          </w:p>
        </w:tc>
        <w:tc>
          <w:tcPr>
            <w:tcW w:w="764" w:type="pct"/>
            <w:vAlign w:val="center"/>
          </w:tcPr>
          <w:p>
            <w:pPr>
              <w:jc w:val="center"/>
              <w:rPr>
                <w:rFonts w:eastAsia="宋体" w:cs="Times New Roman"/>
                <w:kern w:val="0"/>
                <w:sz w:val="21"/>
              </w:rPr>
            </w:pPr>
            <w:r>
              <w:rPr>
                <w:rFonts w:eastAsia="宋体" w:cs="Times New Roman"/>
                <w:kern w:val="0"/>
                <w:sz w:val="21"/>
              </w:rPr>
              <w:t>溶解性</w:t>
            </w:r>
          </w:p>
        </w:tc>
        <w:tc>
          <w:tcPr>
            <w:tcW w:w="2095" w:type="pct"/>
            <w:vAlign w:val="center"/>
          </w:tcPr>
          <w:p>
            <w:pPr>
              <w:jc w:val="center"/>
              <w:rPr>
                <w:rFonts w:eastAsia="宋体" w:cs="Times New Roman"/>
                <w:kern w:val="0"/>
                <w:sz w:val="21"/>
              </w:rPr>
            </w:pPr>
            <w:r>
              <w:rPr>
                <w:rFonts w:eastAsia="宋体" w:cs="Times New Roman"/>
                <w:kern w:val="0"/>
                <w:sz w:val="21"/>
              </w:rPr>
              <w:t>溶于水、乙醇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679" w:type="pct"/>
            <w:vAlign w:val="center"/>
          </w:tcPr>
          <w:p>
            <w:pPr>
              <w:jc w:val="center"/>
              <w:rPr>
                <w:rFonts w:eastAsia="宋体" w:cs="Times New Roman"/>
                <w:kern w:val="0"/>
                <w:sz w:val="21"/>
              </w:rPr>
            </w:pPr>
            <w:r>
              <w:rPr>
                <w:rFonts w:eastAsia="宋体" w:cs="Times New Roman"/>
                <w:kern w:val="0"/>
                <w:sz w:val="21"/>
              </w:rPr>
              <w:t>密 度</w:t>
            </w:r>
          </w:p>
        </w:tc>
        <w:tc>
          <w:tcPr>
            <w:tcW w:w="1462" w:type="pct"/>
            <w:gridSpan w:val="2"/>
            <w:vAlign w:val="center"/>
          </w:tcPr>
          <w:p>
            <w:pPr>
              <w:rPr>
                <w:rFonts w:eastAsia="宋体" w:cs="Times New Roman"/>
                <w:kern w:val="0"/>
                <w:sz w:val="21"/>
              </w:rPr>
            </w:pPr>
            <w:r>
              <w:rPr>
                <w:rFonts w:eastAsia="宋体" w:cs="Times New Roman"/>
                <w:kern w:val="0"/>
                <w:sz w:val="21"/>
              </w:rPr>
              <w:t>相对密度(</w:t>
            </w:r>
            <w:r>
              <w:rPr>
                <w:rFonts w:ascii="宋体" w:hAnsi="宋体" w:eastAsia="宋体" w:cs="Times New Roman"/>
                <w:kern w:val="0"/>
                <w:sz w:val="21"/>
              </w:rPr>
              <w:t>空气</w:t>
            </w:r>
            <w:r>
              <w:rPr>
                <w:rFonts w:eastAsia="宋体" w:cs="Times New Roman"/>
                <w:kern w:val="0"/>
                <w:sz w:val="21"/>
              </w:rPr>
              <w:t>=1)1.19</w:t>
            </w:r>
          </w:p>
        </w:tc>
        <w:tc>
          <w:tcPr>
            <w:tcW w:w="764" w:type="pct"/>
            <w:vAlign w:val="center"/>
          </w:tcPr>
          <w:p>
            <w:pPr>
              <w:jc w:val="center"/>
              <w:rPr>
                <w:rFonts w:eastAsia="宋体" w:cs="Times New Roman"/>
                <w:kern w:val="0"/>
                <w:sz w:val="21"/>
              </w:rPr>
            </w:pPr>
            <w:r>
              <w:rPr>
                <w:rFonts w:eastAsia="宋体" w:cs="Times New Roman"/>
                <w:kern w:val="0"/>
                <w:sz w:val="21"/>
              </w:rPr>
              <w:t>稳定性</w:t>
            </w:r>
          </w:p>
        </w:tc>
        <w:tc>
          <w:tcPr>
            <w:tcW w:w="2095" w:type="pct"/>
            <w:vAlign w:val="center"/>
          </w:tcPr>
          <w:p>
            <w:pPr>
              <w:jc w:val="center"/>
              <w:rPr>
                <w:rFonts w:eastAsia="宋体" w:cs="Times New Roman"/>
                <w:kern w:val="0"/>
                <w:sz w:val="21"/>
              </w:rPr>
            </w:pPr>
            <w:r>
              <w:rPr>
                <w:rFonts w:eastAsia="宋体" w:cs="Times New Roman"/>
                <w:kern w:val="0"/>
                <w:sz w:val="21"/>
              </w:rPr>
              <w:t>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79" w:type="pct"/>
            <w:vAlign w:val="center"/>
          </w:tcPr>
          <w:p>
            <w:pPr>
              <w:jc w:val="center"/>
              <w:rPr>
                <w:rFonts w:eastAsia="宋体" w:cs="Times New Roman"/>
                <w:kern w:val="0"/>
                <w:sz w:val="21"/>
              </w:rPr>
            </w:pPr>
            <w:r>
              <w:rPr>
                <w:rFonts w:eastAsia="宋体" w:cs="Times New Roman"/>
                <w:kern w:val="0"/>
                <w:sz w:val="21"/>
              </w:rPr>
              <w:t>危险标记</w:t>
            </w:r>
          </w:p>
        </w:tc>
        <w:tc>
          <w:tcPr>
            <w:tcW w:w="1462" w:type="pct"/>
            <w:gridSpan w:val="2"/>
            <w:vAlign w:val="center"/>
          </w:tcPr>
          <w:p>
            <w:pPr>
              <w:jc w:val="center"/>
              <w:rPr>
                <w:rFonts w:eastAsia="宋体" w:cs="Times New Roman"/>
                <w:kern w:val="0"/>
                <w:sz w:val="21"/>
              </w:rPr>
            </w:pPr>
            <w:r>
              <w:rPr>
                <w:rFonts w:eastAsia="宋体" w:cs="Times New Roman"/>
                <w:kern w:val="0"/>
                <w:sz w:val="21"/>
              </w:rPr>
              <w:t>4(</w:t>
            </w:r>
            <w:r>
              <w:rPr>
                <w:rFonts w:ascii="宋体" w:hAnsi="宋体" w:eastAsia="宋体" w:cs="Times New Roman"/>
                <w:kern w:val="0"/>
                <w:sz w:val="21"/>
              </w:rPr>
              <w:t>易燃气体</w:t>
            </w:r>
            <w:r>
              <w:rPr>
                <w:rFonts w:eastAsia="宋体" w:cs="Times New Roman"/>
                <w:kern w:val="0"/>
                <w:sz w:val="21"/>
              </w:rPr>
              <w:t>)</w:t>
            </w:r>
          </w:p>
        </w:tc>
        <w:tc>
          <w:tcPr>
            <w:tcW w:w="764" w:type="pct"/>
            <w:vAlign w:val="center"/>
          </w:tcPr>
          <w:p>
            <w:pPr>
              <w:jc w:val="center"/>
              <w:rPr>
                <w:rFonts w:eastAsia="宋体" w:cs="Times New Roman"/>
                <w:kern w:val="0"/>
                <w:sz w:val="21"/>
              </w:rPr>
            </w:pPr>
            <w:r>
              <w:rPr>
                <w:rFonts w:eastAsia="宋体" w:cs="Times New Roman"/>
                <w:kern w:val="0"/>
                <w:sz w:val="21"/>
              </w:rPr>
              <w:t>主要用途</w:t>
            </w:r>
          </w:p>
        </w:tc>
        <w:tc>
          <w:tcPr>
            <w:tcW w:w="2095" w:type="pct"/>
            <w:vAlign w:val="center"/>
          </w:tcPr>
          <w:p>
            <w:pPr>
              <w:jc w:val="left"/>
              <w:rPr>
                <w:rFonts w:eastAsia="宋体" w:cs="Times New Roman"/>
                <w:kern w:val="0"/>
                <w:sz w:val="21"/>
              </w:rPr>
            </w:pPr>
            <w:r>
              <w:rPr>
                <w:rFonts w:eastAsia="宋体" w:cs="Times New Roman"/>
                <w:kern w:val="0"/>
                <w:sz w:val="21"/>
              </w:rPr>
              <w:t>用于化学分析如鉴定金属离子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79" w:type="pct"/>
            <w:vAlign w:val="center"/>
          </w:tcPr>
          <w:p>
            <w:pPr>
              <w:jc w:val="center"/>
              <w:rPr>
                <w:rFonts w:eastAsia="宋体" w:cs="Times New Roman"/>
                <w:kern w:val="0"/>
                <w:sz w:val="21"/>
              </w:rPr>
            </w:pPr>
            <w:r>
              <w:rPr>
                <w:rFonts w:eastAsia="宋体" w:cs="Times New Roman"/>
                <w:kern w:val="0"/>
                <w:sz w:val="21"/>
              </w:rPr>
              <w:t>对</w:t>
            </w:r>
          </w:p>
          <w:p>
            <w:pPr>
              <w:jc w:val="center"/>
              <w:rPr>
                <w:rFonts w:eastAsia="宋体" w:cs="Times New Roman"/>
                <w:kern w:val="0"/>
                <w:sz w:val="21"/>
              </w:rPr>
            </w:pPr>
            <w:r>
              <w:rPr>
                <w:rFonts w:eastAsia="宋体" w:cs="Times New Roman"/>
                <w:kern w:val="0"/>
                <w:sz w:val="21"/>
              </w:rPr>
              <w:t>环</w:t>
            </w:r>
          </w:p>
          <w:p>
            <w:pPr>
              <w:jc w:val="center"/>
              <w:rPr>
                <w:rFonts w:eastAsia="宋体" w:cs="Times New Roman"/>
                <w:kern w:val="0"/>
                <w:sz w:val="21"/>
              </w:rPr>
            </w:pPr>
            <w:r>
              <w:rPr>
                <w:rFonts w:eastAsia="宋体" w:cs="Times New Roman"/>
                <w:kern w:val="0"/>
                <w:sz w:val="21"/>
              </w:rPr>
              <w:t>境</w:t>
            </w:r>
          </w:p>
          <w:p>
            <w:pPr>
              <w:jc w:val="center"/>
              <w:rPr>
                <w:rFonts w:eastAsia="宋体" w:cs="Times New Roman"/>
                <w:kern w:val="0"/>
                <w:sz w:val="21"/>
              </w:rPr>
            </w:pPr>
            <w:r>
              <w:rPr>
                <w:rFonts w:eastAsia="宋体" w:cs="Times New Roman"/>
                <w:kern w:val="0"/>
                <w:sz w:val="21"/>
              </w:rPr>
              <w:t>的</w:t>
            </w:r>
          </w:p>
          <w:p>
            <w:pPr>
              <w:jc w:val="center"/>
              <w:rPr>
                <w:rFonts w:eastAsia="宋体" w:cs="Times New Roman"/>
                <w:kern w:val="0"/>
                <w:sz w:val="21"/>
              </w:rPr>
            </w:pPr>
            <w:r>
              <w:rPr>
                <w:rFonts w:eastAsia="宋体" w:cs="Times New Roman"/>
                <w:kern w:val="0"/>
                <w:sz w:val="21"/>
              </w:rPr>
              <w:t>影</w:t>
            </w:r>
          </w:p>
          <w:p>
            <w:pPr>
              <w:jc w:val="center"/>
              <w:rPr>
                <w:rFonts w:eastAsia="宋体" w:cs="Times New Roman"/>
                <w:kern w:val="0"/>
                <w:sz w:val="21"/>
              </w:rPr>
            </w:pPr>
            <w:r>
              <w:rPr>
                <w:rFonts w:eastAsia="宋体" w:cs="Times New Roman"/>
                <w:kern w:val="0"/>
                <w:sz w:val="21"/>
              </w:rPr>
              <w:t>响</w:t>
            </w:r>
          </w:p>
        </w:tc>
        <w:tc>
          <w:tcPr>
            <w:tcW w:w="4321" w:type="pct"/>
            <w:gridSpan w:val="4"/>
            <w:vAlign w:val="center"/>
          </w:tcPr>
          <w:p>
            <w:pPr>
              <w:rPr>
                <w:rFonts w:eastAsia="宋体" w:cs="Times New Roman"/>
                <w:kern w:val="0"/>
                <w:sz w:val="21"/>
              </w:rPr>
            </w:pPr>
            <w:r>
              <w:rPr>
                <w:rFonts w:eastAsia="宋体" w:cs="Times New Roman"/>
                <w:kern w:val="0"/>
                <w:sz w:val="21"/>
              </w:rPr>
              <w:t>（1</w:t>
            </w:r>
            <w:r>
              <w:rPr>
                <w:rFonts w:ascii="宋体" w:hAnsi="宋体" w:eastAsia="宋体" w:cs="Times New Roman"/>
                <w:kern w:val="0"/>
                <w:sz w:val="21"/>
              </w:rPr>
              <w:t>）健康危害</w:t>
            </w:r>
          </w:p>
          <w:p>
            <w:pPr>
              <w:rPr>
                <w:rFonts w:eastAsia="宋体" w:cs="Times New Roman"/>
                <w:kern w:val="0"/>
                <w:sz w:val="21"/>
              </w:rPr>
            </w:pPr>
            <w:r>
              <w:rPr>
                <w:rFonts w:eastAsia="宋体" w:cs="Times New Roman"/>
                <w:kern w:val="0"/>
                <w:sz w:val="21"/>
              </w:rPr>
              <w:t>侵入途径：吸入。</w:t>
            </w:r>
          </w:p>
          <w:p>
            <w:pPr>
              <w:rPr>
                <w:rFonts w:eastAsia="宋体" w:cs="Times New Roman"/>
                <w:kern w:val="0"/>
                <w:sz w:val="21"/>
              </w:rPr>
            </w:pPr>
            <w:r>
              <w:rPr>
                <w:rFonts w:eastAsia="宋体" w:cs="Times New Roman"/>
                <w:kern w:val="0"/>
                <w:sz w:val="21"/>
              </w:rPr>
              <w:t>健康危害：本品是强烈的神经毒物，对粘膜有强烈刺激作用。</w:t>
            </w:r>
          </w:p>
          <w:p>
            <w:pPr>
              <w:rPr>
                <w:rFonts w:eastAsia="宋体" w:cs="Times New Roman"/>
                <w:kern w:val="0"/>
                <w:sz w:val="21"/>
              </w:rPr>
            </w:pPr>
            <w:r>
              <w:rPr>
                <w:rFonts w:eastAsia="宋体" w:cs="Times New Roman"/>
                <w:kern w:val="0"/>
                <w:sz w:val="21"/>
              </w:rPr>
              <w:t>（2</w:t>
            </w:r>
            <w:r>
              <w:rPr>
                <w:rFonts w:ascii="宋体" w:hAnsi="宋体" w:eastAsia="宋体" w:cs="Times New Roman"/>
                <w:kern w:val="0"/>
                <w:sz w:val="21"/>
              </w:rPr>
              <w:t>）毒理学资料及环境行为</w:t>
            </w:r>
          </w:p>
          <w:p>
            <w:pPr>
              <w:rPr>
                <w:rFonts w:eastAsia="宋体" w:cs="Times New Roman"/>
                <w:kern w:val="0"/>
                <w:sz w:val="21"/>
              </w:rPr>
            </w:pPr>
            <w:r>
              <w:rPr>
                <w:rFonts w:eastAsia="宋体" w:cs="Times New Roman"/>
                <w:kern w:val="0"/>
                <w:sz w:val="21"/>
              </w:rPr>
              <w:t>急性毒性：LC50618mg/m</w:t>
            </w:r>
            <w:r>
              <w:rPr>
                <w:rFonts w:eastAsia="宋体" w:cs="Times New Roman"/>
                <w:kern w:val="0"/>
                <w:sz w:val="21"/>
                <w:vertAlign w:val="superscript"/>
              </w:rPr>
              <w:t>3</w:t>
            </w:r>
            <w:r>
              <w:rPr>
                <w:rFonts w:eastAsia="宋体" w:cs="Times New Roman"/>
                <w:kern w:val="0"/>
                <w:sz w:val="21"/>
              </w:rPr>
              <w:t>(</w:t>
            </w:r>
            <w:r>
              <w:rPr>
                <w:rFonts w:ascii="宋体" w:hAnsi="宋体" w:eastAsia="宋体" w:cs="Times New Roman"/>
                <w:kern w:val="0"/>
                <w:sz w:val="21"/>
              </w:rPr>
              <w:t>大鼠吸入</w:t>
            </w:r>
            <w:r>
              <w:rPr>
                <w:rFonts w:eastAsia="宋体" w:cs="Times New Roman"/>
                <w:kern w:val="0"/>
                <w:sz w:val="21"/>
              </w:rPr>
              <w:t xml:space="preserve">) </w:t>
            </w:r>
            <w:r>
              <w:rPr>
                <w:rFonts w:ascii="宋体" w:hAnsi="宋体" w:eastAsia="宋体" w:cs="Times New Roman"/>
                <w:kern w:val="0"/>
                <w:sz w:val="21"/>
              </w:rPr>
              <w:t>亚急性和慢性毒性：家兔吸入</w:t>
            </w:r>
            <w:r>
              <w:rPr>
                <w:rFonts w:eastAsia="宋体" w:cs="Times New Roman"/>
                <w:kern w:val="0"/>
                <w:sz w:val="21"/>
              </w:rPr>
              <w:t>0.01mg/L</w:t>
            </w:r>
            <w:r>
              <w:rPr>
                <w:rFonts w:ascii="宋体" w:hAnsi="宋体" w:eastAsia="宋体" w:cs="Times New Roman"/>
                <w:kern w:val="0"/>
                <w:sz w:val="21"/>
              </w:rPr>
              <w:t>，</w:t>
            </w:r>
            <w:r>
              <w:rPr>
                <w:rFonts w:eastAsia="宋体" w:cs="Times New Roman"/>
                <w:kern w:val="0"/>
                <w:sz w:val="21"/>
              </w:rPr>
              <w:t>2</w:t>
            </w:r>
            <w:r>
              <w:rPr>
                <w:rFonts w:ascii="宋体" w:hAnsi="宋体" w:eastAsia="宋体" w:cs="Times New Roman"/>
                <w:kern w:val="0"/>
                <w:sz w:val="21"/>
              </w:rPr>
              <w:t>小时</w:t>
            </w:r>
            <w:r>
              <w:rPr>
                <w:rFonts w:eastAsia="宋体" w:cs="Times New Roman"/>
                <w:kern w:val="0"/>
                <w:sz w:val="21"/>
              </w:rPr>
              <w:t>/</w:t>
            </w:r>
            <w:r>
              <w:rPr>
                <w:rFonts w:ascii="宋体" w:hAnsi="宋体" w:eastAsia="宋体" w:cs="Times New Roman"/>
                <w:kern w:val="0"/>
                <w:sz w:val="21"/>
              </w:rPr>
              <w:t>天，</w:t>
            </w:r>
            <w:r>
              <w:rPr>
                <w:rFonts w:eastAsia="宋体" w:cs="Times New Roman"/>
                <w:kern w:val="0"/>
                <w:sz w:val="21"/>
              </w:rPr>
              <w:t>3</w:t>
            </w:r>
            <w:r>
              <w:rPr>
                <w:rFonts w:ascii="宋体" w:hAnsi="宋体" w:eastAsia="宋体" w:cs="Times New Roman"/>
                <w:kern w:val="0"/>
                <w:sz w:val="21"/>
              </w:rPr>
              <w:t>个月，引起中枢神经系统的机能改变，气管、支气管粘膜刺激症状，大脑皮层出现病理改变。小鼠长期接触低浓度硫化氟，有小气道损害。</w:t>
            </w:r>
          </w:p>
          <w:p>
            <w:pPr>
              <w:rPr>
                <w:rFonts w:eastAsia="宋体" w:cs="Times New Roman"/>
                <w:kern w:val="0"/>
                <w:sz w:val="21"/>
              </w:rPr>
            </w:pPr>
            <w:r>
              <w:rPr>
                <w:rFonts w:eastAsia="宋体" w:cs="Times New Roman"/>
                <w:kern w:val="0"/>
                <w:sz w:val="21"/>
              </w:rPr>
              <w:t>污染来源：硫化氢很少用于工业生产中，一般作为某些化学反应和蛋白质自然分解过程的产物以及某些天然物的成分和杂质，而经常存在于多种生产过程中以及自然界中。如采矿和有色金属冶炼。煤的低温焦化，含硫石油开采、提炼，橡胶、制革、染料、制糖等工业中都有硫化氢产生。开挖和整治沼泽地、沟渠、印染、下水道、隧道以及清除垃圾、粪便等作业，还有天然气、火山喷气、矿泉中也常伴有硫化氢存在。</w:t>
            </w:r>
          </w:p>
          <w:p>
            <w:pPr>
              <w:rPr>
                <w:rFonts w:eastAsia="宋体" w:cs="Times New Roman"/>
                <w:kern w:val="0"/>
                <w:sz w:val="21"/>
              </w:rPr>
            </w:pPr>
            <w:r>
              <w:rPr>
                <w:rFonts w:eastAsia="宋体" w:cs="Times New Roman"/>
                <w:kern w:val="0"/>
                <w:sz w:val="21"/>
              </w:rPr>
              <w:t>危险特性：易燃，与空气混合能形成爆炸性混合物，遇明火、高热能引起燃烧爆炸。与浓硝酸、发烟硫酸或其它强氧化剂剧烈反应，发生爆炸。气体比空气重，能在较低处扩散到相当远的地方，遇明火会引起回燃。</w:t>
            </w:r>
          </w:p>
          <w:p>
            <w:pPr>
              <w:rPr>
                <w:rFonts w:eastAsia="宋体" w:cs="Times New Roman"/>
                <w:kern w:val="0"/>
                <w:sz w:val="21"/>
              </w:rPr>
            </w:pPr>
            <w:r>
              <w:rPr>
                <w:rFonts w:eastAsia="宋体" w:cs="Times New Roman"/>
                <w:kern w:val="0"/>
                <w:sz w:val="21"/>
              </w:rPr>
              <w:t>燃烧(</w:t>
            </w:r>
            <w:r>
              <w:rPr>
                <w:rFonts w:ascii="宋体" w:hAnsi="宋体" w:eastAsia="宋体" w:cs="Times New Roman"/>
                <w:kern w:val="0"/>
                <w:sz w:val="21"/>
              </w:rPr>
              <w:t>分解</w:t>
            </w:r>
            <w:r>
              <w:rPr>
                <w:rFonts w:eastAsia="宋体" w:cs="Times New Roman"/>
                <w:kern w:val="0"/>
                <w:sz w:val="21"/>
              </w:rPr>
              <w:t>)</w:t>
            </w:r>
            <w:r>
              <w:rPr>
                <w:rFonts w:ascii="宋体" w:hAnsi="宋体" w:eastAsia="宋体" w:cs="Times New Roman"/>
                <w:kern w:val="0"/>
                <w:sz w:val="21"/>
              </w:rPr>
              <w:t>产物：氧化硫。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79" w:type="pct"/>
            <w:vAlign w:val="center"/>
          </w:tcPr>
          <w:p>
            <w:pPr>
              <w:jc w:val="center"/>
              <w:rPr>
                <w:rFonts w:eastAsia="宋体" w:cs="Times New Roman"/>
                <w:kern w:val="0"/>
                <w:sz w:val="21"/>
              </w:rPr>
            </w:pPr>
            <w:r>
              <w:rPr>
                <w:rFonts w:eastAsia="宋体" w:cs="Times New Roman"/>
                <w:kern w:val="0"/>
                <w:sz w:val="21"/>
              </w:rPr>
              <w:t>应</w:t>
            </w:r>
          </w:p>
          <w:p>
            <w:pPr>
              <w:jc w:val="center"/>
              <w:rPr>
                <w:rFonts w:eastAsia="宋体" w:cs="Times New Roman"/>
                <w:kern w:val="0"/>
                <w:sz w:val="21"/>
              </w:rPr>
            </w:pPr>
            <w:r>
              <w:rPr>
                <w:rFonts w:eastAsia="宋体" w:cs="Times New Roman"/>
                <w:kern w:val="0"/>
                <w:sz w:val="21"/>
              </w:rPr>
              <w:t>急</w:t>
            </w:r>
          </w:p>
          <w:p>
            <w:pPr>
              <w:jc w:val="center"/>
              <w:rPr>
                <w:rFonts w:eastAsia="宋体" w:cs="Times New Roman"/>
                <w:kern w:val="0"/>
                <w:sz w:val="21"/>
              </w:rPr>
            </w:pPr>
            <w:r>
              <w:rPr>
                <w:rFonts w:eastAsia="宋体" w:cs="Times New Roman"/>
                <w:kern w:val="0"/>
                <w:sz w:val="21"/>
              </w:rPr>
              <w:t>处</w:t>
            </w:r>
          </w:p>
          <w:p>
            <w:pPr>
              <w:jc w:val="center"/>
              <w:rPr>
                <w:rFonts w:eastAsia="宋体" w:cs="Times New Roman"/>
                <w:kern w:val="0"/>
                <w:sz w:val="21"/>
              </w:rPr>
            </w:pPr>
            <w:r>
              <w:rPr>
                <w:rFonts w:eastAsia="宋体" w:cs="Times New Roman"/>
                <w:kern w:val="0"/>
                <w:sz w:val="21"/>
              </w:rPr>
              <w:t>理</w:t>
            </w:r>
          </w:p>
          <w:p>
            <w:pPr>
              <w:jc w:val="center"/>
              <w:rPr>
                <w:rFonts w:eastAsia="宋体" w:cs="Times New Roman"/>
                <w:kern w:val="0"/>
                <w:sz w:val="21"/>
              </w:rPr>
            </w:pPr>
            <w:r>
              <w:rPr>
                <w:rFonts w:eastAsia="宋体" w:cs="Times New Roman"/>
                <w:kern w:val="0"/>
                <w:sz w:val="21"/>
              </w:rPr>
              <w:t>处</w:t>
            </w:r>
          </w:p>
          <w:p>
            <w:pPr>
              <w:jc w:val="center"/>
              <w:rPr>
                <w:rFonts w:eastAsia="宋体" w:cs="Times New Roman"/>
                <w:kern w:val="0"/>
                <w:sz w:val="21"/>
              </w:rPr>
            </w:pPr>
            <w:r>
              <w:rPr>
                <w:rFonts w:eastAsia="宋体" w:cs="Times New Roman"/>
                <w:kern w:val="0"/>
                <w:sz w:val="21"/>
              </w:rPr>
              <w:t>置</w:t>
            </w:r>
          </w:p>
          <w:p>
            <w:pPr>
              <w:jc w:val="center"/>
              <w:rPr>
                <w:rFonts w:eastAsia="宋体" w:cs="Times New Roman"/>
                <w:kern w:val="0"/>
                <w:sz w:val="21"/>
              </w:rPr>
            </w:pPr>
            <w:r>
              <w:rPr>
                <w:rFonts w:eastAsia="宋体" w:cs="Times New Roman"/>
                <w:kern w:val="0"/>
                <w:sz w:val="21"/>
              </w:rPr>
              <w:t>方</w:t>
            </w:r>
          </w:p>
          <w:p>
            <w:pPr>
              <w:jc w:val="center"/>
              <w:rPr>
                <w:rFonts w:eastAsia="宋体" w:cs="Times New Roman"/>
                <w:kern w:val="0"/>
                <w:sz w:val="21"/>
              </w:rPr>
            </w:pPr>
            <w:r>
              <w:rPr>
                <w:rFonts w:eastAsia="宋体" w:cs="Times New Roman"/>
                <w:kern w:val="0"/>
                <w:sz w:val="21"/>
              </w:rPr>
              <w:t>法</w:t>
            </w:r>
          </w:p>
        </w:tc>
        <w:tc>
          <w:tcPr>
            <w:tcW w:w="4321" w:type="pct"/>
            <w:gridSpan w:val="4"/>
            <w:vAlign w:val="center"/>
          </w:tcPr>
          <w:p>
            <w:pPr>
              <w:rPr>
                <w:rFonts w:eastAsia="宋体" w:cs="Times New Roman"/>
                <w:kern w:val="0"/>
                <w:sz w:val="21"/>
              </w:rPr>
            </w:pPr>
            <w:r>
              <w:rPr>
                <w:rFonts w:eastAsia="宋体" w:cs="Times New Roman"/>
                <w:kern w:val="0"/>
                <w:sz w:val="21"/>
              </w:rPr>
              <w:t>（1</w:t>
            </w:r>
            <w:r>
              <w:rPr>
                <w:rFonts w:ascii="宋体" w:hAnsi="宋体" w:eastAsia="宋体" w:cs="Times New Roman"/>
                <w:kern w:val="0"/>
                <w:sz w:val="21"/>
              </w:rPr>
              <w:t>）泄漏应急处理</w:t>
            </w:r>
          </w:p>
          <w:p>
            <w:pPr>
              <w:rPr>
                <w:rFonts w:eastAsia="宋体" w:cs="Times New Roman"/>
                <w:kern w:val="0"/>
                <w:sz w:val="21"/>
              </w:rPr>
            </w:pPr>
            <w:r>
              <w:rPr>
                <w:rFonts w:eastAsia="宋体" w:cs="Times New Roman"/>
                <w:kern w:val="0"/>
                <w:sz w:val="21"/>
              </w:rPr>
              <w:t>迅速撤离泄漏污染区人员至上风处，并立即进行隔离，小泄漏时隔离150m</w:t>
            </w:r>
            <w:r>
              <w:rPr>
                <w:rFonts w:ascii="宋体" w:hAnsi="宋体" w:eastAsia="宋体" w:cs="Times New Roman"/>
                <w:kern w:val="0"/>
                <w:sz w:val="21"/>
              </w:rPr>
              <w:t>，大泄漏时隔离</w:t>
            </w:r>
            <w:r>
              <w:rPr>
                <w:rFonts w:eastAsia="宋体" w:cs="Times New Roman"/>
                <w:kern w:val="0"/>
                <w:sz w:val="21"/>
              </w:rPr>
              <w:t>300m</w:t>
            </w:r>
            <w:r>
              <w:rPr>
                <w:rFonts w:ascii="宋体" w:hAnsi="宋体" w:eastAsia="宋体" w:cs="Times New Roman"/>
                <w:kern w:val="0"/>
                <w:sz w:val="21"/>
              </w:rPr>
              <w:t>，严格限制出入。切断火源。建议应急处理人员戴自给正压式呼吸器，穿防毒服。从上风处进入现场。尽可能切断泄漏源。合理通风，加速扩散。喷雾状水稀释、溶解。构筑围堤或挖坑收容产生的大量废水。如有可能，将残余气或漏出气用排风机送至水洗塔或与塔相连的通风橱内。或使其通过三氯化铁水溶液，管路装止回装置以防溶液吸回。漏气容器要妥善处理，修复、检验后再用。</w:t>
            </w:r>
          </w:p>
          <w:p>
            <w:pPr>
              <w:rPr>
                <w:rFonts w:eastAsia="宋体" w:cs="Times New Roman"/>
                <w:kern w:val="0"/>
                <w:sz w:val="21"/>
              </w:rPr>
            </w:pPr>
            <w:r>
              <w:rPr>
                <w:rFonts w:eastAsia="宋体" w:cs="Times New Roman"/>
                <w:kern w:val="0"/>
                <w:sz w:val="21"/>
              </w:rPr>
              <w:t>（2</w:t>
            </w:r>
            <w:r>
              <w:rPr>
                <w:rFonts w:ascii="宋体" w:hAnsi="宋体" w:eastAsia="宋体" w:cs="Times New Roman"/>
                <w:kern w:val="0"/>
                <w:sz w:val="21"/>
              </w:rPr>
              <w:t>）防护措施</w:t>
            </w:r>
          </w:p>
          <w:p>
            <w:pPr>
              <w:rPr>
                <w:rFonts w:eastAsia="宋体" w:cs="Times New Roman"/>
                <w:kern w:val="0"/>
                <w:sz w:val="21"/>
              </w:rPr>
            </w:pPr>
            <w:r>
              <w:rPr>
                <w:rFonts w:eastAsia="宋体" w:cs="Times New Roman"/>
                <w:kern w:val="0"/>
                <w:sz w:val="21"/>
              </w:rPr>
              <w:t>呼吸系统防护：空气中浓度超标时，佩带过渡式防毒面具(</w:t>
            </w:r>
            <w:r>
              <w:rPr>
                <w:rFonts w:ascii="宋体" w:hAnsi="宋体" w:eastAsia="宋体" w:cs="Times New Roman"/>
                <w:kern w:val="0"/>
                <w:sz w:val="21"/>
              </w:rPr>
              <w:t>半面罩</w:t>
            </w:r>
            <w:r>
              <w:rPr>
                <w:rFonts w:eastAsia="宋体" w:cs="Times New Roman"/>
                <w:kern w:val="0"/>
                <w:sz w:val="21"/>
              </w:rPr>
              <w:t>)</w:t>
            </w:r>
            <w:r>
              <w:rPr>
                <w:rFonts w:ascii="宋体" w:hAnsi="宋体" w:eastAsia="宋体" w:cs="Times New Roman"/>
                <w:kern w:val="0"/>
                <w:sz w:val="21"/>
              </w:rPr>
              <w:t>。紧急事态抢救或撤离时，建议佩带氧气呼吸器或空气呼吸器。</w:t>
            </w:r>
          </w:p>
          <w:p>
            <w:pPr>
              <w:rPr>
                <w:rFonts w:eastAsia="宋体" w:cs="Times New Roman"/>
                <w:kern w:val="0"/>
                <w:sz w:val="21"/>
              </w:rPr>
            </w:pPr>
            <w:r>
              <w:rPr>
                <w:rFonts w:eastAsia="宋体" w:cs="Times New Roman"/>
                <w:kern w:val="0"/>
                <w:sz w:val="21"/>
              </w:rPr>
              <w:t>眼睛防护：戴化学安全防护眼镜。</w:t>
            </w:r>
          </w:p>
          <w:p>
            <w:pPr>
              <w:rPr>
                <w:rFonts w:eastAsia="宋体" w:cs="Times New Roman"/>
                <w:kern w:val="0"/>
                <w:sz w:val="21"/>
              </w:rPr>
            </w:pPr>
            <w:r>
              <w:rPr>
                <w:rFonts w:eastAsia="宋体" w:cs="Times New Roman"/>
                <w:kern w:val="0"/>
                <w:sz w:val="21"/>
              </w:rPr>
              <w:t>身体防护：穿防静电工作服。</w:t>
            </w:r>
          </w:p>
          <w:p>
            <w:pPr>
              <w:rPr>
                <w:rFonts w:eastAsia="宋体" w:cs="Times New Roman"/>
                <w:kern w:val="0"/>
                <w:sz w:val="21"/>
              </w:rPr>
            </w:pPr>
            <w:r>
              <w:rPr>
                <w:rFonts w:eastAsia="宋体" w:cs="Times New Roman"/>
                <w:kern w:val="0"/>
                <w:sz w:val="21"/>
              </w:rPr>
              <w:t>手防护：戴防化学品手套。</w:t>
            </w:r>
          </w:p>
          <w:p>
            <w:pPr>
              <w:rPr>
                <w:rFonts w:eastAsia="宋体" w:cs="Times New Roman"/>
                <w:kern w:val="0"/>
                <w:sz w:val="21"/>
              </w:rPr>
            </w:pPr>
            <w:r>
              <w:rPr>
                <w:rFonts w:eastAsia="宋体" w:cs="Times New Roman"/>
                <w:kern w:val="0"/>
                <w:sz w:val="21"/>
              </w:rPr>
              <w:t>其它：工作现场严禁吸烟、进食和饮水。工作毕，淋浴更衣。及时换洗工作服。作业人员应学会自救互救。进入罐、限制性空间或其它高浓度区作业，须有人监护。</w:t>
            </w:r>
          </w:p>
          <w:p>
            <w:pPr>
              <w:rPr>
                <w:rFonts w:eastAsia="宋体" w:cs="Times New Roman"/>
                <w:kern w:val="0"/>
                <w:sz w:val="21"/>
              </w:rPr>
            </w:pPr>
            <w:r>
              <w:rPr>
                <w:rFonts w:eastAsia="宋体" w:cs="Times New Roman"/>
                <w:kern w:val="0"/>
                <w:sz w:val="21"/>
              </w:rPr>
              <w:t>（3</w:t>
            </w:r>
            <w:r>
              <w:rPr>
                <w:rFonts w:ascii="宋体" w:hAnsi="宋体" w:eastAsia="宋体" w:cs="Times New Roman"/>
                <w:kern w:val="0"/>
                <w:sz w:val="21"/>
              </w:rPr>
              <w:t>）急救措施</w:t>
            </w:r>
          </w:p>
          <w:p>
            <w:pPr>
              <w:rPr>
                <w:rFonts w:eastAsia="宋体" w:cs="Times New Roman"/>
                <w:kern w:val="0"/>
                <w:sz w:val="21"/>
              </w:rPr>
            </w:pPr>
            <w:r>
              <w:rPr>
                <w:rFonts w:eastAsia="宋体" w:cs="Times New Roman"/>
                <w:kern w:val="0"/>
                <w:sz w:val="21"/>
              </w:rPr>
              <w:t>皮肤接触：脱去污染的衣着，用流动清水冲洗。就医。</w:t>
            </w:r>
          </w:p>
          <w:p>
            <w:pPr>
              <w:rPr>
                <w:rFonts w:eastAsia="宋体" w:cs="Times New Roman"/>
                <w:kern w:val="0"/>
                <w:sz w:val="21"/>
              </w:rPr>
            </w:pPr>
            <w:r>
              <w:rPr>
                <w:rFonts w:eastAsia="宋体" w:cs="Times New Roman"/>
                <w:kern w:val="0"/>
                <w:sz w:val="21"/>
              </w:rPr>
              <w:t>眼睛接触：立即提起眼睑，用大量流动清水或生理盐水彻底冲洗至少15</w:t>
            </w:r>
            <w:r>
              <w:rPr>
                <w:rFonts w:ascii="宋体" w:hAnsi="宋体" w:eastAsia="宋体" w:cs="Times New Roman"/>
                <w:kern w:val="0"/>
                <w:sz w:val="21"/>
              </w:rPr>
              <w:t>分钟。就医。</w:t>
            </w:r>
          </w:p>
          <w:p>
            <w:pPr>
              <w:rPr>
                <w:rFonts w:eastAsia="宋体" w:cs="Times New Roman"/>
                <w:kern w:val="0"/>
                <w:sz w:val="21"/>
              </w:rPr>
            </w:pPr>
            <w:r>
              <w:rPr>
                <w:rFonts w:eastAsia="宋体" w:cs="Times New Roman"/>
                <w:kern w:val="0"/>
                <w:sz w:val="21"/>
              </w:rPr>
              <w:t>吸入：迅速脱离现场至空气新鲜处。保持呼吸道通畅。如呼吸困难，给输氧。如呼吸停止，即进行人工呼吸。就医。</w:t>
            </w:r>
          </w:p>
          <w:p>
            <w:pPr>
              <w:rPr>
                <w:rFonts w:eastAsia="宋体" w:cs="Times New Roman"/>
                <w:kern w:val="0"/>
                <w:sz w:val="21"/>
              </w:rPr>
            </w:pPr>
            <w:r>
              <w:rPr>
                <w:rFonts w:eastAsia="宋体" w:cs="Times New Roman"/>
                <w:kern w:val="0"/>
                <w:sz w:val="21"/>
              </w:rPr>
              <w:t>灭火方法：消防人员必须穿戴全身防火防毒服。切断气源。若不能立即切断气源，则不允许熄灭正在燃烧的气体。喷水冷却容器，可能的话将容器从火场移至空旷处。灭火剂：雾状水、泡沫、二氧化碳、干粉。</w:t>
            </w:r>
          </w:p>
        </w:tc>
      </w:tr>
    </w:tbl>
    <w:p>
      <w:pPr>
        <w:pStyle w:val="14"/>
        <w:spacing w:line="240" w:lineRule="auto"/>
        <w:rPr>
          <w:bCs/>
        </w:rPr>
      </w:pPr>
      <w:r>
        <w:t>表</w:t>
      </w:r>
      <w:r>
        <w:fldChar w:fldCharType="begin"/>
      </w:r>
      <w:r>
        <w:instrText xml:space="preserve"> STYLEREF 2 \s </w:instrText>
      </w:r>
      <w:r>
        <w:fldChar w:fldCharType="separate"/>
      </w:r>
      <w:r>
        <w:t>7.5</w:t>
      </w:r>
      <w:r>
        <w:fldChar w:fldCharType="end"/>
      </w:r>
      <w:r>
        <w:noBreakHyphen/>
      </w:r>
      <w:r>
        <w:fldChar w:fldCharType="begin"/>
      </w:r>
      <w:r>
        <w:instrText xml:space="preserve"> SEQ 表 \* ARABIC \s 2 </w:instrText>
      </w:r>
      <w:r>
        <w:fldChar w:fldCharType="separate"/>
      </w:r>
      <w:r>
        <w:t>8</w:t>
      </w:r>
      <w:r>
        <w:fldChar w:fldCharType="end"/>
      </w:r>
      <w:r>
        <w:rPr>
          <w:rFonts w:hint="eastAsia"/>
        </w:rPr>
        <w:t xml:space="preserve"> </w:t>
      </w:r>
      <w:r>
        <w:rPr>
          <w:bCs/>
        </w:rPr>
        <w:t>一氧化炭的理化性质及危险特性</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0"/>
        <w:gridCol w:w="2802"/>
        <w:gridCol w:w="19"/>
        <w:gridCol w:w="1475"/>
        <w:gridCol w:w="4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679" w:type="pct"/>
            <w:vAlign w:val="center"/>
          </w:tcPr>
          <w:p>
            <w:pPr>
              <w:jc w:val="center"/>
              <w:rPr>
                <w:rFonts w:eastAsia="宋体" w:cs="Times New Roman"/>
                <w:color w:val="000000"/>
                <w:kern w:val="0"/>
                <w:sz w:val="21"/>
              </w:rPr>
            </w:pPr>
            <w:r>
              <w:rPr>
                <w:rFonts w:eastAsia="宋体" w:cs="Times New Roman"/>
                <w:color w:val="000000"/>
                <w:kern w:val="0"/>
                <w:sz w:val="21"/>
              </w:rPr>
              <w:t>国标编号</w:t>
            </w:r>
          </w:p>
        </w:tc>
        <w:tc>
          <w:tcPr>
            <w:tcW w:w="4321" w:type="pct"/>
            <w:gridSpan w:val="4"/>
            <w:vAlign w:val="center"/>
          </w:tcPr>
          <w:p>
            <w:pPr>
              <w:jc w:val="center"/>
              <w:rPr>
                <w:rFonts w:eastAsia="宋体" w:cs="Times New Roman"/>
                <w:kern w:val="0"/>
                <w:sz w:val="21"/>
              </w:rPr>
            </w:pPr>
            <w:r>
              <w:rPr>
                <w:rFonts w:eastAsia="宋体" w:cs="Times New Roman"/>
                <w:kern w:val="0"/>
                <w:sz w:val="21"/>
              </w:rPr>
              <w:t>21005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679" w:type="pct"/>
            <w:vAlign w:val="center"/>
          </w:tcPr>
          <w:p>
            <w:pPr>
              <w:jc w:val="center"/>
              <w:rPr>
                <w:rFonts w:eastAsia="宋体" w:cs="Times New Roman"/>
                <w:color w:val="000000"/>
                <w:kern w:val="0"/>
                <w:sz w:val="21"/>
              </w:rPr>
            </w:pPr>
            <w:r>
              <w:rPr>
                <w:rFonts w:eastAsia="宋体" w:cs="Times New Roman"/>
                <w:color w:val="000000"/>
                <w:kern w:val="0"/>
                <w:sz w:val="21"/>
              </w:rPr>
              <w:t>CAS</w:t>
            </w:r>
            <w:r>
              <w:rPr>
                <w:rFonts w:ascii="宋体" w:hAnsi="宋体" w:eastAsia="宋体" w:cs="Times New Roman"/>
                <w:color w:val="000000"/>
                <w:kern w:val="0"/>
                <w:sz w:val="21"/>
              </w:rPr>
              <w:t>号</w:t>
            </w:r>
          </w:p>
        </w:tc>
        <w:tc>
          <w:tcPr>
            <w:tcW w:w="4321" w:type="pct"/>
            <w:gridSpan w:val="4"/>
            <w:vAlign w:val="center"/>
          </w:tcPr>
          <w:p>
            <w:pPr>
              <w:jc w:val="center"/>
              <w:rPr>
                <w:rFonts w:eastAsia="宋体" w:cs="Times New Roman"/>
                <w:kern w:val="0"/>
                <w:sz w:val="21"/>
              </w:rPr>
            </w:pPr>
            <w:r>
              <w:rPr>
                <w:rFonts w:eastAsia="宋体" w:cs="Times New Roman"/>
                <w:kern w:val="0"/>
                <w:sz w:val="21"/>
              </w:rPr>
              <w:t>630-08-0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679" w:type="pct"/>
            <w:vAlign w:val="center"/>
          </w:tcPr>
          <w:p>
            <w:pPr>
              <w:jc w:val="center"/>
              <w:rPr>
                <w:rFonts w:eastAsia="宋体" w:cs="Times New Roman"/>
                <w:kern w:val="0"/>
                <w:sz w:val="21"/>
              </w:rPr>
            </w:pPr>
            <w:r>
              <w:rPr>
                <w:rFonts w:eastAsia="宋体" w:cs="Times New Roman"/>
                <w:kern w:val="0"/>
                <w:sz w:val="21"/>
              </w:rPr>
              <w:t>中文名称</w:t>
            </w:r>
          </w:p>
        </w:tc>
        <w:tc>
          <w:tcPr>
            <w:tcW w:w="1452" w:type="pct"/>
            <w:vAlign w:val="center"/>
          </w:tcPr>
          <w:p>
            <w:pPr>
              <w:jc w:val="center"/>
              <w:rPr>
                <w:rFonts w:eastAsia="宋体" w:cs="Times New Roman"/>
                <w:kern w:val="0"/>
                <w:sz w:val="21"/>
              </w:rPr>
            </w:pPr>
            <w:r>
              <w:rPr>
                <w:rFonts w:eastAsia="宋体" w:cs="Times New Roman"/>
                <w:kern w:val="0"/>
                <w:sz w:val="21"/>
              </w:rPr>
              <w:t>一氧化碳</w:t>
            </w:r>
          </w:p>
        </w:tc>
        <w:tc>
          <w:tcPr>
            <w:tcW w:w="774" w:type="pct"/>
            <w:gridSpan w:val="2"/>
            <w:vAlign w:val="center"/>
          </w:tcPr>
          <w:p>
            <w:pPr>
              <w:jc w:val="center"/>
              <w:rPr>
                <w:rFonts w:eastAsia="宋体" w:cs="Times New Roman"/>
                <w:kern w:val="0"/>
                <w:sz w:val="21"/>
              </w:rPr>
            </w:pPr>
            <w:r>
              <w:rPr>
                <w:rFonts w:eastAsia="宋体" w:cs="Times New Roman"/>
                <w:kern w:val="0"/>
                <w:sz w:val="21"/>
              </w:rPr>
              <w:t>英文名称</w:t>
            </w:r>
          </w:p>
        </w:tc>
        <w:tc>
          <w:tcPr>
            <w:tcW w:w="2095" w:type="pct"/>
            <w:vAlign w:val="center"/>
          </w:tcPr>
          <w:p>
            <w:pPr>
              <w:jc w:val="center"/>
              <w:rPr>
                <w:rFonts w:eastAsia="宋体" w:cs="Times New Roman"/>
                <w:kern w:val="0"/>
                <w:sz w:val="21"/>
              </w:rPr>
            </w:pPr>
            <w:r>
              <w:rPr>
                <w:rFonts w:eastAsia="宋体" w:cs="Times New Roman"/>
                <w:kern w:val="0"/>
                <w:sz w:val="21"/>
              </w:rPr>
              <w:t>carbon monoxide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679" w:type="pct"/>
            <w:vAlign w:val="center"/>
          </w:tcPr>
          <w:p>
            <w:pPr>
              <w:jc w:val="center"/>
              <w:rPr>
                <w:rFonts w:eastAsia="宋体" w:cs="Times New Roman"/>
                <w:kern w:val="0"/>
                <w:sz w:val="21"/>
              </w:rPr>
            </w:pPr>
            <w:r>
              <w:rPr>
                <w:rFonts w:eastAsia="宋体" w:cs="Times New Roman"/>
                <w:kern w:val="0"/>
                <w:sz w:val="21"/>
              </w:rPr>
              <w:t>别 名</w:t>
            </w:r>
          </w:p>
        </w:tc>
        <w:tc>
          <w:tcPr>
            <w:tcW w:w="4321" w:type="pct"/>
            <w:gridSpan w:val="4"/>
            <w:vAlign w:val="center"/>
          </w:tcPr>
          <w:p>
            <w:pPr>
              <w:jc w:val="center"/>
              <w:rPr>
                <w:rFonts w:eastAsia="宋体" w:cs="Times New Roman"/>
                <w:kern w:val="0"/>
                <w:sz w:val="21"/>
              </w:rPr>
            </w:pPr>
            <w:r>
              <w:rPr>
                <w:rFonts w:eastAsia="宋体" w:cs="Times New Roman"/>
                <w:kern w:val="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679" w:type="pct"/>
            <w:vAlign w:val="center"/>
          </w:tcPr>
          <w:p>
            <w:pPr>
              <w:jc w:val="center"/>
              <w:rPr>
                <w:rFonts w:eastAsia="宋体" w:cs="Times New Roman"/>
                <w:kern w:val="0"/>
                <w:sz w:val="21"/>
              </w:rPr>
            </w:pPr>
            <w:r>
              <w:rPr>
                <w:rFonts w:eastAsia="宋体" w:cs="Times New Roman"/>
                <w:kern w:val="0"/>
                <w:sz w:val="21"/>
              </w:rPr>
              <w:t>分子式</w:t>
            </w:r>
          </w:p>
        </w:tc>
        <w:tc>
          <w:tcPr>
            <w:tcW w:w="1462" w:type="pct"/>
            <w:gridSpan w:val="2"/>
            <w:vAlign w:val="center"/>
          </w:tcPr>
          <w:p>
            <w:pPr>
              <w:jc w:val="center"/>
              <w:rPr>
                <w:rFonts w:eastAsia="宋体" w:cs="Times New Roman"/>
                <w:kern w:val="0"/>
                <w:sz w:val="21"/>
              </w:rPr>
            </w:pPr>
            <w:r>
              <w:rPr>
                <w:rFonts w:eastAsia="宋体" w:cs="Times New Roman"/>
                <w:kern w:val="0"/>
                <w:sz w:val="21"/>
              </w:rPr>
              <w:t>CO</w:t>
            </w:r>
          </w:p>
        </w:tc>
        <w:tc>
          <w:tcPr>
            <w:tcW w:w="764" w:type="pct"/>
            <w:vAlign w:val="center"/>
          </w:tcPr>
          <w:p>
            <w:pPr>
              <w:jc w:val="center"/>
              <w:rPr>
                <w:rFonts w:eastAsia="宋体" w:cs="Times New Roman"/>
                <w:kern w:val="0"/>
                <w:sz w:val="21"/>
              </w:rPr>
            </w:pPr>
            <w:r>
              <w:rPr>
                <w:rFonts w:eastAsia="宋体" w:cs="Times New Roman"/>
                <w:kern w:val="0"/>
                <w:sz w:val="21"/>
              </w:rPr>
              <w:t>外观与</w:t>
            </w:r>
          </w:p>
          <w:p>
            <w:pPr>
              <w:jc w:val="center"/>
              <w:rPr>
                <w:rFonts w:eastAsia="宋体" w:cs="Times New Roman"/>
                <w:kern w:val="0"/>
                <w:sz w:val="21"/>
              </w:rPr>
            </w:pPr>
            <w:r>
              <w:rPr>
                <w:rFonts w:eastAsia="宋体" w:cs="Times New Roman"/>
                <w:kern w:val="0"/>
                <w:sz w:val="21"/>
              </w:rPr>
              <w:t>性状</w:t>
            </w:r>
          </w:p>
        </w:tc>
        <w:tc>
          <w:tcPr>
            <w:tcW w:w="2095" w:type="pct"/>
            <w:vAlign w:val="center"/>
          </w:tcPr>
          <w:p>
            <w:pPr>
              <w:jc w:val="center"/>
              <w:rPr>
                <w:rFonts w:eastAsia="宋体" w:cs="Times New Roman"/>
                <w:kern w:val="0"/>
                <w:sz w:val="21"/>
              </w:rPr>
            </w:pPr>
            <w:r>
              <w:rPr>
                <w:rFonts w:eastAsia="宋体" w:cs="Times New Roman"/>
                <w:kern w:val="0"/>
                <w:sz w:val="21"/>
              </w:rPr>
              <w:t>无色无臭气体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679" w:type="pct"/>
            <w:vAlign w:val="center"/>
          </w:tcPr>
          <w:p>
            <w:pPr>
              <w:jc w:val="center"/>
              <w:rPr>
                <w:rFonts w:eastAsia="宋体" w:cs="Times New Roman"/>
                <w:kern w:val="0"/>
                <w:sz w:val="21"/>
              </w:rPr>
            </w:pPr>
            <w:r>
              <w:rPr>
                <w:rFonts w:eastAsia="宋体" w:cs="Times New Roman"/>
                <w:kern w:val="0"/>
                <w:sz w:val="21"/>
              </w:rPr>
              <w:t>分子量</w:t>
            </w:r>
          </w:p>
        </w:tc>
        <w:tc>
          <w:tcPr>
            <w:tcW w:w="1462" w:type="pct"/>
            <w:gridSpan w:val="2"/>
            <w:vAlign w:val="center"/>
          </w:tcPr>
          <w:p>
            <w:pPr>
              <w:jc w:val="center"/>
              <w:rPr>
                <w:rFonts w:eastAsia="宋体" w:cs="Times New Roman"/>
                <w:kern w:val="0"/>
                <w:sz w:val="21"/>
              </w:rPr>
            </w:pPr>
            <w:r>
              <w:rPr>
                <w:rFonts w:eastAsia="宋体" w:cs="Times New Roman"/>
                <w:kern w:val="0"/>
                <w:sz w:val="21"/>
              </w:rPr>
              <w:t>28.01</w:t>
            </w:r>
          </w:p>
        </w:tc>
        <w:tc>
          <w:tcPr>
            <w:tcW w:w="764" w:type="pct"/>
            <w:vAlign w:val="center"/>
          </w:tcPr>
          <w:p>
            <w:pPr>
              <w:jc w:val="center"/>
              <w:rPr>
                <w:rFonts w:eastAsia="宋体" w:cs="Times New Roman"/>
                <w:kern w:val="0"/>
                <w:sz w:val="21"/>
              </w:rPr>
            </w:pPr>
            <w:r>
              <w:rPr>
                <w:rFonts w:eastAsia="宋体" w:cs="Times New Roman"/>
                <w:kern w:val="0"/>
                <w:sz w:val="21"/>
              </w:rPr>
              <w:t>蒸汽压</w:t>
            </w:r>
          </w:p>
        </w:tc>
        <w:tc>
          <w:tcPr>
            <w:tcW w:w="2095" w:type="pct"/>
            <w:vAlign w:val="center"/>
          </w:tcPr>
          <w:p>
            <w:pPr>
              <w:jc w:val="center"/>
              <w:rPr>
                <w:rFonts w:eastAsia="宋体" w:cs="Times New Roman"/>
                <w:kern w:val="0"/>
                <w:sz w:val="21"/>
              </w:rPr>
            </w:pPr>
            <w:r>
              <w:rPr>
                <w:rFonts w:eastAsia="宋体" w:cs="Times New Roman"/>
                <w:kern w:val="0"/>
                <w:sz w:val="21"/>
              </w:rPr>
              <w:t>309kPa/-180</w:t>
            </w:r>
            <w:r>
              <w:rPr>
                <w:rFonts w:hint="eastAsia" w:ascii="宋体" w:hAnsi="宋体" w:eastAsia="宋体" w:cs="Times New Roman"/>
                <w:kern w:val="0"/>
                <w:sz w:val="21"/>
              </w:rPr>
              <w:t>℃</w:t>
            </w:r>
            <w:r>
              <w:rPr>
                <w:rFonts w:eastAsia="宋体" w:cs="Times New Roman"/>
                <w:kern w:val="0"/>
                <w:sz w:val="21"/>
              </w:rPr>
              <w:t xml:space="preserve"> 闪点：&lt;-50</w:t>
            </w:r>
            <w:r>
              <w:rPr>
                <w:rFonts w:hint="eastAsia" w:ascii="宋体" w:hAnsi="宋体" w:eastAsia="宋体" w:cs="Times New Roman"/>
                <w:kern w:val="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679" w:type="pct"/>
            <w:vAlign w:val="center"/>
          </w:tcPr>
          <w:p>
            <w:pPr>
              <w:jc w:val="center"/>
              <w:rPr>
                <w:rFonts w:eastAsia="宋体" w:cs="Times New Roman"/>
                <w:kern w:val="0"/>
                <w:sz w:val="21"/>
              </w:rPr>
            </w:pPr>
            <w:r>
              <w:rPr>
                <w:rFonts w:eastAsia="宋体" w:cs="Times New Roman"/>
                <w:kern w:val="0"/>
                <w:sz w:val="21"/>
              </w:rPr>
              <w:t>熔 点</w:t>
            </w:r>
          </w:p>
        </w:tc>
        <w:tc>
          <w:tcPr>
            <w:tcW w:w="1462" w:type="pct"/>
            <w:gridSpan w:val="2"/>
            <w:vAlign w:val="center"/>
          </w:tcPr>
          <w:p>
            <w:pPr>
              <w:jc w:val="center"/>
              <w:rPr>
                <w:rFonts w:eastAsia="宋体" w:cs="Times New Roman"/>
                <w:kern w:val="0"/>
                <w:sz w:val="21"/>
              </w:rPr>
            </w:pPr>
            <w:r>
              <w:rPr>
                <w:rFonts w:eastAsia="宋体" w:cs="Times New Roman"/>
                <w:kern w:val="0"/>
                <w:sz w:val="21"/>
              </w:rPr>
              <w:t>-199.1</w:t>
            </w:r>
            <w:r>
              <w:rPr>
                <w:rFonts w:hint="eastAsia" w:ascii="宋体" w:hAnsi="宋体" w:eastAsia="宋体" w:cs="Times New Roman"/>
                <w:kern w:val="0"/>
                <w:sz w:val="21"/>
              </w:rPr>
              <w:t>℃</w:t>
            </w:r>
            <w:r>
              <w:rPr>
                <w:rFonts w:eastAsia="宋体" w:cs="Times New Roman"/>
                <w:kern w:val="0"/>
                <w:sz w:val="21"/>
              </w:rPr>
              <w:t xml:space="preserve"> 沸点：-191.4</w:t>
            </w:r>
            <w:r>
              <w:rPr>
                <w:rFonts w:hint="eastAsia" w:ascii="宋体" w:hAnsi="宋体" w:eastAsia="宋体" w:cs="Times New Roman"/>
                <w:kern w:val="0"/>
                <w:sz w:val="21"/>
              </w:rPr>
              <w:t>℃</w:t>
            </w:r>
          </w:p>
        </w:tc>
        <w:tc>
          <w:tcPr>
            <w:tcW w:w="764" w:type="pct"/>
            <w:vAlign w:val="center"/>
          </w:tcPr>
          <w:p>
            <w:pPr>
              <w:jc w:val="center"/>
              <w:rPr>
                <w:rFonts w:eastAsia="宋体" w:cs="Times New Roman"/>
                <w:kern w:val="0"/>
                <w:sz w:val="21"/>
              </w:rPr>
            </w:pPr>
            <w:r>
              <w:rPr>
                <w:rFonts w:eastAsia="宋体" w:cs="Times New Roman"/>
                <w:kern w:val="0"/>
                <w:sz w:val="21"/>
              </w:rPr>
              <w:t>溶解性</w:t>
            </w:r>
          </w:p>
        </w:tc>
        <w:tc>
          <w:tcPr>
            <w:tcW w:w="2095" w:type="pct"/>
            <w:vAlign w:val="center"/>
          </w:tcPr>
          <w:p>
            <w:pPr>
              <w:jc w:val="center"/>
              <w:rPr>
                <w:rFonts w:eastAsia="宋体" w:cs="Times New Roman"/>
                <w:kern w:val="0"/>
                <w:sz w:val="21"/>
              </w:rPr>
            </w:pPr>
            <w:r>
              <w:rPr>
                <w:rFonts w:eastAsia="宋体" w:cs="Times New Roman"/>
                <w:kern w:val="0"/>
                <w:sz w:val="21"/>
              </w:rPr>
              <w:t>微溶于水，溶于乙醇、苯等多种有机溶剂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679" w:type="pct"/>
            <w:vAlign w:val="center"/>
          </w:tcPr>
          <w:p>
            <w:pPr>
              <w:jc w:val="center"/>
              <w:rPr>
                <w:rFonts w:eastAsia="宋体" w:cs="Times New Roman"/>
                <w:kern w:val="0"/>
                <w:sz w:val="21"/>
              </w:rPr>
            </w:pPr>
            <w:r>
              <w:rPr>
                <w:rFonts w:eastAsia="宋体" w:cs="Times New Roman"/>
                <w:kern w:val="0"/>
                <w:sz w:val="21"/>
              </w:rPr>
              <w:t>密 度</w:t>
            </w:r>
          </w:p>
        </w:tc>
        <w:tc>
          <w:tcPr>
            <w:tcW w:w="1462" w:type="pct"/>
            <w:gridSpan w:val="2"/>
            <w:vAlign w:val="center"/>
          </w:tcPr>
          <w:p>
            <w:pPr>
              <w:rPr>
                <w:rFonts w:eastAsia="宋体" w:cs="Times New Roman"/>
                <w:kern w:val="0"/>
                <w:sz w:val="21"/>
              </w:rPr>
            </w:pPr>
            <w:r>
              <w:rPr>
                <w:rFonts w:eastAsia="宋体" w:cs="Times New Roman"/>
                <w:kern w:val="0"/>
                <w:sz w:val="21"/>
              </w:rPr>
              <w:t>相对密度(</w:t>
            </w:r>
            <w:r>
              <w:rPr>
                <w:rFonts w:ascii="宋体" w:hAnsi="宋体" w:eastAsia="宋体" w:cs="Times New Roman"/>
                <w:kern w:val="0"/>
                <w:sz w:val="21"/>
              </w:rPr>
              <w:t>水</w:t>
            </w:r>
            <w:r>
              <w:rPr>
                <w:rFonts w:eastAsia="宋体" w:cs="Times New Roman"/>
                <w:kern w:val="0"/>
                <w:sz w:val="21"/>
              </w:rPr>
              <w:t>=1)0.79</w:t>
            </w:r>
            <w:r>
              <w:rPr>
                <w:rFonts w:ascii="宋体" w:hAnsi="宋体" w:eastAsia="宋体" w:cs="Times New Roman"/>
                <w:kern w:val="0"/>
                <w:sz w:val="21"/>
              </w:rPr>
              <w:t>；</w:t>
            </w:r>
          </w:p>
          <w:p>
            <w:pPr>
              <w:rPr>
                <w:rFonts w:eastAsia="宋体" w:cs="Times New Roman"/>
                <w:kern w:val="0"/>
                <w:sz w:val="21"/>
              </w:rPr>
            </w:pPr>
            <w:r>
              <w:rPr>
                <w:rFonts w:eastAsia="宋体" w:cs="Times New Roman"/>
                <w:kern w:val="0"/>
                <w:sz w:val="21"/>
              </w:rPr>
              <w:t>相对密度(</w:t>
            </w:r>
            <w:r>
              <w:rPr>
                <w:rFonts w:ascii="宋体" w:hAnsi="宋体" w:eastAsia="宋体" w:cs="Times New Roman"/>
                <w:kern w:val="0"/>
                <w:sz w:val="21"/>
              </w:rPr>
              <w:t>空气</w:t>
            </w:r>
            <w:r>
              <w:rPr>
                <w:rFonts w:eastAsia="宋体" w:cs="Times New Roman"/>
                <w:kern w:val="0"/>
                <w:sz w:val="21"/>
              </w:rPr>
              <w:t>=1)0.97</w:t>
            </w:r>
          </w:p>
        </w:tc>
        <w:tc>
          <w:tcPr>
            <w:tcW w:w="764" w:type="pct"/>
            <w:vAlign w:val="center"/>
          </w:tcPr>
          <w:p>
            <w:pPr>
              <w:jc w:val="center"/>
              <w:rPr>
                <w:rFonts w:eastAsia="宋体" w:cs="Times New Roman"/>
                <w:kern w:val="0"/>
                <w:sz w:val="21"/>
              </w:rPr>
            </w:pPr>
            <w:r>
              <w:rPr>
                <w:rFonts w:eastAsia="宋体" w:cs="Times New Roman"/>
                <w:kern w:val="0"/>
                <w:sz w:val="21"/>
              </w:rPr>
              <w:t>稳定性</w:t>
            </w:r>
          </w:p>
        </w:tc>
        <w:tc>
          <w:tcPr>
            <w:tcW w:w="2095" w:type="pct"/>
            <w:vAlign w:val="center"/>
          </w:tcPr>
          <w:p>
            <w:pPr>
              <w:jc w:val="center"/>
              <w:rPr>
                <w:rFonts w:eastAsia="宋体" w:cs="Times New Roman"/>
                <w:kern w:val="0"/>
                <w:sz w:val="21"/>
              </w:rPr>
            </w:pPr>
            <w:r>
              <w:rPr>
                <w:rFonts w:eastAsia="宋体" w:cs="Times New Roman"/>
                <w:kern w:val="0"/>
                <w:sz w:val="21"/>
              </w:rPr>
              <w:t>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79" w:type="pct"/>
            <w:vAlign w:val="center"/>
          </w:tcPr>
          <w:p>
            <w:pPr>
              <w:jc w:val="center"/>
              <w:rPr>
                <w:rFonts w:eastAsia="宋体" w:cs="Times New Roman"/>
                <w:kern w:val="0"/>
                <w:sz w:val="21"/>
              </w:rPr>
            </w:pPr>
            <w:r>
              <w:rPr>
                <w:rFonts w:eastAsia="宋体" w:cs="Times New Roman"/>
                <w:kern w:val="0"/>
                <w:sz w:val="21"/>
              </w:rPr>
              <w:t>危险标记</w:t>
            </w:r>
          </w:p>
        </w:tc>
        <w:tc>
          <w:tcPr>
            <w:tcW w:w="1462" w:type="pct"/>
            <w:gridSpan w:val="2"/>
            <w:vAlign w:val="center"/>
          </w:tcPr>
          <w:p>
            <w:pPr>
              <w:jc w:val="center"/>
              <w:rPr>
                <w:rFonts w:eastAsia="宋体" w:cs="Times New Roman"/>
                <w:kern w:val="0"/>
                <w:sz w:val="21"/>
              </w:rPr>
            </w:pPr>
            <w:r>
              <w:rPr>
                <w:rFonts w:eastAsia="宋体" w:cs="Times New Roman"/>
                <w:kern w:val="0"/>
                <w:sz w:val="21"/>
              </w:rPr>
              <w:t>4(</w:t>
            </w:r>
            <w:r>
              <w:rPr>
                <w:rFonts w:ascii="宋体" w:hAnsi="宋体" w:eastAsia="宋体" w:cs="Times New Roman"/>
                <w:kern w:val="0"/>
                <w:sz w:val="21"/>
              </w:rPr>
              <w:t>易燃气体</w:t>
            </w:r>
            <w:r>
              <w:rPr>
                <w:rFonts w:eastAsia="宋体" w:cs="Times New Roman"/>
                <w:kern w:val="0"/>
                <w:sz w:val="21"/>
              </w:rPr>
              <w:t>)</w:t>
            </w:r>
          </w:p>
        </w:tc>
        <w:tc>
          <w:tcPr>
            <w:tcW w:w="764" w:type="pct"/>
            <w:vAlign w:val="center"/>
          </w:tcPr>
          <w:p>
            <w:pPr>
              <w:jc w:val="center"/>
              <w:rPr>
                <w:rFonts w:eastAsia="宋体" w:cs="Times New Roman"/>
                <w:kern w:val="0"/>
                <w:sz w:val="21"/>
              </w:rPr>
            </w:pPr>
            <w:r>
              <w:rPr>
                <w:rFonts w:eastAsia="宋体" w:cs="Times New Roman"/>
                <w:kern w:val="0"/>
                <w:sz w:val="21"/>
              </w:rPr>
              <w:t>主要用途</w:t>
            </w:r>
          </w:p>
        </w:tc>
        <w:tc>
          <w:tcPr>
            <w:tcW w:w="2095" w:type="pct"/>
            <w:vAlign w:val="center"/>
          </w:tcPr>
          <w:p>
            <w:pPr>
              <w:jc w:val="left"/>
              <w:rPr>
                <w:rFonts w:eastAsia="宋体" w:cs="Times New Roman"/>
                <w:kern w:val="0"/>
                <w:sz w:val="21"/>
              </w:rPr>
            </w:pPr>
            <w:r>
              <w:rPr>
                <w:rFonts w:eastAsia="宋体" w:cs="Times New Roman"/>
                <w:kern w:val="0"/>
                <w:sz w:val="21"/>
              </w:rPr>
              <w:t>主要用于化学合成，如合成甲醇、光气等，用作精炼金属的还原剂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79" w:type="pct"/>
            <w:vAlign w:val="center"/>
          </w:tcPr>
          <w:p>
            <w:pPr>
              <w:jc w:val="center"/>
              <w:rPr>
                <w:rFonts w:eastAsia="宋体" w:cs="Times New Roman"/>
                <w:kern w:val="0"/>
                <w:sz w:val="21"/>
              </w:rPr>
            </w:pPr>
            <w:r>
              <w:rPr>
                <w:rFonts w:eastAsia="宋体" w:cs="Times New Roman"/>
                <w:kern w:val="0"/>
                <w:sz w:val="21"/>
              </w:rPr>
              <w:t>对</w:t>
            </w:r>
          </w:p>
          <w:p>
            <w:pPr>
              <w:jc w:val="center"/>
              <w:rPr>
                <w:rFonts w:eastAsia="宋体" w:cs="Times New Roman"/>
                <w:kern w:val="0"/>
                <w:sz w:val="21"/>
              </w:rPr>
            </w:pPr>
            <w:r>
              <w:rPr>
                <w:rFonts w:eastAsia="宋体" w:cs="Times New Roman"/>
                <w:kern w:val="0"/>
                <w:sz w:val="21"/>
              </w:rPr>
              <w:t>环</w:t>
            </w:r>
          </w:p>
          <w:p>
            <w:pPr>
              <w:jc w:val="center"/>
              <w:rPr>
                <w:rFonts w:eastAsia="宋体" w:cs="Times New Roman"/>
                <w:kern w:val="0"/>
                <w:sz w:val="21"/>
              </w:rPr>
            </w:pPr>
            <w:r>
              <w:rPr>
                <w:rFonts w:eastAsia="宋体" w:cs="Times New Roman"/>
                <w:kern w:val="0"/>
                <w:sz w:val="21"/>
              </w:rPr>
              <w:t>境</w:t>
            </w:r>
          </w:p>
          <w:p>
            <w:pPr>
              <w:jc w:val="center"/>
              <w:rPr>
                <w:rFonts w:eastAsia="宋体" w:cs="Times New Roman"/>
                <w:kern w:val="0"/>
                <w:sz w:val="21"/>
              </w:rPr>
            </w:pPr>
            <w:r>
              <w:rPr>
                <w:rFonts w:eastAsia="宋体" w:cs="Times New Roman"/>
                <w:kern w:val="0"/>
                <w:sz w:val="21"/>
              </w:rPr>
              <w:t>的</w:t>
            </w:r>
          </w:p>
          <w:p>
            <w:pPr>
              <w:jc w:val="center"/>
              <w:rPr>
                <w:rFonts w:eastAsia="宋体" w:cs="Times New Roman"/>
                <w:kern w:val="0"/>
                <w:sz w:val="21"/>
              </w:rPr>
            </w:pPr>
            <w:r>
              <w:rPr>
                <w:rFonts w:eastAsia="宋体" w:cs="Times New Roman"/>
                <w:kern w:val="0"/>
                <w:sz w:val="21"/>
              </w:rPr>
              <w:t>影</w:t>
            </w:r>
          </w:p>
          <w:p>
            <w:pPr>
              <w:jc w:val="center"/>
              <w:rPr>
                <w:rFonts w:eastAsia="宋体" w:cs="Times New Roman"/>
                <w:kern w:val="0"/>
                <w:sz w:val="21"/>
              </w:rPr>
            </w:pPr>
            <w:r>
              <w:rPr>
                <w:rFonts w:eastAsia="宋体" w:cs="Times New Roman"/>
                <w:kern w:val="0"/>
                <w:sz w:val="21"/>
              </w:rPr>
              <w:t>响</w:t>
            </w:r>
          </w:p>
        </w:tc>
        <w:tc>
          <w:tcPr>
            <w:tcW w:w="4321" w:type="pct"/>
            <w:gridSpan w:val="4"/>
            <w:vAlign w:val="center"/>
          </w:tcPr>
          <w:p>
            <w:pPr>
              <w:rPr>
                <w:rFonts w:eastAsia="宋体" w:cs="Times New Roman"/>
                <w:kern w:val="0"/>
                <w:sz w:val="21"/>
              </w:rPr>
            </w:pPr>
            <w:r>
              <w:rPr>
                <w:rFonts w:eastAsia="宋体" w:cs="Times New Roman"/>
                <w:kern w:val="0"/>
                <w:sz w:val="21"/>
              </w:rPr>
              <w:t>（1</w:t>
            </w:r>
            <w:r>
              <w:rPr>
                <w:rFonts w:ascii="宋体" w:hAnsi="宋体" w:eastAsia="宋体" w:cs="Times New Roman"/>
                <w:kern w:val="0"/>
                <w:sz w:val="21"/>
              </w:rPr>
              <w:t>）健康危害</w:t>
            </w:r>
          </w:p>
          <w:p>
            <w:pPr>
              <w:rPr>
                <w:rFonts w:eastAsia="宋体" w:cs="Times New Roman"/>
                <w:kern w:val="0"/>
                <w:sz w:val="21"/>
              </w:rPr>
            </w:pPr>
            <w:r>
              <w:rPr>
                <w:rFonts w:eastAsia="宋体" w:cs="Times New Roman"/>
                <w:kern w:val="0"/>
                <w:sz w:val="21"/>
              </w:rPr>
              <w:t>侵入途径：吸入。</w:t>
            </w:r>
          </w:p>
          <w:p>
            <w:pPr>
              <w:rPr>
                <w:rFonts w:eastAsia="宋体" w:cs="Times New Roman"/>
                <w:kern w:val="0"/>
                <w:sz w:val="21"/>
              </w:rPr>
            </w:pPr>
            <w:r>
              <w:rPr>
                <w:rFonts w:eastAsia="宋体" w:cs="Times New Roman"/>
                <w:kern w:val="0"/>
                <w:sz w:val="21"/>
              </w:rPr>
              <w:t>健康危害：一氧化碳在血中与血红蛋白结合而造成组织缺氧。</w:t>
            </w:r>
          </w:p>
          <w:p>
            <w:pPr>
              <w:rPr>
                <w:rFonts w:eastAsia="宋体" w:cs="Times New Roman"/>
                <w:kern w:val="0"/>
                <w:sz w:val="21"/>
              </w:rPr>
            </w:pPr>
            <w:r>
              <w:rPr>
                <w:rFonts w:eastAsia="宋体" w:cs="Times New Roman"/>
                <w:kern w:val="0"/>
                <w:sz w:val="21"/>
              </w:rPr>
              <w:t>（2</w:t>
            </w:r>
            <w:r>
              <w:rPr>
                <w:rFonts w:ascii="宋体" w:hAnsi="宋体" w:eastAsia="宋体" w:cs="Times New Roman"/>
                <w:kern w:val="0"/>
                <w:sz w:val="21"/>
              </w:rPr>
              <w:t>）毒理学资料及环境行为</w:t>
            </w:r>
          </w:p>
          <w:p>
            <w:pPr>
              <w:rPr>
                <w:rFonts w:eastAsia="宋体" w:cs="Times New Roman"/>
                <w:kern w:val="0"/>
                <w:sz w:val="21"/>
              </w:rPr>
            </w:pPr>
            <w:r>
              <w:rPr>
                <w:rFonts w:eastAsia="宋体" w:cs="Times New Roman"/>
                <w:kern w:val="0"/>
                <w:sz w:val="21"/>
              </w:rPr>
              <w:t>毒性：一氧化碳在血中与血红蛋白结合而造成组织缺氧。急性中毒：轻度中毒者出现头痛、头晕、耳鸣、心悸、恶心、呕吐、无力。中度中毒者除上述症状外，还有面色潮红、口唇樱红、脉快、烦躁、步态不稳、意识模糊，可有昏迷。重度患者昏迷不醒、瞳孔缩小、肌张力增加，频繁抽搐、大小便失禁等。深度中毒可致死。慢性影响：长期反复吸入一定量的一氧化碳可致神经和心血管系统损害。</w:t>
            </w:r>
          </w:p>
          <w:p>
            <w:pPr>
              <w:rPr>
                <w:rFonts w:eastAsia="宋体" w:cs="Times New Roman"/>
                <w:kern w:val="0"/>
                <w:sz w:val="21"/>
              </w:rPr>
            </w:pPr>
            <w:r>
              <w:rPr>
                <w:rFonts w:eastAsia="宋体" w:cs="Times New Roman"/>
                <w:kern w:val="0"/>
                <w:sz w:val="21"/>
              </w:rPr>
              <w:t>急性毒性：LC502069mg/m</w:t>
            </w:r>
            <w:r>
              <w:rPr>
                <w:rFonts w:eastAsia="宋体" w:cs="Times New Roman"/>
                <w:kern w:val="0"/>
                <w:sz w:val="21"/>
                <w:vertAlign w:val="superscript"/>
              </w:rPr>
              <w:t>3</w:t>
            </w:r>
            <w:r>
              <w:rPr>
                <w:rFonts w:ascii="宋体" w:hAnsi="宋体" w:eastAsia="宋体" w:cs="Times New Roman"/>
                <w:kern w:val="0"/>
                <w:sz w:val="21"/>
              </w:rPr>
              <w:t>，</w:t>
            </w:r>
            <w:r>
              <w:rPr>
                <w:rFonts w:eastAsia="宋体" w:cs="Times New Roman"/>
                <w:kern w:val="0"/>
                <w:sz w:val="21"/>
              </w:rPr>
              <w:t>4</w:t>
            </w:r>
            <w:r>
              <w:rPr>
                <w:rFonts w:ascii="宋体" w:hAnsi="宋体" w:eastAsia="宋体" w:cs="Times New Roman"/>
                <w:kern w:val="0"/>
                <w:sz w:val="21"/>
              </w:rPr>
              <w:t>小时</w:t>
            </w:r>
            <w:r>
              <w:rPr>
                <w:rFonts w:eastAsia="宋体" w:cs="Times New Roman"/>
                <w:kern w:val="0"/>
                <w:sz w:val="21"/>
              </w:rPr>
              <w:t>(</w:t>
            </w:r>
            <w:r>
              <w:rPr>
                <w:rFonts w:ascii="宋体" w:hAnsi="宋体" w:eastAsia="宋体" w:cs="Times New Roman"/>
                <w:kern w:val="0"/>
                <w:sz w:val="21"/>
              </w:rPr>
              <w:t>大鼠吸入</w:t>
            </w:r>
            <w:r>
              <w:rPr>
                <w:rFonts w:eastAsia="宋体" w:cs="Times New Roman"/>
                <w:kern w:val="0"/>
                <w:sz w:val="21"/>
              </w:rPr>
              <w:t>)</w:t>
            </w:r>
          </w:p>
          <w:p>
            <w:pPr>
              <w:rPr>
                <w:rFonts w:eastAsia="宋体" w:cs="Times New Roman"/>
                <w:kern w:val="0"/>
                <w:sz w:val="21"/>
              </w:rPr>
            </w:pPr>
            <w:r>
              <w:rPr>
                <w:rFonts w:eastAsia="宋体" w:cs="Times New Roman"/>
                <w:kern w:val="0"/>
                <w:sz w:val="21"/>
              </w:rPr>
              <w:t>亚急性和慢性毒性：大鼠吸入0.047</w:t>
            </w:r>
            <w:r>
              <w:rPr>
                <w:rFonts w:ascii="宋体" w:hAnsi="宋体" w:eastAsia="宋体" w:cs="Times New Roman"/>
                <w:kern w:val="0"/>
                <w:sz w:val="21"/>
              </w:rPr>
              <w:t>～</w:t>
            </w:r>
            <w:r>
              <w:rPr>
                <w:rFonts w:eastAsia="宋体" w:cs="Times New Roman"/>
                <w:kern w:val="0"/>
                <w:sz w:val="21"/>
              </w:rPr>
              <w:t>0.053mg/L</w:t>
            </w:r>
            <w:r>
              <w:rPr>
                <w:rFonts w:ascii="宋体" w:hAnsi="宋体" w:eastAsia="宋体" w:cs="Times New Roman"/>
                <w:kern w:val="0"/>
                <w:sz w:val="21"/>
              </w:rPr>
              <w:t>，</w:t>
            </w:r>
            <w:r>
              <w:rPr>
                <w:rFonts w:eastAsia="宋体" w:cs="Times New Roman"/>
                <w:kern w:val="0"/>
                <w:sz w:val="21"/>
              </w:rPr>
              <w:t>4</w:t>
            </w:r>
            <w:r>
              <w:rPr>
                <w:rFonts w:ascii="宋体" w:hAnsi="宋体" w:eastAsia="宋体" w:cs="Times New Roman"/>
                <w:kern w:val="0"/>
                <w:sz w:val="21"/>
              </w:rPr>
              <w:t>～</w:t>
            </w:r>
            <w:r>
              <w:rPr>
                <w:rFonts w:eastAsia="宋体" w:cs="Times New Roman"/>
                <w:kern w:val="0"/>
                <w:sz w:val="21"/>
              </w:rPr>
              <w:t>8</w:t>
            </w:r>
            <w:r>
              <w:rPr>
                <w:rFonts w:ascii="宋体" w:hAnsi="宋体" w:eastAsia="宋体" w:cs="Times New Roman"/>
                <w:kern w:val="0"/>
                <w:sz w:val="21"/>
              </w:rPr>
              <w:t>小时</w:t>
            </w:r>
            <w:r>
              <w:rPr>
                <w:rFonts w:eastAsia="宋体" w:cs="Times New Roman"/>
                <w:kern w:val="0"/>
                <w:sz w:val="21"/>
              </w:rPr>
              <w:t>/</w:t>
            </w:r>
            <w:r>
              <w:rPr>
                <w:rFonts w:ascii="宋体" w:hAnsi="宋体" w:eastAsia="宋体" w:cs="Times New Roman"/>
                <w:kern w:val="0"/>
                <w:sz w:val="21"/>
              </w:rPr>
              <w:t>天，</w:t>
            </w:r>
            <w:r>
              <w:rPr>
                <w:rFonts w:eastAsia="宋体" w:cs="Times New Roman"/>
                <w:kern w:val="0"/>
                <w:sz w:val="21"/>
              </w:rPr>
              <w:t>30</w:t>
            </w:r>
            <w:r>
              <w:rPr>
                <w:rFonts w:ascii="宋体" w:hAnsi="宋体" w:eastAsia="宋体" w:cs="Times New Roman"/>
                <w:kern w:val="0"/>
                <w:sz w:val="21"/>
              </w:rPr>
              <w:t>天，出现生长缓慢，血红蛋白及红细胞数增高，肝脏的琥珀酸脱氢酶及细胞色素氧化酶的活性受到破坏。猴吸入</w:t>
            </w:r>
            <w:r>
              <w:rPr>
                <w:rFonts w:eastAsia="宋体" w:cs="Times New Roman"/>
                <w:kern w:val="0"/>
                <w:sz w:val="21"/>
              </w:rPr>
              <w:t>0.11mg/L</w:t>
            </w:r>
            <w:r>
              <w:rPr>
                <w:rFonts w:ascii="宋体" w:hAnsi="宋体" w:eastAsia="宋体" w:cs="Times New Roman"/>
                <w:kern w:val="0"/>
                <w:sz w:val="21"/>
              </w:rPr>
              <w:t>，经</w:t>
            </w:r>
            <w:r>
              <w:rPr>
                <w:rFonts w:eastAsia="宋体" w:cs="Times New Roman"/>
                <w:kern w:val="0"/>
                <w:sz w:val="21"/>
              </w:rPr>
              <w:t>3</w:t>
            </w:r>
            <w:r>
              <w:rPr>
                <w:rFonts w:ascii="宋体" w:hAnsi="宋体" w:eastAsia="宋体" w:cs="Times New Roman"/>
                <w:kern w:val="0"/>
                <w:sz w:val="21"/>
              </w:rPr>
              <w:t>～</w:t>
            </w:r>
            <w:r>
              <w:rPr>
                <w:rFonts w:eastAsia="宋体" w:cs="Times New Roman"/>
                <w:kern w:val="0"/>
                <w:sz w:val="21"/>
              </w:rPr>
              <w:t>6</w:t>
            </w:r>
            <w:r>
              <w:rPr>
                <w:rFonts w:ascii="宋体" w:hAnsi="宋体" w:eastAsia="宋体" w:cs="Times New Roman"/>
                <w:kern w:val="0"/>
                <w:sz w:val="21"/>
              </w:rPr>
              <w:t>个月引起心肌损伤。</w:t>
            </w:r>
          </w:p>
          <w:p>
            <w:pPr>
              <w:rPr>
                <w:rFonts w:eastAsia="宋体" w:cs="Times New Roman"/>
                <w:kern w:val="0"/>
                <w:sz w:val="21"/>
              </w:rPr>
            </w:pPr>
            <w:r>
              <w:rPr>
                <w:rFonts w:eastAsia="宋体" w:cs="Times New Roman"/>
                <w:kern w:val="0"/>
                <w:sz w:val="21"/>
              </w:rPr>
              <w:t>生殖毒性：大鼠吸入最低中毒浓度(TCL0)</w:t>
            </w:r>
            <w:r>
              <w:rPr>
                <w:rFonts w:ascii="宋体" w:hAnsi="宋体" w:eastAsia="宋体" w:cs="Times New Roman"/>
                <w:kern w:val="0"/>
                <w:sz w:val="21"/>
              </w:rPr>
              <w:t>：</w:t>
            </w:r>
            <w:r>
              <w:rPr>
                <w:rFonts w:eastAsia="宋体" w:cs="Times New Roman"/>
                <w:kern w:val="0"/>
                <w:sz w:val="21"/>
              </w:rPr>
              <w:t>150ppm(24</w:t>
            </w:r>
            <w:r>
              <w:rPr>
                <w:rFonts w:ascii="宋体" w:hAnsi="宋体" w:eastAsia="宋体" w:cs="Times New Roman"/>
                <w:kern w:val="0"/>
                <w:sz w:val="21"/>
              </w:rPr>
              <w:t>小时，孕</w:t>
            </w:r>
            <w:r>
              <w:rPr>
                <w:rFonts w:eastAsia="宋体" w:cs="Times New Roman"/>
                <w:kern w:val="0"/>
                <w:sz w:val="21"/>
              </w:rPr>
              <w:t>1</w:t>
            </w:r>
            <w:r>
              <w:rPr>
                <w:rFonts w:ascii="宋体" w:hAnsi="宋体" w:eastAsia="宋体" w:cs="Times New Roman"/>
                <w:kern w:val="0"/>
                <w:sz w:val="21"/>
              </w:rPr>
              <w:t>～</w:t>
            </w:r>
            <w:r>
              <w:rPr>
                <w:rFonts w:eastAsia="宋体" w:cs="Times New Roman"/>
                <w:kern w:val="0"/>
                <w:sz w:val="21"/>
              </w:rPr>
              <w:t>22</w:t>
            </w:r>
            <w:r>
              <w:rPr>
                <w:rFonts w:ascii="宋体" w:hAnsi="宋体" w:eastAsia="宋体" w:cs="Times New Roman"/>
                <w:kern w:val="0"/>
                <w:sz w:val="21"/>
              </w:rPr>
              <w:t>天</w:t>
            </w:r>
            <w:r>
              <w:rPr>
                <w:rFonts w:eastAsia="宋体" w:cs="Times New Roman"/>
                <w:kern w:val="0"/>
                <w:sz w:val="21"/>
              </w:rPr>
              <w:t>)</w:t>
            </w:r>
            <w:r>
              <w:rPr>
                <w:rFonts w:ascii="宋体" w:hAnsi="宋体" w:eastAsia="宋体" w:cs="Times New Roman"/>
                <w:kern w:val="0"/>
                <w:sz w:val="21"/>
              </w:rPr>
              <w:t>，引起心血管</w:t>
            </w:r>
            <w:r>
              <w:rPr>
                <w:rFonts w:eastAsia="宋体" w:cs="Times New Roman"/>
                <w:kern w:val="0"/>
                <w:sz w:val="21"/>
              </w:rPr>
              <w:t>(</w:t>
            </w:r>
            <w:r>
              <w:rPr>
                <w:rFonts w:ascii="宋体" w:hAnsi="宋体" w:eastAsia="宋体" w:cs="Times New Roman"/>
                <w:kern w:val="0"/>
                <w:sz w:val="21"/>
              </w:rPr>
              <w:t>循环</w:t>
            </w:r>
            <w:r>
              <w:rPr>
                <w:rFonts w:eastAsia="宋体" w:cs="Times New Roman"/>
                <w:kern w:val="0"/>
                <w:sz w:val="21"/>
              </w:rPr>
              <w:t>)</w:t>
            </w:r>
            <w:r>
              <w:rPr>
                <w:rFonts w:ascii="宋体" w:hAnsi="宋体" w:eastAsia="宋体" w:cs="Times New Roman"/>
                <w:kern w:val="0"/>
                <w:sz w:val="21"/>
              </w:rPr>
              <w:t>系统异常。小鼠吸入最低中毒浓度</w:t>
            </w:r>
            <w:r>
              <w:rPr>
                <w:rFonts w:eastAsia="宋体" w:cs="Times New Roman"/>
                <w:kern w:val="0"/>
                <w:sz w:val="21"/>
              </w:rPr>
              <w:t>(TCL0)</w:t>
            </w:r>
            <w:r>
              <w:rPr>
                <w:rFonts w:ascii="宋体" w:hAnsi="宋体" w:eastAsia="宋体" w:cs="Times New Roman"/>
                <w:kern w:val="0"/>
                <w:sz w:val="21"/>
              </w:rPr>
              <w:t>：</w:t>
            </w:r>
            <w:r>
              <w:rPr>
                <w:rFonts w:eastAsia="宋体" w:cs="Times New Roman"/>
                <w:kern w:val="0"/>
                <w:sz w:val="21"/>
              </w:rPr>
              <w:t>125ppm(24</w:t>
            </w:r>
            <w:r>
              <w:rPr>
                <w:rFonts w:ascii="宋体" w:hAnsi="宋体" w:eastAsia="宋体" w:cs="Times New Roman"/>
                <w:kern w:val="0"/>
                <w:sz w:val="21"/>
              </w:rPr>
              <w:t>小时，孕</w:t>
            </w:r>
            <w:r>
              <w:rPr>
                <w:rFonts w:eastAsia="宋体" w:cs="Times New Roman"/>
                <w:kern w:val="0"/>
                <w:sz w:val="21"/>
              </w:rPr>
              <w:t>7</w:t>
            </w:r>
            <w:r>
              <w:rPr>
                <w:rFonts w:ascii="宋体" w:hAnsi="宋体" w:eastAsia="宋体" w:cs="Times New Roman"/>
                <w:kern w:val="0"/>
                <w:sz w:val="21"/>
              </w:rPr>
              <w:t>～</w:t>
            </w:r>
            <w:r>
              <w:rPr>
                <w:rFonts w:eastAsia="宋体" w:cs="Times New Roman"/>
                <w:kern w:val="0"/>
                <w:sz w:val="21"/>
              </w:rPr>
              <w:t>18</w:t>
            </w:r>
            <w:r>
              <w:rPr>
                <w:rFonts w:ascii="宋体" w:hAnsi="宋体" w:eastAsia="宋体" w:cs="Times New Roman"/>
                <w:kern w:val="0"/>
                <w:sz w:val="21"/>
              </w:rPr>
              <w:t>天</w:t>
            </w:r>
            <w:r>
              <w:rPr>
                <w:rFonts w:eastAsia="宋体" w:cs="Times New Roman"/>
                <w:kern w:val="0"/>
                <w:sz w:val="21"/>
              </w:rPr>
              <w:t>)</w:t>
            </w:r>
            <w:r>
              <w:rPr>
                <w:rFonts w:ascii="宋体" w:hAnsi="宋体" w:eastAsia="宋体" w:cs="Times New Roman"/>
                <w:kern w:val="0"/>
                <w:sz w:val="21"/>
              </w:rPr>
              <w:t>，致胚胎毒性。</w:t>
            </w:r>
          </w:p>
          <w:p>
            <w:pPr>
              <w:rPr>
                <w:rFonts w:eastAsia="宋体" w:cs="Times New Roman"/>
                <w:kern w:val="0"/>
                <w:sz w:val="21"/>
              </w:rPr>
            </w:pPr>
            <w:r>
              <w:rPr>
                <w:rFonts w:eastAsia="宋体" w:cs="Times New Roman"/>
                <w:kern w:val="0"/>
                <w:sz w:val="21"/>
              </w:rPr>
              <w:t>污染来源：一氧化碳污染主要来源于冶金工业的炼焦、炼钢、炼铁、矿井放炮，化学工业的合成氨、合成甲醇，碳素厂石墨电极制造。汽车尾气、煤气发生炉以及所有碳物质（包括家庭用煤炉）的不完全燃烧均可产生CO</w:t>
            </w:r>
            <w:r>
              <w:rPr>
                <w:rFonts w:ascii="宋体" w:hAnsi="宋体" w:eastAsia="宋体" w:cs="Times New Roman"/>
                <w:kern w:val="0"/>
                <w:sz w:val="21"/>
              </w:rPr>
              <w:t>气体。</w:t>
            </w:r>
          </w:p>
          <w:p>
            <w:pPr>
              <w:rPr>
                <w:rFonts w:eastAsia="宋体" w:cs="Times New Roman"/>
                <w:kern w:val="0"/>
                <w:sz w:val="21"/>
              </w:rPr>
            </w:pPr>
            <w:r>
              <w:rPr>
                <w:rFonts w:eastAsia="宋体" w:cs="Times New Roman"/>
                <w:kern w:val="0"/>
                <w:sz w:val="21"/>
              </w:rPr>
              <w:t>危险特性：是一种易燃易爆气体。与空气混合能形成爆炸性混合物，遇明火、高热能引起燃烧爆炸。</w:t>
            </w:r>
          </w:p>
          <w:p>
            <w:pPr>
              <w:ind w:firstLine="420" w:firstLineChars="200"/>
              <w:rPr>
                <w:rFonts w:eastAsia="宋体" w:cs="Times New Roman"/>
                <w:kern w:val="0"/>
                <w:sz w:val="21"/>
              </w:rPr>
            </w:pPr>
            <w:r>
              <w:rPr>
                <w:rFonts w:eastAsia="宋体" w:cs="Times New Roman"/>
                <w:kern w:val="0"/>
                <w:sz w:val="21"/>
              </w:rPr>
              <w:t>燃烧(</w:t>
            </w:r>
            <w:r>
              <w:rPr>
                <w:rFonts w:ascii="宋体" w:hAnsi="宋体" w:eastAsia="宋体" w:cs="Times New Roman"/>
                <w:kern w:val="0"/>
                <w:sz w:val="21"/>
              </w:rPr>
              <w:t>分解</w:t>
            </w:r>
            <w:r>
              <w:rPr>
                <w:rFonts w:eastAsia="宋体" w:cs="Times New Roman"/>
                <w:kern w:val="0"/>
                <w:sz w:val="21"/>
              </w:rPr>
              <w:t>)</w:t>
            </w:r>
            <w:r>
              <w:rPr>
                <w:rFonts w:ascii="宋体" w:hAnsi="宋体" w:eastAsia="宋体" w:cs="Times New Roman"/>
                <w:kern w:val="0"/>
                <w:sz w:val="21"/>
              </w:rPr>
              <w:t>产物：二氧化碳。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79" w:type="pct"/>
            <w:vAlign w:val="center"/>
          </w:tcPr>
          <w:p>
            <w:pPr>
              <w:jc w:val="center"/>
              <w:rPr>
                <w:rFonts w:eastAsia="宋体" w:cs="Times New Roman"/>
                <w:kern w:val="0"/>
                <w:sz w:val="21"/>
              </w:rPr>
            </w:pPr>
            <w:r>
              <w:rPr>
                <w:rFonts w:eastAsia="宋体" w:cs="Times New Roman"/>
                <w:kern w:val="0"/>
                <w:sz w:val="21"/>
              </w:rPr>
              <w:t>应</w:t>
            </w:r>
          </w:p>
          <w:p>
            <w:pPr>
              <w:jc w:val="center"/>
              <w:rPr>
                <w:rFonts w:eastAsia="宋体" w:cs="Times New Roman"/>
                <w:kern w:val="0"/>
                <w:sz w:val="21"/>
              </w:rPr>
            </w:pPr>
            <w:r>
              <w:rPr>
                <w:rFonts w:eastAsia="宋体" w:cs="Times New Roman"/>
                <w:kern w:val="0"/>
                <w:sz w:val="21"/>
              </w:rPr>
              <w:t>急</w:t>
            </w:r>
          </w:p>
          <w:p>
            <w:pPr>
              <w:jc w:val="center"/>
              <w:rPr>
                <w:rFonts w:eastAsia="宋体" w:cs="Times New Roman"/>
                <w:kern w:val="0"/>
                <w:sz w:val="21"/>
              </w:rPr>
            </w:pPr>
            <w:r>
              <w:rPr>
                <w:rFonts w:eastAsia="宋体" w:cs="Times New Roman"/>
                <w:kern w:val="0"/>
                <w:sz w:val="21"/>
              </w:rPr>
              <w:t>处</w:t>
            </w:r>
          </w:p>
          <w:p>
            <w:pPr>
              <w:jc w:val="center"/>
              <w:rPr>
                <w:rFonts w:eastAsia="宋体" w:cs="Times New Roman"/>
                <w:kern w:val="0"/>
                <w:sz w:val="21"/>
              </w:rPr>
            </w:pPr>
            <w:r>
              <w:rPr>
                <w:rFonts w:eastAsia="宋体" w:cs="Times New Roman"/>
                <w:kern w:val="0"/>
                <w:sz w:val="21"/>
              </w:rPr>
              <w:t>理</w:t>
            </w:r>
          </w:p>
          <w:p>
            <w:pPr>
              <w:jc w:val="center"/>
              <w:rPr>
                <w:rFonts w:eastAsia="宋体" w:cs="Times New Roman"/>
                <w:kern w:val="0"/>
                <w:sz w:val="21"/>
              </w:rPr>
            </w:pPr>
            <w:r>
              <w:rPr>
                <w:rFonts w:eastAsia="宋体" w:cs="Times New Roman"/>
                <w:kern w:val="0"/>
                <w:sz w:val="21"/>
              </w:rPr>
              <w:t>处</w:t>
            </w:r>
          </w:p>
          <w:p>
            <w:pPr>
              <w:jc w:val="center"/>
              <w:rPr>
                <w:rFonts w:eastAsia="宋体" w:cs="Times New Roman"/>
                <w:kern w:val="0"/>
                <w:sz w:val="21"/>
              </w:rPr>
            </w:pPr>
            <w:r>
              <w:rPr>
                <w:rFonts w:eastAsia="宋体" w:cs="Times New Roman"/>
                <w:kern w:val="0"/>
                <w:sz w:val="21"/>
              </w:rPr>
              <w:t>置</w:t>
            </w:r>
          </w:p>
          <w:p>
            <w:pPr>
              <w:jc w:val="center"/>
              <w:rPr>
                <w:rFonts w:eastAsia="宋体" w:cs="Times New Roman"/>
                <w:kern w:val="0"/>
                <w:sz w:val="21"/>
              </w:rPr>
            </w:pPr>
            <w:r>
              <w:rPr>
                <w:rFonts w:eastAsia="宋体" w:cs="Times New Roman"/>
                <w:kern w:val="0"/>
                <w:sz w:val="21"/>
              </w:rPr>
              <w:t>方</w:t>
            </w:r>
          </w:p>
          <w:p>
            <w:pPr>
              <w:jc w:val="center"/>
              <w:rPr>
                <w:rFonts w:eastAsia="宋体" w:cs="Times New Roman"/>
                <w:kern w:val="0"/>
                <w:sz w:val="21"/>
              </w:rPr>
            </w:pPr>
            <w:r>
              <w:rPr>
                <w:rFonts w:eastAsia="宋体" w:cs="Times New Roman"/>
                <w:kern w:val="0"/>
                <w:sz w:val="21"/>
              </w:rPr>
              <w:t>法</w:t>
            </w:r>
          </w:p>
        </w:tc>
        <w:tc>
          <w:tcPr>
            <w:tcW w:w="4321" w:type="pct"/>
            <w:gridSpan w:val="4"/>
            <w:vAlign w:val="center"/>
          </w:tcPr>
          <w:p>
            <w:pPr>
              <w:rPr>
                <w:rFonts w:eastAsia="宋体" w:cs="Times New Roman"/>
                <w:kern w:val="0"/>
                <w:sz w:val="21"/>
              </w:rPr>
            </w:pPr>
            <w:r>
              <w:rPr>
                <w:rFonts w:eastAsia="宋体" w:cs="Times New Roman"/>
                <w:kern w:val="0"/>
                <w:sz w:val="21"/>
              </w:rPr>
              <w:t>（1</w:t>
            </w:r>
            <w:r>
              <w:rPr>
                <w:rFonts w:ascii="宋体" w:hAnsi="宋体" w:eastAsia="宋体" w:cs="Times New Roman"/>
                <w:kern w:val="0"/>
                <w:sz w:val="21"/>
              </w:rPr>
              <w:t>）泄漏应急处理</w:t>
            </w:r>
          </w:p>
          <w:p>
            <w:pPr>
              <w:rPr>
                <w:rFonts w:eastAsia="宋体" w:cs="Times New Roman"/>
                <w:kern w:val="0"/>
                <w:sz w:val="21"/>
              </w:rPr>
            </w:pPr>
            <w:r>
              <w:rPr>
                <w:rFonts w:eastAsia="宋体" w:cs="Times New Roman"/>
                <w:kern w:val="0"/>
                <w:sz w:val="21"/>
              </w:rPr>
              <w:t>迅速撤离泄漏污染区人员至上风处，并立即隔离150m</w:t>
            </w:r>
            <w:r>
              <w:rPr>
                <w:rFonts w:ascii="宋体" w:hAnsi="宋体" w:eastAsia="宋体" w:cs="Times New Roman"/>
                <w:kern w:val="0"/>
                <w:sz w:val="21"/>
              </w:rPr>
              <w:t>，严格限制出入。切断火源。建议应急处理人员戴自给正压式呼吸器，穿消防防护服。尽可能切断泄漏源。合理通风，加速扩散。喷雾状水稀释、溶解。构筑围堤或挖坑收容产生的大量废水。如有可能，将漏出气用排风机送至空旷地方或装设适当喷头烧掉。也可以用管路导至炉中、凹地焚之。漏气容器要妥善处理，修复、检验后再用。</w:t>
            </w:r>
          </w:p>
          <w:p>
            <w:pPr>
              <w:rPr>
                <w:rFonts w:eastAsia="宋体" w:cs="Times New Roman"/>
                <w:kern w:val="0"/>
                <w:sz w:val="21"/>
              </w:rPr>
            </w:pPr>
            <w:r>
              <w:rPr>
                <w:rFonts w:eastAsia="宋体" w:cs="Times New Roman"/>
                <w:kern w:val="0"/>
                <w:sz w:val="21"/>
              </w:rPr>
              <w:t>（2</w:t>
            </w:r>
            <w:r>
              <w:rPr>
                <w:rFonts w:ascii="宋体" w:hAnsi="宋体" w:eastAsia="宋体" w:cs="Times New Roman"/>
                <w:kern w:val="0"/>
                <w:sz w:val="21"/>
              </w:rPr>
              <w:t>）防护措施</w:t>
            </w:r>
          </w:p>
          <w:p>
            <w:pPr>
              <w:rPr>
                <w:rFonts w:eastAsia="宋体" w:cs="Times New Roman"/>
                <w:kern w:val="0"/>
                <w:sz w:val="21"/>
              </w:rPr>
            </w:pPr>
            <w:r>
              <w:rPr>
                <w:rFonts w:eastAsia="宋体" w:cs="Times New Roman"/>
                <w:kern w:val="0"/>
                <w:sz w:val="21"/>
              </w:rPr>
              <w:t>呼吸系统防护：空气中浓度超标时，佩带自吸过渡式防毒面具(</w:t>
            </w:r>
            <w:r>
              <w:rPr>
                <w:rFonts w:ascii="宋体" w:hAnsi="宋体" w:eastAsia="宋体" w:cs="Times New Roman"/>
                <w:kern w:val="0"/>
                <w:sz w:val="21"/>
              </w:rPr>
              <w:t>半面罩</w:t>
            </w:r>
            <w:r>
              <w:rPr>
                <w:rFonts w:eastAsia="宋体" w:cs="Times New Roman"/>
                <w:kern w:val="0"/>
                <w:sz w:val="21"/>
              </w:rPr>
              <w:t>)</w:t>
            </w:r>
            <w:r>
              <w:rPr>
                <w:rFonts w:ascii="宋体" w:hAnsi="宋体" w:eastAsia="宋体" w:cs="Times New Roman"/>
                <w:kern w:val="0"/>
                <w:sz w:val="21"/>
              </w:rPr>
              <w:t>。紧急事态抢救或撤离时，建议佩带空气呼吸器、一氧化碳过滤式自救器。</w:t>
            </w:r>
          </w:p>
          <w:p>
            <w:pPr>
              <w:rPr>
                <w:rFonts w:eastAsia="宋体" w:cs="Times New Roman"/>
                <w:kern w:val="0"/>
                <w:sz w:val="21"/>
              </w:rPr>
            </w:pPr>
            <w:r>
              <w:rPr>
                <w:rFonts w:eastAsia="宋体" w:cs="Times New Roman"/>
                <w:kern w:val="0"/>
                <w:sz w:val="21"/>
              </w:rPr>
              <w:t>眼睛防护：一般不需要特别防护，高浓度接触时可戴安全防护眼睛。</w:t>
            </w:r>
          </w:p>
          <w:p>
            <w:pPr>
              <w:rPr>
                <w:rFonts w:eastAsia="宋体" w:cs="Times New Roman"/>
                <w:kern w:val="0"/>
                <w:sz w:val="21"/>
              </w:rPr>
            </w:pPr>
            <w:r>
              <w:rPr>
                <w:rFonts w:eastAsia="宋体" w:cs="Times New Roman"/>
                <w:kern w:val="0"/>
                <w:sz w:val="21"/>
              </w:rPr>
              <w:t>身体防护：穿防静电工作服。</w:t>
            </w:r>
          </w:p>
          <w:p>
            <w:pPr>
              <w:rPr>
                <w:rFonts w:eastAsia="宋体" w:cs="Times New Roman"/>
                <w:kern w:val="0"/>
                <w:sz w:val="21"/>
              </w:rPr>
            </w:pPr>
            <w:r>
              <w:rPr>
                <w:rFonts w:eastAsia="宋体" w:cs="Times New Roman"/>
                <w:kern w:val="0"/>
                <w:sz w:val="21"/>
              </w:rPr>
              <w:t>手防护：戴一般作业防护手套。</w:t>
            </w:r>
          </w:p>
          <w:p>
            <w:pPr>
              <w:rPr>
                <w:rFonts w:eastAsia="宋体" w:cs="Times New Roman"/>
                <w:kern w:val="0"/>
                <w:sz w:val="21"/>
              </w:rPr>
            </w:pPr>
            <w:r>
              <w:rPr>
                <w:rFonts w:eastAsia="宋体" w:cs="Times New Roman"/>
                <w:kern w:val="0"/>
                <w:sz w:val="21"/>
              </w:rPr>
              <w:t>其它：工作现场严禁吸烟。实行就业前和定期的体验。避免高浓度吸入。进入罐、限制性空间或其它高浓度区作业，须有人监护。（3</w:t>
            </w:r>
            <w:r>
              <w:rPr>
                <w:rFonts w:ascii="宋体" w:hAnsi="宋体" w:eastAsia="宋体" w:cs="Times New Roman"/>
                <w:kern w:val="0"/>
                <w:sz w:val="21"/>
              </w:rPr>
              <w:t>）急救措施</w:t>
            </w:r>
          </w:p>
          <w:p>
            <w:pPr>
              <w:rPr>
                <w:rFonts w:eastAsia="宋体" w:cs="Times New Roman"/>
                <w:kern w:val="0"/>
                <w:sz w:val="21"/>
              </w:rPr>
            </w:pPr>
            <w:r>
              <w:rPr>
                <w:rFonts w:eastAsia="宋体" w:cs="Times New Roman"/>
                <w:kern w:val="0"/>
                <w:sz w:val="21"/>
              </w:rPr>
              <w:t>吸入：迅速脱离现场至空气新鲜处。保持呼吸道通畅。如呼吸困难，给输氧。呼吸心跳停止时，立即进行人工呼吸和胸外心脏按压术。就医。</w:t>
            </w:r>
          </w:p>
          <w:p>
            <w:pPr>
              <w:rPr>
                <w:rFonts w:eastAsia="宋体" w:cs="Times New Roman"/>
                <w:kern w:val="0"/>
                <w:sz w:val="21"/>
              </w:rPr>
            </w:pPr>
            <w:r>
              <w:rPr>
                <w:rFonts w:eastAsia="宋体" w:cs="Times New Roman"/>
                <w:kern w:val="0"/>
                <w:sz w:val="21"/>
              </w:rPr>
              <w:t>灭火方法：切断气源。若不能立即切断气源，则不允许熄灭正在燃烧的气体。喷水冷却容器，可能的话将容器从火场移至空旷处。灭火剂：雾状水、泡沫、二氧化碳、干粉。</w:t>
            </w:r>
          </w:p>
        </w:tc>
      </w:tr>
    </w:tbl>
    <w:p>
      <w:pPr>
        <w:pStyle w:val="14"/>
        <w:spacing w:line="240" w:lineRule="auto"/>
        <w:rPr>
          <w:bCs/>
        </w:rPr>
      </w:pPr>
      <w:r>
        <w:rPr>
          <w:bCs/>
        </w:rPr>
        <w:t>表</w:t>
      </w:r>
      <w:r>
        <w:rPr>
          <w:bCs/>
        </w:rPr>
        <w:fldChar w:fldCharType="begin"/>
      </w:r>
      <w:r>
        <w:rPr>
          <w:bCs/>
        </w:rPr>
        <w:instrText xml:space="preserve"> STYLEREF 2 \s </w:instrText>
      </w:r>
      <w:r>
        <w:rPr>
          <w:bCs/>
        </w:rPr>
        <w:fldChar w:fldCharType="separate"/>
      </w:r>
      <w:r>
        <w:rPr>
          <w:bCs/>
        </w:rPr>
        <w:t>7.5</w:t>
      </w:r>
      <w:r>
        <w:rPr>
          <w:bCs/>
        </w:rPr>
        <w:fldChar w:fldCharType="end"/>
      </w:r>
      <w:r>
        <w:rPr>
          <w:bCs/>
        </w:rPr>
        <w:noBreakHyphen/>
      </w:r>
      <w:r>
        <w:rPr>
          <w:bCs/>
        </w:rPr>
        <w:fldChar w:fldCharType="begin"/>
      </w:r>
      <w:r>
        <w:rPr>
          <w:bCs/>
        </w:rPr>
        <w:instrText xml:space="preserve"> SEQ 表 \* ARABIC \s 2 </w:instrText>
      </w:r>
      <w:r>
        <w:rPr>
          <w:bCs/>
        </w:rPr>
        <w:fldChar w:fldCharType="separate"/>
      </w:r>
      <w:r>
        <w:rPr>
          <w:bCs/>
        </w:rPr>
        <w:t>9</w:t>
      </w:r>
      <w:r>
        <w:rPr>
          <w:bCs/>
        </w:rPr>
        <w:fldChar w:fldCharType="end"/>
      </w:r>
      <w:r>
        <w:rPr>
          <w:rFonts w:hint="eastAsia"/>
          <w:bCs/>
        </w:rPr>
        <w:t xml:space="preserve">  </w:t>
      </w:r>
      <w:r>
        <w:rPr>
          <w:bCs/>
        </w:rPr>
        <w:t>一氧化氮的理化性质及危险特性</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0"/>
        <w:gridCol w:w="2802"/>
        <w:gridCol w:w="19"/>
        <w:gridCol w:w="1475"/>
        <w:gridCol w:w="4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679" w:type="pct"/>
            <w:vAlign w:val="center"/>
          </w:tcPr>
          <w:p>
            <w:pPr>
              <w:jc w:val="center"/>
              <w:rPr>
                <w:rFonts w:eastAsia="宋体" w:cs="Times New Roman"/>
                <w:color w:val="000000"/>
                <w:kern w:val="0"/>
                <w:sz w:val="21"/>
              </w:rPr>
            </w:pPr>
            <w:r>
              <w:rPr>
                <w:rFonts w:eastAsia="宋体" w:cs="Times New Roman"/>
                <w:color w:val="000000"/>
                <w:kern w:val="0"/>
                <w:sz w:val="21"/>
              </w:rPr>
              <w:t>国标编号</w:t>
            </w:r>
          </w:p>
        </w:tc>
        <w:tc>
          <w:tcPr>
            <w:tcW w:w="4321" w:type="pct"/>
            <w:gridSpan w:val="4"/>
            <w:vAlign w:val="center"/>
          </w:tcPr>
          <w:p>
            <w:pPr>
              <w:jc w:val="center"/>
              <w:rPr>
                <w:rFonts w:eastAsia="宋体" w:cs="Times New Roman"/>
                <w:kern w:val="0"/>
                <w:sz w:val="21"/>
              </w:rPr>
            </w:pPr>
            <w:r>
              <w:rPr>
                <w:rFonts w:eastAsia="宋体" w:cs="Times New Roman"/>
                <w:kern w:val="0"/>
                <w:sz w:val="21"/>
              </w:rPr>
              <w:t>23009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679" w:type="pct"/>
            <w:vAlign w:val="center"/>
          </w:tcPr>
          <w:p>
            <w:pPr>
              <w:jc w:val="center"/>
              <w:rPr>
                <w:rFonts w:eastAsia="宋体" w:cs="Times New Roman"/>
                <w:color w:val="000000"/>
                <w:kern w:val="0"/>
                <w:sz w:val="21"/>
              </w:rPr>
            </w:pPr>
            <w:r>
              <w:rPr>
                <w:rFonts w:eastAsia="宋体" w:cs="Times New Roman"/>
                <w:color w:val="000000"/>
                <w:kern w:val="0"/>
                <w:sz w:val="21"/>
              </w:rPr>
              <w:t>CAS</w:t>
            </w:r>
            <w:r>
              <w:rPr>
                <w:rFonts w:ascii="宋体" w:hAnsi="宋体" w:eastAsia="宋体" w:cs="Times New Roman"/>
                <w:color w:val="000000"/>
                <w:kern w:val="0"/>
                <w:sz w:val="21"/>
              </w:rPr>
              <w:t>号</w:t>
            </w:r>
          </w:p>
        </w:tc>
        <w:tc>
          <w:tcPr>
            <w:tcW w:w="4321" w:type="pct"/>
            <w:gridSpan w:val="4"/>
            <w:vAlign w:val="center"/>
          </w:tcPr>
          <w:p>
            <w:pPr>
              <w:jc w:val="center"/>
              <w:rPr>
                <w:rFonts w:eastAsia="宋体" w:cs="Times New Roman"/>
                <w:kern w:val="0"/>
                <w:sz w:val="21"/>
              </w:rPr>
            </w:pPr>
            <w:r>
              <w:rPr>
                <w:rFonts w:eastAsia="宋体" w:cs="Times New Roman"/>
                <w:kern w:val="0"/>
                <w:sz w:val="21"/>
              </w:rPr>
              <w:t>10102-43-9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679" w:type="pct"/>
            <w:vAlign w:val="center"/>
          </w:tcPr>
          <w:p>
            <w:pPr>
              <w:jc w:val="center"/>
              <w:rPr>
                <w:rFonts w:eastAsia="宋体" w:cs="Times New Roman"/>
                <w:kern w:val="0"/>
                <w:sz w:val="21"/>
              </w:rPr>
            </w:pPr>
            <w:r>
              <w:rPr>
                <w:rFonts w:eastAsia="宋体" w:cs="Times New Roman"/>
                <w:kern w:val="0"/>
                <w:sz w:val="21"/>
              </w:rPr>
              <w:t>中文名称</w:t>
            </w:r>
          </w:p>
        </w:tc>
        <w:tc>
          <w:tcPr>
            <w:tcW w:w="1452" w:type="pct"/>
            <w:vAlign w:val="center"/>
          </w:tcPr>
          <w:p>
            <w:pPr>
              <w:jc w:val="center"/>
              <w:rPr>
                <w:rFonts w:eastAsia="宋体" w:cs="Times New Roman"/>
                <w:kern w:val="0"/>
                <w:sz w:val="21"/>
              </w:rPr>
            </w:pPr>
            <w:r>
              <w:rPr>
                <w:rFonts w:eastAsia="宋体" w:cs="Times New Roman"/>
                <w:kern w:val="0"/>
                <w:sz w:val="21"/>
              </w:rPr>
              <w:t>一氧化氮</w:t>
            </w:r>
          </w:p>
        </w:tc>
        <w:tc>
          <w:tcPr>
            <w:tcW w:w="774" w:type="pct"/>
            <w:gridSpan w:val="2"/>
            <w:vAlign w:val="center"/>
          </w:tcPr>
          <w:p>
            <w:pPr>
              <w:jc w:val="center"/>
              <w:rPr>
                <w:rFonts w:eastAsia="宋体" w:cs="Times New Roman"/>
                <w:kern w:val="0"/>
                <w:sz w:val="21"/>
              </w:rPr>
            </w:pPr>
            <w:r>
              <w:rPr>
                <w:rFonts w:eastAsia="宋体" w:cs="Times New Roman"/>
                <w:kern w:val="0"/>
                <w:sz w:val="21"/>
              </w:rPr>
              <w:t>英文名称</w:t>
            </w:r>
          </w:p>
        </w:tc>
        <w:tc>
          <w:tcPr>
            <w:tcW w:w="2095" w:type="pct"/>
            <w:vAlign w:val="center"/>
          </w:tcPr>
          <w:p>
            <w:pPr>
              <w:jc w:val="center"/>
              <w:rPr>
                <w:rFonts w:eastAsia="宋体" w:cs="Times New Roman"/>
                <w:kern w:val="0"/>
                <w:sz w:val="21"/>
              </w:rPr>
            </w:pPr>
            <w:r>
              <w:rPr>
                <w:rFonts w:eastAsia="宋体" w:cs="Times New Roman"/>
                <w:kern w:val="0"/>
                <w:sz w:val="21"/>
              </w:rPr>
              <w:t>netrogen monoxide;nitric oxide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679" w:type="pct"/>
            <w:vAlign w:val="center"/>
          </w:tcPr>
          <w:p>
            <w:pPr>
              <w:jc w:val="center"/>
              <w:rPr>
                <w:rFonts w:eastAsia="宋体" w:cs="Times New Roman"/>
                <w:kern w:val="0"/>
                <w:sz w:val="21"/>
              </w:rPr>
            </w:pPr>
            <w:r>
              <w:rPr>
                <w:rFonts w:eastAsia="宋体" w:cs="Times New Roman"/>
                <w:kern w:val="0"/>
                <w:sz w:val="21"/>
              </w:rPr>
              <w:t>别 名</w:t>
            </w:r>
          </w:p>
        </w:tc>
        <w:tc>
          <w:tcPr>
            <w:tcW w:w="4321" w:type="pct"/>
            <w:gridSpan w:val="4"/>
            <w:vAlign w:val="center"/>
          </w:tcPr>
          <w:p>
            <w:pPr>
              <w:jc w:val="center"/>
              <w:rPr>
                <w:rFonts w:eastAsia="宋体" w:cs="Times New Roman"/>
                <w:kern w:val="0"/>
                <w:sz w:val="21"/>
              </w:rPr>
            </w:pPr>
            <w:r>
              <w:rPr>
                <w:rFonts w:eastAsia="宋体" w:cs="Times New Roman"/>
                <w:kern w:val="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679" w:type="pct"/>
            <w:vAlign w:val="center"/>
          </w:tcPr>
          <w:p>
            <w:pPr>
              <w:jc w:val="center"/>
              <w:rPr>
                <w:rFonts w:eastAsia="宋体" w:cs="Times New Roman"/>
                <w:kern w:val="0"/>
                <w:sz w:val="21"/>
              </w:rPr>
            </w:pPr>
            <w:r>
              <w:rPr>
                <w:rFonts w:eastAsia="宋体" w:cs="Times New Roman"/>
                <w:kern w:val="0"/>
                <w:sz w:val="21"/>
              </w:rPr>
              <w:t>分子式</w:t>
            </w:r>
          </w:p>
        </w:tc>
        <w:tc>
          <w:tcPr>
            <w:tcW w:w="1462" w:type="pct"/>
            <w:gridSpan w:val="2"/>
            <w:vAlign w:val="center"/>
          </w:tcPr>
          <w:p>
            <w:pPr>
              <w:jc w:val="center"/>
              <w:rPr>
                <w:rFonts w:eastAsia="宋体" w:cs="Times New Roman"/>
                <w:kern w:val="0"/>
                <w:sz w:val="21"/>
              </w:rPr>
            </w:pPr>
            <w:r>
              <w:rPr>
                <w:rFonts w:eastAsia="宋体" w:cs="Times New Roman"/>
                <w:kern w:val="0"/>
                <w:sz w:val="21"/>
              </w:rPr>
              <w:t>NO</w:t>
            </w:r>
          </w:p>
        </w:tc>
        <w:tc>
          <w:tcPr>
            <w:tcW w:w="764" w:type="pct"/>
            <w:vAlign w:val="center"/>
          </w:tcPr>
          <w:p>
            <w:pPr>
              <w:jc w:val="center"/>
              <w:rPr>
                <w:rFonts w:eastAsia="宋体" w:cs="Times New Roman"/>
                <w:kern w:val="0"/>
                <w:sz w:val="21"/>
              </w:rPr>
            </w:pPr>
            <w:r>
              <w:rPr>
                <w:rFonts w:eastAsia="宋体" w:cs="Times New Roman"/>
                <w:kern w:val="0"/>
                <w:sz w:val="21"/>
              </w:rPr>
              <w:t>外观与</w:t>
            </w:r>
          </w:p>
          <w:p>
            <w:pPr>
              <w:jc w:val="center"/>
              <w:rPr>
                <w:rFonts w:eastAsia="宋体" w:cs="Times New Roman"/>
                <w:kern w:val="0"/>
                <w:sz w:val="21"/>
              </w:rPr>
            </w:pPr>
            <w:r>
              <w:rPr>
                <w:rFonts w:eastAsia="宋体" w:cs="Times New Roman"/>
                <w:kern w:val="0"/>
                <w:sz w:val="21"/>
              </w:rPr>
              <w:t>性状</w:t>
            </w:r>
          </w:p>
        </w:tc>
        <w:tc>
          <w:tcPr>
            <w:tcW w:w="2095" w:type="pct"/>
            <w:vAlign w:val="center"/>
          </w:tcPr>
          <w:p>
            <w:pPr>
              <w:jc w:val="center"/>
              <w:rPr>
                <w:rFonts w:eastAsia="宋体" w:cs="Times New Roman"/>
                <w:kern w:val="0"/>
                <w:sz w:val="21"/>
              </w:rPr>
            </w:pPr>
            <w:r>
              <w:rPr>
                <w:rFonts w:eastAsia="宋体" w:cs="Times New Roman"/>
                <w:kern w:val="0"/>
                <w:sz w:val="21"/>
              </w:rPr>
              <w:t>无色气体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679" w:type="pct"/>
            <w:vAlign w:val="center"/>
          </w:tcPr>
          <w:p>
            <w:pPr>
              <w:jc w:val="center"/>
              <w:rPr>
                <w:rFonts w:eastAsia="宋体" w:cs="Times New Roman"/>
                <w:kern w:val="0"/>
                <w:sz w:val="21"/>
              </w:rPr>
            </w:pPr>
            <w:r>
              <w:rPr>
                <w:rFonts w:eastAsia="宋体" w:cs="Times New Roman"/>
                <w:kern w:val="0"/>
                <w:sz w:val="21"/>
              </w:rPr>
              <w:t>分子量</w:t>
            </w:r>
          </w:p>
        </w:tc>
        <w:tc>
          <w:tcPr>
            <w:tcW w:w="1462" w:type="pct"/>
            <w:gridSpan w:val="2"/>
            <w:vAlign w:val="center"/>
          </w:tcPr>
          <w:p>
            <w:pPr>
              <w:jc w:val="center"/>
              <w:rPr>
                <w:rFonts w:eastAsia="宋体" w:cs="Times New Roman"/>
                <w:kern w:val="0"/>
                <w:sz w:val="21"/>
              </w:rPr>
            </w:pPr>
            <w:r>
              <w:rPr>
                <w:rFonts w:eastAsia="宋体" w:cs="Times New Roman"/>
                <w:kern w:val="0"/>
                <w:sz w:val="21"/>
              </w:rPr>
              <w:t>30.01</w:t>
            </w:r>
          </w:p>
        </w:tc>
        <w:tc>
          <w:tcPr>
            <w:tcW w:w="764" w:type="pct"/>
            <w:vAlign w:val="center"/>
          </w:tcPr>
          <w:p>
            <w:pPr>
              <w:jc w:val="center"/>
              <w:rPr>
                <w:rFonts w:eastAsia="宋体" w:cs="Times New Roman"/>
                <w:kern w:val="0"/>
                <w:sz w:val="21"/>
              </w:rPr>
            </w:pPr>
            <w:r>
              <w:rPr>
                <w:rFonts w:eastAsia="宋体" w:cs="Times New Roman"/>
                <w:kern w:val="0"/>
                <w:sz w:val="21"/>
              </w:rPr>
              <w:t>沸点</w:t>
            </w:r>
          </w:p>
        </w:tc>
        <w:tc>
          <w:tcPr>
            <w:tcW w:w="2095" w:type="pct"/>
            <w:vAlign w:val="center"/>
          </w:tcPr>
          <w:p>
            <w:pPr>
              <w:jc w:val="center"/>
              <w:rPr>
                <w:rFonts w:eastAsia="宋体" w:cs="Times New Roman"/>
                <w:kern w:val="0"/>
                <w:sz w:val="21"/>
              </w:rPr>
            </w:pPr>
            <w:r>
              <w:rPr>
                <w:rFonts w:eastAsia="宋体" w:cs="Times New Roman"/>
                <w:kern w:val="0"/>
                <w:sz w:val="21"/>
              </w:rPr>
              <w:t>-151</w:t>
            </w:r>
            <w:r>
              <w:rPr>
                <w:rFonts w:hint="eastAsia" w:ascii="宋体" w:hAnsi="宋体" w:eastAsia="宋体" w:cs="Times New Roman"/>
                <w:kern w:val="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679" w:type="pct"/>
            <w:vAlign w:val="center"/>
          </w:tcPr>
          <w:p>
            <w:pPr>
              <w:jc w:val="center"/>
              <w:rPr>
                <w:rFonts w:eastAsia="宋体" w:cs="Times New Roman"/>
                <w:kern w:val="0"/>
                <w:sz w:val="21"/>
              </w:rPr>
            </w:pPr>
            <w:r>
              <w:rPr>
                <w:rFonts w:eastAsia="宋体" w:cs="Times New Roman"/>
                <w:kern w:val="0"/>
                <w:sz w:val="21"/>
              </w:rPr>
              <w:t>熔 点</w:t>
            </w:r>
          </w:p>
        </w:tc>
        <w:tc>
          <w:tcPr>
            <w:tcW w:w="1462" w:type="pct"/>
            <w:gridSpan w:val="2"/>
            <w:vAlign w:val="center"/>
          </w:tcPr>
          <w:p>
            <w:pPr>
              <w:jc w:val="center"/>
              <w:rPr>
                <w:rFonts w:eastAsia="宋体" w:cs="Times New Roman"/>
                <w:kern w:val="0"/>
                <w:sz w:val="21"/>
              </w:rPr>
            </w:pPr>
            <w:r>
              <w:rPr>
                <w:rFonts w:eastAsia="宋体" w:cs="Times New Roman"/>
                <w:kern w:val="0"/>
                <w:sz w:val="21"/>
              </w:rPr>
              <w:t>-163.6</w:t>
            </w:r>
            <w:r>
              <w:rPr>
                <w:rFonts w:hint="eastAsia" w:ascii="宋体" w:hAnsi="宋体" w:eastAsia="宋体" w:cs="Times New Roman"/>
                <w:kern w:val="0"/>
                <w:sz w:val="21"/>
              </w:rPr>
              <w:t>℃</w:t>
            </w:r>
          </w:p>
        </w:tc>
        <w:tc>
          <w:tcPr>
            <w:tcW w:w="764" w:type="pct"/>
            <w:vAlign w:val="center"/>
          </w:tcPr>
          <w:p>
            <w:pPr>
              <w:jc w:val="center"/>
              <w:rPr>
                <w:rFonts w:eastAsia="宋体" w:cs="Times New Roman"/>
                <w:kern w:val="0"/>
                <w:sz w:val="21"/>
              </w:rPr>
            </w:pPr>
            <w:r>
              <w:rPr>
                <w:rFonts w:eastAsia="宋体" w:cs="Times New Roman"/>
                <w:kern w:val="0"/>
                <w:sz w:val="21"/>
              </w:rPr>
              <w:t>溶解性</w:t>
            </w:r>
          </w:p>
        </w:tc>
        <w:tc>
          <w:tcPr>
            <w:tcW w:w="2095" w:type="pct"/>
            <w:vAlign w:val="center"/>
          </w:tcPr>
          <w:p>
            <w:pPr>
              <w:jc w:val="center"/>
              <w:rPr>
                <w:rFonts w:eastAsia="宋体" w:cs="Times New Roman"/>
                <w:kern w:val="0"/>
                <w:sz w:val="21"/>
              </w:rPr>
            </w:pPr>
            <w:r>
              <w:rPr>
                <w:rFonts w:eastAsia="宋体" w:cs="Times New Roman"/>
                <w:kern w:val="0"/>
                <w:sz w:val="21"/>
              </w:rPr>
              <w:t>微溶于水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679" w:type="pct"/>
            <w:vAlign w:val="center"/>
          </w:tcPr>
          <w:p>
            <w:pPr>
              <w:jc w:val="center"/>
              <w:rPr>
                <w:rFonts w:eastAsia="宋体" w:cs="Times New Roman"/>
                <w:kern w:val="0"/>
                <w:sz w:val="21"/>
              </w:rPr>
            </w:pPr>
            <w:r>
              <w:rPr>
                <w:rFonts w:eastAsia="宋体" w:cs="Times New Roman"/>
                <w:kern w:val="0"/>
                <w:sz w:val="21"/>
              </w:rPr>
              <w:t>密 度</w:t>
            </w:r>
          </w:p>
        </w:tc>
        <w:tc>
          <w:tcPr>
            <w:tcW w:w="1462" w:type="pct"/>
            <w:gridSpan w:val="2"/>
            <w:vAlign w:val="center"/>
          </w:tcPr>
          <w:p>
            <w:pPr>
              <w:rPr>
                <w:rFonts w:eastAsia="宋体" w:cs="Times New Roman"/>
                <w:kern w:val="0"/>
                <w:sz w:val="21"/>
              </w:rPr>
            </w:pPr>
            <w:r>
              <w:rPr>
                <w:rFonts w:eastAsia="宋体" w:cs="Times New Roman"/>
                <w:kern w:val="0"/>
                <w:sz w:val="21"/>
              </w:rPr>
              <w:t>相对密度(</w:t>
            </w:r>
            <w:r>
              <w:rPr>
                <w:rFonts w:ascii="宋体" w:hAnsi="宋体" w:eastAsia="宋体" w:cs="Times New Roman"/>
                <w:kern w:val="0"/>
                <w:sz w:val="21"/>
              </w:rPr>
              <w:t>水</w:t>
            </w:r>
            <w:r>
              <w:rPr>
                <w:rFonts w:eastAsia="宋体" w:cs="Times New Roman"/>
                <w:kern w:val="0"/>
                <w:sz w:val="21"/>
              </w:rPr>
              <w:t>=1)1.27/-151</w:t>
            </w:r>
            <w:r>
              <w:rPr>
                <w:rFonts w:hint="eastAsia" w:ascii="宋体" w:hAnsi="宋体" w:eastAsia="宋体" w:cs="Times New Roman"/>
                <w:kern w:val="0"/>
                <w:sz w:val="21"/>
              </w:rPr>
              <w:t>℃</w:t>
            </w:r>
          </w:p>
        </w:tc>
        <w:tc>
          <w:tcPr>
            <w:tcW w:w="764" w:type="pct"/>
            <w:vAlign w:val="center"/>
          </w:tcPr>
          <w:p>
            <w:pPr>
              <w:jc w:val="center"/>
              <w:rPr>
                <w:rFonts w:eastAsia="宋体" w:cs="Times New Roman"/>
                <w:kern w:val="0"/>
                <w:sz w:val="21"/>
              </w:rPr>
            </w:pPr>
            <w:r>
              <w:rPr>
                <w:rFonts w:eastAsia="宋体" w:cs="Times New Roman"/>
                <w:kern w:val="0"/>
                <w:sz w:val="21"/>
              </w:rPr>
              <w:t>稳定性</w:t>
            </w:r>
          </w:p>
        </w:tc>
        <w:tc>
          <w:tcPr>
            <w:tcW w:w="2095" w:type="pct"/>
            <w:vAlign w:val="center"/>
          </w:tcPr>
          <w:p>
            <w:pPr>
              <w:jc w:val="center"/>
              <w:rPr>
                <w:rFonts w:eastAsia="宋体" w:cs="Times New Roman"/>
                <w:kern w:val="0"/>
                <w:sz w:val="21"/>
              </w:rPr>
            </w:pPr>
            <w:r>
              <w:rPr>
                <w:rFonts w:eastAsia="宋体" w:cs="Times New Roman"/>
                <w:kern w:val="0"/>
                <w:sz w:val="21"/>
              </w:rPr>
              <w:t>不稳定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79" w:type="pct"/>
            <w:vAlign w:val="center"/>
          </w:tcPr>
          <w:p>
            <w:pPr>
              <w:jc w:val="center"/>
              <w:rPr>
                <w:rFonts w:eastAsia="宋体" w:cs="Times New Roman"/>
                <w:kern w:val="0"/>
                <w:sz w:val="21"/>
              </w:rPr>
            </w:pPr>
            <w:r>
              <w:rPr>
                <w:rFonts w:eastAsia="宋体" w:cs="Times New Roman"/>
                <w:kern w:val="0"/>
                <w:sz w:val="21"/>
              </w:rPr>
              <w:t>危险标记</w:t>
            </w:r>
          </w:p>
        </w:tc>
        <w:tc>
          <w:tcPr>
            <w:tcW w:w="1462" w:type="pct"/>
            <w:gridSpan w:val="2"/>
            <w:vAlign w:val="center"/>
          </w:tcPr>
          <w:p>
            <w:pPr>
              <w:jc w:val="center"/>
              <w:rPr>
                <w:rFonts w:eastAsia="宋体" w:cs="Times New Roman"/>
                <w:kern w:val="0"/>
                <w:sz w:val="21"/>
              </w:rPr>
            </w:pPr>
            <w:r>
              <w:rPr>
                <w:rFonts w:eastAsia="宋体" w:cs="Times New Roman"/>
                <w:kern w:val="0"/>
                <w:sz w:val="21"/>
              </w:rPr>
              <w:t>6(</w:t>
            </w:r>
            <w:r>
              <w:rPr>
                <w:rFonts w:ascii="宋体" w:hAnsi="宋体" w:eastAsia="宋体" w:cs="Times New Roman"/>
                <w:kern w:val="0"/>
                <w:sz w:val="21"/>
              </w:rPr>
              <w:t>有毒气体</w:t>
            </w:r>
            <w:r>
              <w:rPr>
                <w:rFonts w:eastAsia="宋体" w:cs="Times New Roman"/>
                <w:kern w:val="0"/>
                <w:sz w:val="21"/>
              </w:rPr>
              <w:t>)</w:t>
            </w:r>
          </w:p>
        </w:tc>
        <w:tc>
          <w:tcPr>
            <w:tcW w:w="764" w:type="pct"/>
            <w:vAlign w:val="center"/>
          </w:tcPr>
          <w:p>
            <w:pPr>
              <w:jc w:val="center"/>
              <w:rPr>
                <w:rFonts w:eastAsia="宋体" w:cs="Times New Roman"/>
                <w:kern w:val="0"/>
                <w:sz w:val="21"/>
              </w:rPr>
            </w:pPr>
            <w:r>
              <w:rPr>
                <w:rFonts w:eastAsia="宋体" w:cs="Times New Roman"/>
                <w:kern w:val="0"/>
                <w:sz w:val="21"/>
              </w:rPr>
              <w:t>主要用途</w:t>
            </w:r>
          </w:p>
        </w:tc>
        <w:tc>
          <w:tcPr>
            <w:tcW w:w="2095" w:type="pct"/>
            <w:vAlign w:val="center"/>
          </w:tcPr>
          <w:p>
            <w:pPr>
              <w:jc w:val="left"/>
              <w:rPr>
                <w:rFonts w:eastAsia="宋体" w:cs="Times New Roman"/>
                <w:kern w:val="0"/>
                <w:sz w:val="21"/>
              </w:rPr>
            </w:pPr>
            <w:r>
              <w:rPr>
                <w:rFonts w:eastAsia="宋体" w:cs="Times New Roman"/>
                <w:kern w:val="0"/>
                <w:sz w:val="21"/>
              </w:rPr>
              <w:t>制硝酸、人造丝漂白剂、丙烯及二甲醚的安定剂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79" w:type="pct"/>
            <w:vAlign w:val="center"/>
          </w:tcPr>
          <w:p>
            <w:pPr>
              <w:jc w:val="center"/>
              <w:rPr>
                <w:rFonts w:eastAsia="宋体" w:cs="Times New Roman"/>
                <w:kern w:val="0"/>
                <w:sz w:val="21"/>
              </w:rPr>
            </w:pPr>
            <w:r>
              <w:rPr>
                <w:rFonts w:eastAsia="宋体" w:cs="Times New Roman"/>
                <w:kern w:val="0"/>
                <w:sz w:val="21"/>
              </w:rPr>
              <w:t>对</w:t>
            </w:r>
          </w:p>
          <w:p>
            <w:pPr>
              <w:jc w:val="center"/>
              <w:rPr>
                <w:rFonts w:eastAsia="宋体" w:cs="Times New Roman"/>
                <w:kern w:val="0"/>
                <w:sz w:val="21"/>
              </w:rPr>
            </w:pPr>
            <w:r>
              <w:rPr>
                <w:rFonts w:eastAsia="宋体" w:cs="Times New Roman"/>
                <w:kern w:val="0"/>
                <w:sz w:val="21"/>
              </w:rPr>
              <w:t>环</w:t>
            </w:r>
          </w:p>
          <w:p>
            <w:pPr>
              <w:jc w:val="center"/>
              <w:rPr>
                <w:rFonts w:eastAsia="宋体" w:cs="Times New Roman"/>
                <w:kern w:val="0"/>
                <w:sz w:val="21"/>
              </w:rPr>
            </w:pPr>
            <w:r>
              <w:rPr>
                <w:rFonts w:eastAsia="宋体" w:cs="Times New Roman"/>
                <w:kern w:val="0"/>
                <w:sz w:val="21"/>
              </w:rPr>
              <w:t>境</w:t>
            </w:r>
          </w:p>
          <w:p>
            <w:pPr>
              <w:jc w:val="center"/>
              <w:rPr>
                <w:rFonts w:eastAsia="宋体" w:cs="Times New Roman"/>
                <w:kern w:val="0"/>
                <w:sz w:val="21"/>
              </w:rPr>
            </w:pPr>
            <w:r>
              <w:rPr>
                <w:rFonts w:eastAsia="宋体" w:cs="Times New Roman"/>
                <w:kern w:val="0"/>
                <w:sz w:val="21"/>
              </w:rPr>
              <w:t>的</w:t>
            </w:r>
          </w:p>
          <w:p>
            <w:pPr>
              <w:jc w:val="center"/>
              <w:rPr>
                <w:rFonts w:eastAsia="宋体" w:cs="Times New Roman"/>
                <w:kern w:val="0"/>
                <w:sz w:val="21"/>
              </w:rPr>
            </w:pPr>
            <w:r>
              <w:rPr>
                <w:rFonts w:eastAsia="宋体" w:cs="Times New Roman"/>
                <w:kern w:val="0"/>
                <w:sz w:val="21"/>
              </w:rPr>
              <w:t>影</w:t>
            </w:r>
          </w:p>
          <w:p>
            <w:pPr>
              <w:jc w:val="center"/>
              <w:rPr>
                <w:rFonts w:eastAsia="宋体" w:cs="Times New Roman"/>
                <w:kern w:val="0"/>
                <w:sz w:val="21"/>
              </w:rPr>
            </w:pPr>
            <w:r>
              <w:rPr>
                <w:rFonts w:eastAsia="宋体" w:cs="Times New Roman"/>
                <w:kern w:val="0"/>
                <w:sz w:val="21"/>
              </w:rPr>
              <w:t>响</w:t>
            </w:r>
          </w:p>
        </w:tc>
        <w:tc>
          <w:tcPr>
            <w:tcW w:w="4321" w:type="pct"/>
            <w:gridSpan w:val="4"/>
            <w:vAlign w:val="center"/>
          </w:tcPr>
          <w:p>
            <w:pPr>
              <w:rPr>
                <w:rFonts w:eastAsia="宋体" w:cs="Times New Roman"/>
                <w:kern w:val="0"/>
                <w:sz w:val="21"/>
              </w:rPr>
            </w:pPr>
            <w:r>
              <w:rPr>
                <w:rFonts w:eastAsia="宋体" w:cs="Times New Roman"/>
                <w:kern w:val="0"/>
                <w:sz w:val="21"/>
              </w:rPr>
              <w:t>（1</w:t>
            </w:r>
            <w:r>
              <w:rPr>
                <w:rFonts w:ascii="宋体" w:hAnsi="宋体" w:eastAsia="宋体" w:cs="Times New Roman"/>
                <w:kern w:val="0"/>
                <w:sz w:val="21"/>
              </w:rPr>
              <w:t>）健康危害</w:t>
            </w:r>
          </w:p>
          <w:p>
            <w:pPr>
              <w:rPr>
                <w:rFonts w:eastAsia="宋体" w:cs="Times New Roman"/>
                <w:kern w:val="0"/>
                <w:sz w:val="21"/>
              </w:rPr>
            </w:pPr>
            <w:r>
              <w:rPr>
                <w:rFonts w:eastAsia="宋体" w:cs="Times New Roman"/>
                <w:kern w:val="0"/>
                <w:sz w:val="21"/>
              </w:rPr>
              <w:t>侵入途径：吸入。</w:t>
            </w:r>
          </w:p>
          <w:p>
            <w:pPr>
              <w:rPr>
                <w:rFonts w:eastAsia="宋体" w:cs="Times New Roman"/>
                <w:kern w:val="0"/>
                <w:sz w:val="21"/>
              </w:rPr>
            </w:pPr>
            <w:r>
              <w:rPr>
                <w:rFonts w:eastAsia="宋体" w:cs="Times New Roman"/>
                <w:kern w:val="0"/>
                <w:sz w:val="21"/>
              </w:rPr>
              <w:t>健康危害：本品不稳定，在空气中很快转变为二氧化氮产生刺激作用。氮氧化物主要损害呼吸道。吸入初期仅有轻微的眼及呼吸道刺激症状，如咽部不适、干咳等。常经数小时至十几小时或更长时间潜伏期后发生迟发性肺水肿、成人呼吸窘迫综合征，出现胸闷、呼吸窘迫、咳嗽、咯泡沫痰、紫绀等。可并发气胸及纵隔气肿。肺水肿消退后两周左右可出现迟发性阻塞性细支气管炎。一氧化氮浓度高可致高铁血红蛋白血症。</w:t>
            </w:r>
          </w:p>
          <w:p>
            <w:pPr>
              <w:rPr>
                <w:rFonts w:eastAsia="宋体" w:cs="Times New Roman"/>
                <w:kern w:val="0"/>
                <w:sz w:val="21"/>
              </w:rPr>
            </w:pPr>
            <w:r>
              <w:rPr>
                <w:rFonts w:eastAsia="宋体" w:cs="Times New Roman"/>
                <w:kern w:val="0"/>
                <w:sz w:val="21"/>
              </w:rPr>
              <w:t>慢性影响：主要表现为神经衰弱综合征及慢性呼吸道炎证。个别病例出现肺纤维化。可引起牙齿酸蚀症。</w:t>
            </w:r>
          </w:p>
          <w:p>
            <w:pPr>
              <w:rPr>
                <w:rFonts w:eastAsia="宋体" w:cs="Times New Roman"/>
                <w:kern w:val="0"/>
                <w:sz w:val="21"/>
              </w:rPr>
            </w:pPr>
            <w:r>
              <w:rPr>
                <w:rFonts w:eastAsia="宋体" w:cs="Times New Roman"/>
                <w:kern w:val="0"/>
                <w:sz w:val="21"/>
              </w:rPr>
              <w:t>（2</w:t>
            </w:r>
            <w:r>
              <w:rPr>
                <w:rFonts w:ascii="宋体" w:hAnsi="宋体" w:eastAsia="宋体" w:cs="Times New Roman"/>
                <w:kern w:val="0"/>
                <w:sz w:val="21"/>
              </w:rPr>
              <w:t>）毒理学资料及环境行为</w:t>
            </w:r>
          </w:p>
          <w:p>
            <w:pPr>
              <w:rPr>
                <w:rFonts w:eastAsia="宋体" w:cs="Times New Roman"/>
                <w:kern w:val="0"/>
                <w:sz w:val="21"/>
              </w:rPr>
            </w:pPr>
            <w:r>
              <w:rPr>
                <w:rFonts w:eastAsia="宋体" w:cs="Times New Roman"/>
                <w:kern w:val="0"/>
                <w:sz w:val="21"/>
              </w:rPr>
              <w:t>急性毒性：LC501068mg/m</w:t>
            </w:r>
            <w:r>
              <w:rPr>
                <w:rFonts w:eastAsia="宋体" w:cs="Times New Roman"/>
                <w:kern w:val="0"/>
                <w:sz w:val="21"/>
                <w:vertAlign w:val="superscript"/>
              </w:rPr>
              <w:t>3</w:t>
            </w:r>
            <w:r>
              <w:rPr>
                <w:rFonts w:ascii="宋体" w:hAnsi="宋体" w:eastAsia="宋体" w:cs="Times New Roman"/>
                <w:kern w:val="0"/>
                <w:sz w:val="21"/>
              </w:rPr>
              <w:t>，</w:t>
            </w:r>
            <w:r>
              <w:rPr>
                <w:rFonts w:eastAsia="宋体" w:cs="Times New Roman"/>
                <w:kern w:val="0"/>
                <w:sz w:val="21"/>
              </w:rPr>
              <w:t>4</w:t>
            </w:r>
            <w:r>
              <w:rPr>
                <w:rFonts w:ascii="宋体" w:hAnsi="宋体" w:eastAsia="宋体" w:cs="Times New Roman"/>
                <w:kern w:val="0"/>
                <w:sz w:val="21"/>
              </w:rPr>
              <w:t>小时，</w:t>
            </w:r>
            <w:r>
              <w:rPr>
                <w:rFonts w:eastAsia="宋体" w:cs="Times New Roman"/>
                <w:kern w:val="0"/>
                <w:sz w:val="21"/>
              </w:rPr>
              <w:t>(</w:t>
            </w:r>
            <w:r>
              <w:rPr>
                <w:rFonts w:ascii="宋体" w:hAnsi="宋体" w:eastAsia="宋体" w:cs="Times New Roman"/>
                <w:kern w:val="0"/>
                <w:sz w:val="21"/>
              </w:rPr>
              <w:t>大鼠吸入</w:t>
            </w:r>
            <w:r>
              <w:rPr>
                <w:rFonts w:eastAsia="宋体" w:cs="Times New Roman"/>
                <w:kern w:val="0"/>
                <w:sz w:val="21"/>
              </w:rPr>
              <w:t>)</w:t>
            </w:r>
          </w:p>
          <w:p>
            <w:pPr>
              <w:rPr>
                <w:rFonts w:eastAsia="宋体" w:cs="Times New Roman"/>
                <w:kern w:val="0"/>
                <w:sz w:val="21"/>
              </w:rPr>
            </w:pPr>
            <w:r>
              <w:rPr>
                <w:rFonts w:eastAsia="宋体" w:cs="Times New Roman"/>
                <w:kern w:val="0"/>
                <w:sz w:val="21"/>
              </w:rPr>
              <w:t>致突变性：微生物致突变：鼠伤寒沙门氏菌30ppm</w:t>
            </w:r>
            <w:r>
              <w:rPr>
                <w:rFonts w:ascii="宋体" w:hAnsi="宋体" w:eastAsia="宋体" w:cs="Times New Roman"/>
                <w:kern w:val="0"/>
                <w:sz w:val="21"/>
              </w:rPr>
              <w:t>。哺乳动物体细胞突变：大鼠吸入</w:t>
            </w:r>
            <w:r>
              <w:rPr>
                <w:rFonts w:eastAsia="宋体" w:cs="Times New Roman"/>
                <w:kern w:val="0"/>
                <w:sz w:val="21"/>
              </w:rPr>
              <w:t>27ppm(3</w:t>
            </w:r>
            <w:r>
              <w:rPr>
                <w:rFonts w:ascii="宋体" w:hAnsi="宋体" w:eastAsia="宋体" w:cs="Times New Roman"/>
                <w:kern w:val="0"/>
                <w:sz w:val="21"/>
              </w:rPr>
              <w:t>小时，连续</w:t>
            </w:r>
            <w:r>
              <w:rPr>
                <w:rFonts w:eastAsia="宋体" w:cs="Times New Roman"/>
                <w:kern w:val="0"/>
                <w:sz w:val="21"/>
              </w:rPr>
              <w:t>)</w:t>
            </w:r>
            <w:r>
              <w:rPr>
                <w:rFonts w:ascii="宋体" w:hAnsi="宋体" w:eastAsia="宋体" w:cs="Times New Roman"/>
                <w:kern w:val="0"/>
                <w:sz w:val="21"/>
              </w:rPr>
              <w:t>。</w:t>
            </w:r>
          </w:p>
          <w:p>
            <w:pPr>
              <w:rPr>
                <w:rFonts w:eastAsia="宋体" w:cs="Times New Roman"/>
                <w:kern w:val="0"/>
                <w:sz w:val="21"/>
              </w:rPr>
            </w:pPr>
            <w:r>
              <w:rPr>
                <w:rFonts w:eastAsia="宋体" w:cs="Times New Roman"/>
                <w:kern w:val="0"/>
                <w:sz w:val="21"/>
              </w:rPr>
              <w:t>危险特性：具有强氧化性。与易燃物、有机物接触易着火燃烧。遇到氢气会发生爆炸性化合。接触空气会散发出棕色有氧化性的烟雾。一氧化氮较不活泼，但在空气中易被氧化成二氧化氮，而后者有强烈毒性。</w:t>
            </w:r>
          </w:p>
          <w:p>
            <w:pPr>
              <w:rPr>
                <w:rFonts w:eastAsia="宋体" w:cs="Times New Roman"/>
                <w:kern w:val="0"/>
                <w:sz w:val="21"/>
              </w:rPr>
            </w:pPr>
            <w:r>
              <w:rPr>
                <w:rFonts w:eastAsia="宋体" w:cs="Times New Roman"/>
                <w:kern w:val="0"/>
                <w:sz w:val="21"/>
              </w:rPr>
              <w:t>燃烧(</w:t>
            </w:r>
            <w:r>
              <w:rPr>
                <w:rFonts w:ascii="宋体" w:hAnsi="宋体" w:eastAsia="宋体" w:cs="Times New Roman"/>
                <w:kern w:val="0"/>
                <w:sz w:val="21"/>
              </w:rPr>
              <w:t>分解</w:t>
            </w:r>
            <w:r>
              <w:rPr>
                <w:rFonts w:eastAsia="宋体" w:cs="Times New Roman"/>
                <w:kern w:val="0"/>
                <w:sz w:val="21"/>
              </w:rPr>
              <w:t>)</w:t>
            </w:r>
            <w:r>
              <w:rPr>
                <w:rFonts w:ascii="宋体" w:hAnsi="宋体" w:eastAsia="宋体" w:cs="Times New Roman"/>
                <w:kern w:val="0"/>
                <w:sz w:val="21"/>
              </w:rPr>
              <w:t>产物：氧化氮。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79" w:type="pct"/>
            <w:vAlign w:val="center"/>
          </w:tcPr>
          <w:p>
            <w:pPr>
              <w:jc w:val="center"/>
              <w:rPr>
                <w:rFonts w:eastAsia="宋体" w:cs="Times New Roman"/>
                <w:kern w:val="0"/>
                <w:sz w:val="21"/>
              </w:rPr>
            </w:pPr>
            <w:r>
              <w:rPr>
                <w:rFonts w:eastAsia="宋体" w:cs="Times New Roman"/>
                <w:kern w:val="0"/>
                <w:sz w:val="21"/>
              </w:rPr>
              <w:t>应</w:t>
            </w:r>
          </w:p>
          <w:p>
            <w:pPr>
              <w:jc w:val="center"/>
              <w:rPr>
                <w:rFonts w:eastAsia="宋体" w:cs="Times New Roman"/>
                <w:kern w:val="0"/>
                <w:sz w:val="21"/>
              </w:rPr>
            </w:pPr>
            <w:r>
              <w:rPr>
                <w:rFonts w:eastAsia="宋体" w:cs="Times New Roman"/>
                <w:kern w:val="0"/>
                <w:sz w:val="21"/>
              </w:rPr>
              <w:t>急</w:t>
            </w:r>
          </w:p>
          <w:p>
            <w:pPr>
              <w:jc w:val="center"/>
              <w:rPr>
                <w:rFonts w:eastAsia="宋体" w:cs="Times New Roman"/>
                <w:kern w:val="0"/>
                <w:sz w:val="21"/>
              </w:rPr>
            </w:pPr>
            <w:r>
              <w:rPr>
                <w:rFonts w:eastAsia="宋体" w:cs="Times New Roman"/>
                <w:kern w:val="0"/>
                <w:sz w:val="21"/>
              </w:rPr>
              <w:t>处</w:t>
            </w:r>
          </w:p>
          <w:p>
            <w:pPr>
              <w:jc w:val="center"/>
              <w:rPr>
                <w:rFonts w:eastAsia="宋体" w:cs="Times New Roman"/>
                <w:kern w:val="0"/>
                <w:sz w:val="21"/>
              </w:rPr>
            </w:pPr>
            <w:r>
              <w:rPr>
                <w:rFonts w:eastAsia="宋体" w:cs="Times New Roman"/>
                <w:kern w:val="0"/>
                <w:sz w:val="21"/>
              </w:rPr>
              <w:t>理</w:t>
            </w:r>
          </w:p>
          <w:p>
            <w:pPr>
              <w:jc w:val="center"/>
              <w:rPr>
                <w:rFonts w:eastAsia="宋体" w:cs="Times New Roman"/>
                <w:kern w:val="0"/>
                <w:sz w:val="21"/>
              </w:rPr>
            </w:pPr>
            <w:r>
              <w:rPr>
                <w:rFonts w:eastAsia="宋体" w:cs="Times New Roman"/>
                <w:kern w:val="0"/>
                <w:sz w:val="21"/>
              </w:rPr>
              <w:t>处</w:t>
            </w:r>
          </w:p>
          <w:p>
            <w:pPr>
              <w:jc w:val="center"/>
              <w:rPr>
                <w:rFonts w:eastAsia="宋体" w:cs="Times New Roman"/>
                <w:kern w:val="0"/>
                <w:sz w:val="21"/>
              </w:rPr>
            </w:pPr>
            <w:r>
              <w:rPr>
                <w:rFonts w:eastAsia="宋体" w:cs="Times New Roman"/>
                <w:kern w:val="0"/>
                <w:sz w:val="21"/>
              </w:rPr>
              <w:t>置</w:t>
            </w:r>
          </w:p>
          <w:p>
            <w:pPr>
              <w:jc w:val="center"/>
              <w:rPr>
                <w:rFonts w:eastAsia="宋体" w:cs="Times New Roman"/>
                <w:kern w:val="0"/>
                <w:sz w:val="21"/>
              </w:rPr>
            </w:pPr>
            <w:r>
              <w:rPr>
                <w:rFonts w:eastAsia="宋体" w:cs="Times New Roman"/>
                <w:kern w:val="0"/>
                <w:sz w:val="21"/>
              </w:rPr>
              <w:t>方</w:t>
            </w:r>
          </w:p>
          <w:p>
            <w:pPr>
              <w:jc w:val="center"/>
              <w:rPr>
                <w:rFonts w:eastAsia="宋体" w:cs="Times New Roman"/>
                <w:kern w:val="0"/>
                <w:sz w:val="21"/>
              </w:rPr>
            </w:pPr>
            <w:r>
              <w:rPr>
                <w:rFonts w:eastAsia="宋体" w:cs="Times New Roman"/>
                <w:kern w:val="0"/>
                <w:sz w:val="21"/>
              </w:rPr>
              <w:t>法</w:t>
            </w:r>
          </w:p>
        </w:tc>
        <w:tc>
          <w:tcPr>
            <w:tcW w:w="4321" w:type="pct"/>
            <w:gridSpan w:val="4"/>
            <w:vAlign w:val="center"/>
          </w:tcPr>
          <w:p>
            <w:pPr>
              <w:jc w:val="left"/>
              <w:rPr>
                <w:rFonts w:eastAsia="宋体" w:cs="Times New Roman"/>
                <w:kern w:val="0"/>
                <w:sz w:val="21"/>
              </w:rPr>
            </w:pPr>
            <w:r>
              <w:rPr>
                <w:rFonts w:eastAsia="宋体" w:cs="Times New Roman"/>
                <w:kern w:val="0"/>
                <w:sz w:val="21"/>
              </w:rPr>
              <w:t>（1</w:t>
            </w:r>
            <w:r>
              <w:rPr>
                <w:rFonts w:ascii="宋体" w:hAnsi="宋体" w:eastAsia="宋体" w:cs="Times New Roman"/>
                <w:kern w:val="0"/>
                <w:sz w:val="21"/>
              </w:rPr>
              <w:t xml:space="preserve">）泄漏应急处理  </w:t>
            </w:r>
          </w:p>
          <w:p>
            <w:pPr>
              <w:jc w:val="left"/>
              <w:rPr>
                <w:rFonts w:eastAsia="宋体" w:cs="Times New Roman"/>
                <w:kern w:val="0"/>
                <w:sz w:val="21"/>
              </w:rPr>
            </w:pPr>
            <w:r>
              <w:rPr>
                <w:rFonts w:eastAsia="宋体" w:cs="Times New Roman"/>
                <w:kern w:val="0"/>
                <w:sz w:val="21"/>
              </w:rPr>
              <w:t>迅速撤离泄漏污染区人员至上风处，并立即隔离150</w:t>
            </w:r>
            <w:r>
              <w:rPr>
                <w:rFonts w:ascii="宋体" w:hAnsi="宋体" w:eastAsia="宋体" w:cs="Times New Roman"/>
                <w:kern w:val="0"/>
                <w:sz w:val="21"/>
              </w:rPr>
              <w:t>米，严格限制出入。建议应急处理人员戴自给正压式呼吸器，穿防毒服。尽可能切断泄漏源。合理通风，加速扩散。喷雾状水稀释、溶解。构筑围堤或挖坑收容产生的大量废水。漏气容器要妥善处理，修复、检验后再用。</w:t>
            </w:r>
          </w:p>
          <w:p>
            <w:pPr>
              <w:jc w:val="left"/>
              <w:rPr>
                <w:rFonts w:eastAsia="宋体" w:cs="Times New Roman"/>
                <w:kern w:val="0"/>
                <w:sz w:val="21"/>
              </w:rPr>
            </w:pPr>
            <w:r>
              <w:rPr>
                <w:rFonts w:eastAsia="宋体" w:cs="Times New Roman"/>
                <w:kern w:val="0"/>
                <w:sz w:val="21"/>
              </w:rPr>
              <w:t>（2</w:t>
            </w:r>
            <w:r>
              <w:rPr>
                <w:rFonts w:ascii="宋体" w:hAnsi="宋体" w:eastAsia="宋体" w:cs="Times New Roman"/>
                <w:kern w:val="0"/>
                <w:sz w:val="21"/>
              </w:rPr>
              <w:t>）防护措施</w:t>
            </w:r>
          </w:p>
          <w:p>
            <w:pPr>
              <w:jc w:val="left"/>
              <w:rPr>
                <w:rFonts w:eastAsia="宋体" w:cs="Times New Roman"/>
                <w:kern w:val="0"/>
                <w:sz w:val="21"/>
              </w:rPr>
            </w:pPr>
            <w:r>
              <w:rPr>
                <w:rFonts w:eastAsia="宋体" w:cs="Times New Roman"/>
                <w:kern w:val="0"/>
                <w:sz w:val="21"/>
              </w:rPr>
              <w:t>呼吸系统防护：空气中浓度超标时，佩戴自吸过滤式防毒面具(</w:t>
            </w:r>
            <w:r>
              <w:rPr>
                <w:rFonts w:ascii="宋体" w:hAnsi="宋体" w:eastAsia="宋体" w:cs="Times New Roman"/>
                <w:kern w:val="0"/>
                <w:sz w:val="21"/>
              </w:rPr>
              <w:t>半面罩</w:t>
            </w:r>
            <w:r>
              <w:rPr>
                <w:rFonts w:eastAsia="宋体" w:cs="Times New Roman"/>
                <w:kern w:val="0"/>
                <w:sz w:val="21"/>
              </w:rPr>
              <w:t>)</w:t>
            </w:r>
            <w:r>
              <w:rPr>
                <w:rFonts w:ascii="宋体" w:hAnsi="宋体" w:eastAsia="宋体" w:cs="Times New Roman"/>
                <w:kern w:val="0"/>
                <w:sz w:val="21"/>
              </w:rPr>
              <w:t>。紧急事态抢救或撤离时，建议佩戴空气呼吸器。</w:t>
            </w:r>
          </w:p>
          <w:p>
            <w:pPr>
              <w:jc w:val="left"/>
              <w:rPr>
                <w:rFonts w:eastAsia="宋体" w:cs="Times New Roman"/>
                <w:kern w:val="0"/>
                <w:sz w:val="21"/>
              </w:rPr>
            </w:pPr>
            <w:r>
              <w:rPr>
                <w:rFonts w:eastAsia="宋体" w:cs="Times New Roman"/>
                <w:kern w:val="0"/>
                <w:sz w:val="21"/>
              </w:rPr>
              <w:t>眼睛防护：戴化学安全防护眼镜。</w:t>
            </w:r>
          </w:p>
          <w:p>
            <w:pPr>
              <w:jc w:val="left"/>
              <w:rPr>
                <w:rFonts w:eastAsia="宋体" w:cs="Times New Roman"/>
                <w:kern w:val="0"/>
                <w:sz w:val="21"/>
              </w:rPr>
            </w:pPr>
            <w:r>
              <w:rPr>
                <w:rFonts w:eastAsia="宋体" w:cs="Times New Roman"/>
                <w:kern w:val="0"/>
                <w:sz w:val="21"/>
              </w:rPr>
              <w:t>身体防护：穿透气型防毒服。</w:t>
            </w:r>
          </w:p>
          <w:p>
            <w:pPr>
              <w:jc w:val="left"/>
              <w:rPr>
                <w:rFonts w:eastAsia="宋体" w:cs="Times New Roman"/>
                <w:kern w:val="0"/>
                <w:sz w:val="21"/>
              </w:rPr>
            </w:pPr>
            <w:r>
              <w:rPr>
                <w:rFonts w:eastAsia="宋体" w:cs="Times New Roman"/>
                <w:kern w:val="0"/>
                <w:sz w:val="21"/>
              </w:rPr>
              <w:t>手防护：戴防化学品手套。</w:t>
            </w:r>
          </w:p>
          <w:p>
            <w:pPr>
              <w:jc w:val="left"/>
              <w:rPr>
                <w:rFonts w:eastAsia="宋体" w:cs="Times New Roman"/>
                <w:kern w:val="0"/>
                <w:sz w:val="21"/>
              </w:rPr>
            </w:pPr>
            <w:r>
              <w:rPr>
                <w:rFonts w:eastAsia="宋体" w:cs="Times New Roman"/>
                <w:kern w:val="0"/>
                <w:sz w:val="21"/>
              </w:rPr>
              <w:t>其它：工作现场严禁吸烟、进食和饮水。保持良好的卫生习惯。</w:t>
            </w:r>
          </w:p>
          <w:p>
            <w:pPr>
              <w:jc w:val="left"/>
              <w:rPr>
                <w:rFonts w:eastAsia="宋体" w:cs="Times New Roman"/>
                <w:kern w:val="0"/>
                <w:sz w:val="21"/>
              </w:rPr>
            </w:pPr>
            <w:r>
              <w:rPr>
                <w:rFonts w:eastAsia="宋体" w:cs="Times New Roman"/>
                <w:kern w:val="0"/>
                <w:sz w:val="21"/>
              </w:rPr>
              <w:t>（3</w:t>
            </w:r>
            <w:r>
              <w:rPr>
                <w:rFonts w:ascii="宋体" w:hAnsi="宋体" w:eastAsia="宋体" w:cs="Times New Roman"/>
                <w:kern w:val="0"/>
                <w:sz w:val="21"/>
              </w:rPr>
              <w:t>）急救措施</w:t>
            </w:r>
          </w:p>
          <w:p>
            <w:pPr>
              <w:jc w:val="left"/>
              <w:rPr>
                <w:rFonts w:eastAsia="宋体" w:cs="Times New Roman"/>
                <w:kern w:val="0"/>
                <w:sz w:val="21"/>
              </w:rPr>
            </w:pPr>
            <w:r>
              <w:rPr>
                <w:rFonts w:eastAsia="宋体" w:cs="Times New Roman"/>
                <w:kern w:val="0"/>
                <w:sz w:val="21"/>
              </w:rPr>
              <w:t>吸入：迅速脱离现场至空气新鲜处。保持呼吸道通畅。如呼吸困难，给输氧。如呼吸停止，立即进行人工呼吸。就医。</w:t>
            </w:r>
          </w:p>
          <w:p>
            <w:pPr>
              <w:jc w:val="left"/>
              <w:rPr>
                <w:rFonts w:eastAsia="宋体" w:cs="Times New Roman"/>
                <w:kern w:val="0"/>
                <w:sz w:val="21"/>
              </w:rPr>
            </w:pPr>
            <w:r>
              <w:rPr>
                <w:rFonts w:eastAsia="宋体" w:cs="Times New Roman"/>
                <w:kern w:val="0"/>
                <w:sz w:val="21"/>
              </w:rPr>
              <w:t>灭火方法：消防人员必须穿戴全身防火防毒服。切断气源。喷水冷却容器，可能的话将容器从火场移至空旷处。灭火剂：雾状水。</w:t>
            </w:r>
          </w:p>
        </w:tc>
      </w:tr>
    </w:tbl>
    <w:p>
      <w:pPr>
        <w:pStyle w:val="14"/>
        <w:spacing w:line="240" w:lineRule="auto"/>
        <w:rPr>
          <w:bCs/>
        </w:rPr>
      </w:pPr>
      <w:r>
        <w:rPr>
          <w:bCs/>
        </w:rPr>
        <w:t>表</w:t>
      </w:r>
      <w:r>
        <w:rPr>
          <w:bCs/>
        </w:rPr>
        <w:fldChar w:fldCharType="begin"/>
      </w:r>
      <w:r>
        <w:rPr>
          <w:bCs/>
        </w:rPr>
        <w:instrText xml:space="preserve"> STYLEREF 2 \s </w:instrText>
      </w:r>
      <w:r>
        <w:rPr>
          <w:bCs/>
        </w:rPr>
        <w:fldChar w:fldCharType="separate"/>
      </w:r>
      <w:r>
        <w:rPr>
          <w:bCs/>
        </w:rPr>
        <w:t>7.5</w:t>
      </w:r>
      <w:r>
        <w:rPr>
          <w:bCs/>
        </w:rPr>
        <w:fldChar w:fldCharType="end"/>
      </w:r>
      <w:r>
        <w:rPr>
          <w:bCs/>
        </w:rPr>
        <w:noBreakHyphen/>
      </w:r>
      <w:r>
        <w:rPr>
          <w:bCs/>
        </w:rPr>
        <w:fldChar w:fldCharType="begin"/>
      </w:r>
      <w:r>
        <w:rPr>
          <w:bCs/>
        </w:rPr>
        <w:instrText xml:space="preserve"> SEQ 表 \* ARABIC \s 2 </w:instrText>
      </w:r>
      <w:r>
        <w:rPr>
          <w:bCs/>
        </w:rPr>
        <w:fldChar w:fldCharType="separate"/>
      </w:r>
      <w:r>
        <w:rPr>
          <w:bCs/>
        </w:rPr>
        <w:t>10</w:t>
      </w:r>
      <w:r>
        <w:rPr>
          <w:bCs/>
        </w:rPr>
        <w:fldChar w:fldCharType="end"/>
      </w:r>
      <w:r>
        <w:rPr>
          <w:rFonts w:hint="eastAsia"/>
          <w:bCs/>
        </w:rPr>
        <w:t xml:space="preserve">  </w:t>
      </w:r>
      <w:r>
        <w:rPr>
          <w:bCs/>
        </w:rPr>
        <w:t>二氧化氮的理化性质及危险特性</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0"/>
        <w:gridCol w:w="2802"/>
        <w:gridCol w:w="19"/>
        <w:gridCol w:w="1475"/>
        <w:gridCol w:w="4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679" w:type="pct"/>
            <w:vAlign w:val="center"/>
          </w:tcPr>
          <w:p>
            <w:pPr>
              <w:jc w:val="center"/>
              <w:rPr>
                <w:rFonts w:eastAsia="宋体" w:cs="Times New Roman"/>
                <w:color w:val="000000"/>
                <w:kern w:val="0"/>
                <w:sz w:val="21"/>
              </w:rPr>
            </w:pPr>
            <w:r>
              <w:rPr>
                <w:rFonts w:eastAsia="宋体" w:cs="Times New Roman"/>
                <w:color w:val="000000"/>
                <w:kern w:val="0"/>
                <w:sz w:val="21"/>
              </w:rPr>
              <w:t>国标编号</w:t>
            </w:r>
          </w:p>
        </w:tc>
        <w:tc>
          <w:tcPr>
            <w:tcW w:w="4321" w:type="pct"/>
            <w:gridSpan w:val="4"/>
            <w:vAlign w:val="center"/>
          </w:tcPr>
          <w:p>
            <w:pPr>
              <w:jc w:val="center"/>
              <w:rPr>
                <w:rFonts w:eastAsia="宋体" w:cs="Times New Roman"/>
                <w:kern w:val="0"/>
                <w:sz w:val="21"/>
              </w:rPr>
            </w:pPr>
            <w:r>
              <w:rPr>
                <w:rFonts w:eastAsia="宋体" w:cs="Times New Roman"/>
                <w:kern w:val="0"/>
                <w:sz w:val="21"/>
              </w:rPr>
              <w:t>23012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679" w:type="pct"/>
            <w:vAlign w:val="center"/>
          </w:tcPr>
          <w:p>
            <w:pPr>
              <w:jc w:val="center"/>
              <w:rPr>
                <w:rFonts w:eastAsia="宋体" w:cs="Times New Roman"/>
                <w:color w:val="000000"/>
                <w:kern w:val="0"/>
                <w:sz w:val="21"/>
              </w:rPr>
            </w:pPr>
            <w:r>
              <w:rPr>
                <w:rFonts w:eastAsia="宋体" w:cs="Times New Roman"/>
                <w:color w:val="000000"/>
                <w:kern w:val="0"/>
                <w:sz w:val="21"/>
              </w:rPr>
              <w:t>CAS</w:t>
            </w:r>
            <w:r>
              <w:rPr>
                <w:rFonts w:ascii="宋体" w:hAnsi="宋体" w:eastAsia="宋体" w:cs="Times New Roman"/>
                <w:color w:val="000000"/>
                <w:kern w:val="0"/>
                <w:sz w:val="21"/>
              </w:rPr>
              <w:t>号</w:t>
            </w:r>
          </w:p>
        </w:tc>
        <w:tc>
          <w:tcPr>
            <w:tcW w:w="4321" w:type="pct"/>
            <w:gridSpan w:val="4"/>
            <w:vAlign w:val="center"/>
          </w:tcPr>
          <w:p>
            <w:pPr>
              <w:jc w:val="center"/>
              <w:rPr>
                <w:rFonts w:eastAsia="宋体" w:cs="Times New Roman"/>
                <w:kern w:val="0"/>
                <w:sz w:val="21"/>
              </w:rPr>
            </w:pPr>
            <w:r>
              <w:rPr>
                <w:rFonts w:eastAsia="宋体" w:cs="Times New Roman"/>
                <w:kern w:val="0"/>
                <w:sz w:val="21"/>
              </w:rPr>
              <w:t>10102-44-0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679" w:type="pct"/>
            <w:vAlign w:val="center"/>
          </w:tcPr>
          <w:p>
            <w:pPr>
              <w:jc w:val="center"/>
              <w:rPr>
                <w:rFonts w:eastAsia="宋体" w:cs="Times New Roman"/>
                <w:kern w:val="0"/>
                <w:sz w:val="21"/>
              </w:rPr>
            </w:pPr>
            <w:r>
              <w:rPr>
                <w:rFonts w:eastAsia="宋体" w:cs="Times New Roman"/>
                <w:kern w:val="0"/>
                <w:sz w:val="21"/>
              </w:rPr>
              <w:t>中文名称</w:t>
            </w:r>
          </w:p>
        </w:tc>
        <w:tc>
          <w:tcPr>
            <w:tcW w:w="1452" w:type="pct"/>
            <w:vAlign w:val="center"/>
          </w:tcPr>
          <w:p>
            <w:pPr>
              <w:jc w:val="center"/>
              <w:rPr>
                <w:rFonts w:eastAsia="宋体" w:cs="Times New Roman"/>
                <w:kern w:val="0"/>
                <w:sz w:val="21"/>
              </w:rPr>
            </w:pPr>
            <w:r>
              <w:rPr>
                <w:rFonts w:eastAsia="宋体" w:cs="Times New Roman"/>
                <w:kern w:val="0"/>
                <w:sz w:val="21"/>
              </w:rPr>
              <w:t>四氧化二氮</w:t>
            </w:r>
          </w:p>
        </w:tc>
        <w:tc>
          <w:tcPr>
            <w:tcW w:w="774" w:type="pct"/>
            <w:gridSpan w:val="2"/>
            <w:vAlign w:val="center"/>
          </w:tcPr>
          <w:p>
            <w:pPr>
              <w:jc w:val="center"/>
              <w:rPr>
                <w:rFonts w:eastAsia="宋体" w:cs="Times New Roman"/>
                <w:kern w:val="0"/>
                <w:sz w:val="21"/>
              </w:rPr>
            </w:pPr>
            <w:r>
              <w:rPr>
                <w:rFonts w:eastAsia="宋体" w:cs="Times New Roman"/>
                <w:kern w:val="0"/>
                <w:sz w:val="21"/>
              </w:rPr>
              <w:t>英文名称</w:t>
            </w:r>
          </w:p>
        </w:tc>
        <w:tc>
          <w:tcPr>
            <w:tcW w:w="2095" w:type="pct"/>
            <w:vAlign w:val="center"/>
          </w:tcPr>
          <w:p>
            <w:pPr>
              <w:jc w:val="center"/>
              <w:rPr>
                <w:rFonts w:eastAsia="宋体" w:cs="Times New Roman"/>
                <w:kern w:val="0"/>
                <w:sz w:val="21"/>
              </w:rPr>
            </w:pPr>
            <w:r>
              <w:rPr>
                <w:rFonts w:eastAsia="宋体" w:cs="Times New Roman"/>
                <w:kern w:val="0"/>
                <w:sz w:val="21"/>
              </w:rPr>
              <w:t>nitrogen dioxide</w:t>
            </w:r>
            <w:r>
              <w:rPr>
                <w:rFonts w:ascii="宋体" w:hAnsi="宋体" w:eastAsia="宋体" w:cs="Times New Roman"/>
                <w:kern w:val="0"/>
                <w:sz w:val="21"/>
              </w:rPr>
              <w:t>；</w:t>
            </w:r>
            <w:r>
              <w:rPr>
                <w:rFonts w:eastAsia="宋体" w:cs="Times New Roman"/>
                <w:kern w:val="0"/>
                <w:sz w:val="21"/>
              </w:rPr>
              <w:t>dinitrogen tetroxide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679" w:type="pct"/>
            <w:vAlign w:val="center"/>
          </w:tcPr>
          <w:p>
            <w:pPr>
              <w:jc w:val="center"/>
              <w:rPr>
                <w:rFonts w:eastAsia="宋体" w:cs="Times New Roman"/>
                <w:kern w:val="0"/>
                <w:sz w:val="21"/>
              </w:rPr>
            </w:pPr>
            <w:r>
              <w:rPr>
                <w:rFonts w:eastAsia="宋体" w:cs="Times New Roman"/>
                <w:kern w:val="0"/>
                <w:sz w:val="21"/>
              </w:rPr>
              <w:t>别 名</w:t>
            </w:r>
          </w:p>
        </w:tc>
        <w:tc>
          <w:tcPr>
            <w:tcW w:w="4321" w:type="pct"/>
            <w:gridSpan w:val="4"/>
            <w:vAlign w:val="center"/>
          </w:tcPr>
          <w:p>
            <w:pPr>
              <w:jc w:val="center"/>
              <w:rPr>
                <w:rFonts w:eastAsia="宋体" w:cs="Times New Roman"/>
                <w:kern w:val="0"/>
                <w:sz w:val="21"/>
              </w:rPr>
            </w:pPr>
            <w:r>
              <w:rPr>
                <w:rFonts w:eastAsia="宋体" w:cs="Times New Roman"/>
                <w:kern w:val="0"/>
                <w:sz w:val="21"/>
              </w:rPr>
              <w:t>二氧化氮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679" w:type="pct"/>
            <w:vAlign w:val="center"/>
          </w:tcPr>
          <w:p>
            <w:pPr>
              <w:jc w:val="center"/>
              <w:rPr>
                <w:rFonts w:eastAsia="宋体" w:cs="Times New Roman"/>
                <w:kern w:val="0"/>
                <w:sz w:val="21"/>
              </w:rPr>
            </w:pPr>
            <w:r>
              <w:rPr>
                <w:rFonts w:eastAsia="宋体" w:cs="Times New Roman"/>
                <w:kern w:val="0"/>
                <w:sz w:val="21"/>
              </w:rPr>
              <w:t>分子式</w:t>
            </w:r>
          </w:p>
        </w:tc>
        <w:tc>
          <w:tcPr>
            <w:tcW w:w="1462" w:type="pct"/>
            <w:gridSpan w:val="2"/>
            <w:vAlign w:val="center"/>
          </w:tcPr>
          <w:p>
            <w:pPr>
              <w:jc w:val="center"/>
              <w:rPr>
                <w:rFonts w:eastAsia="宋体" w:cs="Times New Roman"/>
                <w:kern w:val="0"/>
                <w:sz w:val="21"/>
              </w:rPr>
            </w:pPr>
            <w:r>
              <w:rPr>
                <w:rFonts w:eastAsia="宋体" w:cs="Times New Roman"/>
                <w:kern w:val="0"/>
                <w:sz w:val="21"/>
              </w:rPr>
              <w:t>NO</w:t>
            </w:r>
            <w:r>
              <w:rPr>
                <w:rFonts w:eastAsia="宋体" w:cs="Times New Roman"/>
                <w:kern w:val="0"/>
                <w:sz w:val="21"/>
                <w:vertAlign w:val="subscript"/>
              </w:rPr>
              <w:t>2</w:t>
            </w:r>
          </w:p>
        </w:tc>
        <w:tc>
          <w:tcPr>
            <w:tcW w:w="764" w:type="pct"/>
            <w:vAlign w:val="center"/>
          </w:tcPr>
          <w:p>
            <w:pPr>
              <w:jc w:val="center"/>
              <w:rPr>
                <w:rFonts w:eastAsia="宋体" w:cs="Times New Roman"/>
                <w:kern w:val="0"/>
                <w:sz w:val="21"/>
              </w:rPr>
            </w:pPr>
            <w:r>
              <w:rPr>
                <w:rFonts w:eastAsia="宋体" w:cs="Times New Roman"/>
                <w:kern w:val="0"/>
                <w:sz w:val="21"/>
              </w:rPr>
              <w:t>外观与</w:t>
            </w:r>
          </w:p>
          <w:p>
            <w:pPr>
              <w:jc w:val="center"/>
              <w:rPr>
                <w:rFonts w:eastAsia="宋体" w:cs="Times New Roman"/>
                <w:kern w:val="0"/>
                <w:sz w:val="21"/>
              </w:rPr>
            </w:pPr>
            <w:r>
              <w:rPr>
                <w:rFonts w:eastAsia="宋体" w:cs="Times New Roman"/>
                <w:kern w:val="0"/>
                <w:sz w:val="21"/>
              </w:rPr>
              <w:t>性状</w:t>
            </w:r>
          </w:p>
        </w:tc>
        <w:tc>
          <w:tcPr>
            <w:tcW w:w="2095" w:type="pct"/>
            <w:vAlign w:val="center"/>
          </w:tcPr>
          <w:p>
            <w:pPr>
              <w:jc w:val="center"/>
              <w:rPr>
                <w:rFonts w:eastAsia="宋体" w:cs="Times New Roman"/>
                <w:kern w:val="0"/>
                <w:sz w:val="21"/>
              </w:rPr>
            </w:pPr>
            <w:r>
              <w:rPr>
                <w:rFonts w:eastAsia="宋体" w:cs="Times New Roman"/>
                <w:kern w:val="0"/>
                <w:sz w:val="21"/>
              </w:rPr>
              <w:t>黄褐色液体或气体，有刺激性气味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679" w:type="pct"/>
            <w:vAlign w:val="center"/>
          </w:tcPr>
          <w:p>
            <w:pPr>
              <w:jc w:val="center"/>
              <w:rPr>
                <w:rFonts w:eastAsia="宋体" w:cs="Times New Roman"/>
                <w:kern w:val="0"/>
                <w:sz w:val="21"/>
              </w:rPr>
            </w:pPr>
            <w:r>
              <w:rPr>
                <w:rFonts w:eastAsia="宋体" w:cs="Times New Roman"/>
                <w:kern w:val="0"/>
                <w:sz w:val="21"/>
              </w:rPr>
              <w:t>分子量</w:t>
            </w:r>
          </w:p>
        </w:tc>
        <w:tc>
          <w:tcPr>
            <w:tcW w:w="1462" w:type="pct"/>
            <w:gridSpan w:val="2"/>
            <w:vAlign w:val="center"/>
          </w:tcPr>
          <w:p>
            <w:pPr>
              <w:jc w:val="center"/>
              <w:rPr>
                <w:rFonts w:eastAsia="宋体" w:cs="Times New Roman"/>
                <w:kern w:val="0"/>
                <w:sz w:val="21"/>
              </w:rPr>
            </w:pPr>
            <w:r>
              <w:rPr>
                <w:rFonts w:eastAsia="宋体" w:cs="Times New Roman"/>
                <w:kern w:val="0"/>
                <w:sz w:val="21"/>
              </w:rPr>
              <w:t>46.01</w:t>
            </w:r>
          </w:p>
        </w:tc>
        <w:tc>
          <w:tcPr>
            <w:tcW w:w="764" w:type="pct"/>
            <w:vAlign w:val="center"/>
          </w:tcPr>
          <w:p>
            <w:pPr>
              <w:jc w:val="center"/>
              <w:rPr>
                <w:rFonts w:eastAsia="宋体" w:cs="Times New Roman"/>
                <w:kern w:val="0"/>
                <w:sz w:val="21"/>
              </w:rPr>
            </w:pPr>
            <w:r>
              <w:rPr>
                <w:rFonts w:eastAsia="宋体" w:cs="Times New Roman"/>
                <w:kern w:val="0"/>
                <w:sz w:val="21"/>
              </w:rPr>
              <w:t>沸点</w:t>
            </w:r>
          </w:p>
        </w:tc>
        <w:tc>
          <w:tcPr>
            <w:tcW w:w="2095" w:type="pct"/>
            <w:vAlign w:val="center"/>
          </w:tcPr>
          <w:p>
            <w:pPr>
              <w:jc w:val="center"/>
              <w:rPr>
                <w:rFonts w:eastAsia="宋体" w:cs="Times New Roman"/>
                <w:kern w:val="0"/>
                <w:sz w:val="21"/>
              </w:rPr>
            </w:pPr>
            <w:r>
              <w:rPr>
                <w:rFonts w:eastAsia="宋体" w:cs="Times New Roman"/>
                <w:kern w:val="0"/>
                <w:sz w:val="21"/>
              </w:rPr>
              <w:t>101.32kPa(22</w:t>
            </w:r>
            <w:r>
              <w:rPr>
                <w:rFonts w:hint="eastAsia" w:ascii="宋体" w:hAnsi="宋体" w:eastAsia="宋体" w:cs="Times New Roman"/>
                <w:kern w:val="0"/>
                <w:sz w:val="21"/>
              </w:rPr>
              <w:t>℃</w:t>
            </w:r>
            <w:r>
              <w:rPr>
                <w:rFonts w:eastAsia="宋体" w:cs="Times New Roman"/>
                <w:kern w:val="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679" w:type="pct"/>
            <w:vAlign w:val="center"/>
          </w:tcPr>
          <w:p>
            <w:pPr>
              <w:jc w:val="center"/>
              <w:rPr>
                <w:rFonts w:eastAsia="宋体" w:cs="Times New Roman"/>
                <w:kern w:val="0"/>
                <w:sz w:val="21"/>
              </w:rPr>
            </w:pPr>
            <w:r>
              <w:rPr>
                <w:rFonts w:eastAsia="宋体" w:cs="Times New Roman"/>
                <w:kern w:val="0"/>
                <w:sz w:val="21"/>
              </w:rPr>
              <w:t>熔 点</w:t>
            </w:r>
          </w:p>
        </w:tc>
        <w:tc>
          <w:tcPr>
            <w:tcW w:w="1462" w:type="pct"/>
            <w:gridSpan w:val="2"/>
            <w:vAlign w:val="center"/>
          </w:tcPr>
          <w:p>
            <w:pPr>
              <w:jc w:val="center"/>
              <w:rPr>
                <w:rFonts w:eastAsia="宋体" w:cs="Times New Roman"/>
                <w:kern w:val="0"/>
                <w:sz w:val="21"/>
              </w:rPr>
            </w:pPr>
            <w:r>
              <w:rPr>
                <w:rFonts w:eastAsia="宋体" w:cs="Times New Roman"/>
                <w:kern w:val="0"/>
                <w:sz w:val="21"/>
              </w:rPr>
              <w:t>-9.3</w:t>
            </w:r>
            <w:r>
              <w:rPr>
                <w:rFonts w:hint="eastAsia" w:ascii="宋体" w:hAnsi="宋体" w:eastAsia="宋体" w:cs="Times New Roman"/>
                <w:kern w:val="0"/>
                <w:sz w:val="21"/>
              </w:rPr>
              <w:t>℃</w:t>
            </w:r>
            <w:r>
              <w:rPr>
                <w:rFonts w:eastAsia="宋体" w:cs="Times New Roman"/>
                <w:kern w:val="0"/>
                <w:sz w:val="21"/>
              </w:rPr>
              <w:t xml:space="preserve"> 沸点：22.4</w:t>
            </w:r>
            <w:r>
              <w:rPr>
                <w:rFonts w:hint="eastAsia" w:ascii="宋体" w:hAnsi="宋体" w:eastAsia="宋体" w:cs="Times New Roman"/>
                <w:kern w:val="0"/>
                <w:sz w:val="21"/>
              </w:rPr>
              <w:t>℃</w:t>
            </w:r>
          </w:p>
        </w:tc>
        <w:tc>
          <w:tcPr>
            <w:tcW w:w="764" w:type="pct"/>
            <w:vAlign w:val="center"/>
          </w:tcPr>
          <w:p>
            <w:pPr>
              <w:jc w:val="center"/>
              <w:rPr>
                <w:rFonts w:eastAsia="宋体" w:cs="Times New Roman"/>
                <w:kern w:val="0"/>
                <w:sz w:val="21"/>
              </w:rPr>
            </w:pPr>
            <w:r>
              <w:rPr>
                <w:rFonts w:eastAsia="宋体" w:cs="Times New Roman"/>
                <w:kern w:val="0"/>
                <w:sz w:val="21"/>
              </w:rPr>
              <w:t>溶解性</w:t>
            </w:r>
          </w:p>
        </w:tc>
        <w:tc>
          <w:tcPr>
            <w:tcW w:w="2095" w:type="pct"/>
            <w:vAlign w:val="center"/>
          </w:tcPr>
          <w:p>
            <w:pPr>
              <w:jc w:val="center"/>
              <w:rPr>
                <w:rFonts w:eastAsia="宋体" w:cs="Times New Roman"/>
                <w:kern w:val="0"/>
                <w:sz w:val="21"/>
              </w:rPr>
            </w:pPr>
            <w:r>
              <w:rPr>
                <w:rFonts w:eastAsia="宋体" w:cs="Times New Roman"/>
                <w:kern w:val="0"/>
                <w:sz w:val="21"/>
              </w:rPr>
              <w:t>溶于水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679" w:type="pct"/>
            <w:vAlign w:val="center"/>
          </w:tcPr>
          <w:p>
            <w:pPr>
              <w:jc w:val="center"/>
              <w:rPr>
                <w:rFonts w:eastAsia="宋体" w:cs="Times New Roman"/>
                <w:kern w:val="0"/>
                <w:sz w:val="21"/>
              </w:rPr>
            </w:pPr>
            <w:r>
              <w:rPr>
                <w:rFonts w:eastAsia="宋体" w:cs="Times New Roman"/>
                <w:kern w:val="0"/>
                <w:sz w:val="21"/>
              </w:rPr>
              <w:t>密 度</w:t>
            </w:r>
          </w:p>
        </w:tc>
        <w:tc>
          <w:tcPr>
            <w:tcW w:w="1462" w:type="pct"/>
            <w:gridSpan w:val="2"/>
            <w:vAlign w:val="center"/>
          </w:tcPr>
          <w:p>
            <w:pPr>
              <w:rPr>
                <w:rFonts w:eastAsia="宋体" w:cs="Times New Roman"/>
                <w:kern w:val="0"/>
                <w:sz w:val="21"/>
              </w:rPr>
            </w:pPr>
            <w:r>
              <w:rPr>
                <w:rFonts w:eastAsia="宋体" w:cs="Times New Roman"/>
                <w:kern w:val="0"/>
                <w:sz w:val="21"/>
              </w:rPr>
              <w:t>相对密度(</w:t>
            </w:r>
            <w:r>
              <w:rPr>
                <w:rFonts w:ascii="宋体" w:hAnsi="宋体" w:eastAsia="宋体" w:cs="Times New Roman"/>
                <w:kern w:val="0"/>
                <w:sz w:val="21"/>
              </w:rPr>
              <w:t>水</w:t>
            </w:r>
            <w:r>
              <w:rPr>
                <w:rFonts w:eastAsia="宋体" w:cs="Times New Roman"/>
                <w:kern w:val="0"/>
                <w:sz w:val="21"/>
              </w:rPr>
              <w:t>=1)1.45</w:t>
            </w:r>
            <w:r>
              <w:rPr>
                <w:rFonts w:ascii="宋体" w:hAnsi="宋体" w:eastAsia="宋体" w:cs="Times New Roman"/>
                <w:kern w:val="0"/>
                <w:sz w:val="21"/>
              </w:rPr>
              <w:t>；相对密度</w:t>
            </w:r>
            <w:r>
              <w:rPr>
                <w:rFonts w:eastAsia="宋体" w:cs="Times New Roman"/>
                <w:kern w:val="0"/>
                <w:sz w:val="21"/>
              </w:rPr>
              <w:t>(</w:t>
            </w:r>
            <w:r>
              <w:rPr>
                <w:rFonts w:ascii="宋体" w:hAnsi="宋体" w:eastAsia="宋体" w:cs="Times New Roman"/>
                <w:kern w:val="0"/>
                <w:sz w:val="21"/>
              </w:rPr>
              <w:t>空气</w:t>
            </w:r>
            <w:r>
              <w:rPr>
                <w:rFonts w:eastAsia="宋体" w:cs="Times New Roman"/>
                <w:kern w:val="0"/>
                <w:sz w:val="21"/>
              </w:rPr>
              <w:t>=1)3.2</w:t>
            </w:r>
          </w:p>
        </w:tc>
        <w:tc>
          <w:tcPr>
            <w:tcW w:w="764" w:type="pct"/>
            <w:vAlign w:val="center"/>
          </w:tcPr>
          <w:p>
            <w:pPr>
              <w:jc w:val="center"/>
              <w:rPr>
                <w:rFonts w:eastAsia="宋体" w:cs="Times New Roman"/>
                <w:kern w:val="0"/>
                <w:sz w:val="21"/>
              </w:rPr>
            </w:pPr>
            <w:r>
              <w:rPr>
                <w:rFonts w:eastAsia="宋体" w:cs="Times New Roman"/>
                <w:kern w:val="0"/>
                <w:sz w:val="21"/>
              </w:rPr>
              <w:t>稳定性</w:t>
            </w:r>
          </w:p>
        </w:tc>
        <w:tc>
          <w:tcPr>
            <w:tcW w:w="2095" w:type="pct"/>
            <w:vAlign w:val="center"/>
          </w:tcPr>
          <w:p>
            <w:pPr>
              <w:jc w:val="center"/>
              <w:rPr>
                <w:rFonts w:eastAsia="宋体" w:cs="Times New Roman"/>
                <w:kern w:val="0"/>
                <w:sz w:val="21"/>
              </w:rPr>
            </w:pPr>
            <w:r>
              <w:rPr>
                <w:rFonts w:eastAsia="宋体" w:cs="Times New Roman"/>
                <w:kern w:val="0"/>
                <w:sz w:val="21"/>
              </w:rPr>
              <w:t>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79" w:type="pct"/>
            <w:vAlign w:val="center"/>
          </w:tcPr>
          <w:p>
            <w:pPr>
              <w:jc w:val="center"/>
              <w:rPr>
                <w:rFonts w:eastAsia="宋体" w:cs="Times New Roman"/>
                <w:kern w:val="0"/>
                <w:sz w:val="21"/>
              </w:rPr>
            </w:pPr>
            <w:r>
              <w:rPr>
                <w:rFonts w:eastAsia="宋体" w:cs="Times New Roman"/>
                <w:kern w:val="0"/>
                <w:sz w:val="21"/>
              </w:rPr>
              <w:t>危险标记</w:t>
            </w:r>
          </w:p>
        </w:tc>
        <w:tc>
          <w:tcPr>
            <w:tcW w:w="1462" w:type="pct"/>
            <w:gridSpan w:val="2"/>
            <w:vAlign w:val="center"/>
          </w:tcPr>
          <w:p>
            <w:pPr>
              <w:jc w:val="center"/>
              <w:rPr>
                <w:rFonts w:eastAsia="宋体" w:cs="Times New Roman"/>
                <w:kern w:val="0"/>
                <w:sz w:val="21"/>
              </w:rPr>
            </w:pPr>
            <w:r>
              <w:rPr>
                <w:rFonts w:eastAsia="宋体" w:cs="Times New Roman"/>
                <w:kern w:val="0"/>
                <w:sz w:val="21"/>
              </w:rPr>
              <w:t>6(</w:t>
            </w:r>
            <w:r>
              <w:rPr>
                <w:rFonts w:ascii="宋体" w:hAnsi="宋体" w:eastAsia="宋体" w:cs="Times New Roman"/>
                <w:kern w:val="0"/>
                <w:sz w:val="21"/>
              </w:rPr>
              <w:t>有毒气体</w:t>
            </w:r>
            <w:r>
              <w:rPr>
                <w:rFonts w:eastAsia="宋体" w:cs="Times New Roman"/>
                <w:kern w:val="0"/>
                <w:sz w:val="21"/>
              </w:rPr>
              <w:t>)</w:t>
            </w:r>
            <w:r>
              <w:rPr>
                <w:rFonts w:ascii="宋体" w:hAnsi="宋体" w:eastAsia="宋体" w:cs="Times New Roman"/>
                <w:kern w:val="0"/>
                <w:sz w:val="21"/>
              </w:rPr>
              <w:t>，</w:t>
            </w:r>
            <w:r>
              <w:rPr>
                <w:rFonts w:eastAsia="宋体" w:cs="Times New Roman"/>
                <w:kern w:val="0"/>
                <w:sz w:val="21"/>
              </w:rPr>
              <w:t>38(</w:t>
            </w:r>
            <w:r>
              <w:rPr>
                <w:rFonts w:ascii="宋体" w:hAnsi="宋体" w:eastAsia="宋体" w:cs="Times New Roman"/>
                <w:kern w:val="0"/>
                <w:sz w:val="21"/>
              </w:rPr>
              <w:t>氧化剂</w:t>
            </w:r>
            <w:r>
              <w:rPr>
                <w:rFonts w:eastAsia="宋体" w:cs="Times New Roman"/>
                <w:kern w:val="0"/>
                <w:sz w:val="21"/>
              </w:rPr>
              <w:t>)</w:t>
            </w:r>
          </w:p>
        </w:tc>
        <w:tc>
          <w:tcPr>
            <w:tcW w:w="764" w:type="pct"/>
            <w:vAlign w:val="center"/>
          </w:tcPr>
          <w:p>
            <w:pPr>
              <w:jc w:val="center"/>
              <w:rPr>
                <w:rFonts w:eastAsia="宋体" w:cs="Times New Roman"/>
                <w:kern w:val="0"/>
                <w:sz w:val="21"/>
              </w:rPr>
            </w:pPr>
            <w:r>
              <w:rPr>
                <w:rFonts w:eastAsia="宋体" w:cs="Times New Roman"/>
                <w:kern w:val="0"/>
                <w:sz w:val="21"/>
              </w:rPr>
              <w:t>主要用途</w:t>
            </w:r>
          </w:p>
        </w:tc>
        <w:tc>
          <w:tcPr>
            <w:tcW w:w="2095" w:type="pct"/>
            <w:vAlign w:val="center"/>
          </w:tcPr>
          <w:p>
            <w:pPr>
              <w:jc w:val="left"/>
              <w:rPr>
                <w:rFonts w:eastAsia="宋体" w:cs="Times New Roman"/>
                <w:kern w:val="0"/>
                <w:sz w:val="21"/>
              </w:rPr>
            </w:pPr>
            <w:r>
              <w:rPr>
                <w:rFonts w:eastAsia="宋体" w:cs="Times New Roman"/>
                <w:kern w:val="0"/>
                <w:sz w:val="21"/>
              </w:rPr>
              <w:t>用于制硝酸、硝化剂、氧化剂、催化剂、丙烯酸酯聚合抑制剂等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79" w:type="pct"/>
            <w:vAlign w:val="center"/>
          </w:tcPr>
          <w:p>
            <w:pPr>
              <w:jc w:val="center"/>
              <w:rPr>
                <w:rFonts w:eastAsia="宋体" w:cs="Times New Roman"/>
                <w:kern w:val="0"/>
                <w:sz w:val="21"/>
              </w:rPr>
            </w:pPr>
            <w:r>
              <w:rPr>
                <w:rFonts w:eastAsia="宋体" w:cs="Times New Roman"/>
                <w:kern w:val="0"/>
                <w:sz w:val="21"/>
              </w:rPr>
              <w:t>对</w:t>
            </w:r>
          </w:p>
          <w:p>
            <w:pPr>
              <w:jc w:val="center"/>
              <w:rPr>
                <w:rFonts w:eastAsia="宋体" w:cs="Times New Roman"/>
                <w:kern w:val="0"/>
                <w:sz w:val="21"/>
              </w:rPr>
            </w:pPr>
            <w:r>
              <w:rPr>
                <w:rFonts w:eastAsia="宋体" w:cs="Times New Roman"/>
                <w:kern w:val="0"/>
                <w:sz w:val="21"/>
              </w:rPr>
              <w:t>环</w:t>
            </w:r>
          </w:p>
          <w:p>
            <w:pPr>
              <w:jc w:val="center"/>
              <w:rPr>
                <w:rFonts w:eastAsia="宋体" w:cs="Times New Roman"/>
                <w:kern w:val="0"/>
                <w:sz w:val="21"/>
              </w:rPr>
            </w:pPr>
            <w:r>
              <w:rPr>
                <w:rFonts w:eastAsia="宋体" w:cs="Times New Roman"/>
                <w:kern w:val="0"/>
                <w:sz w:val="21"/>
              </w:rPr>
              <w:t>境</w:t>
            </w:r>
          </w:p>
          <w:p>
            <w:pPr>
              <w:jc w:val="center"/>
              <w:rPr>
                <w:rFonts w:eastAsia="宋体" w:cs="Times New Roman"/>
                <w:kern w:val="0"/>
                <w:sz w:val="21"/>
              </w:rPr>
            </w:pPr>
            <w:r>
              <w:rPr>
                <w:rFonts w:eastAsia="宋体" w:cs="Times New Roman"/>
                <w:kern w:val="0"/>
                <w:sz w:val="21"/>
              </w:rPr>
              <w:t>的</w:t>
            </w:r>
          </w:p>
          <w:p>
            <w:pPr>
              <w:jc w:val="center"/>
              <w:rPr>
                <w:rFonts w:eastAsia="宋体" w:cs="Times New Roman"/>
                <w:kern w:val="0"/>
                <w:sz w:val="21"/>
              </w:rPr>
            </w:pPr>
            <w:r>
              <w:rPr>
                <w:rFonts w:eastAsia="宋体" w:cs="Times New Roman"/>
                <w:kern w:val="0"/>
                <w:sz w:val="21"/>
              </w:rPr>
              <w:t>影</w:t>
            </w:r>
          </w:p>
          <w:p>
            <w:pPr>
              <w:jc w:val="center"/>
              <w:rPr>
                <w:rFonts w:eastAsia="宋体" w:cs="Times New Roman"/>
                <w:kern w:val="0"/>
                <w:sz w:val="21"/>
              </w:rPr>
            </w:pPr>
            <w:r>
              <w:rPr>
                <w:rFonts w:eastAsia="宋体" w:cs="Times New Roman"/>
                <w:kern w:val="0"/>
                <w:sz w:val="21"/>
              </w:rPr>
              <w:t>响</w:t>
            </w:r>
          </w:p>
        </w:tc>
        <w:tc>
          <w:tcPr>
            <w:tcW w:w="4321" w:type="pct"/>
            <w:gridSpan w:val="4"/>
            <w:vAlign w:val="center"/>
          </w:tcPr>
          <w:p>
            <w:pPr>
              <w:rPr>
                <w:rFonts w:eastAsia="宋体" w:cs="Times New Roman"/>
                <w:kern w:val="0"/>
                <w:sz w:val="21"/>
              </w:rPr>
            </w:pPr>
            <w:r>
              <w:rPr>
                <w:rFonts w:eastAsia="宋体" w:cs="Times New Roman"/>
                <w:kern w:val="0"/>
                <w:sz w:val="21"/>
              </w:rPr>
              <w:t>（1</w:t>
            </w:r>
            <w:r>
              <w:rPr>
                <w:rFonts w:ascii="宋体" w:hAnsi="宋体" w:eastAsia="宋体" w:cs="Times New Roman"/>
                <w:kern w:val="0"/>
                <w:sz w:val="21"/>
              </w:rPr>
              <w:t>）健康危害</w:t>
            </w:r>
          </w:p>
          <w:p>
            <w:pPr>
              <w:rPr>
                <w:rFonts w:eastAsia="宋体" w:cs="Times New Roman"/>
                <w:kern w:val="0"/>
                <w:sz w:val="21"/>
              </w:rPr>
            </w:pPr>
            <w:r>
              <w:rPr>
                <w:rFonts w:eastAsia="宋体" w:cs="Times New Roman"/>
                <w:kern w:val="0"/>
                <w:sz w:val="21"/>
              </w:rPr>
              <w:t>侵入途径：吸入。</w:t>
            </w:r>
          </w:p>
          <w:p>
            <w:pPr>
              <w:rPr>
                <w:rFonts w:eastAsia="宋体" w:cs="Times New Roman"/>
                <w:kern w:val="0"/>
                <w:sz w:val="21"/>
              </w:rPr>
            </w:pPr>
            <w:r>
              <w:rPr>
                <w:rFonts w:eastAsia="宋体" w:cs="Times New Roman"/>
                <w:kern w:val="0"/>
                <w:sz w:val="21"/>
              </w:rPr>
              <w:t>健康危害：氮氧化物主要损害呼吸道。吸入初期仅有轻微的眼及上呼吸道刺激症状，如咽部不适、干咳等。常数小时至十几小时或更长时间潜伏期后发生迟发性肺水肿、成人呼吸窘迫综合征，出现胸闷、呼吸窘迫、咳嗽、咯泡沫痰、紫绀等。可并发气胸及纵隔气肿。肺水肿消退后两周左右可出现迟发性阻塞性细支气管炎。</w:t>
            </w:r>
          </w:p>
          <w:p>
            <w:pPr>
              <w:rPr>
                <w:rFonts w:eastAsia="宋体" w:cs="Times New Roman"/>
                <w:kern w:val="0"/>
                <w:sz w:val="21"/>
              </w:rPr>
            </w:pPr>
            <w:r>
              <w:rPr>
                <w:rFonts w:eastAsia="宋体" w:cs="Times New Roman"/>
                <w:kern w:val="0"/>
                <w:sz w:val="21"/>
              </w:rPr>
              <w:t>慢性影响：主要表现为神经衰弱综合征及慢性呼吸道炎证。个别病例出现肺纤维化。可引起牙齿酸蚀症。</w:t>
            </w:r>
          </w:p>
          <w:p>
            <w:pPr>
              <w:rPr>
                <w:rFonts w:eastAsia="宋体" w:cs="Times New Roman"/>
                <w:kern w:val="0"/>
                <w:sz w:val="21"/>
              </w:rPr>
            </w:pPr>
            <w:r>
              <w:rPr>
                <w:rFonts w:eastAsia="宋体" w:cs="Times New Roman"/>
                <w:kern w:val="0"/>
                <w:sz w:val="21"/>
              </w:rPr>
              <w:t>（2</w:t>
            </w:r>
            <w:r>
              <w:rPr>
                <w:rFonts w:ascii="宋体" w:hAnsi="宋体" w:eastAsia="宋体" w:cs="Times New Roman"/>
                <w:kern w:val="0"/>
                <w:sz w:val="21"/>
              </w:rPr>
              <w:t>）毒理学资料及环境行为</w:t>
            </w:r>
          </w:p>
          <w:p>
            <w:pPr>
              <w:rPr>
                <w:rFonts w:eastAsia="宋体" w:cs="Times New Roman"/>
                <w:kern w:val="0"/>
                <w:sz w:val="21"/>
              </w:rPr>
            </w:pPr>
            <w:r>
              <w:rPr>
                <w:rFonts w:eastAsia="宋体" w:cs="Times New Roman"/>
                <w:kern w:val="0"/>
                <w:sz w:val="21"/>
              </w:rPr>
              <w:t>急性毒性：LC50126mg/m</w:t>
            </w:r>
            <w:r>
              <w:rPr>
                <w:rFonts w:eastAsia="宋体" w:cs="Times New Roman"/>
                <w:kern w:val="0"/>
                <w:sz w:val="21"/>
                <w:vertAlign w:val="superscript"/>
              </w:rPr>
              <w:t>3</w:t>
            </w:r>
            <w:r>
              <w:rPr>
                <w:rFonts w:ascii="宋体" w:hAnsi="宋体" w:eastAsia="宋体" w:cs="Times New Roman"/>
                <w:kern w:val="0"/>
                <w:sz w:val="21"/>
              </w:rPr>
              <w:t>，</w:t>
            </w:r>
            <w:r>
              <w:rPr>
                <w:rFonts w:eastAsia="宋体" w:cs="Times New Roman"/>
                <w:kern w:val="0"/>
                <w:sz w:val="21"/>
              </w:rPr>
              <w:t>4</w:t>
            </w:r>
            <w:r>
              <w:rPr>
                <w:rFonts w:ascii="宋体" w:hAnsi="宋体" w:eastAsia="宋体" w:cs="Times New Roman"/>
                <w:kern w:val="0"/>
                <w:sz w:val="21"/>
              </w:rPr>
              <w:t>小时</w:t>
            </w:r>
            <w:r>
              <w:rPr>
                <w:rFonts w:eastAsia="宋体" w:cs="Times New Roman"/>
                <w:kern w:val="0"/>
                <w:sz w:val="21"/>
              </w:rPr>
              <w:t>(</w:t>
            </w:r>
            <w:r>
              <w:rPr>
                <w:rFonts w:ascii="宋体" w:hAnsi="宋体" w:eastAsia="宋体" w:cs="Times New Roman"/>
                <w:kern w:val="0"/>
                <w:sz w:val="21"/>
              </w:rPr>
              <w:t>大鼠吸入</w:t>
            </w:r>
            <w:r>
              <w:rPr>
                <w:rFonts w:eastAsia="宋体" w:cs="Times New Roman"/>
                <w:kern w:val="0"/>
                <w:sz w:val="21"/>
              </w:rPr>
              <w:t>)</w:t>
            </w:r>
          </w:p>
          <w:p>
            <w:pPr>
              <w:rPr>
                <w:rFonts w:eastAsia="宋体" w:cs="Times New Roman"/>
                <w:kern w:val="0"/>
                <w:sz w:val="21"/>
              </w:rPr>
            </w:pPr>
            <w:r>
              <w:rPr>
                <w:rFonts w:eastAsia="宋体" w:cs="Times New Roman"/>
                <w:kern w:val="0"/>
                <w:sz w:val="21"/>
              </w:rPr>
              <w:t>致突变性：微生物致突变：鼠伤寒沙门氏菌6ppm</w:t>
            </w:r>
            <w:r>
              <w:rPr>
                <w:rFonts w:ascii="宋体" w:hAnsi="宋体" w:eastAsia="宋体" w:cs="Times New Roman"/>
                <w:kern w:val="0"/>
                <w:sz w:val="21"/>
              </w:rPr>
              <w:t>。哺乳动物体细胞突变：大鼠吸入</w:t>
            </w:r>
            <w:r>
              <w:rPr>
                <w:rFonts w:eastAsia="宋体" w:cs="Times New Roman"/>
                <w:kern w:val="0"/>
                <w:sz w:val="21"/>
              </w:rPr>
              <w:t>15ppm(3</w:t>
            </w:r>
            <w:r>
              <w:rPr>
                <w:rFonts w:ascii="宋体" w:hAnsi="宋体" w:eastAsia="宋体" w:cs="Times New Roman"/>
                <w:kern w:val="0"/>
                <w:sz w:val="21"/>
              </w:rPr>
              <w:t>小时</w:t>
            </w:r>
            <w:r>
              <w:rPr>
                <w:rFonts w:eastAsia="宋体" w:cs="Times New Roman"/>
                <w:kern w:val="0"/>
                <w:sz w:val="21"/>
              </w:rPr>
              <w:t>)</w:t>
            </w:r>
            <w:r>
              <w:rPr>
                <w:rFonts w:ascii="宋体" w:hAnsi="宋体" w:eastAsia="宋体" w:cs="Times New Roman"/>
                <w:kern w:val="0"/>
                <w:sz w:val="21"/>
              </w:rPr>
              <w:t>，连续。</w:t>
            </w:r>
          </w:p>
          <w:p>
            <w:pPr>
              <w:rPr>
                <w:rFonts w:eastAsia="宋体" w:cs="Times New Roman"/>
                <w:kern w:val="0"/>
                <w:sz w:val="21"/>
              </w:rPr>
            </w:pPr>
            <w:r>
              <w:rPr>
                <w:rFonts w:eastAsia="宋体" w:cs="Times New Roman"/>
                <w:kern w:val="0"/>
                <w:sz w:val="21"/>
              </w:rPr>
              <w:t>生殖毒性：大鼠吸入最低中毒浓度(TCL0)</w:t>
            </w:r>
            <w:r>
              <w:rPr>
                <w:rFonts w:ascii="宋体" w:hAnsi="宋体" w:eastAsia="宋体" w:cs="Times New Roman"/>
                <w:kern w:val="0"/>
                <w:sz w:val="21"/>
              </w:rPr>
              <w:t>：</w:t>
            </w:r>
            <w:r>
              <w:rPr>
                <w:rFonts w:eastAsia="宋体" w:cs="Times New Roman"/>
                <w:kern w:val="0"/>
                <w:sz w:val="21"/>
              </w:rPr>
              <w:t>8.5µg/m3</w:t>
            </w:r>
            <w:r>
              <w:rPr>
                <w:rFonts w:ascii="宋体" w:hAnsi="宋体" w:eastAsia="宋体" w:cs="Times New Roman"/>
                <w:kern w:val="0"/>
                <w:sz w:val="21"/>
              </w:rPr>
              <w:t>，</w:t>
            </w:r>
            <w:r>
              <w:rPr>
                <w:rFonts w:eastAsia="宋体" w:cs="Times New Roman"/>
                <w:kern w:val="0"/>
                <w:sz w:val="21"/>
              </w:rPr>
              <w:t>24</w:t>
            </w:r>
            <w:r>
              <w:rPr>
                <w:rFonts w:ascii="宋体" w:hAnsi="宋体" w:eastAsia="宋体" w:cs="Times New Roman"/>
                <w:kern w:val="0"/>
                <w:sz w:val="21"/>
              </w:rPr>
              <w:t>小时</w:t>
            </w:r>
            <w:r>
              <w:rPr>
                <w:rFonts w:eastAsia="宋体" w:cs="Times New Roman"/>
                <w:kern w:val="0"/>
                <w:sz w:val="21"/>
              </w:rPr>
              <w:t>(</w:t>
            </w:r>
            <w:r>
              <w:rPr>
                <w:rFonts w:ascii="宋体" w:hAnsi="宋体" w:eastAsia="宋体" w:cs="Times New Roman"/>
                <w:kern w:val="0"/>
                <w:sz w:val="21"/>
              </w:rPr>
              <w:t>孕</w:t>
            </w:r>
            <w:r>
              <w:rPr>
                <w:rFonts w:eastAsia="宋体" w:cs="Times New Roman"/>
                <w:kern w:val="0"/>
                <w:sz w:val="21"/>
              </w:rPr>
              <w:t>1-22</w:t>
            </w:r>
            <w:r>
              <w:rPr>
                <w:rFonts w:ascii="宋体" w:hAnsi="宋体" w:eastAsia="宋体" w:cs="Times New Roman"/>
                <w:kern w:val="0"/>
                <w:sz w:val="21"/>
              </w:rPr>
              <w:t>天</w:t>
            </w:r>
            <w:r>
              <w:rPr>
                <w:rFonts w:eastAsia="宋体" w:cs="Times New Roman"/>
                <w:kern w:val="0"/>
                <w:sz w:val="21"/>
              </w:rPr>
              <w:t>)</w:t>
            </w:r>
            <w:r>
              <w:rPr>
                <w:rFonts w:ascii="宋体" w:hAnsi="宋体" w:eastAsia="宋体" w:cs="Times New Roman"/>
                <w:kern w:val="0"/>
                <w:sz w:val="21"/>
              </w:rPr>
              <w:t>，引起胚胎毒性和死胎。</w:t>
            </w:r>
          </w:p>
          <w:p>
            <w:pPr>
              <w:rPr>
                <w:rFonts w:eastAsia="宋体" w:cs="Times New Roman"/>
                <w:kern w:val="0"/>
                <w:sz w:val="21"/>
              </w:rPr>
            </w:pPr>
            <w:r>
              <w:rPr>
                <w:rFonts w:eastAsia="宋体" w:cs="Times New Roman"/>
                <w:kern w:val="0"/>
                <w:sz w:val="21"/>
              </w:rPr>
              <w:t>危险特性：本品不燃烧，但可助燃。具有强氧化性，遇衣物、锯末、棉花或其它可燃物能立即燃烧。与一般燃料或火箭燃料以及氯代烃等猛烈反应引起爆炸。遇水有腐蚀性，腐蚀作用随水分含量增加而加剧。</w:t>
            </w:r>
          </w:p>
          <w:p>
            <w:pPr>
              <w:rPr>
                <w:rFonts w:eastAsia="宋体" w:cs="Times New Roman"/>
                <w:kern w:val="0"/>
                <w:sz w:val="21"/>
              </w:rPr>
            </w:pPr>
            <w:r>
              <w:rPr>
                <w:rFonts w:eastAsia="宋体" w:cs="Times New Roman"/>
                <w:kern w:val="0"/>
                <w:sz w:val="21"/>
              </w:rPr>
              <w:t>燃烧(</w:t>
            </w:r>
            <w:r>
              <w:rPr>
                <w:rFonts w:ascii="宋体" w:hAnsi="宋体" w:eastAsia="宋体" w:cs="Times New Roman"/>
                <w:kern w:val="0"/>
                <w:sz w:val="21"/>
              </w:rPr>
              <w:t>分解</w:t>
            </w:r>
            <w:r>
              <w:rPr>
                <w:rFonts w:eastAsia="宋体" w:cs="Times New Roman"/>
                <w:kern w:val="0"/>
                <w:sz w:val="21"/>
              </w:rPr>
              <w:t>)</w:t>
            </w:r>
            <w:r>
              <w:rPr>
                <w:rFonts w:ascii="宋体" w:hAnsi="宋体" w:eastAsia="宋体" w:cs="Times New Roman"/>
                <w:kern w:val="0"/>
                <w:sz w:val="21"/>
              </w:rPr>
              <w:t>产物：氮氧化物。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79" w:type="pct"/>
            <w:vAlign w:val="center"/>
          </w:tcPr>
          <w:p>
            <w:pPr>
              <w:jc w:val="center"/>
              <w:rPr>
                <w:rFonts w:eastAsia="宋体" w:cs="Times New Roman"/>
                <w:kern w:val="0"/>
                <w:sz w:val="21"/>
              </w:rPr>
            </w:pPr>
            <w:r>
              <w:rPr>
                <w:rFonts w:eastAsia="宋体" w:cs="Times New Roman"/>
                <w:kern w:val="0"/>
                <w:sz w:val="21"/>
              </w:rPr>
              <w:t>应</w:t>
            </w:r>
          </w:p>
          <w:p>
            <w:pPr>
              <w:jc w:val="center"/>
              <w:rPr>
                <w:rFonts w:eastAsia="宋体" w:cs="Times New Roman"/>
                <w:kern w:val="0"/>
                <w:sz w:val="21"/>
              </w:rPr>
            </w:pPr>
            <w:r>
              <w:rPr>
                <w:rFonts w:eastAsia="宋体" w:cs="Times New Roman"/>
                <w:kern w:val="0"/>
                <w:sz w:val="21"/>
              </w:rPr>
              <w:t>急</w:t>
            </w:r>
          </w:p>
          <w:p>
            <w:pPr>
              <w:jc w:val="center"/>
              <w:rPr>
                <w:rFonts w:eastAsia="宋体" w:cs="Times New Roman"/>
                <w:kern w:val="0"/>
                <w:sz w:val="21"/>
              </w:rPr>
            </w:pPr>
            <w:r>
              <w:rPr>
                <w:rFonts w:eastAsia="宋体" w:cs="Times New Roman"/>
                <w:kern w:val="0"/>
                <w:sz w:val="21"/>
              </w:rPr>
              <w:t>处</w:t>
            </w:r>
          </w:p>
          <w:p>
            <w:pPr>
              <w:jc w:val="center"/>
              <w:rPr>
                <w:rFonts w:eastAsia="宋体" w:cs="Times New Roman"/>
                <w:kern w:val="0"/>
                <w:sz w:val="21"/>
              </w:rPr>
            </w:pPr>
            <w:r>
              <w:rPr>
                <w:rFonts w:eastAsia="宋体" w:cs="Times New Roman"/>
                <w:kern w:val="0"/>
                <w:sz w:val="21"/>
              </w:rPr>
              <w:t>理</w:t>
            </w:r>
          </w:p>
          <w:p>
            <w:pPr>
              <w:jc w:val="center"/>
              <w:rPr>
                <w:rFonts w:eastAsia="宋体" w:cs="Times New Roman"/>
                <w:kern w:val="0"/>
                <w:sz w:val="21"/>
              </w:rPr>
            </w:pPr>
            <w:r>
              <w:rPr>
                <w:rFonts w:eastAsia="宋体" w:cs="Times New Roman"/>
                <w:kern w:val="0"/>
                <w:sz w:val="21"/>
              </w:rPr>
              <w:t>处</w:t>
            </w:r>
          </w:p>
          <w:p>
            <w:pPr>
              <w:jc w:val="center"/>
              <w:rPr>
                <w:rFonts w:eastAsia="宋体" w:cs="Times New Roman"/>
                <w:kern w:val="0"/>
                <w:sz w:val="21"/>
              </w:rPr>
            </w:pPr>
            <w:r>
              <w:rPr>
                <w:rFonts w:eastAsia="宋体" w:cs="Times New Roman"/>
                <w:kern w:val="0"/>
                <w:sz w:val="21"/>
              </w:rPr>
              <w:t>置</w:t>
            </w:r>
          </w:p>
          <w:p>
            <w:pPr>
              <w:jc w:val="center"/>
              <w:rPr>
                <w:rFonts w:eastAsia="宋体" w:cs="Times New Roman"/>
                <w:kern w:val="0"/>
                <w:sz w:val="21"/>
              </w:rPr>
            </w:pPr>
            <w:r>
              <w:rPr>
                <w:rFonts w:eastAsia="宋体" w:cs="Times New Roman"/>
                <w:kern w:val="0"/>
                <w:sz w:val="21"/>
              </w:rPr>
              <w:t>方</w:t>
            </w:r>
          </w:p>
          <w:p>
            <w:pPr>
              <w:jc w:val="center"/>
              <w:rPr>
                <w:rFonts w:eastAsia="宋体" w:cs="Times New Roman"/>
                <w:kern w:val="0"/>
                <w:sz w:val="21"/>
              </w:rPr>
            </w:pPr>
            <w:r>
              <w:rPr>
                <w:rFonts w:eastAsia="宋体" w:cs="Times New Roman"/>
                <w:kern w:val="0"/>
                <w:sz w:val="21"/>
              </w:rPr>
              <w:t>法</w:t>
            </w:r>
          </w:p>
        </w:tc>
        <w:tc>
          <w:tcPr>
            <w:tcW w:w="4321" w:type="pct"/>
            <w:gridSpan w:val="4"/>
            <w:vAlign w:val="center"/>
          </w:tcPr>
          <w:p>
            <w:pPr>
              <w:rPr>
                <w:rFonts w:eastAsia="宋体" w:cs="Times New Roman"/>
                <w:kern w:val="0"/>
                <w:sz w:val="21"/>
              </w:rPr>
            </w:pPr>
            <w:r>
              <w:rPr>
                <w:rFonts w:eastAsia="宋体" w:cs="Times New Roman"/>
                <w:kern w:val="0"/>
                <w:sz w:val="21"/>
              </w:rPr>
              <w:t>（1</w:t>
            </w:r>
            <w:r>
              <w:rPr>
                <w:rFonts w:ascii="宋体" w:hAnsi="宋体" w:eastAsia="宋体" w:cs="Times New Roman"/>
                <w:kern w:val="0"/>
                <w:sz w:val="21"/>
              </w:rPr>
              <w:t xml:space="preserve">）泄漏应急处理  </w:t>
            </w:r>
          </w:p>
          <w:p>
            <w:pPr>
              <w:rPr>
                <w:rFonts w:eastAsia="宋体" w:cs="Times New Roman"/>
                <w:kern w:val="0"/>
                <w:sz w:val="21"/>
              </w:rPr>
            </w:pPr>
            <w:r>
              <w:rPr>
                <w:rFonts w:eastAsia="宋体" w:cs="Times New Roman"/>
                <w:kern w:val="0"/>
                <w:sz w:val="21"/>
              </w:rPr>
              <w:t>迅速撤离泄漏污染区人员至上风处，并进行隔离，严格限制出入。建议应急处理人员戴自给正压式呼吸器，穿防毒服。尽可能切断泄漏源。若是气体，合理通风，加速扩散。喷雾状水稀释、溶解。构筑围堤或挖坑收容产生的大量废水。漏气容器要妥善处理，修复、检验后再用。若是液体，用大量水冲洗，洗水稀释后放入废水系统。若大量泄漏，构筑围堤或挖坑收容；喷雾状水冷却和稀释蒸气。用防爆泵转移至槽车或专用收集器内，回收或运至废物处理场所处置。</w:t>
            </w:r>
          </w:p>
          <w:p>
            <w:pPr>
              <w:rPr>
                <w:rFonts w:eastAsia="宋体" w:cs="Times New Roman"/>
                <w:kern w:val="0"/>
                <w:sz w:val="21"/>
              </w:rPr>
            </w:pPr>
            <w:r>
              <w:rPr>
                <w:rFonts w:eastAsia="宋体" w:cs="Times New Roman"/>
                <w:kern w:val="0"/>
                <w:sz w:val="21"/>
              </w:rPr>
              <w:t>（2</w:t>
            </w:r>
            <w:r>
              <w:rPr>
                <w:rFonts w:ascii="宋体" w:hAnsi="宋体" w:eastAsia="宋体" w:cs="Times New Roman"/>
                <w:kern w:val="0"/>
                <w:sz w:val="21"/>
              </w:rPr>
              <w:t>）防护措施</w:t>
            </w:r>
          </w:p>
          <w:p>
            <w:pPr>
              <w:rPr>
                <w:rFonts w:eastAsia="宋体" w:cs="Times New Roman"/>
                <w:kern w:val="0"/>
                <w:sz w:val="21"/>
              </w:rPr>
            </w:pPr>
            <w:r>
              <w:rPr>
                <w:rFonts w:eastAsia="宋体" w:cs="Times New Roman"/>
                <w:kern w:val="0"/>
                <w:sz w:val="21"/>
              </w:rPr>
              <w:t>呼吸系统防护：空气中浓度超标时，佩戴自吸过滤式防毒面具(</w:t>
            </w:r>
            <w:r>
              <w:rPr>
                <w:rFonts w:ascii="宋体" w:hAnsi="宋体" w:eastAsia="宋体" w:cs="Times New Roman"/>
                <w:kern w:val="0"/>
                <w:sz w:val="21"/>
              </w:rPr>
              <w:t>全面罩</w:t>
            </w:r>
            <w:r>
              <w:rPr>
                <w:rFonts w:eastAsia="宋体" w:cs="Times New Roman"/>
                <w:kern w:val="0"/>
                <w:sz w:val="21"/>
              </w:rPr>
              <w:t>)</w:t>
            </w:r>
            <w:r>
              <w:rPr>
                <w:rFonts w:ascii="宋体" w:hAnsi="宋体" w:eastAsia="宋体" w:cs="Times New Roman"/>
                <w:kern w:val="0"/>
                <w:sz w:val="21"/>
              </w:rPr>
              <w:t>。紧急事态抢救或撤离时，建议佩戴空气呼吸器。</w:t>
            </w:r>
          </w:p>
          <w:p>
            <w:pPr>
              <w:rPr>
                <w:rFonts w:eastAsia="宋体" w:cs="Times New Roman"/>
                <w:kern w:val="0"/>
                <w:sz w:val="21"/>
              </w:rPr>
            </w:pPr>
            <w:r>
              <w:rPr>
                <w:rFonts w:eastAsia="宋体" w:cs="Times New Roman"/>
                <w:kern w:val="0"/>
                <w:sz w:val="21"/>
              </w:rPr>
              <w:t>眼睛防护：呼吸系统防护中已作防护。</w:t>
            </w:r>
          </w:p>
          <w:p>
            <w:pPr>
              <w:rPr>
                <w:rFonts w:eastAsia="宋体" w:cs="Times New Roman"/>
                <w:kern w:val="0"/>
                <w:sz w:val="21"/>
              </w:rPr>
            </w:pPr>
            <w:r>
              <w:rPr>
                <w:rFonts w:eastAsia="宋体" w:cs="Times New Roman"/>
                <w:kern w:val="0"/>
                <w:sz w:val="21"/>
              </w:rPr>
              <w:t>身体防护：穿胶布防毒衣。</w:t>
            </w:r>
          </w:p>
          <w:p>
            <w:pPr>
              <w:rPr>
                <w:rFonts w:eastAsia="宋体" w:cs="Times New Roman"/>
                <w:kern w:val="0"/>
                <w:sz w:val="21"/>
              </w:rPr>
            </w:pPr>
            <w:r>
              <w:rPr>
                <w:rFonts w:eastAsia="宋体" w:cs="Times New Roman"/>
                <w:kern w:val="0"/>
                <w:sz w:val="21"/>
              </w:rPr>
              <w:t>手防护：戴橡胶手套。</w:t>
            </w:r>
          </w:p>
          <w:p>
            <w:pPr>
              <w:rPr>
                <w:rFonts w:eastAsia="宋体" w:cs="Times New Roman"/>
                <w:kern w:val="0"/>
                <w:sz w:val="21"/>
              </w:rPr>
            </w:pPr>
            <w:r>
              <w:rPr>
                <w:rFonts w:eastAsia="宋体" w:cs="Times New Roman"/>
                <w:kern w:val="0"/>
                <w:sz w:val="21"/>
              </w:rPr>
              <w:t>其它：工作现场禁止吸烟、进食和饮水。保持良好的卫生习惯。进入罐、限制性空间或其它高浓度区作业，须有人监护。</w:t>
            </w:r>
          </w:p>
          <w:p>
            <w:pPr>
              <w:rPr>
                <w:rFonts w:eastAsia="宋体" w:cs="Times New Roman"/>
                <w:kern w:val="0"/>
                <w:sz w:val="21"/>
              </w:rPr>
            </w:pPr>
            <w:r>
              <w:rPr>
                <w:rFonts w:eastAsia="宋体" w:cs="Times New Roman"/>
                <w:kern w:val="0"/>
                <w:sz w:val="21"/>
              </w:rPr>
              <w:t>（3</w:t>
            </w:r>
            <w:r>
              <w:rPr>
                <w:rFonts w:ascii="宋体" w:hAnsi="宋体" w:eastAsia="宋体" w:cs="Times New Roman"/>
                <w:kern w:val="0"/>
                <w:sz w:val="21"/>
              </w:rPr>
              <w:t>）急救措施</w:t>
            </w:r>
          </w:p>
          <w:p>
            <w:pPr>
              <w:rPr>
                <w:rFonts w:eastAsia="宋体" w:cs="Times New Roman"/>
                <w:kern w:val="0"/>
                <w:sz w:val="21"/>
              </w:rPr>
            </w:pPr>
            <w:r>
              <w:rPr>
                <w:rFonts w:eastAsia="宋体" w:cs="Times New Roman"/>
                <w:kern w:val="0"/>
                <w:sz w:val="21"/>
              </w:rPr>
              <w:t>皮肤接触：脱去污染的衣着，用流动清水冲洗。</w:t>
            </w:r>
          </w:p>
          <w:p>
            <w:pPr>
              <w:rPr>
                <w:rFonts w:eastAsia="宋体" w:cs="Times New Roman"/>
                <w:kern w:val="0"/>
                <w:sz w:val="21"/>
              </w:rPr>
            </w:pPr>
            <w:r>
              <w:rPr>
                <w:rFonts w:eastAsia="宋体" w:cs="Times New Roman"/>
                <w:kern w:val="0"/>
                <w:sz w:val="21"/>
              </w:rPr>
              <w:t>眼睛接触：立即提起眼睑，用流动清水冲洗。</w:t>
            </w:r>
          </w:p>
          <w:p>
            <w:pPr>
              <w:rPr>
                <w:rFonts w:eastAsia="宋体" w:cs="Times New Roman"/>
                <w:kern w:val="0"/>
                <w:sz w:val="21"/>
              </w:rPr>
            </w:pPr>
            <w:r>
              <w:rPr>
                <w:rFonts w:eastAsia="宋体" w:cs="Times New Roman"/>
                <w:kern w:val="0"/>
                <w:sz w:val="21"/>
              </w:rPr>
              <w:t>吸入：迅速脱离现场至空气新鲜处。保持呼吸道通畅。如呼吸困难，给输氧。如呼吸停止，立即进行人工呼吸。就医。</w:t>
            </w:r>
          </w:p>
          <w:p>
            <w:pPr>
              <w:rPr>
                <w:rFonts w:eastAsia="宋体" w:cs="Times New Roman"/>
                <w:kern w:val="0"/>
                <w:sz w:val="21"/>
              </w:rPr>
            </w:pPr>
            <w:r>
              <w:rPr>
                <w:rFonts w:eastAsia="宋体" w:cs="Times New Roman"/>
                <w:kern w:val="0"/>
                <w:sz w:val="21"/>
              </w:rPr>
              <w:t>食入：饮足量温水，催吐，就医。</w:t>
            </w:r>
          </w:p>
          <w:p>
            <w:pPr>
              <w:rPr>
                <w:rFonts w:eastAsia="宋体" w:cs="Times New Roman"/>
                <w:kern w:val="0"/>
                <w:sz w:val="21"/>
              </w:rPr>
            </w:pPr>
            <w:r>
              <w:rPr>
                <w:rFonts w:eastAsia="宋体" w:cs="Times New Roman"/>
                <w:kern w:val="0"/>
                <w:sz w:val="21"/>
              </w:rPr>
              <w:t>灭火方法：本品不燃。消防人员必须佩戴过滤式防毒面具(</w:t>
            </w:r>
            <w:r>
              <w:rPr>
                <w:rFonts w:ascii="宋体" w:hAnsi="宋体" w:eastAsia="宋体" w:cs="Times New Roman"/>
                <w:kern w:val="0"/>
                <w:sz w:val="21"/>
              </w:rPr>
              <w:t>全面罩</w:t>
            </w:r>
            <w:r>
              <w:rPr>
                <w:rFonts w:eastAsia="宋体" w:cs="Times New Roman"/>
                <w:kern w:val="0"/>
                <w:sz w:val="21"/>
              </w:rPr>
              <w:t>)</w:t>
            </w:r>
            <w:r>
              <w:rPr>
                <w:rFonts w:ascii="宋体" w:hAnsi="宋体" w:eastAsia="宋体" w:cs="Times New Roman"/>
                <w:kern w:val="0"/>
                <w:sz w:val="21"/>
              </w:rPr>
              <w:t>或隔离式呼吸器、穿全身防火防毒服。在上风处灭火。切断气源。喷水冷却容器，可能的话将容器从火场移至空旷处。灭火剂：干粉、二氧化碳、禁止用水、卤代烃灭火剂灭火。</w:t>
            </w:r>
          </w:p>
        </w:tc>
      </w:tr>
    </w:tbl>
    <w:p>
      <w:pPr>
        <w:pStyle w:val="4"/>
      </w:pPr>
      <w:r>
        <w:t>生产系统危险性识别</w:t>
      </w:r>
    </w:p>
    <w:p>
      <w:pPr>
        <w:pStyle w:val="14"/>
        <w:ind w:firstLine="480" w:firstLineChars="200"/>
        <w:jc w:val="left"/>
        <w:rPr>
          <w:b w:val="0"/>
          <w:bCs/>
        </w:rPr>
      </w:pPr>
      <w:r>
        <w:rPr>
          <w:rFonts w:hint="eastAsia"/>
          <w:b w:val="0"/>
          <w:bCs/>
        </w:rPr>
        <w:t>（1）</w:t>
      </w:r>
      <w:r>
        <w:rPr>
          <w:b w:val="0"/>
          <w:bCs/>
        </w:rPr>
        <w:t>产系统危险性识别范围：主要生产装置、贮运系统、公用工程系统、工程环保设施及辅助生产设施等。</w:t>
      </w:r>
    </w:p>
    <w:p>
      <w:pPr>
        <w:spacing w:line="360" w:lineRule="auto"/>
        <w:ind w:firstLine="480" w:firstLineChars="200"/>
        <w:rPr>
          <w:rFonts w:asciiTheme="minorEastAsia" w:hAnsiTheme="minorEastAsia"/>
        </w:rPr>
      </w:pPr>
      <w:r>
        <w:rPr>
          <w:rFonts w:hint="eastAsia" w:asciiTheme="minorEastAsia" w:hAnsiTheme="minorEastAsia"/>
        </w:rPr>
        <w:t>①储存设施</w:t>
      </w:r>
    </w:p>
    <w:p>
      <w:pPr>
        <w:pStyle w:val="155"/>
        <w:ind w:firstLine="480"/>
        <w:rPr>
          <w:rFonts w:ascii="宋体" w:hAnsi="宋体"/>
          <w:color w:val="000000" w:themeColor="text1"/>
        </w:rPr>
      </w:pPr>
      <w:r>
        <w:rPr>
          <w:rFonts w:ascii="宋体" w:hAnsi="宋体"/>
        </w:rPr>
        <w:t>储运设施风险主要来源于备用柴油发电机安置室储存的柴油、污水处理站药品室储存的</w:t>
      </w:r>
      <w:r>
        <w:rPr>
          <w:rFonts w:hint="eastAsia" w:ascii="宋体" w:hAnsi="宋体"/>
        </w:rPr>
        <w:t>氯酸钠和盐酸（</w:t>
      </w:r>
      <w:r>
        <w:rPr>
          <w:rFonts w:hint="eastAsia"/>
        </w:rPr>
        <w:t>本项目消毒采用二氧化氯，其现用现制，不储存</w:t>
      </w:r>
      <w:r>
        <w:rPr>
          <w:rFonts w:hint="eastAsia" w:ascii="宋体" w:hAnsi="宋体"/>
        </w:rPr>
        <w:t>）、</w:t>
      </w:r>
      <w:r>
        <w:rPr>
          <w:rFonts w:ascii="宋体" w:hAnsi="宋体"/>
          <w:color w:val="000000" w:themeColor="text1"/>
        </w:rPr>
        <w:t>老年呵护中心一楼储存氧气瓶</w:t>
      </w:r>
      <w:r>
        <w:rPr>
          <w:rFonts w:hint="eastAsia" w:ascii="宋体" w:hAnsi="宋体"/>
          <w:color w:val="000000" w:themeColor="text1"/>
        </w:rPr>
        <w:t>。</w:t>
      </w:r>
    </w:p>
    <w:p>
      <w:pPr>
        <w:pStyle w:val="155"/>
        <w:ind w:firstLine="480"/>
        <w:rPr>
          <w:rFonts w:ascii="宋体" w:hAnsi="宋体"/>
          <w:color w:val="000000" w:themeColor="text1"/>
        </w:rPr>
      </w:pPr>
      <w:r>
        <w:rPr>
          <w:rFonts w:hint="eastAsia" w:ascii="宋体" w:hAnsi="宋体"/>
          <w:color w:val="000000" w:themeColor="text1"/>
        </w:rPr>
        <w:t>②公用工程系统</w:t>
      </w:r>
    </w:p>
    <w:p>
      <w:pPr>
        <w:pStyle w:val="155"/>
        <w:ind w:firstLine="480"/>
      </w:pPr>
      <w:r>
        <w:rPr>
          <w:rFonts w:ascii="宋体" w:hAnsi="宋体"/>
        </w:rPr>
        <w:t>公用工程系统风险主要来源于配电室。</w:t>
      </w:r>
    </w:p>
    <w:p>
      <w:pPr>
        <w:pStyle w:val="155"/>
        <w:ind w:firstLine="480"/>
      </w:pPr>
      <w:r>
        <w:rPr>
          <w:rFonts w:hint="eastAsia"/>
        </w:rPr>
        <w:t>③</w:t>
      </w:r>
      <w:r>
        <w:t>工程环保设施及辅助生产设施</w:t>
      </w:r>
    </w:p>
    <w:p>
      <w:pPr>
        <w:pStyle w:val="155"/>
        <w:ind w:firstLine="480"/>
      </w:pPr>
      <w:r>
        <w:t>工程环保设施及辅助生产设施风险主要来源于废气处理设施</w:t>
      </w:r>
      <w:r>
        <w:rPr>
          <w:rFonts w:hint="eastAsia"/>
        </w:rPr>
        <w:t>、</w:t>
      </w:r>
      <w:r>
        <w:t>废水处理设施</w:t>
      </w:r>
      <w:r>
        <w:rPr>
          <w:rFonts w:hint="eastAsia"/>
        </w:rPr>
        <w:t>和</w:t>
      </w:r>
      <w:r>
        <w:t>老年呵护大楼氧气瓶储存间</w:t>
      </w:r>
      <w:r>
        <w:rPr>
          <w:rFonts w:hint="eastAsia"/>
        </w:rPr>
        <w:t>。</w:t>
      </w:r>
      <w:r>
        <w:t>本项目生产系统危险性识别</w:t>
      </w:r>
      <w:r>
        <w:rPr>
          <w:rFonts w:hint="eastAsia"/>
        </w:rPr>
        <w:t>，</w:t>
      </w:r>
      <w:r>
        <w:t>详见下表所示</w:t>
      </w:r>
      <w:r>
        <w:rPr>
          <w:rFonts w:hint="eastAsia"/>
        </w:rPr>
        <w:t>。</w:t>
      </w:r>
    </w:p>
    <w:p>
      <w:pPr>
        <w:pStyle w:val="14"/>
        <w:spacing w:line="240" w:lineRule="auto"/>
        <w:rPr>
          <w:rFonts w:cs="Times New Roman"/>
          <w:szCs w:val="24"/>
        </w:rPr>
      </w:pPr>
      <w:r>
        <w:rPr>
          <w:rFonts w:hint="eastAsia"/>
        </w:rPr>
        <w:t>表</w:t>
      </w:r>
      <w:r>
        <w:fldChar w:fldCharType="begin"/>
      </w:r>
      <w:r>
        <w:instrText xml:space="preserve"> STYLEREF 2 \s </w:instrText>
      </w:r>
      <w:r>
        <w:fldChar w:fldCharType="separate"/>
      </w:r>
      <w:r>
        <w:t>7.6</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rPr>
          <w:rFonts w:hint="eastAsia"/>
        </w:rPr>
        <w:t xml:space="preserve">  生产系统的环境风险事故类型一览表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64"/>
        <w:gridCol w:w="2087"/>
        <w:gridCol w:w="1284"/>
        <w:gridCol w:w="1606"/>
        <w:gridCol w:w="1605"/>
        <w:gridCol w:w="230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676" w:type="dxa"/>
            <w:vAlign w:val="center"/>
          </w:tcPr>
          <w:p>
            <w:pPr>
              <w:jc w:val="center"/>
              <w:rPr>
                <w:rFonts w:eastAsia="宋体"/>
                <w:bCs/>
                <w:sz w:val="21"/>
              </w:rPr>
            </w:pPr>
            <w:r>
              <w:rPr>
                <w:rFonts w:eastAsia="宋体"/>
                <w:sz w:val="21"/>
              </w:rPr>
              <w:t>序号</w:t>
            </w:r>
          </w:p>
        </w:tc>
        <w:tc>
          <w:tcPr>
            <w:tcW w:w="1844" w:type="dxa"/>
            <w:vAlign w:val="center"/>
          </w:tcPr>
          <w:p>
            <w:pPr>
              <w:jc w:val="center"/>
              <w:rPr>
                <w:rFonts w:eastAsia="宋体"/>
                <w:bCs/>
                <w:sz w:val="21"/>
              </w:rPr>
            </w:pPr>
            <w:r>
              <w:rPr>
                <w:rFonts w:eastAsia="宋体"/>
                <w:sz w:val="21"/>
              </w:rPr>
              <w:t>名称</w:t>
            </w:r>
          </w:p>
        </w:tc>
        <w:tc>
          <w:tcPr>
            <w:tcW w:w="1135" w:type="dxa"/>
            <w:vAlign w:val="center"/>
          </w:tcPr>
          <w:p>
            <w:pPr>
              <w:jc w:val="center"/>
              <w:rPr>
                <w:rFonts w:eastAsia="宋体"/>
                <w:bCs/>
                <w:sz w:val="21"/>
              </w:rPr>
            </w:pPr>
            <w:r>
              <w:rPr>
                <w:rFonts w:eastAsia="宋体"/>
                <w:sz w:val="21"/>
              </w:rPr>
              <w:t>生产区</w:t>
            </w:r>
          </w:p>
        </w:tc>
        <w:tc>
          <w:tcPr>
            <w:tcW w:w="1419" w:type="dxa"/>
            <w:vAlign w:val="center"/>
          </w:tcPr>
          <w:p>
            <w:pPr>
              <w:jc w:val="center"/>
              <w:rPr>
                <w:rFonts w:eastAsia="宋体"/>
                <w:bCs/>
                <w:sz w:val="21"/>
              </w:rPr>
            </w:pPr>
            <w:r>
              <w:rPr>
                <w:rFonts w:eastAsia="宋体"/>
                <w:sz w:val="21"/>
              </w:rPr>
              <w:t>储运区</w:t>
            </w:r>
          </w:p>
        </w:tc>
        <w:tc>
          <w:tcPr>
            <w:tcW w:w="1418" w:type="dxa"/>
          </w:tcPr>
          <w:p>
            <w:pPr>
              <w:jc w:val="center"/>
              <w:rPr>
                <w:rFonts w:eastAsia="宋体"/>
                <w:bCs/>
                <w:kern w:val="0"/>
                <w:sz w:val="21"/>
              </w:rPr>
            </w:pPr>
            <w:r>
              <w:rPr>
                <w:rFonts w:eastAsia="宋体"/>
                <w:kern w:val="0"/>
                <w:sz w:val="21"/>
              </w:rPr>
              <w:t>公用工程区</w:t>
            </w:r>
          </w:p>
        </w:tc>
        <w:tc>
          <w:tcPr>
            <w:tcW w:w="2036" w:type="dxa"/>
          </w:tcPr>
          <w:p>
            <w:pPr>
              <w:jc w:val="center"/>
              <w:rPr>
                <w:rFonts w:eastAsia="宋体"/>
                <w:bCs/>
                <w:kern w:val="0"/>
                <w:sz w:val="21"/>
              </w:rPr>
            </w:pPr>
            <w:r>
              <w:rPr>
                <w:rFonts w:eastAsia="宋体"/>
                <w:kern w:val="0"/>
                <w:sz w:val="21"/>
              </w:rPr>
              <w:t>工程环保设施区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76" w:type="dxa"/>
          </w:tcPr>
          <w:p>
            <w:pPr>
              <w:jc w:val="center"/>
              <w:rPr>
                <w:rFonts w:eastAsia="宋体"/>
                <w:bCs/>
                <w:kern w:val="0"/>
                <w:sz w:val="21"/>
              </w:rPr>
            </w:pPr>
            <w:r>
              <w:rPr>
                <w:rFonts w:eastAsia="宋体"/>
                <w:bCs/>
                <w:kern w:val="0"/>
                <w:sz w:val="21"/>
              </w:rPr>
              <w:t>1</w:t>
            </w:r>
          </w:p>
        </w:tc>
        <w:tc>
          <w:tcPr>
            <w:tcW w:w="1844" w:type="dxa"/>
            <w:vAlign w:val="center"/>
          </w:tcPr>
          <w:p>
            <w:pPr>
              <w:jc w:val="center"/>
              <w:rPr>
                <w:rFonts w:eastAsia="宋体"/>
                <w:bCs/>
                <w:sz w:val="21"/>
              </w:rPr>
            </w:pPr>
            <w:r>
              <w:rPr>
                <w:rFonts w:eastAsia="宋体"/>
                <w:bCs/>
                <w:sz w:val="21"/>
              </w:rPr>
              <w:t>火灾、爆炸</w:t>
            </w:r>
          </w:p>
        </w:tc>
        <w:tc>
          <w:tcPr>
            <w:tcW w:w="1135" w:type="dxa"/>
          </w:tcPr>
          <w:p>
            <w:pPr>
              <w:jc w:val="center"/>
              <w:rPr>
                <w:rFonts w:eastAsia="宋体"/>
                <w:bCs/>
                <w:kern w:val="0"/>
                <w:sz w:val="21"/>
              </w:rPr>
            </w:pPr>
            <w:r>
              <w:rPr>
                <w:rFonts w:eastAsia="宋体"/>
                <w:bCs/>
                <w:kern w:val="0"/>
                <w:sz w:val="21"/>
              </w:rPr>
              <w:t>不存在</w:t>
            </w:r>
          </w:p>
        </w:tc>
        <w:tc>
          <w:tcPr>
            <w:tcW w:w="1419" w:type="dxa"/>
          </w:tcPr>
          <w:p>
            <w:pPr>
              <w:jc w:val="center"/>
              <w:rPr>
                <w:rFonts w:eastAsia="宋体"/>
                <w:bCs/>
                <w:kern w:val="0"/>
                <w:sz w:val="21"/>
              </w:rPr>
            </w:pPr>
            <w:r>
              <w:rPr>
                <w:rFonts w:eastAsia="宋体"/>
                <w:bCs/>
                <w:kern w:val="0"/>
                <w:sz w:val="21"/>
              </w:rPr>
              <w:t>存在</w:t>
            </w:r>
          </w:p>
        </w:tc>
        <w:tc>
          <w:tcPr>
            <w:tcW w:w="1418" w:type="dxa"/>
          </w:tcPr>
          <w:p>
            <w:pPr>
              <w:jc w:val="center"/>
              <w:rPr>
                <w:rFonts w:eastAsia="宋体"/>
                <w:bCs/>
                <w:kern w:val="0"/>
                <w:sz w:val="21"/>
              </w:rPr>
            </w:pPr>
            <w:r>
              <w:rPr>
                <w:rFonts w:eastAsia="宋体"/>
                <w:bCs/>
                <w:kern w:val="0"/>
                <w:sz w:val="21"/>
              </w:rPr>
              <w:t>存在</w:t>
            </w:r>
          </w:p>
        </w:tc>
        <w:tc>
          <w:tcPr>
            <w:tcW w:w="2036" w:type="dxa"/>
          </w:tcPr>
          <w:p>
            <w:pPr>
              <w:jc w:val="center"/>
              <w:rPr>
                <w:rFonts w:eastAsia="宋体"/>
                <w:bCs/>
                <w:kern w:val="0"/>
                <w:sz w:val="21"/>
              </w:rPr>
            </w:pPr>
            <w:r>
              <w:rPr>
                <w:rFonts w:eastAsia="宋体"/>
                <w:bCs/>
                <w:kern w:val="0"/>
                <w:sz w:val="21"/>
              </w:rPr>
              <w:t>不存在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76" w:type="dxa"/>
          </w:tcPr>
          <w:p>
            <w:pPr>
              <w:jc w:val="center"/>
              <w:rPr>
                <w:rFonts w:eastAsia="宋体"/>
                <w:bCs/>
                <w:kern w:val="0"/>
                <w:sz w:val="21"/>
              </w:rPr>
            </w:pPr>
            <w:r>
              <w:rPr>
                <w:rFonts w:eastAsia="宋体"/>
                <w:bCs/>
                <w:kern w:val="0"/>
                <w:sz w:val="21"/>
              </w:rPr>
              <w:t>2</w:t>
            </w:r>
          </w:p>
        </w:tc>
        <w:tc>
          <w:tcPr>
            <w:tcW w:w="1844" w:type="dxa"/>
            <w:vAlign w:val="center"/>
          </w:tcPr>
          <w:p>
            <w:pPr>
              <w:jc w:val="center"/>
              <w:rPr>
                <w:rFonts w:eastAsia="宋体"/>
                <w:bCs/>
                <w:sz w:val="21"/>
              </w:rPr>
            </w:pPr>
            <w:r>
              <w:rPr>
                <w:rFonts w:eastAsia="宋体"/>
                <w:bCs/>
                <w:sz w:val="21"/>
              </w:rPr>
              <w:t>化学品泄漏</w:t>
            </w:r>
          </w:p>
        </w:tc>
        <w:tc>
          <w:tcPr>
            <w:tcW w:w="1135" w:type="dxa"/>
          </w:tcPr>
          <w:p>
            <w:pPr>
              <w:jc w:val="center"/>
              <w:rPr>
                <w:rFonts w:eastAsia="宋体"/>
                <w:bCs/>
                <w:kern w:val="0"/>
                <w:sz w:val="21"/>
              </w:rPr>
            </w:pPr>
            <w:r>
              <w:rPr>
                <w:rFonts w:eastAsia="宋体"/>
                <w:bCs/>
                <w:kern w:val="0"/>
                <w:sz w:val="21"/>
              </w:rPr>
              <w:t>不存在</w:t>
            </w:r>
          </w:p>
        </w:tc>
        <w:tc>
          <w:tcPr>
            <w:tcW w:w="1419" w:type="dxa"/>
          </w:tcPr>
          <w:p>
            <w:pPr>
              <w:jc w:val="center"/>
              <w:rPr>
                <w:rFonts w:eastAsia="宋体"/>
                <w:bCs/>
                <w:kern w:val="0"/>
                <w:sz w:val="21"/>
              </w:rPr>
            </w:pPr>
            <w:r>
              <w:rPr>
                <w:rFonts w:eastAsia="宋体"/>
                <w:bCs/>
                <w:kern w:val="0"/>
                <w:sz w:val="21"/>
              </w:rPr>
              <w:t>存在</w:t>
            </w:r>
          </w:p>
        </w:tc>
        <w:tc>
          <w:tcPr>
            <w:tcW w:w="1418" w:type="dxa"/>
          </w:tcPr>
          <w:p>
            <w:pPr>
              <w:jc w:val="center"/>
              <w:rPr>
                <w:rFonts w:eastAsia="宋体"/>
                <w:bCs/>
                <w:kern w:val="0"/>
                <w:sz w:val="21"/>
              </w:rPr>
            </w:pPr>
            <w:r>
              <w:rPr>
                <w:rFonts w:eastAsia="宋体"/>
                <w:bCs/>
                <w:kern w:val="0"/>
                <w:sz w:val="21"/>
              </w:rPr>
              <w:t>不存在</w:t>
            </w:r>
          </w:p>
        </w:tc>
        <w:tc>
          <w:tcPr>
            <w:tcW w:w="2036" w:type="dxa"/>
          </w:tcPr>
          <w:p>
            <w:pPr>
              <w:jc w:val="center"/>
              <w:rPr>
                <w:rFonts w:eastAsia="宋体"/>
                <w:bCs/>
                <w:kern w:val="0"/>
                <w:sz w:val="21"/>
              </w:rPr>
            </w:pPr>
            <w:r>
              <w:rPr>
                <w:rFonts w:eastAsia="宋体"/>
                <w:bCs/>
                <w:kern w:val="0"/>
                <w:sz w:val="21"/>
              </w:rPr>
              <w:t>存在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76" w:type="dxa"/>
          </w:tcPr>
          <w:p>
            <w:pPr>
              <w:jc w:val="center"/>
              <w:rPr>
                <w:rFonts w:eastAsia="宋体"/>
                <w:bCs/>
                <w:kern w:val="0"/>
                <w:sz w:val="21"/>
              </w:rPr>
            </w:pPr>
            <w:r>
              <w:rPr>
                <w:rFonts w:eastAsia="宋体"/>
                <w:bCs/>
                <w:kern w:val="0"/>
                <w:sz w:val="21"/>
              </w:rPr>
              <w:t>3</w:t>
            </w:r>
          </w:p>
        </w:tc>
        <w:tc>
          <w:tcPr>
            <w:tcW w:w="1844" w:type="dxa"/>
            <w:vAlign w:val="center"/>
          </w:tcPr>
          <w:p>
            <w:pPr>
              <w:jc w:val="center"/>
              <w:rPr>
                <w:rFonts w:eastAsia="宋体"/>
                <w:bCs/>
                <w:sz w:val="21"/>
              </w:rPr>
            </w:pPr>
            <w:r>
              <w:rPr>
                <w:rFonts w:eastAsia="宋体"/>
                <w:bCs/>
                <w:sz w:val="21"/>
              </w:rPr>
              <w:t>中毒和窒息</w:t>
            </w:r>
          </w:p>
        </w:tc>
        <w:tc>
          <w:tcPr>
            <w:tcW w:w="1135" w:type="dxa"/>
          </w:tcPr>
          <w:p>
            <w:pPr>
              <w:jc w:val="center"/>
              <w:rPr>
                <w:rFonts w:eastAsia="宋体"/>
                <w:bCs/>
                <w:kern w:val="0"/>
                <w:sz w:val="21"/>
              </w:rPr>
            </w:pPr>
            <w:r>
              <w:rPr>
                <w:rFonts w:eastAsia="宋体"/>
                <w:bCs/>
                <w:kern w:val="0"/>
                <w:sz w:val="21"/>
              </w:rPr>
              <w:t>不存在</w:t>
            </w:r>
          </w:p>
        </w:tc>
        <w:tc>
          <w:tcPr>
            <w:tcW w:w="1419" w:type="dxa"/>
          </w:tcPr>
          <w:p>
            <w:pPr>
              <w:jc w:val="center"/>
              <w:rPr>
                <w:rFonts w:eastAsia="宋体"/>
                <w:bCs/>
                <w:kern w:val="0"/>
                <w:sz w:val="21"/>
              </w:rPr>
            </w:pPr>
            <w:r>
              <w:rPr>
                <w:rFonts w:eastAsia="宋体"/>
                <w:bCs/>
                <w:kern w:val="0"/>
                <w:sz w:val="21"/>
              </w:rPr>
              <w:t>存在</w:t>
            </w:r>
          </w:p>
        </w:tc>
        <w:tc>
          <w:tcPr>
            <w:tcW w:w="1418" w:type="dxa"/>
          </w:tcPr>
          <w:p>
            <w:pPr>
              <w:jc w:val="center"/>
              <w:rPr>
                <w:rFonts w:eastAsia="宋体"/>
                <w:bCs/>
                <w:kern w:val="0"/>
                <w:sz w:val="21"/>
              </w:rPr>
            </w:pPr>
            <w:r>
              <w:rPr>
                <w:rFonts w:eastAsia="宋体"/>
                <w:bCs/>
                <w:kern w:val="0"/>
                <w:sz w:val="21"/>
              </w:rPr>
              <w:t>不存在</w:t>
            </w:r>
          </w:p>
        </w:tc>
        <w:tc>
          <w:tcPr>
            <w:tcW w:w="2036" w:type="dxa"/>
          </w:tcPr>
          <w:p>
            <w:pPr>
              <w:jc w:val="center"/>
              <w:rPr>
                <w:rFonts w:eastAsia="宋体"/>
                <w:bCs/>
                <w:kern w:val="0"/>
                <w:sz w:val="21"/>
              </w:rPr>
            </w:pPr>
            <w:r>
              <w:rPr>
                <w:rFonts w:eastAsia="宋体"/>
                <w:bCs/>
                <w:kern w:val="0"/>
                <w:sz w:val="21"/>
              </w:rPr>
              <w:t>不存在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76" w:type="dxa"/>
          </w:tcPr>
          <w:p>
            <w:pPr>
              <w:jc w:val="center"/>
              <w:rPr>
                <w:rFonts w:eastAsia="宋体"/>
                <w:bCs/>
                <w:kern w:val="0"/>
                <w:sz w:val="21"/>
              </w:rPr>
            </w:pPr>
            <w:r>
              <w:rPr>
                <w:rFonts w:eastAsia="宋体"/>
                <w:bCs/>
                <w:kern w:val="0"/>
                <w:sz w:val="21"/>
              </w:rPr>
              <w:t>4</w:t>
            </w:r>
          </w:p>
        </w:tc>
        <w:tc>
          <w:tcPr>
            <w:tcW w:w="1844" w:type="dxa"/>
          </w:tcPr>
          <w:p>
            <w:pPr>
              <w:jc w:val="center"/>
              <w:rPr>
                <w:rFonts w:eastAsia="宋体"/>
                <w:bCs/>
                <w:kern w:val="0"/>
                <w:sz w:val="21"/>
              </w:rPr>
            </w:pPr>
            <w:r>
              <w:rPr>
                <w:rFonts w:eastAsia="宋体"/>
                <w:bCs/>
                <w:kern w:val="0"/>
                <w:sz w:val="21"/>
              </w:rPr>
              <w:t>超标排放</w:t>
            </w:r>
          </w:p>
        </w:tc>
        <w:tc>
          <w:tcPr>
            <w:tcW w:w="1135" w:type="dxa"/>
          </w:tcPr>
          <w:p>
            <w:pPr>
              <w:jc w:val="center"/>
              <w:rPr>
                <w:rFonts w:eastAsia="宋体"/>
                <w:bCs/>
                <w:kern w:val="0"/>
                <w:sz w:val="21"/>
              </w:rPr>
            </w:pPr>
            <w:r>
              <w:rPr>
                <w:rFonts w:eastAsia="宋体"/>
                <w:bCs/>
                <w:kern w:val="0"/>
                <w:sz w:val="21"/>
              </w:rPr>
              <w:t>不存在</w:t>
            </w:r>
          </w:p>
        </w:tc>
        <w:tc>
          <w:tcPr>
            <w:tcW w:w="1419" w:type="dxa"/>
          </w:tcPr>
          <w:p>
            <w:pPr>
              <w:jc w:val="center"/>
              <w:rPr>
                <w:rFonts w:eastAsia="宋体"/>
                <w:bCs/>
                <w:kern w:val="0"/>
                <w:sz w:val="21"/>
              </w:rPr>
            </w:pPr>
            <w:r>
              <w:rPr>
                <w:rFonts w:eastAsia="宋体"/>
                <w:bCs/>
                <w:kern w:val="0"/>
                <w:sz w:val="21"/>
              </w:rPr>
              <w:t>不存在</w:t>
            </w:r>
          </w:p>
        </w:tc>
        <w:tc>
          <w:tcPr>
            <w:tcW w:w="1418" w:type="dxa"/>
          </w:tcPr>
          <w:p>
            <w:pPr>
              <w:jc w:val="center"/>
              <w:rPr>
                <w:rFonts w:eastAsia="宋体"/>
                <w:bCs/>
                <w:kern w:val="0"/>
                <w:sz w:val="21"/>
              </w:rPr>
            </w:pPr>
            <w:r>
              <w:rPr>
                <w:rFonts w:eastAsia="宋体"/>
                <w:bCs/>
                <w:kern w:val="0"/>
                <w:sz w:val="21"/>
              </w:rPr>
              <w:t>不存在</w:t>
            </w:r>
          </w:p>
        </w:tc>
        <w:tc>
          <w:tcPr>
            <w:tcW w:w="2036" w:type="dxa"/>
          </w:tcPr>
          <w:p>
            <w:pPr>
              <w:jc w:val="center"/>
              <w:rPr>
                <w:rFonts w:eastAsia="宋体"/>
                <w:bCs/>
                <w:kern w:val="0"/>
                <w:sz w:val="21"/>
              </w:rPr>
            </w:pPr>
            <w:r>
              <w:rPr>
                <w:rFonts w:eastAsia="宋体"/>
                <w:bCs/>
                <w:kern w:val="0"/>
                <w:sz w:val="21"/>
              </w:rPr>
              <w:t>存在</w:t>
            </w:r>
          </w:p>
        </w:tc>
      </w:tr>
    </w:tbl>
    <w:p>
      <w:pPr>
        <w:pStyle w:val="14"/>
        <w:ind w:firstLine="480" w:firstLineChars="200"/>
        <w:jc w:val="left"/>
        <w:rPr>
          <w:rFonts w:cs="Times New Roman"/>
          <w:b w:val="0"/>
          <w:szCs w:val="24"/>
        </w:rPr>
      </w:pPr>
      <w:r>
        <w:rPr>
          <w:rFonts w:hint="eastAsia" w:cs="Times New Roman"/>
          <w:b w:val="0"/>
          <w:szCs w:val="24"/>
        </w:rPr>
        <w:t>（1）</w:t>
      </w:r>
      <w:r>
        <w:rPr>
          <w:rFonts w:cs="Times New Roman"/>
          <w:b w:val="0"/>
          <w:szCs w:val="24"/>
        </w:rPr>
        <w:t>储运区风险识别具体如下</w:t>
      </w:r>
      <w:r>
        <w:rPr>
          <w:rFonts w:hint="eastAsia" w:cs="Times New Roman"/>
          <w:b w:val="0"/>
          <w:szCs w:val="24"/>
        </w:rPr>
        <w:t>：</w:t>
      </w:r>
    </w:p>
    <w:p>
      <w:pPr>
        <w:spacing w:line="360" w:lineRule="auto"/>
        <w:ind w:firstLine="480" w:firstLineChars="200"/>
      </w:pPr>
      <w:r>
        <w:rPr>
          <w:rFonts w:hint="eastAsia" w:asciiTheme="minorEastAsia" w:hAnsiTheme="minorEastAsia"/>
        </w:rPr>
        <w:t>①</w:t>
      </w:r>
      <w:r>
        <w:rPr>
          <w:rFonts w:hint="eastAsia"/>
        </w:rPr>
        <w:t xml:space="preserve">本项目消毒采用二氧化氯，其现用现制，不储存，由氯酸钠和盐酸制备而来，氯酸钠是强氧化剂，受强热或与强酸接触时即发生爆炸，与还原剂、有机物、易燃物如硫、磷或金属粉末等混合可形成爆炸性混合物，急剧加热时可发生爆炸；盐酸具有一定的腐蚀性，若处置不当，将造成环境污染及人身伤害意外事故。项目盐酸及氯酸钠拟暂存在污水处理站旁的房间内。二氧化氯具有强烈刺激性。接触后主要引起眼和呼吸道刺激。吸入高浓度可发生肺水肿，能致死。对呼吸道产生严重损伤浓度的本品气体，可能对皮肤有刺激性。皮肤接触或摄入本品的高浓度溶液，可能引起强烈刺激和腐蚀。长期接触可导致慢性支气管炎。在医疗工作中，由于停电、设备腐蚀等，在生产过程易发生二氧化氯泄漏事故。 </w:t>
      </w:r>
    </w:p>
    <w:p>
      <w:pPr>
        <w:spacing w:line="360" w:lineRule="auto"/>
        <w:ind w:firstLine="480" w:firstLineChars="200"/>
      </w:pPr>
      <w:r>
        <w:rPr>
          <w:rFonts w:hint="eastAsia"/>
        </w:rPr>
        <w:t>因此，本评价主要对医院营运期间可能存在的危险、有害因素进行分析，并对可能发生的突发性事件及事故所造成的人身安全与环境影响和损害程度，提出合理的可行的防范、应急与减缓措施。</w:t>
      </w:r>
    </w:p>
    <w:p>
      <w:pPr>
        <w:pStyle w:val="14"/>
        <w:ind w:firstLine="200"/>
        <w:jc w:val="left"/>
        <w:rPr>
          <w:rFonts w:cs="Times New Roman"/>
          <w:szCs w:val="24"/>
        </w:rPr>
      </w:pPr>
      <w:r>
        <w:rPr>
          <w:rFonts w:hint="eastAsia" w:cs="Times New Roman"/>
          <w:b w:val="0"/>
          <w:szCs w:val="24"/>
        </w:rPr>
        <w:t>②</w:t>
      </w:r>
      <w:r>
        <w:rPr>
          <w:rFonts w:cs="Times New Roman"/>
          <w:b w:val="0"/>
          <w:szCs w:val="24"/>
        </w:rPr>
        <w:t>用柴油发电机安置室储存的柴油，若储存装置泄漏，遇到明火可能造成火灾</w:t>
      </w:r>
    </w:p>
    <w:p>
      <w:pPr>
        <w:spacing w:line="360" w:lineRule="auto"/>
        <w:ind w:firstLine="200"/>
        <w:rPr>
          <w:rFonts w:ascii="宋体" w:hAnsi="宋体" w:eastAsia="宋体"/>
          <w:bCs/>
          <w:szCs w:val="24"/>
        </w:rPr>
      </w:pPr>
      <w:r>
        <w:rPr>
          <w:rFonts w:hint="eastAsia" w:cs="Times New Roman"/>
          <w:szCs w:val="24"/>
        </w:rPr>
        <w:t>（2）</w:t>
      </w:r>
      <w:r>
        <w:rPr>
          <w:rFonts w:ascii="宋体" w:hAnsi="宋体" w:eastAsia="宋体"/>
          <w:bCs/>
          <w:szCs w:val="24"/>
        </w:rPr>
        <w:t>公用工程区风险识别具体如下：</w:t>
      </w:r>
    </w:p>
    <w:p>
      <w:pPr>
        <w:spacing w:line="360" w:lineRule="auto"/>
        <w:ind w:firstLine="200"/>
      </w:pPr>
      <w:r>
        <w:t>电气设备和输电线路存在触电危险。由于电器设备本身缺陷或绝缘损坏、线头外露等未能及时发现和整改等原因，可能造成触电和火灾事故的发生。</w:t>
      </w:r>
    </w:p>
    <w:p>
      <w:pPr>
        <w:spacing w:line="360" w:lineRule="auto"/>
        <w:ind w:firstLine="200"/>
      </w:pPr>
      <w:r>
        <w:rPr>
          <w:rFonts w:hint="eastAsia"/>
        </w:rPr>
        <w:t>（3）工程环保设施区具体如下:</w:t>
      </w:r>
    </w:p>
    <w:p>
      <w:pPr>
        <w:spacing w:line="360" w:lineRule="auto"/>
        <w:ind w:firstLine="480" w:firstLineChars="200"/>
        <w:rPr>
          <w:rFonts w:asciiTheme="minorEastAsia" w:hAnsiTheme="minorEastAsia"/>
        </w:rPr>
      </w:pPr>
      <w:r>
        <w:rPr>
          <w:rFonts w:hint="eastAsia" w:asciiTheme="minorEastAsia" w:hAnsiTheme="minorEastAsia"/>
        </w:rPr>
        <w:t>①废气</w:t>
      </w:r>
    </w:p>
    <w:p>
      <w:pPr>
        <w:pStyle w:val="155"/>
        <w:ind w:firstLine="480"/>
        <w:rPr>
          <w:rFonts w:ascii="宋体" w:hAnsi="宋体"/>
        </w:rPr>
      </w:pPr>
      <w:r>
        <w:rPr>
          <w:rFonts w:ascii="宋体" w:hAnsi="宋体"/>
        </w:rPr>
        <w:t>各废气处理装置存在因故障不能正常工作，污染物不能达标排放，引发大气环境污染风险。</w:t>
      </w:r>
    </w:p>
    <w:p>
      <w:pPr>
        <w:pStyle w:val="155"/>
        <w:ind w:firstLine="480"/>
        <w:rPr>
          <w:rFonts w:ascii="宋体" w:hAnsi="宋体"/>
        </w:rPr>
      </w:pPr>
      <w:r>
        <w:rPr>
          <w:rFonts w:hint="eastAsia" w:ascii="宋体" w:hAnsi="宋体"/>
        </w:rPr>
        <w:t>②废水</w:t>
      </w:r>
    </w:p>
    <w:p>
      <w:pPr>
        <w:pStyle w:val="155"/>
        <w:ind w:firstLine="480"/>
      </w:pPr>
      <w:r>
        <w:rPr>
          <w:rFonts w:ascii="宋体" w:hAnsi="宋体"/>
        </w:rPr>
        <w:t>污水处理装置因存在故障不能正常工作，造成废水超标排放，对下游造成冲击。污水处理设施发生泄漏，可以会污染土壤和地下水。</w:t>
      </w:r>
    </w:p>
    <w:p>
      <w:pPr>
        <w:pStyle w:val="4"/>
      </w:pPr>
      <w:r>
        <w:t>危险物质向环境转移的途径识别</w:t>
      </w:r>
    </w:p>
    <w:p>
      <w:pPr>
        <w:spacing w:line="360" w:lineRule="auto"/>
        <w:ind w:firstLine="480" w:firstLineChars="200"/>
        <w:rPr>
          <w:rFonts w:eastAsia="宋体"/>
          <w:szCs w:val="24"/>
        </w:rPr>
      </w:pPr>
      <w:r>
        <w:rPr>
          <w:rFonts w:ascii="宋体" w:hAnsi="宋体" w:eastAsia="宋体"/>
          <w:bCs/>
          <w:szCs w:val="24"/>
        </w:rPr>
        <w:t>事故情况下发生危险物质扩散途径主要有：</w:t>
      </w:r>
    </w:p>
    <w:p>
      <w:pPr>
        <w:spacing w:line="360" w:lineRule="auto"/>
        <w:ind w:firstLine="480" w:firstLineChars="200"/>
        <w:rPr>
          <w:rFonts w:eastAsia="宋体"/>
          <w:bCs/>
          <w:szCs w:val="24"/>
        </w:rPr>
      </w:pPr>
      <w:r>
        <w:rPr>
          <w:rFonts w:hint="eastAsia" w:eastAsia="宋体"/>
          <w:bCs/>
          <w:szCs w:val="24"/>
        </w:rPr>
        <w:t>（1）</w:t>
      </w:r>
      <w:r>
        <w:rPr>
          <w:rFonts w:ascii="宋体" w:hAnsi="宋体" w:eastAsia="宋体"/>
          <w:bCs/>
          <w:szCs w:val="24"/>
        </w:rPr>
        <w:t>、化学品储存、转运过程中包装袋、瓶破裂或操作不当发生泄露事故，泄漏至地面，造成物料挥发进入大气环境；若地面不进行防渗、防腐处理，泄露物料可能下渗污染地表水、土壤及地下水。</w:t>
      </w:r>
    </w:p>
    <w:p>
      <w:pPr>
        <w:spacing w:line="360" w:lineRule="auto"/>
        <w:ind w:firstLine="480" w:firstLineChars="200"/>
        <w:rPr>
          <w:rFonts w:eastAsia="宋体"/>
          <w:bCs/>
          <w:szCs w:val="24"/>
        </w:rPr>
      </w:pPr>
      <w:r>
        <w:rPr>
          <w:rFonts w:hint="eastAsia" w:eastAsia="宋体"/>
          <w:bCs/>
          <w:szCs w:val="24"/>
        </w:rPr>
        <w:t>（2）</w:t>
      </w:r>
      <w:r>
        <w:rPr>
          <w:rFonts w:ascii="宋体" w:hAnsi="宋体" w:eastAsia="宋体"/>
          <w:bCs/>
          <w:szCs w:val="24"/>
        </w:rPr>
        <w:t>、漏时未及时消除或溢流出的柴油遇明火导致火灾事故，产生的燃烧废气进入大气环境或者消防废水携带危险物质对外界水环境产生影响。</w:t>
      </w:r>
    </w:p>
    <w:p>
      <w:pPr>
        <w:spacing w:line="360" w:lineRule="auto"/>
        <w:ind w:firstLine="480" w:firstLineChars="200"/>
        <w:rPr>
          <w:rFonts w:eastAsia="宋体"/>
          <w:bCs/>
          <w:szCs w:val="24"/>
        </w:rPr>
      </w:pPr>
      <w:r>
        <w:rPr>
          <w:rFonts w:hint="eastAsia" w:eastAsia="宋体"/>
          <w:bCs/>
          <w:szCs w:val="24"/>
        </w:rPr>
        <w:t>（3）</w:t>
      </w:r>
      <w:r>
        <w:rPr>
          <w:rFonts w:ascii="宋体" w:hAnsi="宋体" w:eastAsia="宋体"/>
          <w:bCs/>
          <w:szCs w:val="24"/>
        </w:rPr>
        <w:t>、危险废物暂存库防腐防渗不达标，污染物会迁移至土壤，再进入地下水，污染土壤和地下水。</w:t>
      </w:r>
    </w:p>
    <w:p>
      <w:pPr>
        <w:spacing w:line="360" w:lineRule="auto"/>
        <w:ind w:firstLine="480" w:firstLineChars="200"/>
        <w:rPr>
          <w:rFonts w:eastAsia="宋体"/>
          <w:bCs/>
          <w:szCs w:val="24"/>
        </w:rPr>
      </w:pPr>
      <w:r>
        <w:rPr>
          <w:rFonts w:hint="eastAsia" w:eastAsia="宋体"/>
          <w:bCs/>
          <w:szCs w:val="24"/>
        </w:rPr>
        <w:t>（4）</w:t>
      </w:r>
      <w:r>
        <w:rPr>
          <w:rFonts w:ascii="宋体" w:hAnsi="宋体" w:eastAsia="宋体"/>
          <w:bCs/>
          <w:szCs w:val="24"/>
        </w:rPr>
        <w:t>、废气处理设备发生故障导致废气未达标排放，废气会污染大气环境，土壤环境、水环境，甚至影响人体健康。</w:t>
      </w:r>
    </w:p>
    <w:p>
      <w:pPr>
        <w:pStyle w:val="4"/>
      </w:pPr>
      <w:r>
        <w:t>风险识别结果</w:t>
      </w:r>
    </w:p>
    <w:p>
      <w:r>
        <w:rPr>
          <w:rFonts w:hint="eastAsia"/>
        </w:rPr>
        <w:t>本项目风险识别结果详见下表所示。</w:t>
      </w:r>
    </w:p>
    <w:p>
      <w:pPr>
        <w:pStyle w:val="14"/>
        <w:spacing w:line="240" w:lineRule="auto"/>
      </w:pPr>
      <w:r>
        <w:rPr>
          <w:rFonts w:hint="eastAsia"/>
        </w:rPr>
        <w:t>表</w:t>
      </w:r>
      <w:r>
        <w:fldChar w:fldCharType="begin"/>
      </w:r>
      <w:r>
        <w:instrText xml:space="preserve"> STYLEREF 2 \s </w:instrText>
      </w:r>
      <w:r>
        <w:fldChar w:fldCharType="separate"/>
      </w:r>
      <w:r>
        <w:t>7.8</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rPr>
          <w:rFonts w:hint="eastAsia"/>
        </w:rPr>
        <w:t xml:space="preserve">  建设项目环境风险识别表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1065"/>
        <w:gridCol w:w="863"/>
        <w:gridCol w:w="2687"/>
        <w:gridCol w:w="1029"/>
        <w:gridCol w:w="1544"/>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4" w:type="pct"/>
            <w:vAlign w:val="center"/>
          </w:tcPr>
          <w:p>
            <w:pPr>
              <w:autoSpaceDE w:val="0"/>
              <w:autoSpaceDN w:val="0"/>
              <w:jc w:val="center"/>
              <w:rPr>
                <w:rFonts w:eastAsia="宋体"/>
                <w:bCs/>
                <w:kern w:val="0"/>
                <w:sz w:val="21"/>
              </w:rPr>
            </w:pPr>
            <w:r>
              <w:rPr>
                <w:rFonts w:eastAsia="宋体"/>
                <w:kern w:val="0"/>
                <w:sz w:val="21"/>
              </w:rPr>
              <w:t>序号</w:t>
            </w:r>
          </w:p>
        </w:tc>
        <w:tc>
          <w:tcPr>
            <w:tcW w:w="552" w:type="pct"/>
            <w:vAlign w:val="center"/>
          </w:tcPr>
          <w:p>
            <w:pPr>
              <w:autoSpaceDE w:val="0"/>
              <w:autoSpaceDN w:val="0"/>
              <w:jc w:val="center"/>
              <w:rPr>
                <w:rFonts w:eastAsia="宋体"/>
                <w:bCs/>
                <w:kern w:val="0"/>
                <w:sz w:val="21"/>
              </w:rPr>
            </w:pPr>
            <w:r>
              <w:rPr>
                <w:rFonts w:eastAsia="宋体"/>
                <w:kern w:val="0"/>
                <w:sz w:val="21"/>
              </w:rPr>
              <w:t>危险单元</w:t>
            </w:r>
          </w:p>
        </w:tc>
        <w:tc>
          <w:tcPr>
            <w:tcW w:w="447" w:type="pct"/>
            <w:vAlign w:val="center"/>
          </w:tcPr>
          <w:p>
            <w:pPr>
              <w:autoSpaceDE w:val="0"/>
              <w:autoSpaceDN w:val="0"/>
              <w:jc w:val="center"/>
              <w:rPr>
                <w:rFonts w:eastAsia="宋体"/>
                <w:bCs/>
                <w:kern w:val="0"/>
                <w:sz w:val="21"/>
              </w:rPr>
            </w:pPr>
            <w:r>
              <w:rPr>
                <w:rFonts w:eastAsia="宋体"/>
                <w:kern w:val="0"/>
                <w:sz w:val="21"/>
              </w:rPr>
              <w:t>风险源</w:t>
            </w:r>
          </w:p>
        </w:tc>
        <w:tc>
          <w:tcPr>
            <w:tcW w:w="1392" w:type="pct"/>
            <w:vAlign w:val="center"/>
          </w:tcPr>
          <w:p>
            <w:pPr>
              <w:autoSpaceDE w:val="0"/>
              <w:autoSpaceDN w:val="0"/>
              <w:jc w:val="center"/>
              <w:rPr>
                <w:rFonts w:eastAsia="宋体"/>
                <w:bCs/>
                <w:kern w:val="0"/>
                <w:sz w:val="21"/>
              </w:rPr>
            </w:pPr>
            <w:r>
              <w:rPr>
                <w:rFonts w:eastAsia="宋体"/>
                <w:kern w:val="0"/>
                <w:sz w:val="21"/>
              </w:rPr>
              <w:t>主要危险物质</w:t>
            </w:r>
          </w:p>
        </w:tc>
        <w:tc>
          <w:tcPr>
            <w:tcW w:w="533" w:type="pct"/>
            <w:vAlign w:val="center"/>
          </w:tcPr>
          <w:p>
            <w:pPr>
              <w:autoSpaceDE w:val="0"/>
              <w:autoSpaceDN w:val="0"/>
              <w:jc w:val="center"/>
              <w:rPr>
                <w:rFonts w:eastAsia="宋体"/>
                <w:bCs/>
                <w:kern w:val="0"/>
                <w:sz w:val="21"/>
              </w:rPr>
            </w:pPr>
            <w:r>
              <w:rPr>
                <w:rFonts w:eastAsia="宋体"/>
                <w:kern w:val="0"/>
                <w:sz w:val="21"/>
              </w:rPr>
              <w:t>环境风险类型</w:t>
            </w:r>
          </w:p>
        </w:tc>
        <w:tc>
          <w:tcPr>
            <w:tcW w:w="800" w:type="pct"/>
            <w:vAlign w:val="center"/>
          </w:tcPr>
          <w:p>
            <w:pPr>
              <w:autoSpaceDE w:val="0"/>
              <w:autoSpaceDN w:val="0"/>
              <w:jc w:val="center"/>
              <w:rPr>
                <w:rFonts w:eastAsia="宋体"/>
                <w:bCs/>
                <w:kern w:val="0"/>
                <w:sz w:val="21"/>
              </w:rPr>
            </w:pPr>
            <w:r>
              <w:rPr>
                <w:rFonts w:eastAsia="宋体"/>
                <w:kern w:val="0"/>
                <w:sz w:val="21"/>
              </w:rPr>
              <w:t>环境影响途径</w:t>
            </w:r>
          </w:p>
        </w:tc>
        <w:tc>
          <w:tcPr>
            <w:tcW w:w="932" w:type="pct"/>
            <w:vAlign w:val="center"/>
          </w:tcPr>
          <w:p>
            <w:pPr>
              <w:autoSpaceDE w:val="0"/>
              <w:autoSpaceDN w:val="0"/>
              <w:jc w:val="center"/>
              <w:rPr>
                <w:rFonts w:eastAsia="宋体"/>
                <w:bCs/>
                <w:kern w:val="0"/>
                <w:sz w:val="21"/>
              </w:rPr>
            </w:pPr>
            <w:r>
              <w:rPr>
                <w:rFonts w:eastAsia="宋体"/>
                <w:kern w:val="0"/>
                <w:sz w:val="21"/>
              </w:rPr>
              <w:t>可能受影响的环境敏感目标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4" w:type="pct"/>
            <w:vMerge w:val="restart"/>
            <w:vAlign w:val="center"/>
          </w:tcPr>
          <w:p>
            <w:pPr>
              <w:autoSpaceDE w:val="0"/>
              <w:autoSpaceDN w:val="0"/>
              <w:jc w:val="center"/>
              <w:rPr>
                <w:rFonts w:eastAsia="宋体"/>
                <w:bCs/>
                <w:kern w:val="0"/>
                <w:sz w:val="21"/>
              </w:rPr>
            </w:pPr>
            <w:r>
              <w:rPr>
                <w:rFonts w:hint="eastAsia" w:eastAsia="宋体"/>
                <w:bCs/>
                <w:kern w:val="0"/>
                <w:sz w:val="21"/>
              </w:rPr>
              <w:t>1</w:t>
            </w:r>
          </w:p>
        </w:tc>
        <w:tc>
          <w:tcPr>
            <w:tcW w:w="552" w:type="pct"/>
            <w:vMerge w:val="restart"/>
            <w:vAlign w:val="center"/>
          </w:tcPr>
          <w:p>
            <w:pPr>
              <w:autoSpaceDE w:val="0"/>
              <w:autoSpaceDN w:val="0"/>
              <w:jc w:val="center"/>
              <w:rPr>
                <w:rFonts w:eastAsia="宋体"/>
                <w:bCs/>
                <w:kern w:val="0"/>
                <w:sz w:val="21"/>
              </w:rPr>
            </w:pPr>
            <w:r>
              <w:rPr>
                <w:rFonts w:eastAsia="宋体"/>
                <w:bCs/>
                <w:kern w:val="0"/>
                <w:sz w:val="21"/>
              </w:rPr>
              <w:t>储运区</w:t>
            </w:r>
          </w:p>
        </w:tc>
        <w:tc>
          <w:tcPr>
            <w:tcW w:w="447" w:type="pct"/>
            <w:vMerge w:val="restart"/>
            <w:vAlign w:val="center"/>
          </w:tcPr>
          <w:p>
            <w:pPr>
              <w:autoSpaceDE w:val="0"/>
              <w:autoSpaceDN w:val="0"/>
              <w:jc w:val="center"/>
              <w:rPr>
                <w:rFonts w:eastAsia="宋体"/>
                <w:bCs/>
                <w:kern w:val="0"/>
                <w:sz w:val="21"/>
              </w:rPr>
            </w:pPr>
            <w:r>
              <w:rPr>
                <w:rFonts w:eastAsia="宋体"/>
                <w:bCs/>
                <w:kern w:val="0"/>
                <w:sz w:val="21"/>
              </w:rPr>
              <w:t>危险物质</w:t>
            </w:r>
          </w:p>
        </w:tc>
        <w:tc>
          <w:tcPr>
            <w:tcW w:w="1392" w:type="pct"/>
          </w:tcPr>
          <w:p>
            <w:pPr>
              <w:autoSpaceDE w:val="0"/>
              <w:autoSpaceDN w:val="0"/>
              <w:jc w:val="center"/>
              <w:rPr>
                <w:rFonts w:eastAsia="宋体"/>
                <w:bCs/>
                <w:kern w:val="0"/>
                <w:sz w:val="21"/>
              </w:rPr>
            </w:pPr>
            <w:r>
              <w:rPr>
                <w:rFonts w:eastAsia="宋体"/>
                <w:bCs/>
                <w:kern w:val="0"/>
                <w:sz w:val="21"/>
              </w:rPr>
              <w:t>盐酸</w:t>
            </w:r>
          </w:p>
        </w:tc>
        <w:tc>
          <w:tcPr>
            <w:tcW w:w="533" w:type="pct"/>
            <w:vMerge w:val="restart"/>
            <w:vAlign w:val="center"/>
          </w:tcPr>
          <w:p>
            <w:pPr>
              <w:autoSpaceDE w:val="0"/>
              <w:autoSpaceDN w:val="0"/>
              <w:jc w:val="center"/>
              <w:rPr>
                <w:rFonts w:eastAsia="宋体"/>
                <w:bCs/>
                <w:sz w:val="21"/>
              </w:rPr>
            </w:pPr>
            <w:r>
              <w:rPr>
                <w:rFonts w:eastAsia="宋体"/>
                <w:bCs/>
                <w:sz w:val="21"/>
              </w:rPr>
              <w:t>中毒</w:t>
            </w:r>
          </w:p>
          <w:p>
            <w:pPr>
              <w:autoSpaceDE w:val="0"/>
              <w:autoSpaceDN w:val="0"/>
              <w:jc w:val="center"/>
              <w:rPr>
                <w:rFonts w:eastAsia="宋体"/>
                <w:bCs/>
                <w:kern w:val="0"/>
                <w:sz w:val="21"/>
              </w:rPr>
            </w:pPr>
            <w:r>
              <w:rPr>
                <w:rFonts w:eastAsia="宋体"/>
                <w:bCs/>
                <w:sz w:val="21"/>
              </w:rPr>
              <w:t>窒息</w:t>
            </w:r>
            <w:r>
              <w:rPr>
                <w:rFonts w:eastAsia="宋体"/>
                <w:bCs/>
                <w:kern w:val="0"/>
                <w:sz w:val="21"/>
              </w:rPr>
              <w:t>火灾</w:t>
            </w:r>
          </w:p>
          <w:p>
            <w:pPr>
              <w:autoSpaceDE w:val="0"/>
              <w:autoSpaceDN w:val="0"/>
              <w:jc w:val="center"/>
              <w:rPr>
                <w:rFonts w:eastAsia="宋体"/>
                <w:bCs/>
                <w:kern w:val="0"/>
                <w:sz w:val="21"/>
              </w:rPr>
            </w:pPr>
            <w:r>
              <w:rPr>
                <w:rFonts w:eastAsia="宋体"/>
                <w:bCs/>
                <w:kern w:val="0"/>
                <w:sz w:val="21"/>
              </w:rPr>
              <w:t>爆炸</w:t>
            </w:r>
          </w:p>
          <w:p>
            <w:pPr>
              <w:autoSpaceDE w:val="0"/>
              <w:autoSpaceDN w:val="0"/>
              <w:jc w:val="center"/>
              <w:rPr>
                <w:rFonts w:eastAsia="宋体"/>
                <w:bCs/>
                <w:kern w:val="0"/>
                <w:sz w:val="21"/>
              </w:rPr>
            </w:pPr>
            <w:r>
              <w:rPr>
                <w:rFonts w:eastAsia="宋体"/>
                <w:bCs/>
                <w:kern w:val="0"/>
                <w:sz w:val="21"/>
              </w:rPr>
              <w:t>泄漏</w:t>
            </w:r>
          </w:p>
        </w:tc>
        <w:tc>
          <w:tcPr>
            <w:tcW w:w="800" w:type="pct"/>
            <w:vAlign w:val="center"/>
          </w:tcPr>
          <w:p>
            <w:pPr>
              <w:autoSpaceDE w:val="0"/>
              <w:autoSpaceDN w:val="0"/>
              <w:jc w:val="center"/>
              <w:rPr>
                <w:rFonts w:eastAsia="宋体"/>
                <w:bCs/>
                <w:kern w:val="0"/>
                <w:sz w:val="21"/>
              </w:rPr>
            </w:pPr>
            <w:r>
              <w:rPr>
                <w:rFonts w:eastAsia="宋体"/>
                <w:bCs/>
                <w:kern w:val="0"/>
                <w:sz w:val="21"/>
              </w:rPr>
              <w:t>水、气、土</w:t>
            </w:r>
          </w:p>
        </w:tc>
        <w:tc>
          <w:tcPr>
            <w:tcW w:w="932" w:type="pct"/>
            <w:vMerge w:val="restart"/>
            <w:vAlign w:val="center"/>
          </w:tcPr>
          <w:p>
            <w:pPr>
              <w:autoSpaceDE w:val="0"/>
              <w:autoSpaceDN w:val="0"/>
              <w:jc w:val="center"/>
              <w:rPr>
                <w:rFonts w:eastAsia="宋体"/>
                <w:bCs/>
                <w:kern w:val="0"/>
                <w:sz w:val="21"/>
              </w:rPr>
            </w:pPr>
            <w:r>
              <w:rPr>
                <w:rFonts w:eastAsia="宋体"/>
                <w:bCs/>
                <w:kern w:val="0"/>
                <w:sz w:val="21"/>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4" w:type="pct"/>
            <w:vMerge w:val="continue"/>
            <w:vAlign w:val="center"/>
          </w:tcPr>
          <w:p>
            <w:pPr>
              <w:autoSpaceDE w:val="0"/>
              <w:autoSpaceDN w:val="0"/>
              <w:jc w:val="center"/>
              <w:rPr>
                <w:rFonts w:eastAsia="宋体"/>
                <w:bCs/>
                <w:kern w:val="0"/>
                <w:sz w:val="21"/>
              </w:rPr>
            </w:pPr>
          </w:p>
        </w:tc>
        <w:tc>
          <w:tcPr>
            <w:tcW w:w="552" w:type="pct"/>
            <w:vMerge w:val="continue"/>
            <w:vAlign w:val="center"/>
          </w:tcPr>
          <w:p>
            <w:pPr>
              <w:widowControl/>
              <w:jc w:val="left"/>
              <w:rPr>
                <w:rFonts w:eastAsia="宋体"/>
                <w:bCs/>
                <w:kern w:val="0"/>
                <w:sz w:val="21"/>
              </w:rPr>
            </w:pPr>
          </w:p>
        </w:tc>
        <w:tc>
          <w:tcPr>
            <w:tcW w:w="447" w:type="pct"/>
            <w:vMerge w:val="continue"/>
            <w:vAlign w:val="center"/>
          </w:tcPr>
          <w:p>
            <w:pPr>
              <w:widowControl/>
              <w:jc w:val="left"/>
              <w:rPr>
                <w:rFonts w:eastAsia="宋体"/>
                <w:bCs/>
                <w:kern w:val="0"/>
                <w:sz w:val="21"/>
              </w:rPr>
            </w:pPr>
          </w:p>
        </w:tc>
        <w:tc>
          <w:tcPr>
            <w:tcW w:w="1392" w:type="pct"/>
          </w:tcPr>
          <w:p>
            <w:pPr>
              <w:autoSpaceDE w:val="0"/>
              <w:autoSpaceDN w:val="0"/>
              <w:jc w:val="center"/>
              <w:rPr>
                <w:rFonts w:eastAsia="宋体"/>
                <w:bCs/>
                <w:kern w:val="0"/>
                <w:sz w:val="21"/>
              </w:rPr>
            </w:pPr>
            <w:r>
              <w:rPr>
                <w:rFonts w:eastAsia="宋体"/>
                <w:bCs/>
                <w:kern w:val="0"/>
                <w:sz w:val="21"/>
              </w:rPr>
              <w:t>氯酸钠</w:t>
            </w:r>
          </w:p>
        </w:tc>
        <w:tc>
          <w:tcPr>
            <w:tcW w:w="533" w:type="pct"/>
            <w:vMerge w:val="continue"/>
            <w:vAlign w:val="center"/>
          </w:tcPr>
          <w:p>
            <w:pPr>
              <w:widowControl/>
              <w:jc w:val="left"/>
              <w:rPr>
                <w:rFonts w:eastAsia="宋体"/>
                <w:bCs/>
                <w:kern w:val="0"/>
                <w:sz w:val="21"/>
              </w:rPr>
            </w:pPr>
          </w:p>
        </w:tc>
        <w:tc>
          <w:tcPr>
            <w:tcW w:w="800" w:type="pct"/>
            <w:vAlign w:val="center"/>
          </w:tcPr>
          <w:p>
            <w:pPr>
              <w:autoSpaceDE w:val="0"/>
              <w:autoSpaceDN w:val="0"/>
              <w:jc w:val="center"/>
              <w:rPr>
                <w:rFonts w:eastAsia="宋体"/>
                <w:bCs/>
                <w:kern w:val="0"/>
                <w:sz w:val="21"/>
              </w:rPr>
            </w:pPr>
            <w:r>
              <w:rPr>
                <w:rFonts w:eastAsia="宋体"/>
                <w:bCs/>
                <w:kern w:val="0"/>
                <w:sz w:val="21"/>
              </w:rPr>
              <w:t>水、气、土</w:t>
            </w:r>
          </w:p>
        </w:tc>
        <w:tc>
          <w:tcPr>
            <w:tcW w:w="932" w:type="pct"/>
            <w:vMerge w:val="continue"/>
            <w:vAlign w:val="center"/>
          </w:tcPr>
          <w:p>
            <w:pPr>
              <w:widowControl/>
              <w:jc w:val="left"/>
              <w:rPr>
                <w:rFonts w:eastAsia="宋体"/>
                <w:bCs/>
                <w:kern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344" w:type="pct"/>
            <w:vMerge w:val="continue"/>
            <w:vAlign w:val="center"/>
          </w:tcPr>
          <w:p>
            <w:pPr>
              <w:autoSpaceDE w:val="0"/>
              <w:autoSpaceDN w:val="0"/>
              <w:jc w:val="center"/>
              <w:rPr>
                <w:rFonts w:eastAsia="宋体"/>
                <w:bCs/>
                <w:kern w:val="0"/>
                <w:sz w:val="21"/>
              </w:rPr>
            </w:pPr>
          </w:p>
        </w:tc>
        <w:tc>
          <w:tcPr>
            <w:tcW w:w="552" w:type="pct"/>
            <w:vMerge w:val="continue"/>
            <w:vAlign w:val="center"/>
          </w:tcPr>
          <w:p>
            <w:pPr>
              <w:widowControl/>
              <w:jc w:val="left"/>
              <w:rPr>
                <w:rFonts w:eastAsia="宋体"/>
                <w:bCs/>
                <w:kern w:val="0"/>
                <w:sz w:val="21"/>
              </w:rPr>
            </w:pPr>
          </w:p>
        </w:tc>
        <w:tc>
          <w:tcPr>
            <w:tcW w:w="447" w:type="pct"/>
            <w:vMerge w:val="continue"/>
            <w:vAlign w:val="center"/>
          </w:tcPr>
          <w:p>
            <w:pPr>
              <w:widowControl/>
              <w:jc w:val="left"/>
              <w:rPr>
                <w:rFonts w:eastAsia="宋体"/>
                <w:bCs/>
                <w:kern w:val="0"/>
                <w:sz w:val="21"/>
              </w:rPr>
            </w:pPr>
          </w:p>
        </w:tc>
        <w:tc>
          <w:tcPr>
            <w:tcW w:w="1392" w:type="pct"/>
            <w:vAlign w:val="center"/>
          </w:tcPr>
          <w:p>
            <w:pPr>
              <w:autoSpaceDE w:val="0"/>
              <w:autoSpaceDN w:val="0"/>
              <w:jc w:val="center"/>
              <w:rPr>
                <w:rFonts w:eastAsia="宋体"/>
                <w:bCs/>
                <w:kern w:val="0"/>
                <w:sz w:val="21"/>
              </w:rPr>
            </w:pPr>
            <w:r>
              <w:rPr>
                <w:rFonts w:eastAsia="宋体"/>
                <w:bCs/>
                <w:kern w:val="0"/>
                <w:sz w:val="21"/>
              </w:rPr>
              <w:t>柴油</w:t>
            </w:r>
          </w:p>
        </w:tc>
        <w:tc>
          <w:tcPr>
            <w:tcW w:w="533" w:type="pct"/>
            <w:vMerge w:val="continue"/>
            <w:vAlign w:val="center"/>
          </w:tcPr>
          <w:p>
            <w:pPr>
              <w:widowControl/>
              <w:jc w:val="left"/>
              <w:rPr>
                <w:rFonts w:eastAsia="宋体"/>
                <w:bCs/>
                <w:kern w:val="0"/>
                <w:sz w:val="21"/>
              </w:rPr>
            </w:pPr>
          </w:p>
        </w:tc>
        <w:tc>
          <w:tcPr>
            <w:tcW w:w="800" w:type="pct"/>
            <w:vAlign w:val="center"/>
          </w:tcPr>
          <w:p>
            <w:pPr>
              <w:autoSpaceDE w:val="0"/>
              <w:autoSpaceDN w:val="0"/>
              <w:jc w:val="center"/>
              <w:rPr>
                <w:rFonts w:eastAsia="宋体"/>
                <w:bCs/>
                <w:kern w:val="0"/>
                <w:sz w:val="21"/>
              </w:rPr>
            </w:pPr>
            <w:r>
              <w:rPr>
                <w:rFonts w:eastAsia="宋体"/>
                <w:bCs/>
                <w:kern w:val="0"/>
                <w:sz w:val="21"/>
              </w:rPr>
              <w:t>水、气、土</w:t>
            </w:r>
          </w:p>
        </w:tc>
        <w:tc>
          <w:tcPr>
            <w:tcW w:w="932" w:type="pct"/>
            <w:vMerge w:val="continue"/>
            <w:vAlign w:val="center"/>
          </w:tcPr>
          <w:p>
            <w:pPr>
              <w:widowControl/>
              <w:jc w:val="left"/>
              <w:rPr>
                <w:rFonts w:eastAsia="宋体"/>
                <w:bCs/>
                <w:kern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44" w:type="pct"/>
            <w:vMerge w:val="continue"/>
            <w:vAlign w:val="center"/>
          </w:tcPr>
          <w:p>
            <w:pPr>
              <w:autoSpaceDE w:val="0"/>
              <w:autoSpaceDN w:val="0"/>
              <w:jc w:val="center"/>
              <w:rPr>
                <w:rFonts w:eastAsia="宋体"/>
                <w:bCs/>
                <w:kern w:val="0"/>
                <w:sz w:val="21"/>
              </w:rPr>
            </w:pPr>
          </w:p>
        </w:tc>
        <w:tc>
          <w:tcPr>
            <w:tcW w:w="552" w:type="pct"/>
            <w:vMerge w:val="continue"/>
            <w:vAlign w:val="center"/>
          </w:tcPr>
          <w:p>
            <w:pPr>
              <w:widowControl/>
              <w:jc w:val="left"/>
              <w:rPr>
                <w:rFonts w:eastAsia="宋体"/>
                <w:bCs/>
                <w:kern w:val="0"/>
                <w:sz w:val="21"/>
              </w:rPr>
            </w:pPr>
          </w:p>
        </w:tc>
        <w:tc>
          <w:tcPr>
            <w:tcW w:w="447" w:type="pct"/>
            <w:vMerge w:val="continue"/>
            <w:vAlign w:val="center"/>
          </w:tcPr>
          <w:p>
            <w:pPr>
              <w:widowControl/>
              <w:jc w:val="left"/>
              <w:rPr>
                <w:rFonts w:eastAsia="宋体"/>
                <w:bCs/>
                <w:kern w:val="0"/>
                <w:sz w:val="21"/>
              </w:rPr>
            </w:pPr>
          </w:p>
        </w:tc>
        <w:tc>
          <w:tcPr>
            <w:tcW w:w="1392" w:type="pct"/>
            <w:vAlign w:val="center"/>
          </w:tcPr>
          <w:p>
            <w:pPr>
              <w:autoSpaceDE w:val="0"/>
              <w:autoSpaceDN w:val="0"/>
              <w:jc w:val="center"/>
              <w:rPr>
                <w:rFonts w:eastAsia="宋体"/>
                <w:bCs/>
                <w:kern w:val="0"/>
                <w:sz w:val="21"/>
              </w:rPr>
            </w:pPr>
            <w:r>
              <w:rPr>
                <w:rFonts w:eastAsia="宋体"/>
                <w:bCs/>
                <w:kern w:val="0"/>
                <w:sz w:val="21"/>
              </w:rPr>
              <w:t>天然气</w:t>
            </w:r>
          </w:p>
        </w:tc>
        <w:tc>
          <w:tcPr>
            <w:tcW w:w="533" w:type="pct"/>
            <w:vMerge w:val="continue"/>
            <w:vAlign w:val="center"/>
          </w:tcPr>
          <w:p>
            <w:pPr>
              <w:widowControl/>
              <w:jc w:val="left"/>
              <w:rPr>
                <w:rFonts w:eastAsia="宋体"/>
                <w:bCs/>
                <w:kern w:val="0"/>
                <w:sz w:val="21"/>
              </w:rPr>
            </w:pPr>
          </w:p>
        </w:tc>
        <w:tc>
          <w:tcPr>
            <w:tcW w:w="800" w:type="pct"/>
            <w:vAlign w:val="center"/>
          </w:tcPr>
          <w:p>
            <w:pPr>
              <w:autoSpaceDE w:val="0"/>
              <w:autoSpaceDN w:val="0"/>
              <w:jc w:val="center"/>
              <w:rPr>
                <w:rFonts w:eastAsia="宋体"/>
                <w:bCs/>
                <w:kern w:val="0"/>
                <w:sz w:val="21"/>
              </w:rPr>
            </w:pPr>
            <w:r>
              <w:rPr>
                <w:rFonts w:eastAsia="宋体"/>
                <w:bCs/>
                <w:kern w:val="0"/>
                <w:sz w:val="21"/>
              </w:rPr>
              <w:t>水、气、土</w:t>
            </w:r>
          </w:p>
        </w:tc>
        <w:tc>
          <w:tcPr>
            <w:tcW w:w="932" w:type="pct"/>
            <w:vMerge w:val="continue"/>
            <w:vAlign w:val="center"/>
          </w:tcPr>
          <w:p>
            <w:pPr>
              <w:widowControl/>
              <w:jc w:val="left"/>
              <w:rPr>
                <w:rFonts w:eastAsia="宋体"/>
                <w:bCs/>
                <w:kern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4" w:type="pct"/>
            <w:vMerge w:val="restart"/>
            <w:vAlign w:val="center"/>
          </w:tcPr>
          <w:p>
            <w:pPr>
              <w:autoSpaceDE w:val="0"/>
              <w:autoSpaceDN w:val="0"/>
              <w:jc w:val="center"/>
              <w:rPr>
                <w:rFonts w:eastAsia="宋体"/>
                <w:bCs/>
                <w:kern w:val="0"/>
                <w:sz w:val="21"/>
              </w:rPr>
            </w:pPr>
            <w:r>
              <w:rPr>
                <w:rFonts w:hint="eastAsia" w:eastAsia="宋体"/>
                <w:bCs/>
                <w:kern w:val="0"/>
                <w:sz w:val="21"/>
              </w:rPr>
              <w:t>2</w:t>
            </w:r>
          </w:p>
        </w:tc>
        <w:tc>
          <w:tcPr>
            <w:tcW w:w="552" w:type="pct"/>
            <w:vMerge w:val="restart"/>
            <w:vAlign w:val="center"/>
          </w:tcPr>
          <w:p>
            <w:pPr>
              <w:autoSpaceDE w:val="0"/>
              <w:autoSpaceDN w:val="0"/>
              <w:jc w:val="center"/>
              <w:rPr>
                <w:rFonts w:eastAsia="宋体"/>
                <w:bCs/>
                <w:kern w:val="0"/>
                <w:sz w:val="21"/>
              </w:rPr>
            </w:pPr>
            <w:r>
              <w:rPr>
                <w:rFonts w:eastAsia="宋体"/>
                <w:bCs/>
                <w:kern w:val="0"/>
                <w:sz w:val="21"/>
              </w:rPr>
              <w:t>公用工程区</w:t>
            </w:r>
          </w:p>
        </w:tc>
        <w:tc>
          <w:tcPr>
            <w:tcW w:w="447" w:type="pct"/>
            <w:vMerge w:val="restart"/>
            <w:vAlign w:val="center"/>
          </w:tcPr>
          <w:p>
            <w:pPr>
              <w:autoSpaceDE w:val="0"/>
              <w:autoSpaceDN w:val="0"/>
              <w:jc w:val="center"/>
              <w:rPr>
                <w:rFonts w:eastAsia="宋体"/>
                <w:bCs/>
                <w:kern w:val="0"/>
                <w:sz w:val="21"/>
              </w:rPr>
            </w:pPr>
            <w:r>
              <w:rPr>
                <w:rFonts w:eastAsia="宋体"/>
                <w:bCs/>
                <w:kern w:val="0"/>
                <w:sz w:val="21"/>
              </w:rPr>
              <w:t>电力故障</w:t>
            </w:r>
          </w:p>
        </w:tc>
        <w:tc>
          <w:tcPr>
            <w:tcW w:w="1392" w:type="pct"/>
            <w:vAlign w:val="center"/>
          </w:tcPr>
          <w:p>
            <w:pPr>
              <w:autoSpaceDE w:val="0"/>
              <w:autoSpaceDN w:val="0"/>
              <w:jc w:val="center"/>
              <w:rPr>
                <w:rFonts w:eastAsia="宋体"/>
                <w:bCs/>
                <w:kern w:val="0"/>
                <w:sz w:val="21"/>
              </w:rPr>
            </w:pPr>
            <w:r>
              <w:rPr>
                <w:rFonts w:eastAsia="宋体"/>
                <w:bCs/>
                <w:kern w:val="0"/>
                <w:sz w:val="21"/>
              </w:rPr>
              <w:t>一氧化氮</w:t>
            </w:r>
          </w:p>
        </w:tc>
        <w:tc>
          <w:tcPr>
            <w:tcW w:w="533" w:type="pct"/>
            <w:vMerge w:val="restart"/>
            <w:vAlign w:val="center"/>
          </w:tcPr>
          <w:p>
            <w:pPr>
              <w:autoSpaceDE w:val="0"/>
              <w:autoSpaceDN w:val="0"/>
              <w:jc w:val="center"/>
              <w:rPr>
                <w:rFonts w:eastAsia="宋体"/>
                <w:bCs/>
                <w:kern w:val="0"/>
                <w:sz w:val="21"/>
              </w:rPr>
            </w:pPr>
            <w:r>
              <w:rPr>
                <w:rFonts w:eastAsia="宋体"/>
                <w:bCs/>
                <w:kern w:val="0"/>
                <w:sz w:val="21"/>
              </w:rPr>
              <w:t>火灾</w:t>
            </w:r>
          </w:p>
          <w:p>
            <w:pPr>
              <w:autoSpaceDE w:val="0"/>
              <w:autoSpaceDN w:val="0"/>
              <w:jc w:val="center"/>
              <w:rPr>
                <w:rFonts w:eastAsia="宋体"/>
                <w:bCs/>
                <w:kern w:val="0"/>
                <w:sz w:val="21"/>
              </w:rPr>
            </w:pPr>
            <w:r>
              <w:rPr>
                <w:rFonts w:eastAsia="宋体"/>
                <w:bCs/>
                <w:kern w:val="0"/>
                <w:sz w:val="21"/>
              </w:rPr>
              <w:t>爆炸</w:t>
            </w:r>
          </w:p>
        </w:tc>
        <w:tc>
          <w:tcPr>
            <w:tcW w:w="800" w:type="pct"/>
            <w:vAlign w:val="center"/>
          </w:tcPr>
          <w:p>
            <w:pPr>
              <w:autoSpaceDE w:val="0"/>
              <w:autoSpaceDN w:val="0"/>
              <w:jc w:val="center"/>
              <w:rPr>
                <w:rFonts w:eastAsia="宋体"/>
                <w:bCs/>
                <w:kern w:val="0"/>
                <w:sz w:val="21"/>
              </w:rPr>
            </w:pPr>
            <w:r>
              <w:rPr>
                <w:rFonts w:eastAsia="宋体"/>
                <w:bCs/>
                <w:kern w:val="0"/>
                <w:sz w:val="21"/>
              </w:rPr>
              <w:t>水、气、土</w:t>
            </w:r>
          </w:p>
        </w:tc>
        <w:tc>
          <w:tcPr>
            <w:tcW w:w="932" w:type="pct"/>
            <w:vMerge w:val="restart"/>
            <w:vAlign w:val="center"/>
          </w:tcPr>
          <w:p>
            <w:pPr>
              <w:autoSpaceDE w:val="0"/>
              <w:autoSpaceDN w:val="0"/>
              <w:jc w:val="center"/>
              <w:rPr>
                <w:rFonts w:eastAsia="宋体"/>
                <w:bCs/>
                <w:kern w:val="0"/>
                <w:sz w:val="21"/>
              </w:rPr>
            </w:pPr>
            <w:r>
              <w:rPr>
                <w:rFonts w:eastAsia="宋体"/>
                <w:bCs/>
                <w:kern w:val="0"/>
                <w:sz w:val="21"/>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4" w:type="pct"/>
            <w:vMerge w:val="continue"/>
            <w:vAlign w:val="center"/>
          </w:tcPr>
          <w:p>
            <w:pPr>
              <w:autoSpaceDE w:val="0"/>
              <w:autoSpaceDN w:val="0"/>
              <w:jc w:val="center"/>
              <w:rPr>
                <w:rFonts w:eastAsia="宋体"/>
                <w:bCs/>
                <w:kern w:val="0"/>
                <w:sz w:val="21"/>
              </w:rPr>
            </w:pPr>
          </w:p>
        </w:tc>
        <w:tc>
          <w:tcPr>
            <w:tcW w:w="552" w:type="pct"/>
            <w:vMerge w:val="continue"/>
            <w:vAlign w:val="center"/>
          </w:tcPr>
          <w:p>
            <w:pPr>
              <w:widowControl/>
              <w:jc w:val="left"/>
              <w:rPr>
                <w:rFonts w:eastAsia="宋体"/>
                <w:bCs/>
                <w:kern w:val="0"/>
                <w:sz w:val="21"/>
              </w:rPr>
            </w:pPr>
          </w:p>
        </w:tc>
        <w:tc>
          <w:tcPr>
            <w:tcW w:w="447" w:type="pct"/>
            <w:vMerge w:val="continue"/>
            <w:vAlign w:val="center"/>
          </w:tcPr>
          <w:p>
            <w:pPr>
              <w:widowControl/>
              <w:jc w:val="left"/>
              <w:rPr>
                <w:rFonts w:eastAsia="宋体"/>
                <w:bCs/>
                <w:kern w:val="0"/>
                <w:sz w:val="21"/>
              </w:rPr>
            </w:pPr>
          </w:p>
        </w:tc>
        <w:tc>
          <w:tcPr>
            <w:tcW w:w="1392" w:type="pct"/>
            <w:vAlign w:val="center"/>
          </w:tcPr>
          <w:p>
            <w:pPr>
              <w:autoSpaceDE w:val="0"/>
              <w:autoSpaceDN w:val="0"/>
              <w:jc w:val="center"/>
              <w:rPr>
                <w:rFonts w:eastAsia="宋体"/>
                <w:bCs/>
                <w:kern w:val="0"/>
                <w:sz w:val="21"/>
              </w:rPr>
            </w:pPr>
            <w:r>
              <w:rPr>
                <w:rFonts w:eastAsia="宋体"/>
                <w:bCs/>
                <w:kern w:val="0"/>
                <w:sz w:val="21"/>
              </w:rPr>
              <w:t>二氧化氮</w:t>
            </w:r>
          </w:p>
        </w:tc>
        <w:tc>
          <w:tcPr>
            <w:tcW w:w="533" w:type="pct"/>
            <w:vMerge w:val="continue"/>
            <w:vAlign w:val="center"/>
          </w:tcPr>
          <w:p>
            <w:pPr>
              <w:widowControl/>
              <w:jc w:val="left"/>
              <w:rPr>
                <w:rFonts w:eastAsia="宋体"/>
                <w:bCs/>
                <w:kern w:val="0"/>
                <w:sz w:val="21"/>
              </w:rPr>
            </w:pPr>
          </w:p>
        </w:tc>
        <w:tc>
          <w:tcPr>
            <w:tcW w:w="800" w:type="pct"/>
            <w:vAlign w:val="center"/>
          </w:tcPr>
          <w:p>
            <w:pPr>
              <w:autoSpaceDE w:val="0"/>
              <w:autoSpaceDN w:val="0"/>
              <w:jc w:val="center"/>
              <w:rPr>
                <w:rFonts w:eastAsia="宋体"/>
                <w:bCs/>
                <w:kern w:val="0"/>
                <w:sz w:val="21"/>
              </w:rPr>
            </w:pPr>
            <w:r>
              <w:rPr>
                <w:rFonts w:eastAsia="宋体"/>
                <w:bCs/>
                <w:kern w:val="0"/>
                <w:sz w:val="21"/>
              </w:rPr>
              <w:t>水、气、土</w:t>
            </w:r>
          </w:p>
        </w:tc>
        <w:tc>
          <w:tcPr>
            <w:tcW w:w="932" w:type="pct"/>
            <w:vMerge w:val="continue"/>
            <w:vAlign w:val="center"/>
          </w:tcPr>
          <w:p>
            <w:pPr>
              <w:widowControl/>
              <w:jc w:val="left"/>
              <w:rPr>
                <w:rFonts w:eastAsia="宋体"/>
                <w:bCs/>
                <w:kern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4" w:type="pct"/>
            <w:vMerge w:val="continue"/>
            <w:vAlign w:val="center"/>
          </w:tcPr>
          <w:p>
            <w:pPr>
              <w:autoSpaceDE w:val="0"/>
              <w:autoSpaceDN w:val="0"/>
              <w:jc w:val="center"/>
              <w:rPr>
                <w:rFonts w:eastAsia="宋体"/>
                <w:bCs/>
                <w:kern w:val="0"/>
                <w:sz w:val="21"/>
              </w:rPr>
            </w:pPr>
          </w:p>
        </w:tc>
        <w:tc>
          <w:tcPr>
            <w:tcW w:w="552" w:type="pct"/>
            <w:vMerge w:val="continue"/>
            <w:vAlign w:val="center"/>
          </w:tcPr>
          <w:p>
            <w:pPr>
              <w:widowControl/>
              <w:jc w:val="left"/>
              <w:rPr>
                <w:rFonts w:eastAsia="宋体"/>
                <w:bCs/>
                <w:kern w:val="0"/>
                <w:sz w:val="21"/>
              </w:rPr>
            </w:pPr>
          </w:p>
        </w:tc>
        <w:tc>
          <w:tcPr>
            <w:tcW w:w="447" w:type="pct"/>
            <w:vMerge w:val="continue"/>
            <w:vAlign w:val="center"/>
          </w:tcPr>
          <w:p>
            <w:pPr>
              <w:widowControl/>
              <w:jc w:val="left"/>
              <w:rPr>
                <w:rFonts w:eastAsia="宋体"/>
                <w:bCs/>
                <w:kern w:val="0"/>
                <w:sz w:val="21"/>
              </w:rPr>
            </w:pPr>
          </w:p>
        </w:tc>
        <w:tc>
          <w:tcPr>
            <w:tcW w:w="1392" w:type="pct"/>
            <w:vAlign w:val="center"/>
          </w:tcPr>
          <w:p>
            <w:pPr>
              <w:autoSpaceDE w:val="0"/>
              <w:autoSpaceDN w:val="0"/>
              <w:jc w:val="center"/>
              <w:rPr>
                <w:rFonts w:eastAsia="宋体"/>
                <w:bCs/>
                <w:kern w:val="0"/>
                <w:sz w:val="21"/>
              </w:rPr>
            </w:pPr>
            <w:r>
              <w:rPr>
                <w:rFonts w:eastAsia="宋体"/>
                <w:bCs/>
                <w:kern w:val="0"/>
                <w:sz w:val="21"/>
              </w:rPr>
              <w:t>一氧化炭</w:t>
            </w:r>
          </w:p>
        </w:tc>
        <w:tc>
          <w:tcPr>
            <w:tcW w:w="533" w:type="pct"/>
            <w:vMerge w:val="continue"/>
            <w:vAlign w:val="center"/>
          </w:tcPr>
          <w:p>
            <w:pPr>
              <w:widowControl/>
              <w:jc w:val="left"/>
              <w:rPr>
                <w:rFonts w:eastAsia="宋体"/>
                <w:bCs/>
                <w:kern w:val="0"/>
                <w:sz w:val="21"/>
              </w:rPr>
            </w:pPr>
          </w:p>
        </w:tc>
        <w:tc>
          <w:tcPr>
            <w:tcW w:w="800" w:type="pct"/>
            <w:vAlign w:val="center"/>
          </w:tcPr>
          <w:p>
            <w:pPr>
              <w:autoSpaceDE w:val="0"/>
              <w:autoSpaceDN w:val="0"/>
              <w:jc w:val="center"/>
              <w:rPr>
                <w:rFonts w:eastAsia="宋体"/>
                <w:bCs/>
                <w:kern w:val="0"/>
                <w:sz w:val="21"/>
              </w:rPr>
            </w:pPr>
            <w:r>
              <w:rPr>
                <w:rFonts w:eastAsia="宋体"/>
                <w:bCs/>
                <w:kern w:val="0"/>
                <w:sz w:val="21"/>
              </w:rPr>
              <w:t>水、气、土</w:t>
            </w:r>
          </w:p>
        </w:tc>
        <w:tc>
          <w:tcPr>
            <w:tcW w:w="932" w:type="pct"/>
            <w:vMerge w:val="continue"/>
            <w:vAlign w:val="center"/>
          </w:tcPr>
          <w:p>
            <w:pPr>
              <w:widowControl/>
              <w:jc w:val="left"/>
              <w:rPr>
                <w:rFonts w:eastAsia="宋体"/>
                <w:bCs/>
                <w:kern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344" w:type="pct"/>
            <w:vMerge w:val="restart"/>
            <w:vAlign w:val="center"/>
          </w:tcPr>
          <w:p>
            <w:pPr>
              <w:autoSpaceDE w:val="0"/>
              <w:autoSpaceDN w:val="0"/>
              <w:jc w:val="center"/>
              <w:rPr>
                <w:rFonts w:eastAsia="宋体"/>
                <w:bCs/>
                <w:kern w:val="0"/>
                <w:sz w:val="21"/>
              </w:rPr>
            </w:pPr>
            <w:r>
              <w:rPr>
                <w:rFonts w:hint="eastAsia" w:eastAsia="宋体"/>
                <w:bCs/>
                <w:kern w:val="0"/>
                <w:sz w:val="21"/>
              </w:rPr>
              <w:t>3</w:t>
            </w:r>
          </w:p>
        </w:tc>
        <w:tc>
          <w:tcPr>
            <w:tcW w:w="552" w:type="pct"/>
            <w:vMerge w:val="restart"/>
            <w:vAlign w:val="center"/>
          </w:tcPr>
          <w:p>
            <w:pPr>
              <w:autoSpaceDE w:val="0"/>
              <w:autoSpaceDN w:val="0"/>
              <w:jc w:val="center"/>
              <w:rPr>
                <w:rFonts w:eastAsia="宋体"/>
                <w:bCs/>
                <w:kern w:val="0"/>
                <w:sz w:val="21"/>
              </w:rPr>
            </w:pPr>
            <w:r>
              <w:rPr>
                <w:rFonts w:eastAsia="宋体"/>
                <w:bCs/>
                <w:kern w:val="0"/>
                <w:sz w:val="21"/>
              </w:rPr>
              <w:t>工程环保设施区</w:t>
            </w:r>
          </w:p>
        </w:tc>
        <w:tc>
          <w:tcPr>
            <w:tcW w:w="447" w:type="pct"/>
            <w:vMerge w:val="restart"/>
            <w:vAlign w:val="center"/>
          </w:tcPr>
          <w:p>
            <w:pPr>
              <w:autoSpaceDE w:val="0"/>
              <w:autoSpaceDN w:val="0"/>
              <w:jc w:val="center"/>
              <w:rPr>
                <w:rFonts w:eastAsia="宋体"/>
                <w:bCs/>
                <w:kern w:val="0"/>
                <w:sz w:val="21"/>
              </w:rPr>
            </w:pPr>
            <w:r>
              <w:rPr>
                <w:rFonts w:eastAsia="宋体"/>
                <w:bCs/>
                <w:kern w:val="0"/>
                <w:sz w:val="21"/>
              </w:rPr>
              <w:t>废气废水</w:t>
            </w:r>
          </w:p>
        </w:tc>
        <w:tc>
          <w:tcPr>
            <w:tcW w:w="1392" w:type="pct"/>
            <w:vAlign w:val="center"/>
          </w:tcPr>
          <w:p>
            <w:pPr>
              <w:autoSpaceDE w:val="0"/>
              <w:autoSpaceDN w:val="0"/>
              <w:jc w:val="center"/>
              <w:rPr>
                <w:rFonts w:eastAsia="宋体"/>
                <w:bCs/>
                <w:kern w:val="0"/>
                <w:sz w:val="21"/>
              </w:rPr>
            </w:pPr>
            <w:r>
              <w:rPr>
                <w:rFonts w:eastAsia="宋体"/>
                <w:bCs/>
                <w:kern w:val="0"/>
                <w:sz w:val="21"/>
              </w:rPr>
              <w:t>硫化氢</w:t>
            </w:r>
          </w:p>
        </w:tc>
        <w:tc>
          <w:tcPr>
            <w:tcW w:w="533" w:type="pct"/>
            <w:vMerge w:val="restart"/>
            <w:vAlign w:val="center"/>
          </w:tcPr>
          <w:p>
            <w:pPr>
              <w:autoSpaceDE w:val="0"/>
              <w:autoSpaceDN w:val="0"/>
              <w:jc w:val="center"/>
              <w:rPr>
                <w:rFonts w:eastAsia="宋体"/>
                <w:bCs/>
                <w:kern w:val="0"/>
                <w:sz w:val="21"/>
              </w:rPr>
            </w:pPr>
            <w:r>
              <w:rPr>
                <w:rFonts w:eastAsia="宋体"/>
                <w:bCs/>
                <w:kern w:val="0"/>
                <w:sz w:val="21"/>
              </w:rPr>
              <w:t>超标</w:t>
            </w:r>
          </w:p>
          <w:p>
            <w:pPr>
              <w:autoSpaceDE w:val="0"/>
              <w:autoSpaceDN w:val="0"/>
              <w:jc w:val="center"/>
              <w:rPr>
                <w:rFonts w:eastAsia="宋体"/>
                <w:bCs/>
                <w:kern w:val="0"/>
                <w:sz w:val="21"/>
              </w:rPr>
            </w:pPr>
            <w:r>
              <w:rPr>
                <w:rFonts w:eastAsia="宋体"/>
                <w:bCs/>
                <w:kern w:val="0"/>
                <w:sz w:val="21"/>
              </w:rPr>
              <w:t>排放</w:t>
            </w:r>
          </w:p>
        </w:tc>
        <w:tc>
          <w:tcPr>
            <w:tcW w:w="800" w:type="pct"/>
            <w:vAlign w:val="center"/>
          </w:tcPr>
          <w:p>
            <w:pPr>
              <w:autoSpaceDE w:val="0"/>
              <w:autoSpaceDN w:val="0"/>
              <w:jc w:val="center"/>
              <w:rPr>
                <w:rFonts w:eastAsia="宋体"/>
                <w:bCs/>
                <w:kern w:val="0"/>
                <w:sz w:val="21"/>
              </w:rPr>
            </w:pPr>
            <w:r>
              <w:rPr>
                <w:rFonts w:eastAsia="宋体"/>
                <w:bCs/>
                <w:kern w:val="0"/>
                <w:sz w:val="21"/>
              </w:rPr>
              <w:t>水、气、土</w:t>
            </w:r>
          </w:p>
        </w:tc>
        <w:tc>
          <w:tcPr>
            <w:tcW w:w="932" w:type="pct"/>
            <w:vMerge w:val="restart"/>
            <w:vAlign w:val="center"/>
          </w:tcPr>
          <w:p>
            <w:pPr>
              <w:autoSpaceDE w:val="0"/>
              <w:autoSpaceDN w:val="0"/>
              <w:jc w:val="center"/>
              <w:rPr>
                <w:rFonts w:eastAsia="宋体"/>
                <w:bCs/>
                <w:kern w:val="0"/>
                <w:sz w:val="21"/>
              </w:rPr>
            </w:pPr>
            <w:r>
              <w:rPr>
                <w:rFonts w:eastAsia="宋体"/>
                <w:bCs/>
                <w:kern w:val="0"/>
                <w:sz w:val="21"/>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4" w:type="pct"/>
            <w:vMerge w:val="continue"/>
            <w:vAlign w:val="center"/>
          </w:tcPr>
          <w:p>
            <w:pPr>
              <w:autoSpaceDE w:val="0"/>
              <w:autoSpaceDN w:val="0"/>
              <w:jc w:val="center"/>
              <w:rPr>
                <w:rFonts w:eastAsia="宋体"/>
                <w:bCs/>
                <w:kern w:val="0"/>
                <w:sz w:val="21"/>
              </w:rPr>
            </w:pPr>
          </w:p>
        </w:tc>
        <w:tc>
          <w:tcPr>
            <w:tcW w:w="552" w:type="pct"/>
            <w:vMerge w:val="continue"/>
            <w:vAlign w:val="center"/>
          </w:tcPr>
          <w:p>
            <w:pPr>
              <w:widowControl/>
              <w:jc w:val="left"/>
              <w:rPr>
                <w:rFonts w:eastAsia="宋体"/>
                <w:bCs/>
                <w:kern w:val="0"/>
                <w:sz w:val="21"/>
              </w:rPr>
            </w:pPr>
          </w:p>
        </w:tc>
        <w:tc>
          <w:tcPr>
            <w:tcW w:w="447" w:type="pct"/>
            <w:vMerge w:val="continue"/>
            <w:vAlign w:val="center"/>
          </w:tcPr>
          <w:p>
            <w:pPr>
              <w:widowControl/>
              <w:jc w:val="left"/>
              <w:rPr>
                <w:rFonts w:eastAsia="宋体"/>
                <w:bCs/>
                <w:kern w:val="0"/>
                <w:sz w:val="21"/>
              </w:rPr>
            </w:pPr>
          </w:p>
        </w:tc>
        <w:tc>
          <w:tcPr>
            <w:tcW w:w="1392" w:type="pct"/>
            <w:vMerge w:val="restart"/>
            <w:vAlign w:val="center"/>
          </w:tcPr>
          <w:p>
            <w:pPr>
              <w:autoSpaceDE w:val="0"/>
              <w:autoSpaceDN w:val="0"/>
              <w:jc w:val="center"/>
              <w:rPr>
                <w:rFonts w:eastAsia="宋体"/>
                <w:bCs/>
                <w:kern w:val="0"/>
                <w:sz w:val="21"/>
              </w:rPr>
            </w:pPr>
            <w:r>
              <w:rPr>
                <w:rFonts w:eastAsia="宋体"/>
                <w:bCs/>
                <w:kern w:val="0"/>
                <w:sz w:val="21"/>
              </w:rPr>
              <w:t>氨气</w:t>
            </w:r>
          </w:p>
        </w:tc>
        <w:tc>
          <w:tcPr>
            <w:tcW w:w="533" w:type="pct"/>
            <w:vMerge w:val="continue"/>
            <w:vAlign w:val="center"/>
          </w:tcPr>
          <w:p>
            <w:pPr>
              <w:widowControl/>
              <w:jc w:val="left"/>
              <w:rPr>
                <w:rFonts w:eastAsia="宋体"/>
                <w:bCs/>
                <w:kern w:val="0"/>
                <w:sz w:val="21"/>
              </w:rPr>
            </w:pPr>
          </w:p>
        </w:tc>
        <w:tc>
          <w:tcPr>
            <w:tcW w:w="800" w:type="pct"/>
            <w:vAlign w:val="center"/>
          </w:tcPr>
          <w:p>
            <w:pPr>
              <w:autoSpaceDE w:val="0"/>
              <w:autoSpaceDN w:val="0"/>
              <w:jc w:val="center"/>
              <w:rPr>
                <w:rFonts w:eastAsia="宋体"/>
                <w:bCs/>
                <w:kern w:val="0"/>
                <w:sz w:val="21"/>
              </w:rPr>
            </w:pPr>
            <w:r>
              <w:rPr>
                <w:rFonts w:eastAsia="宋体"/>
                <w:bCs/>
                <w:kern w:val="0"/>
                <w:sz w:val="21"/>
              </w:rPr>
              <w:t>水、气、土</w:t>
            </w:r>
          </w:p>
        </w:tc>
        <w:tc>
          <w:tcPr>
            <w:tcW w:w="932" w:type="pct"/>
            <w:vMerge w:val="continue"/>
            <w:vAlign w:val="center"/>
          </w:tcPr>
          <w:p>
            <w:pPr>
              <w:widowControl/>
              <w:jc w:val="left"/>
              <w:rPr>
                <w:rFonts w:eastAsia="宋体"/>
                <w:bCs/>
                <w:kern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44" w:type="pct"/>
            <w:vMerge w:val="continue"/>
            <w:vAlign w:val="center"/>
          </w:tcPr>
          <w:p>
            <w:pPr>
              <w:autoSpaceDE w:val="0"/>
              <w:autoSpaceDN w:val="0"/>
              <w:jc w:val="center"/>
              <w:rPr>
                <w:rFonts w:eastAsia="宋体"/>
                <w:bCs/>
                <w:kern w:val="0"/>
                <w:sz w:val="21"/>
              </w:rPr>
            </w:pPr>
          </w:p>
        </w:tc>
        <w:tc>
          <w:tcPr>
            <w:tcW w:w="552" w:type="pct"/>
            <w:vMerge w:val="continue"/>
            <w:vAlign w:val="center"/>
          </w:tcPr>
          <w:p>
            <w:pPr>
              <w:widowControl/>
              <w:jc w:val="left"/>
              <w:rPr>
                <w:rFonts w:eastAsia="宋体"/>
                <w:bCs/>
                <w:kern w:val="0"/>
                <w:sz w:val="21"/>
              </w:rPr>
            </w:pPr>
          </w:p>
        </w:tc>
        <w:tc>
          <w:tcPr>
            <w:tcW w:w="447" w:type="pct"/>
            <w:vMerge w:val="continue"/>
            <w:vAlign w:val="center"/>
          </w:tcPr>
          <w:p>
            <w:pPr>
              <w:widowControl/>
              <w:jc w:val="left"/>
              <w:rPr>
                <w:rFonts w:eastAsia="宋体"/>
                <w:bCs/>
                <w:kern w:val="0"/>
                <w:sz w:val="21"/>
              </w:rPr>
            </w:pPr>
          </w:p>
        </w:tc>
        <w:tc>
          <w:tcPr>
            <w:tcW w:w="1392" w:type="pct"/>
            <w:vMerge w:val="continue"/>
            <w:vAlign w:val="center"/>
          </w:tcPr>
          <w:p>
            <w:pPr>
              <w:widowControl/>
              <w:jc w:val="left"/>
              <w:rPr>
                <w:rFonts w:eastAsia="宋体"/>
                <w:bCs/>
                <w:kern w:val="0"/>
                <w:sz w:val="21"/>
              </w:rPr>
            </w:pPr>
          </w:p>
        </w:tc>
        <w:tc>
          <w:tcPr>
            <w:tcW w:w="533" w:type="pct"/>
            <w:vMerge w:val="continue"/>
            <w:vAlign w:val="center"/>
          </w:tcPr>
          <w:p>
            <w:pPr>
              <w:widowControl/>
              <w:jc w:val="left"/>
              <w:rPr>
                <w:rFonts w:eastAsia="宋体"/>
                <w:bCs/>
                <w:kern w:val="0"/>
                <w:sz w:val="21"/>
              </w:rPr>
            </w:pPr>
          </w:p>
        </w:tc>
        <w:tc>
          <w:tcPr>
            <w:tcW w:w="800" w:type="pct"/>
            <w:vAlign w:val="center"/>
          </w:tcPr>
          <w:p>
            <w:pPr>
              <w:autoSpaceDE w:val="0"/>
              <w:autoSpaceDN w:val="0"/>
              <w:jc w:val="center"/>
              <w:rPr>
                <w:rFonts w:eastAsia="宋体"/>
                <w:bCs/>
                <w:kern w:val="0"/>
                <w:sz w:val="21"/>
              </w:rPr>
            </w:pPr>
            <w:r>
              <w:rPr>
                <w:rFonts w:eastAsia="宋体"/>
                <w:bCs/>
                <w:kern w:val="0"/>
                <w:sz w:val="21"/>
              </w:rPr>
              <w:t>水、气、土</w:t>
            </w:r>
          </w:p>
        </w:tc>
        <w:tc>
          <w:tcPr>
            <w:tcW w:w="932" w:type="pct"/>
            <w:vMerge w:val="continue"/>
            <w:vAlign w:val="center"/>
          </w:tcPr>
          <w:p>
            <w:pPr>
              <w:widowControl/>
              <w:jc w:val="left"/>
              <w:rPr>
                <w:rFonts w:eastAsia="宋体"/>
                <w:bCs/>
                <w:kern w:val="0"/>
                <w:sz w:val="21"/>
              </w:rPr>
            </w:pPr>
          </w:p>
        </w:tc>
      </w:tr>
    </w:tbl>
    <w:p>
      <w:pPr>
        <w:pStyle w:val="4"/>
      </w:pPr>
      <w:r>
        <w:t>风险事故情形分析</w:t>
      </w:r>
    </w:p>
    <w:p>
      <w:pPr>
        <w:pStyle w:val="5"/>
      </w:pPr>
      <w:r>
        <w:t>源项分析</w:t>
      </w:r>
    </w:p>
    <w:p>
      <w:pPr>
        <w:pStyle w:val="155"/>
        <w:ind w:firstLine="480"/>
      </w:pPr>
      <w:r>
        <w:rPr>
          <w:rFonts w:hAnsi="宋体"/>
        </w:rPr>
        <w:t>（</w:t>
      </w:r>
      <w:r>
        <w:t>1</w:t>
      </w:r>
      <w:r>
        <w:rPr>
          <w:rFonts w:hAnsi="宋体"/>
        </w:rPr>
        <w:t>）医院污水处理设施事故状态下的排污；即医疗废水在医院内部的处理不规范，导致排入市政管网的医疗废水仍带有致病菌，引起更大范围的污染。</w:t>
      </w:r>
    </w:p>
    <w:p>
      <w:pPr>
        <w:pStyle w:val="155"/>
        <w:ind w:firstLine="480"/>
      </w:pPr>
      <w:r>
        <w:rPr>
          <w:rFonts w:hAnsi="宋体"/>
        </w:rPr>
        <w:t>（</w:t>
      </w:r>
      <w:r>
        <w:t>2</w:t>
      </w:r>
      <w:r>
        <w:rPr>
          <w:rFonts w:hAnsi="宋体"/>
        </w:rPr>
        <w:t>）危险化学品管理和使用不规范，导致化学品泄漏，发生火灾、爆炸以及污染环境。</w:t>
      </w:r>
    </w:p>
    <w:p>
      <w:pPr>
        <w:pStyle w:val="155"/>
        <w:ind w:firstLine="480"/>
      </w:pPr>
      <w:r>
        <w:rPr>
          <w:rFonts w:hAnsi="宋体"/>
        </w:rPr>
        <w:t>（</w:t>
      </w:r>
      <w:r>
        <w:t>3</w:t>
      </w:r>
      <w:r>
        <w:rPr>
          <w:rFonts w:hAnsi="宋体"/>
        </w:rPr>
        <w:t>）用电不规范，导致火灾的发生。</w:t>
      </w:r>
    </w:p>
    <w:p>
      <w:pPr>
        <w:pStyle w:val="155"/>
        <w:ind w:firstLine="480"/>
      </w:pPr>
      <w:r>
        <w:rPr>
          <w:rFonts w:hAnsi="宋体"/>
        </w:rPr>
        <w:t>（</w:t>
      </w:r>
      <w:r>
        <w:t>4</w:t>
      </w:r>
      <w:r>
        <w:rPr>
          <w:rFonts w:hAnsi="宋体"/>
        </w:rPr>
        <w:t>）氧气瓶之类的管理不当造成爆炸、火灾。</w:t>
      </w:r>
    </w:p>
    <w:p>
      <w:pPr>
        <w:pStyle w:val="155"/>
        <w:ind w:firstLine="480"/>
      </w:pPr>
      <w:r>
        <w:rPr>
          <w:rFonts w:hAnsi="宋体"/>
        </w:rPr>
        <w:t>（</w:t>
      </w:r>
      <w:r>
        <w:t>5</w:t>
      </w:r>
      <w:r>
        <w:rPr>
          <w:rFonts w:hAnsi="宋体"/>
        </w:rPr>
        <w:t>）</w:t>
      </w:r>
      <w:r>
        <w:rPr>
          <w:rFonts w:hAnsi="宋体"/>
          <w:u w:val="single"/>
        </w:rPr>
        <w:t>项目使用燃气锅炉供热，所需的天然气通过管道输送到院内以供使用。输送天然气的管道或燃气锅炉炉膛，若由于自身缺陷、使用中腐蚀、操作违章或其他原因，均可能引起压力设备爆炸（或破裂），内部的可燃物极具绝热膨胀冲出来还年可能引起二次化学爆炸，但天然气在管道和锅炉炉膛内的在线存量较少，也不构成重大危险源。</w:t>
      </w:r>
    </w:p>
    <w:p>
      <w:pPr>
        <w:pStyle w:val="4"/>
      </w:pPr>
      <w:r>
        <w:t>风险预测与评价</w:t>
      </w:r>
    </w:p>
    <w:p>
      <w:pPr>
        <w:pStyle w:val="5"/>
      </w:pPr>
      <w:r>
        <w:t>大气环境风险分析</w:t>
      </w:r>
    </w:p>
    <w:p>
      <w:pPr>
        <w:spacing w:line="360" w:lineRule="auto"/>
        <w:ind w:firstLine="480" w:firstLineChars="200"/>
        <w:rPr>
          <w:rFonts w:ascii="宋体" w:hAnsi="宋体" w:eastAsia="宋体"/>
          <w:bCs/>
          <w:kern w:val="0"/>
          <w:szCs w:val="24"/>
        </w:rPr>
      </w:pPr>
      <w:r>
        <w:rPr>
          <w:rFonts w:ascii="宋体" w:hAnsi="宋体" w:eastAsia="宋体"/>
          <w:bCs/>
          <w:kern w:val="0"/>
          <w:szCs w:val="24"/>
        </w:rPr>
        <w:t>本项目盐酸和氯酸钠等化学品使用量均较小，主要用于污水消毒处理，在存储仓库内均采用专用桶装、袋装，有效的防止了危化品的泄漏。故本项目环境风险事故对大气环境影响较小。</w:t>
      </w:r>
    </w:p>
    <w:p>
      <w:pPr>
        <w:pStyle w:val="5"/>
      </w:pPr>
      <w:r>
        <w:t>地表水</w:t>
      </w:r>
      <w:r>
        <w:rPr>
          <w:rFonts w:hint="eastAsia"/>
        </w:rPr>
        <w:t>、</w:t>
      </w:r>
      <w:r>
        <w:t>地下水环境风险分析</w:t>
      </w:r>
    </w:p>
    <w:p>
      <w:pPr>
        <w:spacing w:line="360" w:lineRule="auto"/>
        <w:ind w:firstLine="480" w:firstLineChars="200"/>
        <w:rPr>
          <w:rFonts w:ascii="宋体" w:hAnsi="宋体" w:eastAsia="宋体"/>
          <w:bCs/>
          <w:kern w:val="0"/>
          <w:szCs w:val="24"/>
        </w:rPr>
      </w:pPr>
      <w:r>
        <w:rPr>
          <w:rFonts w:ascii="宋体" w:hAnsi="宋体" w:eastAsia="宋体"/>
          <w:bCs/>
          <w:kern w:val="0"/>
          <w:szCs w:val="24"/>
        </w:rPr>
        <w:t>本项目盐酸和氯酸钠等化学品使用量均较小，储存仓库内均采用了防腐防渗措施</w:t>
      </w:r>
      <w:r>
        <w:rPr>
          <w:rFonts w:hint="eastAsia" w:ascii="宋体" w:hAnsi="宋体" w:eastAsia="宋体"/>
          <w:bCs/>
          <w:kern w:val="0"/>
          <w:szCs w:val="24"/>
        </w:rPr>
        <w:t>，有效的防止了对土壤和地下水、地表水的污染迁移。故本项目环境风险事故对地表水、地下水的影响较小。</w:t>
      </w:r>
    </w:p>
    <w:p>
      <w:pPr>
        <w:pStyle w:val="4"/>
      </w:pPr>
      <w:r>
        <w:t>环境风险管理</w:t>
      </w:r>
    </w:p>
    <w:p>
      <w:pPr>
        <w:pStyle w:val="5"/>
      </w:pPr>
      <w:r>
        <w:t>危险化学品的风险管理措施</w:t>
      </w:r>
    </w:p>
    <w:p>
      <w:pPr>
        <w:spacing w:line="360" w:lineRule="auto"/>
        <w:ind w:firstLine="480" w:firstLineChars="200"/>
        <w:rPr>
          <w:rFonts w:ascii="宋体" w:hAnsi="宋体" w:eastAsia="宋体"/>
          <w:bCs/>
          <w:kern w:val="0"/>
          <w:szCs w:val="24"/>
        </w:rPr>
      </w:pPr>
      <w:r>
        <w:rPr>
          <w:rFonts w:ascii="宋体" w:hAnsi="宋体" w:eastAsia="宋体"/>
          <w:bCs/>
          <w:kern w:val="0"/>
          <w:szCs w:val="24"/>
        </w:rPr>
        <w:t>危险化学品由于具有危害和有用双重属性，涉及面广，接触人员多，专业要求相对较高。为加强对化学危险品的管理，国务院于</w:t>
      </w:r>
      <w:r>
        <w:rPr>
          <w:rFonts w:eastAsia="宋体"/>
          <w:bCs/>
          <w:kern w:val="0"/>
          <w:szCs w:val="24"/>
        </w:rPr>
        <w:t>2002</w:t>
      </w:r>
      <w:r>
        <w:rPr>
          <w:rFonts w:ascii="宋体" w:hAnsi="宋体" w:eastAsia="宋体"/>
          <w:bCs/>
          <w:kern w:val="0"/>
          <w:szCs w:val="24"/>
        </w:rPr>
        <w:t>年</w:t>
      </w:r>
      <w:r>
        <w:rPr>
          <w:rFonts w:eastAsia="宋体"/>
          <w:bCs/>
          <w:kern w:val="0"/>
          <w:szCs w:val="24"/>
        </w:rPr>
        <w:t>1</w:t>
      </w:r>
      <w:r>
        <w:rPr>
          <w:rFonts w:ascii="宋体" w:hAnsi="宋体" w:eastAsia="宋体"/>
          <w:bCs/>
          <w:kern w:val="0"/>
          <w:szCs w:val="24"/>
        </w:rPr>
        <w:t>月</w:t>
      </w:r>
      <w:r>
        <w:rPr>
          <w:rFonts w:eastAsia="宋体"/>
          <w:bCs/>
          <w:kern w:val="0"/>
          <w:szCs w:val="24"/>
        </w:rPr>
        <w:t>8</w:t>
      </w:r>
      <w:r>
        <w:rPr>
          <w:rFonts w:ascii="宋体" w:hAnsi="宋体" w:eastAsia="宋体"/>
          <w:bCs/>
          <w:kern w:val="0"/>
          <w:szCs w:val="24"/>
        </w:rPr>
        <w:t>日颁发《危险化学品安全管理条例》，国家安全局、公安、交通、环保、质检、卫生、工商、邮政等部门也制订了相应的部门管理规章、规程和标准。但是，由于一些单位和个人在化学品的生产、使用、储存、经营、运输、进出口直至处置过程中，不按章办事，违规操作，致使化学品引发的事故时有发生。</w:t>
      </w:r>
    </w:p>
    <w:p>
      <w:pPr>
        <w:spacing w:line="360" w:lineRule="auto"/>
        <w:ind w:firstLine="480" w:firstLineChars="200"/>
        <w:rPr>
          <w:rFonts w:eastAsia="宋体"/>
          <w:kern w:val="0"/>
          <w:szCs w:val="24"/>
        </w:rPr>
      </w:pPr>
      <w:r>
        <w:rPr>
          <w:rFonts w:ascii="宋体" w:hAnsi="宋体" w:eastAsia="宋体"/>
          <w:bCs/>
          <w:kern w:val="0"/>
          <w:szCs w:val="24"/>
        </w:rPr>
        <w:t>为加强对本项目化学品，特别是危险化学品的管理，避免或减少化学品引发的事故，保证对化学品的生产、储存、经营、运输、使用、进出口及处置的整个过程进行全面的监督与管理，国家环境保护总局、经济贸易委员会、公安部、交通部、质量技术监督局于</w:t>
      </w:r>
      <w:r>
        <w:rPr>
          <w:rFonts w:eastAsia="宋体"/>
          <w:bCs/>
          <w:kern w:val="0"/>
          <w:szCs w:val="24"/>
        </w:rPr>
        <w:t>1999</w:t>
      </w:r>
      <w:r>
        <w:rPr>
          <w:rFonts w:ascii="宋体" w:hAnsi="宋体" w:eastAsia="宋体"/>
          <w:bCs/>
          <w:kern w:val="0"/>
          <w:szCs w:val="24"/>
        </w:rPr>
        <w:t>年</w:t>
      </w:r>
      <w:r>
        <w:rPr>
          <w:rFonts w:eastAsia="宋体"/>
          <w:bCs/>
          <w:kern w:val="0"/>
          <w:szCs w:val="24"/>
        </w:rPr>
        <w:t>12</w:t>
      </w:r>
      <w:r>
        <w:rPr>
          <w:rFonts w:ascii="宋体" w:hAnsi="宋体" w:eastAsia="宋体"/>
          <w:bCs/>
          <w:kern w:val="0"/>
          <w:szCs w:val="24"/>
        </w:rPr>
        <w:t>月联合颁发了《关于加强化学危险品管理的通知》。</w:t>
      </w:r>
    </w:p>
    <w:p>
      <w:pPr>
        <w:spacing w:line="360" w:lineRule="auto"/>
        <w:ind w:firstLine="480" w:firstLineChars="200"/>
        <w:rPr>
          <w:rFonts w:eastAsia="宋体"/>
          <w:kern w:val="0"/>
          <w:szCs w:val="24"/>
        </w:rPr>
      </w:pPr>
      <w:r>
        <w:rPr>
          <w:rFonts w:ascii="宋体" w:hAnsi="宋体" w:eastAsia="宋体"/>
          <w:bCs/>
          <w:kern w:val="0"/>
          <w:szCs w:val="24"/>
        </w:rPr>
        <w:t>对本项目而言，环境风险防范措施是环境风险管理的核心，通过实施环境风险防范措施来降低环境风险的发生概率，并减轻环境风险抵押事故的危害强度。环境风险防范措施包括管理措施和技术措施二个方面。针对本项目具体情况提出以下环境风险管理对策。</w:t>
      </w:r>
    </w:p>
    <w:p>
      <w:pPr>
        <w:spacing w:line="360" w:lineRule="auto"/>
        <w:ind w:firstLine="480" w:firstLineChars="200"/>
        <w:rPr>
          <w:rFonts w:eastAsia="宋体"/>
          <w:bCs/>
          <w:kern w:val="0"/>
          <w:szCs w:val="24"/>
        </w:rPr>
      </w:pPr>
      <w:r>
        <w:rPr>
          <w:rFonts w:ascii="宋体" w:hAnsi="宋体" w:eastAsia="宋体"/>
          <w:bCs/>
          <w:kern w:val="0"/>
          <w:szCs w:val="24"/>
        </w:rPr>
        <w:t>（</w:t>
      </w:r>
      <w:r>
        <w:rPr>
          <w:rFonts w:eastAsia="宋体"/>
          <w:bCs/>
          <w:kern w:val="0"/>
          <w:szCs w:val="24"/>
        </w:rPr>
        <w:t>1</w:t>
      </w:r>
      <w:r>
        <w:rPr>
          <w:rFonts w:ascii="宋体" w:hAnsi="宋体" w:eastAsia="宋体"/>
          <w:bCs/>
          <w:kern w:val="0"/>
          <w:szCs w:val="24"/>
        </w:rPr>
        <w:t>）加强安全、消防和环保管理，建立健全环保、安全、消防、各项制度，设置环保、安全、消防设施专职管理人员，保证环保设施正常运行或处理于良好的待命状态。</w:t>
      </w:r>
    </w:p>
    <w:p>
      <w:pPr>
        <w:spacing w:line="360" w:lineRule="auto"/>
        <w:ind w:firstLine="480" w:firstLineChars="200"/>
        <w:rPr>
          <w:rFonts w:eastAsia="宋体"/>
          <w:bCs/>
          <w:kern w:val="0"/>
          <w:szCs w:val="24"/>
        </w:rPr>
      </w:pPr>
      <w:r>
        <w:rPr>
          <w:rFonts w:ascii="宋体" w:hAnsi="宋体" w:eastAsia="宋体"/>
          <w:bCs/>
          <w:kern w:val="0"/>
          <w:szCs w:val="24"/>
        </w:rPr>
        <w:t>（</w:t>
      </w:r>
      <w:r>
        <w:rPr>
          <w:rFonts w:eastAsia="宋体"/>
          <w:bCs/>
          <w:kern w:val="0"/>
          <w:szCs w:val="24"/>
        </w:rPr>
        <w:t>2</w:t>
      </w:r>
      <w:r>
        <w:rPr>
          <w:rFonts w:ascii="宋体" w:hAnsi="宋体" w:eastAsia="宋体"/>
          <w:bCs/>
          <w:kern w:val="0"/>
          <w:szCs w:val="24"/>
        </w:rPr>
        <w:t>）加强事故安全教育，企业内全体人员都应认识到消灭事故苗头、安全生产、杜绝事故的意义和重要性；都应了解风险事故处理程序和要求，了解处理事故的措施和器材的使用方法，特别是明确自己在处理事故中的职责。</w:t>
      </w:r>
    </w:p>
    <w:p>
      <w:pPr>
        <w:spacing w:line="360" w:lineRule="auto"/>
        <w:ind w:firstLine="480" w:firstLineChars="200"/>
        <w:rPr>
          <w:rFonts w:eastAsia="宋体"/>
          <w:bCs/>
          <w:kern w:val="0"/>
          <w:szCs w:val="24"/>
        </w:rPr>
      </w:pPr>
      <w:r>
        <w:rPr>
          <w:rFonts w:ascii="宋体" w:hAnsi="宋体" w:eastAsia="宋体"/>
          <w:bCs/>
          <w:kern w:val="0"/>
          <w:szCs w:val="24"/>
        </w:rPr>
        <w:t>（</w:t>
      </w:r>
      <w:r>
        <w:rPr>
          <w:rFonts w:eastAsia="宋体"/>
          <w:bCs/>
          <w:kern w:val="0"/>
          <w:szCs w:val="24"/>
        </w:rPr>
        <w:t>3</w:t>
      </w:r>
      <w:r>
        <w:rPr>
          <w:rFonts w:ascii="宋体" w:hAnsi="宋体" w:eastAsia="宋体"/>
          <w:bCs/>
          <w:kern w:val="0"/>
          <w:szCs w:val="24"/>
        </w:rPr>
        <w:t>）在危险品仓库中，化学药品应分门别类单独存放，特别是互相干扰、互相影响的物品应隔离存放；非操作人员不得随意进出；特殊化学品存放应有标示牌和安全使用说明。</w:t>
      </w:r>
    </w:p>
    <w:p>
      <w:pPr>
        <w:spacing w:line="360" w:lineRule="auto"/>
        <w:ind w:firstLine="480" w:firstLineChars="200"/>
        <w:rPr>
          <w:rFonts w:eastAsia="宋体"/>
          <w:bCs/>
          <w:kern w:val="0"/>
          <w:szCs w:val="24"/>
        </w:rPr>
      </w:pPr>
      <w:r>
        <w:rPr>
          <w:rFonts w:ascii="宋体" w:hAnsi="宋体" w:eastAsia="宋体"/>
          <w:bCs/>
          <w:kern w:val="0"/>
          <w:szCs w:val="24"/>
        </w:rPr>
        <w:t>（</w:t>
      </w:r>
      <w:r>
        <w:rPr>
          <w:rFonts w:eastAsia="宋体"/>
          <w:bCs/>
          <w:kern w:val="0"/>
          <w:szCs w:val="24"/>
        </w:rPr>
        <w:t>4</w:t>
      </w:r>
      <w:r>
        <w:rPr>
          <w:rFonts w:ascii="宋体" w:hAnsi="宋体" w:eastAsia="宋体"/>
          <w:bCs/>
          <w:kern w:val="0"/>
          <w:szCs w:val="24"/>
        </w:rPr>
        <w:t>）危险化学品必须由专门的运输车辆运输，要求押运人员持有押运证，并携带安全资料表。装卸过程要轻装轻放，避免撞击、重压和摩擦。</w:t>
      </w:r>
    </w:p>
    <w:p>
      <w:pPr>
        <w:spacing w:line="360" w:lineRule="auto"/>
        <w:ind w:firstLine="480" w:firstLineChars="200"/>
        <w:rPr>
          <w:rFonts w:eastAsia="宋体"/>
          <w:bCs/>
          <w:kern w:val="0"/>
          <w:szCs w:val="24"/>
        </w:rPr>
      </w:pPr>
      <w:r>
        <w:rPr>
          <w:rFonts w:ascii="宋体" w:hAnsi="宋体" w:eastAsia="宋体"/>
          <w:bCs/>
          <w:kern w:val="0"/>
          <w:szCs w:val="24"/>
        </w:rPr>
        <w:t>（</w:t>
      </w:r>
      <w:r>
        <w:rPr>
          <w:rFonts w:eastAsia="宋体"/>
          <w:bCs/>
          <w:kern w:val="0"/>
          <w:szCs w:val="24"/>
        </w:rPr>
        <w:t>5</w:t>
      </w:r>
      <w:r>
        <w:rPr>
          <w:rFonts w:ascii="宋体" w:hAnsi="宋体" w:eastAsia="宋体"/>
          <w:bCs/>
          <w:kern w:val="0"/>
          <w:szCs w:val="24"/>
        </w:rPr>
        <w:t>）建立事故应急预案，包括预防措施、应急措施及事故处理三方面。</w:t>
      </w:r>
    </w:p>
    <w:p>
      <w:pPr>
        <w:spacing w:line="360" w:lineRule="auto"/>
        <w:ind w:firstLine="480" w:firstLineChars="200"/>
        <w:rPr>
          <w:rFonts w:eastAsia="宋体"/>
          <w:bCs/>
          <w:kern w:val="0"/>
          <w:szCs w:val="24"/>
        </w:rPr>
      </w:pPr>
      <w:r>
        <w:rPr>
          <w:rFonts w:ascii="宋体" w:hAnsi="宋体" w:eastAsia="宋体"/>
          <w:bCs/>
          <w:kern w:val="0"/>
          <w:szCs w:val="24"/>
        </w:rPr>
        <w:t>（</w:t>
      </w:r>
      <w:r>
        <w:rPr>
          <w:rFonts w:eastAsia="宋体"/>
          <w:bCs/>
          <w:kern w:val="0"/>
          <w:szCs w:val="24"/>
        </w:rPr>
        <w:t>6</w:t>
      </w:r>
      <w:r>
        <w:rPr>
          <w:rFonts w:ascii="宋体" w:hAnsi="宋体" w:eastAsia="宋体"/>
          <w:bCs/>
          <w:kern w:val="0"/>
          <w:szCs w:val="24"/>
        </w:rPr>
        <w:t>）预防措施内容：预防事故的各种措施，包括防止泄漏的化学品向四周扩散，并起到隔离作用的具体措施。</w:t>
      </w:r>
    </w:p>
    <w:p>
      <w:pPr>
        <w:spacing w:line="360" w:lineRule="auto"/>
        <w:ind w:firstLine="480" w:firstLineChars="200"/>
        <w:rPr>
          <w:rFonts w:eastAsia="宋体"/>
          <w:bCs/>
          <w:kern w:val="0"/>
          <w:szCs w:val="24"/>
        </w:rPr>
      </w:pPr>
      <w:r>
        <w:rPr>
          <w:rFonts w:ascii="宋体" w:hAnsi="宋体" w:eastAsia="宋体"/>
          <w:bCs/>
          <w:kern w:val="0"/>
          <w:szCs w:val="24"/>
        </w:rPr>
        <w:t>（</w:t>
      </w:r>
      <w:r>
        <w:rPr>
          <w:rFonts w:eastAsia="宋体"/>
          <w:bCs/>
          <w:kern w:val="0"/>
          <w:szCs w:val="24"/>
        </w:rPr>
        <w:t>7</w:t>
      </w:r>
      <w:r>
        <w:rPr>
          <w:rFonts w:ascii="宋体" w:hAnsi="宋体" w:eastAsia="宋体"/>
          <w:bCs/>
          <w:kern w:val="0"/>
          <w:szCs w:val="24"/>
        </w:rPr>
        <w:t>）应急措施内容：一旦出事故，立即由平时的生产管理体制转为事故处理管理体制，应付处理事故的指挥决策。对于化学品泄漏事故，主要应急措施是断源</w:t>
      </w:r>
      <w:r>
        <w:rPr>
          <w:rFonts w:eastAsia="宋体"/>
          <w:bCs/>
          <w:kern w:val="0"/>
          <w:szCs w:val="24"/>
        </w:rPr>
        <w:t>(</w:t>
      </w:r>
      <w:r>
        <w:rPr>
          <w:rFonts w:ascii="宋体" w:hAnsi="宋体" w:eastAsia="宋体"/>
          <w:bCs/>
          <w:kern w:val="0"/>
          <w:szCs w:val="24"/>
        </w:rPr>
        <w:t>减少泄出量</w:t>
      </w:r>
      <w:r>
        <w:rPr>
          <w:rFonts w:eastAsia="宋体"/>
          <w:bCs/>
          <w:kern w:val="0"/>
          <w:szCs w:val="24"/>
        </w:rPr>
        <w:t>)</w:t>
      </w:r>
      <w:r>
        <w:rPr>
          <w:rFonts w:ascii="宋体" w:hAnsi="宋体" w:eastAsia="宋体"/>
          <w:bCs/>
          <w:kern w:val="0"/>
          <w:szCs w:val="24"/>
        </w:rPr>
        <w:t>、隔离</w:t>
      </w:r>
      <w:r>
        <w:rPr>
          <w:rFonts w:eastAsia="宋体"/>
          <w:bCs/>
          <w:kern w:val="0"/>
          <w:szCs w:val="24"/>
        </w:rPr>
        <w:t>(</w:t>
      </w:r>
      <w:r>
        <w:rPr>
          <w:rFonts w:ascii="宋体" w:hAnsi="宋体" w:eastAsia="宋体"/>
          <w:bCs/>
          <w:kern w:val="0"/>
          <w:szCs w:val="24"/>
        </w:rPr>
        <w:t>将事故区域与其它区域隔离，避免影响扩大</w:t>
      </w:r>
      <w:r>
        <w:rPr>
          <w:rFonts w:eastAsia="宋体"/>
          <w:bCs/>
          <w:kern w:val="0"/>
          <w:szCs w:val="24"/>
        </w:rPr>
        <w:t>)</w:t>
      </w:r>
      <w:r>
        <w:rPr>
          <w:rFonts w:ascii="宋体" w:hAnsi="宋体" w:eastAsia="宋体"/>
          <w:bCs/>
          <w:kern w:val="0"/>
          <w:szCs w:val="24"/>
        </w:rPr>
        <w:t>、回收</w:t>
      </w:r>
      <w:r>
        <w:rPr>
          <w:rFonts w:eastAsia="宋体"/>
          <w:bCs/>
          <w:kern w:val="0"/>
          <w:szCs w:val="24"/>
        </w:rPr>
        <w:t>(</w:t>
      </w:r>
      <w:r>
        <w:rPr>
          <w:rFonts w:ascii="宋体" w:hAnsi="宋体" w:eastAsia="宋体"/>
          <w:bCs/>
          <w:kern w:val="0"/>
          <w:szCs w:val="24"/>
        </w:rPr>
        <w:t>尽可能将泄出的化学品收集起来处理</w:t>
      </w:r>
      <w:r>
        <w:rPr>
          <w:rFonts w:eastAsia="宋体"/>
          <w:bCs/>
          <w:kern w:val="0"/>
          <w:szCs w:val="24"/>
        </w:rPr>
        <w:t>)</w:t>
      </w:r>
      <w:r>
        <w:rPr>
          <w:rFonts w:ascii="宋体" w:hAnsi="宋体" w:eastAsia="宋体"/>
          <w:bCs/>
          <w:kern w:val="0"/>
          <w:szCs w:val="24"/>
        </w:rPr>
        <w:t>、清污</w:t>
      </w:r>
      <w:r>
        <w:rPr>
          <w:rFonts w:eastAsia="宋体"/>
          <w:bCs/>
          <w:kern w:val="0"/>
          <w:szCs w:val="24"/>
        </w:rPr>
        <w:t>(</w:t>
      </w:r>
      <w:r>
        <w:rPr>
          <w:rFonts w:ascii="宋体" w:hAnsi="宋体" w:eastAsia="宋体"/>
          <w:bCs/>
          <w:kern w:val="0"/>
          <w:szCs w:val="24"/>
        </w:rPr>
        <w:t>处理已泄出化学品造成的后果</w:t>
      </w:r>
      <w:r>
        <w:rPr>
          <w:rFonts w:eastAsia="宋体"/>
          <w:bCs/>
          <w:kern w:val="0"/>
          <w:szCs w:val="24"/>
        </w:rPr>
        <w:t>)</w:t>
      </w:r>
      <w:r>
        <w:rPr>
          <w:rFonts w:ascii="宋体" w:hAnsi="宋体" w:eastAsia="宋体"/>
          <w:bCs/>
          <w:kern w:val="0"/>
          <w:szCs w:val="24"/>
        </w:rPr>
        <w:t>和上报</w:t>
      </w:r>
      <w:r>
        <w:rPr>
          <w:rFonts w:eastAsia="宋体"/>
          <w:bCs/>
          <w:kern w:val="0"/>
          <w:szCs w:val="24"/>
        </w:rPr>
        <w:t>(</w:t>
      </w:r>
      <w:r>
        <w:rPr>
          <w:rFonts w:ascii="宋体" w:hAnsi="宋体" w:eastAsia="宋体"/>
          <w:bCs/>
          <w:kern w:val="0"/>
          <w:szCs w:val="24"/>
        </w:rPr>
        <w:t>上报有关部门</w:t>
      </w:r>
      <w:r>
        <w:rPr>
          <w:rFonts w:eastAsia="宋体"/>
          <w:bCs/>
          <w:kern w:val="0"/>
          <w:szCs w:val="24"/>
        </w:rPr>
        <w:t>)</w:t>
      </w:r>
      <w:r>
        <w:rPr>
          <w:rFonts w:ascii="宋体" w:hAnsi="宋体" w:eastAsia="宋体"/>
          <w:bCs/>
          <w:kern w:val="0"/>
          <w:szCs w:val="24"/>
        </w:rPr>
        <w:t>。</w:t>
      </w:r>
    </w:p>
    <w:p>
      <w:pPr>
        <w:spacing w:line="360" w:lineRule="auto"/>
        <w:ind w:firstLine="480" w:firstLineChars="200"/>
        <w:rPr>
          <w:rFonts w:eastAsia="华文楷体"/>
          <w:bCs/>
          <w:sz w:val="32"/>
          <w:szCs w:val="32"/>
        </w:rPr>
      </w:pPr>
      <w:r>
        <w:rPr>
          <w:rFonts w:ascii="宋体" w:hAnsi="宋体" w:eastAsia="宋体"/>
          <w:bCs/>
          <w:kern w:val="0"/>
          <w:szCs w:val="24"/>
        </w:rPr>
        <w:t>（</w:t>
      </w:r>
      <w:r>
        <w:rPr>
          <w:rFonts w:eastAsia="宋体"/>
          <w:bCs/>
          <w:kern w:val="0"/>
          <w:szCs w:val="24"/>
        </w:rPr>
        <w:t>8</w:t>
      </w:r>
      <w:r>
        <w:rPr>
          <w:rFonts w:ascii="宋体" w:hAnsi="宋体" w:eastAsia="宋体"/>
          <w:bCs/>
          <w:kern w:val="0"/>
          <w:szCs w:val="24"/>
        </w:rPr>
        <w:t>）事故处理有关内容：清理现场，维修设备厂，查清事故原因，处理人员伤亡事件，了解现场及周围环境污染程度并及时处理污染事故。</w:t>
      </w:r>
    </w:p>
    <w:p>
      <w:pPr>
        <w:pStyle w:val="5"/>
        <w:rPr>
          <w:kern w:val="0"/>
        </w:rPr>
      </w:pPr>
      <w:r>
        <w:rPr>
          <w:kern w:val="0"/>
        </w:rPr>
        <w:t>氧气储存的风险措施</w:t>
      </w:r>
    </w:p>
    <w:p>
      <w:pPr>
        <w:spacing w:line="360" w:lineRule="auto"/>
        <w:ind w:firstLine="480" w:firstLineChars="200"/>
        <w:rPr>
          <w:rFonts w:eastAsia="宋体"/>
          <w:kern w:val="0"/>
          <w:szCs w:val="24"/>
        </w:rPr>
      </w:pPr>
      <w:r>
        <w:rPr>
          <w:rFonts w:hint="eastAsia" w:ascii="宋体" w:hAnsi="宋体" w:eastAsia="宋体"/>
          <w:bCs/>
          <w:kern w:val="0"/>
          <w:szCs w:val="24"/>
        </w:rPr>
        <w:t>（</w:t>
      </w:r>
      <w:r>
        <w:rPr>
          <w:rFonts w:hint="eastAsia" w:eastAsia="宋体"/>
          <w:bCs/>
          <w:kern w:val="0"/>
          <w:szCs w:val="24"/>
        </w:rPr>
        <w:t>1</w:t>
      </w:r>
      <w:r>
        <w:rPr>
          <w:rFonts w:hint="eastAsia" w:ascii="宋体" w:hAnsi="宋体" w:eastAsia="宋体"/>
          <w:bCs/>
          <w:kern w:val="0"/>
          <w:szCs w:val="24"/>
        </w:rPr>
        <w:t>）定期检查装置的气密性防止出现泄漏。</w:t>
      </w:r>
    </w:p>
    <w:p>
      <w:pPr>
        <w:spacing w:line="360" w:lineRule="auto"/>
        <w:ind w:firstLine="480" w:firstLineChars="200"/>
        <w:rPr>
          <w:rFonts w:eastAsia="宋体"/>
          <w:bCs/>
          <w:kern w:val="0"/>
          <w:szCs w:val="24"/>
        </w:rPr>
      </w:pPr>
      <w:r>
        <w:rPr>
          <w:rFonts w:hint="eastAsia" w:ascii="宋体" w:hAnsi="宋体" w:eastAsia="宋体"/>
          <w:bCs/>
          <w:kern w:val="0"/>
          <w:szCs w:val="24"/>
        </w:rPr>
        <w:t>（</w:t>
      </w:r>
      <w:r>
        <w:rPr>
          <w:rFonts w:hint="eastAsia" w:eastAsia="宋体"/>
          <w:bCs/>
          <w:kern w:val="0"/>
          <w:szCs w:val="24"/>
        </w:rPr>
        <w:t>2</w:t>
      </w:r>
      <w:r>
        <w:rPr>
          <w:rFonts w:hint="eastAsia" w:ascii="宋体" w:hAnsi="宋体" w:eastAsia="宋体"/>
          <w:bCs/>
          <w:kern w:val="0"/>
          <w:szCs w:val="24"/>
        </w:rPr>
        <w:t>）储存设施要向正规厂家购置。</w:t>
      </w:r>
    </w:p>
    <w:p>
      <w:pPr>
        <w:spacing w:line="360" w:lineRule="auto"/>
        <w:ind w:firstLine="480" w:firstLineChars="200"/>
        <w:rPr>
          <w:rFonts w:eastAsia="宋体"/>
          <w:bCs/>
          <w:kern w:val="0"/>
          <w:szCs w:val="24"/>
        </w:rPr>
      </w:pPr>
      <w:r>
        <w:rPr>
          <w:rFonts w:hint="eastAsia" w:ascii="宋体" w:hAnsi="宋体" w:eastAsia="宋体"/>
          <w:bCs/>
          <w:kern w:val="0"/>
          <w:szCs w:val="24"/>
        </w:rPr>
        <w:t>（</w:t>
      </w:r>
      <w:r>
        <w:rPr>
          <w:rFonts w:hint="eastAsia" w:eastAsia="宋体"/>
          <w:bCs/>
          <w:kern w:val="0"/>
          <w:szCs w:val="24"/>
        </w:rPr>
        <w:t>3</w:t>
      </w:r>
      <w:r>
        <w:rPr>
          <w:rFonts w:hint="eastAsia" w:ascii="宋体" w:hAnsi="宋体" w:eastAsia="宋体"/>
          <w:bCs/>
          <w:kern w:val="0"/>
          <w:szCs w:val="24"/>
        </w:rPr>
        <w:t>）严禁员工携带火种作业。</w:t>
      </w:r>
    </w:p>
    <w:p>
      <w:pPr>
        <w:spacing w:line="360" w:lineRule="auto"/>
        <w:ind w:firstLine="480" w:firstLineChars="200"/>
        <w:rPr>
          <w:rFonts w:eastAsia="宋体"/>
          <w:bCs/>
          <w:kern w:val="0"/>
          <w:szCs w:val="24"/>
        </w:rPr>
      </w:pPr>
      <w:r>
        <w:rPr>
          <w:rFonts w:hint="eastAsia" w:ascii="宋体" w:hAnsi="宋体" w:eastAsia="宋体"/>
          <w:bCs/>
          <w:kern w:val="0"/>
          <w:szCs w:val="24"/>
        </w:rPr>
        <w:t>（</w:t>
      </w:r>
      <w:r>
        <w:rPr>
          <w:rFonts w:hint="eastAsia" w:eastAsia="宋体"/>
          <w:bCs/>
          <w:kern w:val="0"/>
          <w:szCs w:val="24"/>
        </w:rPr>
        <w:t>4</w:t>
      </w:r>
      <w:r>
        <w:rPr>
          <w:rFonts w:hint="eastAsia" w:ascii="宋体" w:hAnsi="宋体" w:eastAsia="宋体"/>
          <w:bCs/>
          <w:kern w:val="0"/>
          <w:szCs w:val="24"/>
        </w:rPr>
        <w:t>）储存室配备消防设施</w:t>
      </w:r>
    </w:p>
    <w:p>
      <w:pPr>
        <w:spacing w:line="360" w:lineRule="auto"/>
        <w:ind w:firstLine="480" w:firstLineChars="200"/>
        <w:rPr>
          <w:rFonts w:ascii="宋体" w:hAnsi="宋体" w:eastAsia="宋体"/>
          <w:bCs/>
          <w:kern w:val="0"/>
          <w:szCs w:val="24"/>
        </w:rPr>
      </w:pPr>
      <w:r>
        <w:rPr>
          <w:rFonts w:hint="eastAsia" w:ascii="宋体" w:hAnsi="宋体" w:eastAsia="宋体"/>
          <w:bCs/>
          <w:kern w:val="0"/>
          <w:szCs w:val="24"/>
        </w:rPr>
        <w:t>（</w:t>
      </w:r>
      <w:r>
        <w:rPr>
          <w:rFonts w:hint="eastAsia" w:eastAsia="宋体"/>
          <w:bCs/>
          <w:kern w:val="0"/>
          <w:szCs w:val="24"/>
        </w:rPr>
        <w:t>5</w:t>
      </w:r>
      <w:r>
        <w:rPr>
          <w:rFonts w:hint="eastAsia" w:ascii="宋体" w:hAnsi="宋体" w:eastAsia="宋体"/>
          <w:bCs/>
          <w:kern w:val="0"/>
          <w:szCs w:val="24"/>
        </w:rPr>
        <w:t>）一旦发生事故，要启动应急预案，引导人群有序疏散。</w:t>
      </w:r>
    </w:p>
    <w:p>
      <w:pPr>
        <w:pStyle w:val="5"/>
        <w:rPr>
          <w:kern w:val="0"/>
        </w:rPr>
      </w:pPr>
      <w:r>
        <w:rPr>
          <w:rFonts w:hint="eastAsia"/>
          <w:kern w:val="0"/>
        </w:rPr>
        <w:t>风险防范措施</w:t>
      </w:r>
    </w:p>
    <w:p>
      <w:pPr>
        <w:pStyle w:val="155"/>
        <w:ind w:firstLine="480"/>
        <w:rPr>
          <w:color w:val="000000"/>
        </w:rPr>
      </w:pPr>
      <w:r>
        <w:rPr>
          <w:rFonts w:ascii="宋体" w:hAnsi="宋体"/>
          <w:color w:val="000000"/>
        </w:rPr>
        <w:t>鉴于医疗废物的极大危害性，本项目在收集、贮存、运送医疗废物的过程中存在着一定风险，为保证项目产生的医疗废物得到有效处置，使其风险减少到最小程度，而不会对环境造成不良影响。针对医疗危险废物的处理特点，按照《医疗卫生机构医疗废物管理办法》</w:t>
      </w:r>
      <w:r>
        <w:rPr>
          <w:color w:val="000000"/>
        </w:rPr>
        <w:t>(</w:t>
      </w:r>
      <w:r>
        <w:rPr>
          <w:rFonts w:ascii="宋体" w:hAnsi="宋体"/>
          <w:color w:val="000000"/>
        </w:rPr>
        <w:t>中华人民共和国卫生部第</w:t>
      </w:r>
      <w:r>
        <w:rPr>
          <w:color w:val="000000"/>
        </w:rPr>
        <w:t>36</w:t>
      </w:r>
      <w:r>
        <w:rPr>
          <w:rFonts w:ascii="宋体" w:hAnsi="宋体"/>
          <w:color w:val="000000"/>
        </w:rPr>
        <w:t>号</w:t>
      </w:r>
      <w:r>
        <w:rPr>
          <w:color w:val="000000"/>
        </w:rPr>
        <w:t>)</w:t>
      </w:r>
      <w:r>
        <w:rPr>
          <w:rFonts w:ascii="宋体" w:hAnsi="宋体"/>
          <w:color w:val="000000"/>
        </w:rPr>
        <w:t>、《医疗废物管理条例》、《医疗废物集中处置技术规范</w:t>
      </w:r>
      <w:r>
        <w:rPr>
          <w:color w:val="000000"/>
        </w:rPr>
        <w:t>(</w:t>
      </w:r>
      <w:r>
        <w:rPr>
          <w:rFonts w:ascii="宋体" w:hAnsi="宋体"/>
          <w:color w:val="000000"/>
        </w:rPr>
        <w:t>试行</w:t>
      </w:r>
      <w:r>
        <w:rPr>
          <w:color w:val="000000"/>
        </w:rPr>
        <w:t>)</w:t>
      </w:r>
      <w:r>
        <w:rPr>
          <w:rFonts w:ascii="宋体" w:hAnsi="宋体"/>
          <w:color w:val="000000"/>
        </w:rPr>
        <w:t>》、《医疗废物专用包装物、容器标准和警示标识规范》、《医疗废物转运车技术要求</w:t>
      </w:r>
      <w:r>
        <w:rPr>
          <w:color w:val="000000"/>
        </w:rPr>
        <w:t>(</w:t>
      </w:r>
      <w:r>
        <w:rPr>
          <w:rFonts w:ascii="宋体" w:hAnsi="宋体"/>
          <w:color w:val="000000"/>
        </w:rPr>
        <w:t>试行</w:t>
      </w:r>
      <w:r>
        <w:rPr>
          <w:color w:val="000000"/>
        </w:rPr>
        <w:t>)</w:t>
      </w:r>
      <w:r>
        <w:rPr>
          <w:rFonts w:ascii="宋体" w:hAnsi="宋体"/>
          <w:color w:val="000000"/>
        </w:rPr>
        <w:t>》等相关规范，本项目拟采取如下防范措施：</w:t>
      </w:r>
    </w:p>
    <w:p>
      <w:pPr>
        <w:pStyle w:val="155"/>
        <w:ind w:firstLine="480"/>
        <w:rPr>
          <w:color w:val="000000"/>
        </w:rPr>
      </w:pPr>
      <w:r>
        <w:rPr>
          <w:rFonts w:ascii="宋体" w:hAnsi="宋体"/>
          <w:color w:val="000000"/>
        </w:rPr>
        <w:t>（</w:t>
      </w:r>
      <w:r>
        <w:rPr>
          <w:color w:val="000000"/>
        </w:rPr>
        <w:t>1</w:t>
      </w:r>
      <w:r>
        <w:rPr>
          <w:rFonts w:ascii="宋体" w:hAnsi="宋体"/>
          <w:color w:val="000000"/>
        </w:rPr>
        <w:t>）分类收集医疗废物科学的分类是消除污染、无害化处置的保证，要采用专用容器，明确各类废物标识，分类包装、分类堆放。并本着及时、方便、安全、快捷的原则进行收集。</w:t>
      </w:r>
    </w:p>
    <w:p>
      <w:pPr>
        <w:pStyle w:val="155"/>
        <w:ind w:firstLine="480"/>
        <w:rPr>
          <w:color w:val="000000"/>
        </w:rPr>
      </w:pPr>
      <w:r>
        <w:rPr>
          <w:rFonts w:hint="eastAsia"/>
          <w:color w:val="000000"/>
        </w:rPr>
        <w:t>①</w:t>
      </w:r>
      <w:r>
        <w:rPr>
          <w:rFonts w:ascii="宋体" w:hAnsi="宋体"/>
          <w:color w:val="000000"/>
        </w:rPr>
        <w:t>根据医疗废物的类别，将医疗废物分置于符合《医疗废物专用包装物、容器的标准和警示标识的规定》的包装物或者容器内；</w:t>
      </w:r>
    </w:p>
    <w:p>
      <w:pPr>
        <w:pStyle w:val="155"/>
        <w:ind w:firstLine="480"/>
        <w:rPr>
          <w:color w:val="000000"/>
        </w:rPr>
      </w:pPr>
      <w:r>
        <w:rPr>
          <w:rFonts w:hint="eastAsia"/>
          <w:color w:val="000000"/>
        </w:rPr>
        <w:t>②</w:t>
      </w:r>
      <w:r>
        <w:rPr>
          <w:rFonts w:ascii="宋体" w:hAnsi="宋体"/>
          <w:color w:val="000000"/>
        </w:rPr>
        <w:t>在盛装医疗废物前，应当对医疗废物包装物或者容器进行认真检查，确保无破损、渗漏和其它缺陷；</w:t>
      </w:r>
    </w:p>
    <w:p>
      <w:pPr>
        <w:pStyle w:val="155"/>
        <w:ind w:firstLine="480"/>
        <w:rPr>
          <w:color w:val="000000"/>
        </w:rPr>
      </w:pPr>
      <w:r>
        <w:rPr>
          <w:rFonts w:hint="eastAsia"/>
        </w:rPr>
        <w:t>③</w:t>
      </w:r>
      <w:r>
        <w:rPr>
          <w:rFonts w:ascii="宋体" w:hAnsi="宋体"/>
          <w:color w:val="000000"/>
        </w:rPr>
        <w:t>废弃的精神、放射性等药品及其相关的废物的管理，依照有关法律、行政法规和国家有关规定、标准执行；</w:t>
      </w:r>
    </w:p>
    <w:p>
      <w:pPr>
        <w:spacing w:line="360" w:lineRule="auto"/>
        <w:ind w:firstLine="480" w:firstLineChars="200"/>
        <w:rPr>
          <w:rFonts w:asciiTheme="minorEastAsia" w:hAnsiTheme="minorEastAsia"/>
        </w:rPr>
      </w:pPr>
      <w:r>
        <w:rPr>
          <w:rFonts w:hint="eastAsia" w:asciiTheme="minorEastAsia" w:hAnsiTheme="minorEastAsia"/>
        </w:rPr>
        <w:t>④</w:t>
      </w:r>
      <w:r>
        <w:rPr>
          <w:rFonts w:asciiTheme="minorEastAsia" w:hAnsiTheme="minorEastAsia"/>
        </w:rPr>
        <w:t>批量的含有汞的体温计、血压计等医疗器具报废时，应当交由专门机构处置；</w:t>
      </w:r>
    </w:p>
    <w:p>
      <w:pPr>
        <w:spacing w:line="360" w:lineRule="auto"/>
        <w:ind w:firstLine="480" w:firstLineChars="200"/>
        <w:rPr>
          <w:rFonts w:asciiTheme="minorEastAsia" w:hAnsiTheme="minorEastAsia"/>
        </w:rPr>
      </w:pPr>
      <w:r>
        <w:rPr>
          <w:rFonts w:hint="eastAsia" w:asciiTheme="minorEastAsia" w:hAnsiTheme="minorEastAsia"/>
        </w:rPr>
        <w:t>⑤</w:t>
      </w:r>
      <w:r>
        <w:rPr>
          <w:rFonts w:asciiTheme="minorEastAsia" w:hAnsiTheme="minorEastAsia"/>
        </w:rPr>
        <w:t>废消毒剂应当交由专门机构处置</w:t>
      </w:r>
      <w:r>
        <w:rPr>
          <w:rFonts w:hint="eastAsia" w:asciiTheme="minorEastAsia" w:hAnsiTheme="minorEastAsia"/>
        </w:rPr>
        <w:t>；</w:t>
      </w:r>
    </w:p>
    <w:p>
      <w:pPr>
        <w:spacing w:line="360" w:lineRule="auto"/>
        <w:ind w:firstLine="480" w:firstLineChars="200"/>
        <w:rPr>
          <w:rFonts w:asciiTheme="minorEastAsia" w:hAnsiTheme="minorEastAsia"/>
        </w:rPr>
      </w:pPr>
      <w:r>
        <w:rPr>
          <w:rFonts w:hint="eastAsia" w:asciiTheme="minorEastAsia" w:hAnsiTheme="minorEastAsia"/>
        </w:rPr>
        <w:t>⑥</w:t>
      </w:r>
      <w:r>
        <w:rPr>
          <w:rFonts w:asciiTheme="minorEastAsia" w:hAnsiTheme="minorEastAsia"/>
        </w:rPr>
        <w:t>当盛装的医疗废物达到包装物或容器的3/4时，应当使用有效的封口方式，使包装或容器的封口紧实、严密</w:t>
      </w:r>
      <w:r>
        <w:rPr>
          <w:rFonts w:hint="eastAsia" w:asciiTheme="minorEastAsia" w:hAnsiTheme="minorEastAsia"/>
        </w:rPr>
        <w:t>；</w:t>
      </w:r>
    </w:p>
    <w:p>
      <w:pPr>
        <w:spacing w:line="360" w:lineRule="auto"/>
        <w:ind w:firstLine="480" w:firstLineChars="200"/>
        <w:rPr>
          <w:rFonts w:asciiTheme="minorEastAsia" w:hAnsiTheme="minorEastAsia"/>
        </w:rPr>
      </w:pPr>
      <w:r>
        <w:rPr>
          <w:rFonts w:hint="eastAsia" w:asciiTheme="minorEastAsia" w:hAnsiTheme="minorEastAsia"/>
        </w:rPr>
        <w:t>⑦</w:t>
      </w:r>
      <w:r>
        <w:rPr>
          <w:rFonts w:asciiTheme="minorEastAsia" w:hAnsiTheme="minorEastAsia"/>
        </w:rPr>
        <w:t>盛装医疗废物的每个包装物、容器外表面应当有警示标识，在每个包装物、容器上应当系中文标签，中文标签的内容应当包括：医疗废物产生单位、产生日期、类别及需要的特别说明等</w:t>
      </w:r>
      <w:r>
        <w:rPr>
          <w:rFonts w:hint="eastAsia" w:asciiTheme="minorEastAsia" w:hAnsiTheme="minorEastAsia"/>
        </w:rPr>
        <w:t>；</w:t>
      </w:r>
    </w:p>
    <w:p>
      <w:pPr>
        <w:pStyle w:val="155"/>
        <w:ind w:firstLine="480"/>
        <w:rPr>
          <w:rFonts w:ascii="宋体" w:hAnsi="宋体"/>
          <w:color w:val="000000"/>
        </w:rPr>
      </w:pPr>
      <w:r>
        <w:rPr>
          <w:rFonts w:hint="eastAsia" w:asciiTheme="minorEastAsia" w:hAnsiTheme="minorEastAsia" w:eastAsiaTheme="minorEastAsia"/>
        </w:rPr>
        <w:t>⑧</w:t>
      </w:r>
      <w:r>
        <w:rPr>
          <w:rFonts w:ascii="宋体" w:hAnsi="宋体"/>
          <w:color w:val="000000"/>
        </w:rPr>
        <w:t>所有锐利物都必须单独存放，并统一按医学废物处理。收集锐利物日包装容器必须使用硬质、防漏、防刺破材料。针或刀应保存在有明显标记、防泄漏、防刺破的容器内</w:t>
      </w:r>
      <w:r>
        <w:rPr>
          <w:rFonts w:hint="eastAsia" w:ascii="宋体" w:hAnsi="宋体"/>
          <w:color w:val="000000"/>
        </w:rPr>
        <w:t>；</w:t>
      </w:r>
    </w:p>
    <w:p>
      <w:pPr>
        <w:pStyle w:val="155"/>
        <w:ind w:firstLine="480"/>
        <w:rPr>
          <w:color w:val="000000"/>
        </w:rPr>
      </w:pPr>
      <w:r>
        <w:rPr>
          <w:rFonts w:hint="eastAsia" w:ascii="宋体" w:hAnsi="宋体"/>
          <w:color w:val="000000"/>
        </w:rPr>
        <w:t>⑨</w:t>
      </w:r>
      <w:r>
        <w:rPr>
          <w:rFonts w:ascii="宋体" w:hAnsi="宋体"/>
          <w:color w:val="000000"/>
        </w:rPr>
        <w:t>有害化学废物不能与一般废物、无害化学废物相混合，稀释通常不能使有害化学废物的毒性减低。有害化学废物在产生后应分别收集、运输、贮存和处理；必须混合时，应注意不兼容性。为保证有害废料在产生、堆集和保存期不发生意外、泄漏、破损等，应采取必要的控制措施，如：通风措施、相对封闭及隔离系统、安全措施、防火措施和安全通道。在化学废料的产生、处理、堆集、保存期间，对其包装及标签要求如下：根据废物种类使用废物容器、使用有害废物的标签或标记，在任何时候都确保废物容器的密闭性，采用有皱的包装材料包装易碎的玻璃和塑料制品时，在包装中间同时加入吸附性材料。</w:t>
      </w:r>
    </w:p>
    <w:p>
      <w:pPr>
        <w:pStyle w:val="155"/>
        <w:ind w:firstLine="480"/>
        <w:rPr>
          <w:color w:val="000000"/>
        </w:rPr>
      </w:pPr>
      <w:r>
        <w:rPr>
          <w:rFonts w:hint="eastAsia"/>
          <w:color w:val="000000"/>
        </w:rPr>
        <w:t>⑩</w:t>
      </w:r>
      <w:r>
        <w:rPr>
          <w:color w:val="000000"/>
        </w:rPr>
        <w:t>医疗卫生机构内医疗废物产生地点应当有医疗废物分类收集方法的示意图或者文字说明。</w:t>
      </w:r>
    </w:p>
    <w:p>
      <w:pPr>
        <w:pStyle w:val="155"/>
        <w:ind w:firstLine="480"/>
        <w:rPr>
          <w:color w:val="000000"/>
        </w:rPr>
      </w:pPr>
      <w:r>
        <w:rPr>
          <w:rFonts w:hint="eastAsia"/>
          <w:color w:val="000000"/>
        </w:rPr>
        <w:t>（2）</w:t>
      </w:r>
      <w:r>
        <w:rPr>
          <w:color w:val="000000"/>
        </w:rPr>
        <w:t>医疗废物的贮存本项目在院区设有专门的危险废物暂存间，用于危险废物的暂存，其建设应当达到如下要求：</w:t>
      </w:r>
    </w:p>
    <w:p>
      <w:pPr>
        <w:pStyle w:val="155"/>
        <w:ind w:firstLine="480"/>
        <w:rPr>
          <w:color w:val="000000"/>
        </w:rPr>
      </w:pPr>
      <w:r>
        <w:rPr>
          <w:rFonts w:hint="eastAsia"/>
          <w:color w:val="000000"/>
        </w:rPr>
        <w:t>①</w:t>
      </w:r>
      <w:r>
        <w:rPr>
          <w:rFonts w:ascii="宋体" w:hAnsi="宋体"/>
          <w:color w:val="000000"/>
        </w:rPr>
        <w:t>远离医疗区、人员活动区和生活垃圾存放场所，方便医疗废物运送人员及运送工具、车辆的出入；</w:t>
      </w:r>
    </w:p>
    <w:p>
      <w:pPr>
        <w:pStyle w:val="155"/>
        <w:ind w:firstLine="480"/>
        <w:rPr>
          <w:color w:val="000000"/>
        </w:rPr>
      </w:pPr>
      <w:r>
        <w:rPr>
          <w:rFonts w:hint="eastAsia"/>
          <w:color w:val="000000"/>
        </w:rPr>
        <w:t>②</w:t>
      </w:r>
      <w:r>
        <w:rPr>
          <w:rFonts w:ascii="宋体" w:hAnsi="宋体"/>
          <w:color w:val="000000"/>
        </w:rPr>
        <w:t>有严密的封闭措施，设专</w:t>
      </w:r>
      <w:r>
        <w:rPr>
          <w:color w:val="000000"/>
        </w:rPr>
        <w:t>(</w:t>
      </w:r>
      <w:r>
        <w:rPr>
          <w:rFonts w:ascii="宋体" w:hAnsi="宋体"/>
          <w:color w:val="000000"/>
        </w:rPr>
        <w:t>兼</w:t>
      </w:r>
      <w:r>
        <w:rPr>
          <w:color w:val="000000"/>
        </w:rPr>
        <w:t>)</w:t>
      </w:r>
      <w:r>
        <w:rPr>
          <w:rFonts w:ascii="宋体" w:hAnsi="宋体"/>
          <w:color w:val="000000"/>
        </w:rPr>
        <w:t>职人员管理，防止非工作人员接触医疗废物；</w:t>
      </w:r>
    </w:p>
    <w:p>
      <w:pPr>
        <w:pStyle w:val="155"/>
        <w:ind w:firstLine="480"/>
        <w:rPr>
          <w:color w:val="000000"/>
        </w:rPr>
      </w:pPr>
      <w:r>
        <w:rPr>
          <w:rFonts w:hint="eastAsia"/>
          <w:color w:val="000000"/>
        </w:rPr>
        <w:t>③</w:t>
      </w:r>
      <w:r>
        <w:rPr>
          <w:rFonts w:ascii="宋体" w:hAnsi="宋体"/>
          <w:color w:val="000000"/>
        </w:rPr>
        <w:t>有防鼠、防蚊蝇、防蟑螂的安全措施；防止渗漏、雨水冲刷；易于清洁和消毒；避免阳光直射；</w:t>
      </w:r>
    </w:p>
    <w:p>
      <w:pPr>
        <w:pStyle w:val="155"/>
        <w:ind w:firstLine="480"/>
        <w:rPr>
          <w:color w:val="000000"/>
        </w:rPr>
      </w:pPr>
      <w:r>
        <w:rPr>
          <w:rFonts w:hint="eastAsia"/>
          <w:color w:val="000000"/>
        </w:rPr>
        <w:t>④</w:t>
      </w:r>
      <w:r>
        <w:rPr>
          <w:rFonts w:ascii="宋体" w:hAnsi="宋体"/>
          <w:color w:val="000000"/>
        </w:rPr>
        <w:t>设有明显的医疗废物警示标识和</w:t>
      </w:r>
      <w:r>
        <w:rPr>
          <w:color w:val="000000"/>
        </w:rPr>
        <w:t>“</w:t>
      </w:r>
      <w:r>
        <w:rPr>
          <w:rFonts w:ascii="宋体" w:hAnsi="宋体"/>
          <w:color w:val="000000"/>
        </w:rPr>
        <w:t>禁止吸烟、饮食</w:t>
      </w:r>
      <w:r>
        <w:rPr>
          <w:color w:val="000000"/>
        </w:rPr>
        <w:t>”</w:t>
      </w:r>
      <w:r>
        <w:rPr>
          <w:rFonts w:ascii="宋体" w:hAnsi="宋体"/>
          <w:color w:val="000000"/>
        </w:rPr>
        <w:t>的警示标识；</w:t>
      </w:r>
    </w:p>
    <w:p>
      <w:pPr>
        <w:pStyle w:val="155"/>
        <w:ind w:firstLine="480"/>
        <w:rPr>
          <w:color w:val="000000"/>
        </w:rPr>
      </w:pPr>
      <w:r>
        <w:rPr>
          <w:rFonts w:hint="eastAsia"/>
          <w:color w:val="000000"/>
        </w:rPr>
        <w:t>⑤</w:t>
      </w:r>
      <w:r>
        <w:rPr>
          <w:rFonts w:ascii="宋体" w:hAnsi="宋体"/>
          <w:color w:val="000000"/>
        </w:rPr>
        <w:t>暂存病理性废物，应当具备低温贮存或防腐条件。</w:t>
      </w:r>
    </w:p>
    <w:p>
      <w:pPr>
        <w:pStyle w:val="155"/>
        <w:ind w:firstLine="480"/>
        <w:rPr>
          <w:color w:val="000000"/>
        </w:rPr>
      </w:pPr>
      <w:r>
        <w:rPr>
          <w:rFonts w:hint="eastAsia"/>
          <w:color w:val="000000"/>
        </w:rPr>
        <w:t>⑥</w:t>
      </w:r>
      <w:r>
        <w:rPr>
          <w:rFonts w:ascii="宋体" w:hAnsi="宋体"/>
          <w:color w:val="000000"/>
        </w:rPr>
        <w:t>地面和墙裙须进行防渗处理，地面有良好的排水性能，易于清洁和消毒，产生的废水应采用管道直接排入医疗卫生机构内的医疗废水消毒、处理系统，禁止将产生的废水直接排入外环境。</w:t>
      </w:r>
    </w:p>
    <w:p>
      <w:pPr>
        <w:pStyle w:val="155"/>
        <w:ind w:firstLine="480"/>
        <w:rPr>
          <w:color w:val="000000"/>
        </w:rPr>
      </w:pPr>
      <w:r>
        <w:rPr>
          <w:rFonts w:hint="eastAsia"/>
          <w:color w:val="000000"/>
        </w:rPr>
        <w:t>⑦</w:t>
      </w:r>
      <w:r>
        <w:rPr>
          <w:rFonts w:ascii="宋体" w:hAnsi="宋体"/>
          <w:color w:val="000000"/>
        </w:rPr>
        <w:t>应按</w:t>
      </w:r>
      <w:r>
        <w:rPr>
          <w:color w:val="000000"/>
        </w:rPr>
        <w:t xml:space="preserve">GB15562.2 </w:t>
      </w:r>
      <w:r>
        <w:rPr>
          <w:rFonts w:ascii="宋体" w:hAnsi="宋体"/>
          <w:color w:val="000000"/>
        </w:rPr>
        <w:t>和卫生、环保部门制定的专用医疗废物警示标识要求，在库房外的明 显处同时设置危险废物和医疗废物的警示标识；</w:t>
      </w:r>
    </w:p>
    <w:p>
      <w:pPr>
        <w:pStyle w:val="155"/>
        <w:ind w:firstLine="480"/>
        <w:rPr>
          <w:color w:val="000000"/>
        </w:rPr>
      </w:pPr>
      <w:r>
        <w:rPr>
          <w:rFonts w:hint="eastAsia"/>
          <w:color w:val="000000"/>
        </w:rPr>
        <w:t>⑧</w:t>
      </w:r>
      <w:r>
        <w:rPr>
          <w:rFonts w:ascii="宋体" w:hAnsi="宋体"/>
          <w:color w:val="000000"/>
        </w:rPr>
        <w:t>医疗废物暂时贮存库房每天应在废物清运之后消毒冲洗，冲洗液应排入医疗卫生机构内的医疗废水消毒、处理系统。</w:t>
      </w:r>
    </w:p>
    <w:p>
      <w:pPr>
        <w:pStyle w:val="155"/>
        <w:ind w:firstLine="480"/>
        <w:rPr>
          <w:color w:val="000000"/>
        </w:rPr>
      </w:pPr>
      <w:r>
        <w:rPr>
          <w:rFonts w:hint="eastAsia"/>
          <w:color w:val="000000"/>
        </w:rPr>
        <w:t>⑨</w:t>
      </w:r>
      <w:r>
        <w:rPr>
          <w:rFonts w:ascii="宋体" w:hAnsi="宋体"/>
          <w:color w:val="000000"/>
        </w:rPr>
        <w:t>应防止医疗废物在暂时贮存库房中腐败散发恶臭，尽量做到日产日清。对于医疗固体废物，禁止将其在非收集、非暂存点倾倒、堆放；禁止将医疗废物混入其它废物和生活垃圾；禁止在运送过程中丢弃医疗废物。</w:t>
      </w:r>
    </w:p>
    <w:p>
      <w:pPr>
        <w:pStyle w:val="155"/>
        <w:ind w:firstLine="480"/>
        <w:rPr>
          <w:color w:val="000000"/>
        </w:rPr>
      </w:pPr>
      <w:r>
        <w:rPr>
          <w:rFonts w:ascii="宋体" w:hAnsi="宋体"/>
          <w:color w:val="000000"/>
        </w:rPr>
        <w:t>（</w:t>
      </w:r>
      <w:r>
        <w:rPr>
          <w:color w:val="000000"/>
        </w:rPr>
        <w:t>3</w:t>
      </w:r>
      <w:r>
        <w:rPr>
          <w:rFonts w:ascii="宋体" w:hAnsi="宋体"/>
          <w:color w:val="000000"/>
        </w:rPr>
        <w:t>）医疗废物的运送医疗废物的运送采用危险废物转移联单管理。运送人员在接收医疗废物时，应外观检查医疗卫生机构是否按规定进行包装、标识，并盛装于周转箱内，不得打开包装袋取出医疗废物。对包装破损、包装外表污染或未盛装于周转箱内的医疗废物，医疗废物运送人员应当要求医疗卫生机构重新包装、标识，并盛装于周转箱内。拒不按规定对医疗废物进行包装的，运送人员有权拒绝运送，并向当地环保部门报告。医疗废物运送过程中应按以下要求管理：</w:t>
      </w:r>
    </w:p>
    <w:p>
      <w:pPr>
        <w:pStyle w:val="155"/>
        <w:ind w:firstLine="480"/>
        <w:rPr>
          <w:color w:val="000000"/>
        </w:rPr>
      </w:pPr>
      <w:r>
        <w:rPr>
          <w:rFonts w:hint="eastAsia"/>
          <w:color w:val="000000"/>
        </w:rPr>
        <w:t>①</w:t>
      </w:r>
      <w:r>
        <w:rPr>
          <w:rFonts w:ascii="宋体" w:hAnsi="宋体"/>
          <w:color w:val="000000"/>
        </w:rPr>
        <w:t>运送人员每天从医疗废物产生地点将分类包装的医疗废物按照规定的时间和路线运送至内部指定的暂时贮存地点。医疗废物运输路线尽量避开人口密集区域和交通拥堵道路。</w:t>
      </w:r>
    </w:p>
    <w:p>
      <w:pPr>
        <w:pStyle w:val="155"/>
        <w:ind w:firstLine="480"/>
        <w:rPr>
          <w:color w:val="000000"/>
        </w:rPr>
      </w:pPr>
      <w:r>
        <w:rPr>
          <w:rFonts w:hint="eastAsia"/>
          <w:color w:val="000000"/>
        </w:rPr>
        <w:t>②</w:t>
      </w:r>
      <w:r>
        <w:rPr>
          <w:rFonts w:ascii="宋体" w:hAnsi="宋体"/>
          <w:color w:val="000000"/>
        </w:rPr>
        <w:t>运送医疗废物应当使用防渗漏、防遗撒、无锐利边角、易于装卸和清洁的专用运送工具。医疗废物运送应当使用专用车辆。车辆厢体应与驾驶室分离并密闭；厢体应达到气密性要求，内壁光滑平整，易于清洗消毒；厢体材料防水、耐腐蚀；厢体底部防液体渗漏，并设清洗污水的排水收集装置。</w:t>
      </w:r>
    </w:p>
    <w:p>
      <w:pPr>
        <w:pStyle w:val="155"/>
        <w:ind w:firstLine="480"/>
        <w:rPr>
          <w:color w:val="000000"/>
        </w:rPr>
      </w:pPr>
      <w:r>
        <w:rPr>
          <w:rFonts w:hint="eastAsia"/>
          <w:color w:val="000000"/>
        </w:rPr>
        <w:t>③</w:t>
      </w:r>
      <w:r>
        <w:rPr>
          <w:rFonts w:ascii="宋体" w:hAnsi="宋体"/>
          <w:color w:val="000000"/>
        </w:rPr>
        <w:t>经包装的医疗废物应盛放于可重复使用的专用周转箱</w:t>
      </w:r>
      <w:r>
        <w:rPr>
          <w:color w:val="000000"/>
        </w:rPr>
        <w:t>(</w:t>
      </w:r>
      <w:r>
        <w:rPr>
          <w:rFonts w:ascii="宋体" w:hAnsi="宋体"/>
          <w:color w:val="000000"/>
        </w:rPr>
        <w:t>桶</w:t>
      </w:r>
      <w:r>
        <w:rPr>
          <w:color w:val="000000"/>
        </w:rPr>
        <w:t>)</w:t>
      </w:r>
      <w:r>
        <w:rPr>
          <w:rFonts w:ascii="宋体" w:hAnsi="宋体"/>
          <w:color w:val="000000"/>
        </w:rPr>
        <w:t>或一次性专用包装容器内。专用周转箱</w:t>
      </w:r>
      <w:r>
        <w:rPr>
          <w:color w:val="000000"/>
        </w:rPr>
        <w:t>(</w:t>
      </w:r>
      <w:r>
        <w:rPr>
          <w:rFonts w:ascii="宋体" w:hAnsi="宋体"/>
          <w:color w:val="000000"/>
        </w:rPr>
        <w:t>桶</w:t>
      </w:r>
      <w:r>
        <w:rPr>
          <w:color w:val="000000"/>
        </w:rPr>
        <w:t>)</w:t>
      </w:r>
      <w:r>
        <w:rPr>
          <w:rFonts w:ascii="宋体" w:hAnsi="宋体"/>
          <w:color w:val="000000"/>
        </w:rPr>
        <w:t>或一次性专用包装容器应符合《医疗废物专用包装物、容器标准和警示标识规定》。</w:t>
      </w:r>
    </w:p>
    <w:p>
      <w:pPr>
        <w:pStyle w:val="155"/>
        <w:ind w:firstLine="480"/>
        <w:rPr>
          <w:color w:val="000000"/>
        </w:rPr>
      </w:pPr>
      <w:r>
        <w:rPr>
          <w:rFonts w:hint="eastAsia"/>
          <w:color w:val="000000"/>
        </w:rPr>
        <w:t>④</w:t>
      </w:r>
      <w:r>
        <w:rPr>
          <w:rFonts w:ascii="宋体" w:hAnsi="宋体"/>
          <w:color w:val="000000"/>
        </w:rPr>
        <w:t>医疗废物装卸载尽可能采用机械作业，将周转箱整齐地装入车内，尽量减少人工操作；如需手工操作应做好人员防护。</w:t>
      </w:r>
    </w:p>
    <w:p>
      <w:pPr>
        <w:pStyle w:val="155"/>
        <w:ind w:firstLine="480"/>
        <w:rPr>
          <w:color w:val="000000"/>
        </w:rPr>
      </w:pPr>
      <w:r>
        <w:rPr>
          <w:rFonts w:hint="eastAsia"/>
          <w:color w:val="000000"/>
        </w:rPr>
        <w:t>⑤</w:t>
      </w:r>
      <w:r>
        <w:rPr>
          <w:rFonts w:ascii="宋体" w:hAnsi="宋体"/>
          <w:color w:val="000000"/>
        </w:rPr>
        <w:t>医疗废物运送前，处置单位必须对每辆运送车的车况进行检查，确保车况良好后方可出车。运送车辆负责人应对每辆运送车是否配备。</w:t>
      </w:r>
    </w:p>
    <w:p>
      <w:pPr>
        <w:pStyle w:val="155"/>
        <w:ind w:firstLine="480"/>
        <w:rPr>
          <w:color w:val="000000"/>
        </w:rPr>
      </w:pPr>
      <w:r>
        <w:rPr>
          <w:rFonts w:hint="eastAsia"/>
          <w:color w:val="000000"/>
        </w:rPr>
        <w:t>⑥</w:t>
      </w:r>
      <w:r>
        <w:rPr>
          <w:rFonts w:ascii="宋体" w:hAnsi="宋体"/>
          <w:color w:val="000000"/>
        </w:rPr>
        <w:t>运送人员在运送医疗废物时，应当防止造成包装物或容器破损和医疗废物的流失、泄漏和扩散，并防止医疗废物直接接触身体。</w:t>
      </w:r>
    </w:p>
    <w:p>
      <w:pPr>
        <w:pStyle w:val="155"/>
        <w:ind w:firstLine="480"/>
        <w:rPr>
          <w:color w:val="000000"/>
        </w:rPr>
      </w:pPr>
      <w:r>
        <w:rPr>
          <w:rFonts w:hint="eastAsia"/>
          <w:color w:val="000000"/>
        </w:rPr>
        <w:t>⑦</w:t>
      </w:r>
      <w:r>
        <w:rPr>
          <w:rFonts w:ascii="宋体" w:hAnsi="宋体"/>
          <w:color w:val="000000"/>
        </w:rPr>
        <w:t>医疗废物运送车辆不得搭乘其他无关人员，不得装载或混装其他货物和动植物。车辆行驶时应锁闭车厢门，确保安全，不得丢失、遗撒和打开包装取出医疗废物。</w:t>
      </w:r>
    </w:p>
    <w:p>
      <w:pPr>
        <w:pStyle w:val="155"/>
        <w:ind w:firstLine="480"/>
        <w:rPr>
          <w:color w:val="000000"/>
        </w:rPr>
      </w:pPr>
      <w:r>
        <w:rPr>
          <w:rFonts w:hint="eastAsia"/>
          <w:color w:val="000000"/>
        </w:rPr>
        <w:t>⑧</w:t>
      </w:r>
      <w:r>
        <w:rPr>
          <w:rFonts w:ascii="宋体" w:hAnsi="宋体"/>
          <w:color w:val="000000"/>
        </w:rPr>
        <w:t>每天运送工作结束后，应当对运送工具及时进行清洁和消毒。</w:t>
      </w:r>
    </w:p>
    <w:p>
      <w:pPr>
        <w:pStyle w:val="155"/>
        <w:ind w:firstLine="480"/>
        <w:rPr>
          <w:color w:val="000000"/>
          <w:u w:val="single"/>
        </w:rPr>
      </w:pPr>
      <w:r>
        <w:rPr>
          <w:rFonts w:hint="eastAsia"/>
          <w:color w:val="000000"/>
          <w:u w:val="single"/>
        </w:rPr>
        <w:t>（4）</w:t>
      </w:r>
      <w:r>
        <w:rPr>
          <w:color w:val="000000"/>
          <w:u w:val="single"/>
        </w:rPr>
        <w:t>氧气钢瓶火灾爆炸事故防范措施</w:t>
      </w:r>
    </w:p>
    <w:p>
      <w:pPr>
        <w:pStyle w:val="155"/>
        <w:ind w:firstLine="480"/>
        <w:rPr>
          <w:u w:val="single"/>
        </w:rPr>
      </w:pPr>
      <w:r>
        <w:rPr>
          <w:rFonts w:hint="eastAsia" w:ascii="宋体" w:hAnsi="宋体"/>
          <w:u w:val="single"/>
        </w:rPr>
        <w:t>①</w:t>
      </w:r>
      <w:r>
        <w:rPr>
          <w:rFonts w:ascii="宋体" w:hAnsi="宋体"/>
          <w:u w:val="single"/>
        </w:rPr>
        <w:t>严禁超量灌装，防止钢瓶受热。</w:t>
      </w:r>
    </w:p>
    <w:p>
      <w:pPr>
        <w:pStyle w:val="155"/>
        <w:ind w:firstLine="480"/>
        <w:rPr>
          <w:u w:val="single"/>
        </w:rPr>
      </w:pPr>
      <w:r>
        <w:rPr>
          <w:rFonts w:hint="eastAsia"/>
          <w:color w:val="000000"/>
          <w:u w:val="single"/>
        </w:rPr>
        <w:t>②</w:t>
      </w:r>
      <w:r>
        <w:rPr>
          <w:color w:val="000000"/>
          <w:u w:val="single"/>
        </w:rPr>
        <w:t>氧气瓶上</w:t>
      </w:r>
      <w:r>
        <w:rPr>
          <w:rFonts w:hint="eastAsia"/>
          <w:color w:val="000000"/>
          <w:u w:val="single"/>
        </w:rPr>
        <w:t>应有严禁油脂的标志，提醒人们注意：</w:t>
      </w:r>
      <w:r>
        <w:rPr>
          <w:color w:val="000000"/>
          <w:u w:val="single"/>
        </w:rPr>
        <w:t>氧气瓶不准接触油脂</w:t>
      </w:r>
      <w:r>
        <w:rPr>
          <w:rFonts w:hint="eastAsia"/>
          <w:color w:val="000000"/>
          <w:u w:val="single"/>
        </w:rPr>
        <w:t>，</w:t>
      </w:r>
      <w:r>
        <w:rPr>
          <w:rFonts w:ascii="宋体" w:hAnsi="宋体"/>
          <w:u w:val="single"/>
        </w:rPr>
        <w:t>如果瓶体沾着油脂时，应立即用四氯化碳揩净，切不能用可燃的有机溶剂擦拭。</w:t>
      </w:r>
    </w:p>
    <w:p>
      <w:pPr>
        <w:pStyle w:val="155"/>
        <w:ind w:firstLine="480"/>
        <w:rPr>
          <w:u w:val="single"/>
        </w:rPr>
      </w:pPr>
      <w:r>
        <w:rPr>
          <w:rFonts w:hint="eastAsia" w:ascii="宋体" w:hAnsi="宋体"/>
          <w:u w:val="single"/>
        </w:rPr>
        <w:t>③氧气瓶</w:t>
      </w:r>
      <w:r>
        <w:rPr>
          <w:rFonts w:ascii="宋体" w:hAnsi="宋体"/>
          <w:u w:val="single"/>
        </w:rPr>
        <w:t>储存间应阴凉通风，远离热源、火种，防止日光曝晒，严禁受热。</w:t>
      </w:r>
      <w:r>
        <w:rPr>
          <w:rFonts w:hint="eastAsia" w:ascii="宋体" w:hAnsi="宋体"/>
          <w:u w:val="single"/>
        </w:rPr>
        <w:t>氧气瓶</w:t>
      </w:r>
      <w:r>
        <w:rPr>
          <w:rFonts w:ascii="宋体" w:hAnsi="宋体"/>
          <w:u w:val="single"/>
        </w:rPr>
        <w:t>储存间照明应采用防爆照明灯。</w:t>
      </w:r>
      <w:r>
        <w:rPr>
          <w:rFonts w:hint="eastAsia" w:ascii="宋体" w:hAnsi="宋体"/>
          <w:u w:val="single"/>
        </w:rPr>
        <w:t>氧气瓶</w:t>
      </w:r>
      <w:r>
        <w:rPr>
          <w:rFonts w:ascii="宋体" w:hAnsi="宋体"/>
          <w:u w:val="single"/>
        </w:rPr>
        <w:t>储存间周围不得堆放任何可燃材料。</w:t>
      </w:r>
    </w:p>
    <w:p>
      <w:pPr>
        <w:pStyle w:val="155"/>
        <w:ind w:firstLine="480"/>
        <w:rPr>
          <w:u w:val="single"/>
        </w:rPr>
      </w:pPr>
      <w:r>
        <w:rPr>
          <w:rFonts w:hint="eastAsia" w:ascii="宋体" w:hAnsi="宋体"/>
          <w:u w:val="single"/>
        </w:rPr>
        <w:t>④</w:t>
      </w:r>
      <w:r>
        <w:rPr>
          <w:rFonts w:ascii="宋体" w:hAnsi="宋体"/>
          <w:u w:val="single"/>
        </w:rPr>
        <w:t>气瓶入库验收要注意包装外形无明显外伤；附件齐全；封闭紧密，无漏气现象；超过使用期限不准延期使用。</w:t>
      </w:r>
    </w:p>
    <w:p>
      <w:pPr>
        <w:pStyle w:val="155"/>
        <w:ind w:firstLine="480"/>
        <w:rPr>
          <w:u w:val="single"/>
        </w:rPr>
      </w:pPr>
      <w:r>
        <w:rPr>
          <w:rFonts w:hint="eastAsia" w:ascii="宋体" w:hAnsi="宋体"/>
          <w:u w:val="single"/>
        </w:rPr>
        <w:t>⑤</w:t>
      </w:r>
      <w:r>
        <w:rPr>
          <w:rFonts w:ascii="宋体" w:hAnsi="宋体"/>
          <w:u w:val="single"/>
        </w:rPr>
        <w:t>装卸时必须轻装轻卸，严禁碰撞、抛掷、溜坡或横倒在地上滚动等。搬运时不可把钢瓶阀对准人身，注意防止钢瓶安全帽跌落。</w:t>
      </w:r>
    </w:p>
    <w:p>
      <w:pPr>
        <w:pStyle w:val="155"/>
        <w:ind w:firstLine="480"/>
        <w:rPr>
          <w:u w:val="single"/>
        </w:rPr>
      </w:pPr>
      <w:r>
        <w:rPr>
          <w:rFonts w:hint="eastAsia" w:ascii="宋体" w:hAnsi="宋体"/>
          <w:u w:val="single"/>
        </w:rPr>
        <w:t>⑥</w:t>
      </w:r>
      <w:r>
        <w:rPr>
          <w:rFonts w:ascii="宋体" w:hAnsi="宋体"/>
          <w:u w:val="single"/>
        </w:rPr>
        <w:t>储运中钢瓶阀门应旋紧，不得泄漏。储存中如发现钢瓶漏气，应迅速打开库门通风，拧紧钢瓶阀，并将钢瓶立即移至安全场所。</w:t>
      </w:r>
    </w:p>
    <w:p>
      <w:pPr>
        <w:pStyle w:val="155"/>
        <w:ind w:firstLine="480"/>
        <w:rPr>
          <w:u w:val="single"/>
        </w:rPr>
      </w:pPr>
      <w:r>
        <w:rPr>
          <w:rFonts w:hint="eastAsia" w:ascii="宋体" w:hAnsi="宋体"/>
          <w:u w:val="single"/>
        </w:rPr>
        <w:t>⑦</w:t>
      </w:r>
      <w:r>
        <w:rPr>
          <w:rFonts w:ascii="宋体" w:hAnsi="宋体"/>
          <w:u w:val="single"/>
        </w:rPr>
        <w:t>按照规定，钢瓶的最高使用寿命为</w:t>
      </w:r>
      <w:r>
        <w:rPr>
          <w:u w:val="single"/>
        </w:rPr>
        <w:t>30</w:t>
      </w:r>
      <w:r>
        <w:rPr>
          <w:rFonts w:ascii="宋体" w:hAnsi="宋体"/>
          <w:u w:val="single"/>
        </w:rPr>
        <w:t>年。钢瓶应当每</w:t>
      </w:r>
      <w:r>
        <w:rPr>
          <w:u w:val="single"/>
        </w:rPr>
        <w:t>3</w:t>
      </w:r>
      <w:r>
        <w:rPr>
          <w:rFonts w:ascii="宋体" w:hAnsi="宋体"/>
          <w:u w:val="single"/>
        </w:rPr>
        <w:t>年由专门的检验单位进行检验鉴定，鉴定后打上钢印标记。钢瓶在使用过程中，如发现有严重腐蚀或其他严重损伤，应提前进行检验。</w:t>
      </w:r>
    </w:p>
    <w:p>
      <w:pPr>
        <w:pStyle w:val="155"/>
        <w:ind w:firstLine="480"/>
        <w:rPr>
          <w:u w:val="single"/>
        </w:rPr>
      </w:pPr>
      <w:r>
        <w:rPr>
          <w:rFonts w:hint="eastAsia" w:ascii="宋体" w:hAnsi="宋体"/>
          <w:u w:val="single"/>
        </w:rPr>
        <w:t>⑧</w:t>
      </w:r>
      <w:r>
        <w:rPr>
          <w:rFonts w:ascii="宋体" w:hAnsi="宋体"/>
          <w:u w:val="single"/>
        </w:rPr>
        <w:t>氧气瓶在贮存、运输时要戴上安全帽，防止油脂或尘埃的侵入或氧气瓶嘴受到机械损伤。</w:t>
      </w:r>
    </w:p>
    <w:p>
      <w:pPr>
        <w:pStyle w:val="155"/>
        <w:ind w:firstLine="480"/>
        <w:rPr>
          <w:u w:val="single"/>
        </w:rPr>
      </w:pPr>
      <w:r>
        <w:rPr>
          <w:rFonts w:hint="eastAsia"/>
          <w:u w:val="single"/>
        </w:rPr>
        <w:t>⑨</w:t>
      </w:r>
      <w:r>
        <w:rPr>
          <w:rFonts w:ascii="宋体" w:hAnsi="宋体"/>
          <w:u w:val="single"/>
        </w:rPr>
        <w:t>当发生火灾或燃爆事故时，现场人员应该立刻拨打火警电话</w:t>
      </w:r>
      <w:r>
        <w:rPr>
          <w:u w:val="single"/>
        </w:rPr>
        <w:t>119</w:t>
      </w:r>
      <w:r>
        <w:rPr>
          <w:rFonts w:ascii="宋体" w:hAnsi="宋体"/>
          <w:u w:val="single"/>
        </w:rPr>
        <w:t>，尽快切断所有电源，组织人员和其他易燃物品的疏散，并利用就近的消防器材将火苗扑灭（油罐起火不可用水救）。当火灾进入发展阶段、猛烈阶段，应由消防队来组织灭火，现场人员在确保安全的情况下不可逃离现场，应和消防人员配合，做好灭火工作。</w:t>
      </w:r>
    </w:p>
    <w:p>
      <w:pPr>
        <w:pStyle w:val="155"/>
        <w:ind w:firstLine="480"/>
        <w:rPr>
          <w:color w:val="000000"/>
        </w:rPr>
      </w:pPr>
      <w:r>
        <w:rPr>
          <w:rFonts w:hint="eastAsia"/>
          <w:color w:val="000000"/>
        </w:rPr>
        <w:t>（5）废水事故防范措施</w:t>
      </w:r>
    </w:p>
    <w:p>
      <w:pPr>
        <w:pStyle w:val="155"/>
        <w:ind w:firstLine="480"/>
      </w:pPr>
      <w:r>
        <w:rPr>
          <w:rFonts w:ascii="宋体" w:hAnsi="宋体"/>
        </w:rPr>
        <w:t>本项目产生的医疗废水主要包括工作人员日常生活和工作过程中产生的办公生活污水和医疗废水，其中医疗废水含有大量的病菌、病毒等，是传染病传播的主要途径之一。</w:t>
      </w:r>
    </w:p>
    <w:p>
      <w:pPr>
        <w:pStyle w:val="155"/>
        <w:ind w:firstLine="480"/>
      </w:pPr>
      <w:r>
        <w:rPr>
          <w:rFonts w:ascii="宋体" w:hAnsi="宋体"/>
        </w:rPr>
        <w:t>在污水处理站正常运行的情况下，本项目废水经过处理可以满足《医疗机构水污染物排放标准》（</w:t>
      </w:r>
      <w:r>
        <w:t>GB18466-2005</w:t>
      </w:r>
      <w:r>
        <w:rPr>
          <w:rFonts w:ascii="宋体" w:hAnsi="宋体"/>
        </w:rPr>
        <w:t>）表</w:t>
      </w:r>
      <w:r>
        <w:t xml:space="preserve">2 </w:t>
      </w:r>
      <w:r>
        <w:rPr>
          <w:rFonts w:ascii="宋体" w:hAnsi="宋体"/>
        </w:rPr>
        <w:t>预处理标准和丰城市老城区污水处理厂纳管要求。但在运行过程中，若发生机械设施故障、电力故障以及操作不当，将导致污水处理站不能正常运行，导致废水处理效率下降，并对当地地表水体造成污染。</w:t>
      </w:r>
    </w:p>
    <w:p>
      <w:pPr>
        <w:pStyle w:val="155"/>
        <w:ind w:firstLine="480"/>
      </w:pPr>
      <w:r>
        <w:rPr>
          <w:rFonts w:ascii="宋体" w:hAnsi="宋体"/>
        </w:rPr>
        <w:t>为防范废水事故排放，评价提出以下防范措施：</w:t>
      </w:r>
    </w:p>
    <w:p>
      <w:pPr>
        <w:pStyle w:val="155"/>
        <w:ind w:firstLine="480"/>
        <w:rPr>
          <w:color w:val="000000" w:themeColor="text1"/>
        </w:rPr>
      </w:pPr>
      <w:r>
        <w:rPr>
          <w:rFonts w:hint="eastAsia" w:ascii="宋体" w:hAnsi="宋体"/>
          <w:color w:val="000000" w:themeColor="text1"/>
        </w:rPr>
        <w:t>①</w:t>
      </w:r>
      <w:r>
        <w:rPr>
          <w:rFonts w:ascii="宋体" w:hAnsi="宋体"/>
          <w:color w:val="000000" w:themeColor="text1"/>
        </w:rPr>
        <w:t>确保安全，废水处理站在设备检修时，可将废水先保存在调节池或沉淀池中不进行外排废水，待设备检修（检修大约</w:t>
      </w:r>
      <w:r>
        <w:rPr>
          <w:color w:val="000000" w:themeColor="text1"/>
        </w:rPr>
        <w:t>6</w:t>
      </w:r>
      <w:r>
        <w:rPr>
          <w:rFonts w:ascii="宋体" w:hAnsi="宋体"/>
          <w:color w:val="000000" w:themeColor="text1"/>
        </w:rPr>
        <w:t>小时）完成后，正常运行后再进行废水处理及外排，调节池和沉淀池大小需满足可以临时存放</w:t>
      </w:r>
      <w:r>
        <w:rPr>
          <w:color w:val="000000" w:themeColor="text1"/>
        </w:rPr>
        <w:t>6</w:t>
      </w:r>
      <w:r>
        <w:rPr>
          <w:rFonts w:ascii="宋体" w:hAnsi="宋体"/>
          <w:color w:val="000000" w:themeColor="text1"/>
        </w:rPr>
        <w:t>小时事故水，杜绝未经处理的医疗废水排入市政管网。根据《医院污水处理工程技术规范》（</w:t>
      </w:r>
      <w:r>
        <w:rPr>
          <w:color w:val="000000" w:themeColor="text1"/>
        </w:rPr>
        <w:t>HJ2029-2013</w:t>
      </w:r>
      <w:r>
        <w:rPr>
          <w:rFonts w:ascii="宋体" w:hAnsi="宋体"/>
          <w:color w:val="000000" w:themeColor="text1"/>
        </w:rPr>
        <w:t>）的要求和设计规范中对于医院污水处理工程应急事故池设计的相关要求，传染病医院污水处理工程应急事故池容积不小于日排放量的</w:t>
      </w:r>
      <w:r>
        <w:rPr>
          <w:color w:val="000000" w:themeColor="text1"/>
        </w:rPr>
        <w:t>100%</w:t>
      </w:r>
      <w:r>
        <w:rPr>
          <w:rFonts w:ascii="宋体" w:hAnsi="宋体"/>
          <w:color w:val="000000" w:themeColor="text1"/>
        </w:rPr>
        <w:t>，非传染病区医院污水处理工程应急事故池容积不小于日排放量的</w:t>
      </w:r>
      <w:r>
        <w:rPr>
          <w:color w:val="000000" w:themeColor="text1"/>
        </w:rPr>
        <w:t>30%</w:t>
      </w:r>
      <w:r>
        <w:rPr>
          <w:rFonts w:ascii="宋体" w:hAnsi="宋体"/>
          <w:color w:val="000000" w:themeColor="text1"/>
        </w:rPr>
        <w:t>，本项目为</w:t>
      </w:r>
      <w:r>
        <w:rPr>
          <w:rFonts w:hint="eastAsia" w:ascii="宋体" w:hAnsi="宋体"/>
          <w:color w:val="000000" w:themeColor="text1"/>
        </w:rPr>
        <w:t>非传染病医院</w:t>
      </w:r>
      <w:r>
        <w:rPr>
          <w:rFonts w:ascii="宋体" w:hAnsi="宋体"/>
          <w:color w:val="000000" w:themeColor="text1"/>
        </w:rPr>
        <w:t>，本项目废水产生量约为</w:t>
      </w:r>
      <w:r>
        <w:rPr>
          <w:rFonts w:hint="eastAsia"/>
          <w:color w:val="000000" w:themeColor="text1"/>
        </w:rPr>
        <w:t>327.457</w:t>
      </w:r>
      <w:r>
        <w:rPr>
          <w:color w:val="000000" w:themeColor="text1"/>
        </w:rPr>
        <w:t>m</w:t>
      </w:r>
      <w:r>
        <w:rPr>
          <w:color w:val="000000" w:themeColor="text1"/>
          <w:vertAlign w:val="superscript"/>
        </w:rPr>
        <w:t>3</w:t>
      </w:r>
      <w:r>
        <w:rPr>
          <w:color w:val="000000" w:themeColor="text1"/>
        </w:rPr>
        <w:t>/d</w:t>
      </w:r>
      <w:r>
        <w:rPr>
          <w:rFonts w:ascii="宋体" w:hAnsi="宋体"/>
          <w:color w:val="000000" w:themeColor="text1"/>
        </w:rPr>
        <w:t>，，则本项目污水处理工程应急事故池（兼做消防废水池）应大于</w:t>
      </w:r>
      <w:r>
        <w:rPr>
          <w:rFonts w:hint="eastAsia"/>
          <w:color w:val="000000" w:themeColor="text1"/>
        </w:rPr>
        <w:t>327.457</w:t>
      </w:r>
      <w:r>
        <w:rPr>
          <w:color w:val="000000" w:themeColor="text1"/>
        </w:rPr>
        <w:t>×30%=</w:t>
      </w:r>
      <w:r>
        <w:rPr>
          <w:rFonts w:hint="eastAsia"/>
          <w:color w:val="000000" w:themeColor="text1"/>
        </w:rPr>
        <w:t>98.237</w:t>
      </w:r>
      <w:r>
        <w:rPr>
          <w:color w:val="000000" w:themeColor="text1"/>
        </w:rPr>
        <w:t>m</w:t>
      </w:r>
      <w:r>
        <w:rPr>
          <w:color w:val="000000" w:themeColor="text1"/>
          <w:vertAlign w:val="superscript"/>
        </w:rPr>
        <w:t>3</w:t>
      </w:r>
      <w:r>
        <w:rPr>
          <w:rFonts w:ascii="宋体" w:hAnsi="宋体"/>
          <w:color w:val="000000" w:themeColor="text1"/>
        </w:rPr>
        <w:t>，</w:t>
      </w:r>
      <w:r>
        <w:rPr>
          <w:rFonts w:hint="eastAsia" w:ascii="宋体" w:hAnsi="宋体"/>
          <w:color w:val="000000" w:themeColor="text1"/>
        </w:rPr>
        <w:t>本项目废水处理站的调节池和沉淀池一起可容纳</w:t>
      </w:r>
      <w:r>
        <w:rPr>
          <w:rFonts w:hint="eastAsia"/>
          <w:color w:val="000000" w:themeColor="text1"/>
        </w:rPr>
        <w:t>200</w:t>
      </w:r>
      <w:r>
        <w:rPr>
          <w:color w:val="000000" w:themeColor="text1"/>
        </w:rPr>
        <w:t>m</w:t>
      </w:r>
      <w:r>
        <w:rPr>
          <w:color w:val="000000" w:themeColor="text1"/>
          <w:vertAlign w:val="superscript"/>
        </w:rPr>
        <w:t>3</w:t>
      </w:r>
      <w:r>
        <w:rPr>
          <w:color w:val="000000" w:themeColor="text1"/>
        </w:rPr>
        <w:t>的水量</w:t>
      </w:r>
      <w:r>
        <w:rPr>
          <w:rFonts w:hint="eastAsia"/>
          <w:color w:val="000000" w:themeColor="text1"/>
        </w:rPr>
        <w:t>，</w:t>
      </w:r>
      <w:r>
        <w:rPr>
          <w:color w:val="000000" w:themeColor="text1"/>
        </w:rPr>
        <w:t>则可将调节池和沉淀池作为事故应急池使用</w:t>
      </w:r>
      <w:r>
        <w:rPr>
          <w:rFonts w:hint="eastAsia"/>
          <w:color w:val="000000" w:themeColor="text1"/>
        </w:rPr>
        <w:t>。</w:t>
      </w:r>
    </w:p>
    <w:p>
      <w:pPr>
        <w:pStyle w:val="155"/>
        <w:ind w:firstLine="480"/>
      </w:pPr>
      <w:r>
        <w:rPr>
          <w:rFonts w:hint="eastAsia" w:ascii="宋体" w:hAnsi="宋体"/>
        </w:rPr>
        <w:t>②</w:t>
      </w:r>
      <w:r>
        <w:rPr>
          <w:rFonts w:ascii="宋体" w:hAnsi="宋体"/>
        </w:rPr>
        <w:t>污水处理站必须制定严格的操作规程和管理制度；</w:t>
      </w:r>
    </w:p>
    <w:p>
      <w:pPr>
        <w:pStyle w:val="155"/>
        <w:ind w:firstLine="480"/>
      </w:pPr>
      <w:r>
        <w:rPr>
          <w:rFonts w:hint="eastAsia" w:ascii="宋体" w:hAnsi="宋体"/>
        </w:rPr>
        <w:t>③</w:t>
      </w:r>
      <w:r>
        <w:rPr>
          <w:rFonts w:ascii="宋体" w:hAnsi="宋体"/>
        </w:rPr>
        <w:t>定期检修、保养仪器设备，对备用设备应及时检修维护，以防止电器及设备故障发生；</w:t>
      </w:r>
    </w:p>
    <w:p>
      <w:pPr>
        <w:pStyle w:val="155"/>
        <w:ind w:firstLine="480"/>
      </w:pPr>
      <w:r>
        <w:rPr>
          <w:rFonts w:hint="eastAsia" w:ascii="宋体" w:hAnsi="宋体"/>
        </w:rPr>
        <w:t>④</w:t>
      </w:r>
      <w:r>
        <w:rPr>
          <w:rFonts w:ascii="宋体" w:hAnsi="宋体"/>
        </w:rPr>
        <w:t>建议污水处理站用电采用双回路设计，并与医院备用电源联网；</w:t>
      </w:r>
    </w:p>
    <w:p>
      <w:pPr>
        <w:pStyle w:val="155"/>
        <w:ind w:firstLine="480"/>
      </w:pPr>
      <w:r>
        <w:rPr>
          <w:rFonts w:hint="eastAsia" w:ascii="宋体" w:hAnsi="宋体"/>
        </w:rPr>
        <w:t>⑤</w:t>
      </w:r>
      <w:r>
        <w:rPr>
          <w:rFonts w:ascii="宋体" w:hAnsi="宋体"/>
        </w:rPr>
        <w:t>加强操作人员的职业道德教育和职业技能培训，使操作人员均持证上岗，具有高度的责任心和熟练的操作技能，能根据进水的水质、水量变化及时调整操作工艺，避免操作失误造成工艺系统的紊乱和破坏。</w:t>
      </w:r>
    </w:p>
    <w:p>
      <w:pPr>
        <w:pStyle w:val="155"/>
        <w:ind w:firstLine="480"/>
      </w:pPr>
      <w:r>
        <w:rPr>
          <w:rFonts w:ascii="宋体" w:hAnsi="宋体"/>
        </w:rPr>
        <w:t>通过上述预防措施，评价认为能够最大限度的减少污水站运行期风险事故的发生，确保污水处理站正常和稳定运行，使处理后废水能达标。</w:t>
      </w:r>
    </w:p>
    <w:p>
      <w:pPr>
        <w:pStyle w:val="155"/>
        <w:ind w:firstLine="480"/>
        <w:rPr>
          <w:color w:val="000000"/>
        </w:rPr>
      </w:pPr>
      <w:r>
        <w:rPr>
          <w:rFonts w:hint="eastAsia"/>
          <w:color w:val="000000"/>
        </w:rPr>
        <w:t>（6）管理措施</w:t>
      </w:r>
    </w:p>
    <w:p>
      <w:pPr>
        <w:pStyle w:val="155"/>
        <w:ind w:firstLine="480"/>
        <w:rPr>
          <w:rFonts w:ascii="宋体" w:hAnsi="宋体"/>
          <w:color w:val="000000" w:themeColor="text1"/>
        </w:rPr>
      </w:pPr>
      <w:r>
        <w:rPr>
          <w:rFonts w:hint="eastAsia" w:ascii="宋体" w:hAnsi="宋体"/>
          <w:color w:val="000000" w:themeColor="text1"/>
        </w:rPr>
        <w:t>①树立环境风险意识</w:t>
      </w:r>
    </w:p>
    <w:p>
      <w:pPr>
        <w:pStyle w:val="155"/>
        <w:ind w:firstLine="480"/>
      </w:pPr>
      <w:r>
        <w:rPr>
          <w:rFonts w:hint="eastAsia" w:ascii="宋体" w:hAnsi="宋体"/>
          <w:color w:val="000000" w:themeColor="text1"/>
        </w:rPr>
        <w:t>本项目客观上存在着一定的不安全因素，对周围环境存在着潜在的威胁。发生环境安全事故后，对周围环境有难以弥补的损害，</w:t>
      </w:r>
      <w:r>
        <w:rPr>
          <w:rFonts w:ascii="宋体" w:hAnsi="宋体"/>
        </w:rPr>
        <w:t>所以在贯彻</w:t>
      </w:r>
      <w:r>
        <w:t>“</w:t>
      </w:r>
      <w:r>
        <w:rPr>
          <w:rFonts w:ascii="宋体" w:hAnsi="宋体"/>
        </w:rPr>
        <w:t>安全第一，预防为主</w:t>
      </w:r>
      <w:r>
        <w:t>”</w:t>
      </w:r>
      <w:r>
        <w:rPr>
          <w:rFonts w:ascii="宋体" w:hAnsi="宋体"/>
        </w:rPr>
        <w:t xml:space="preserve">的方针同时，应树立环境风险意识，强化环境风险责任，体现出环境保护的内容。 </w:t>
      </w:r>
    </w:p>
    <w:p>
      <w:pPr>
        <w:pStyle w:val="155"/>
        <w:ind w:firstLine="480"/>
        <w:rPr>
          <w:color w:val="000000"/>
        </w:rPr>
      </w:pPr>
      <w:r>
        <w:rPr>
          <w:rFonts w:hint="eastAsia" w:ascii="宋体" w:hAnsi="宋体"/>
        </w:rPr>
        <w:t>②实行全面环境</w:t>
      </w:r>
    </w:p>
    <w:p>
      <w:pPr>
        <w:pStyle w:val="155"/>
        <w:ind w:firstLine="480"/>
        <w:rPr>
          <w:color w:val="000000"/>
        </w:rPr>
      </w:pPr>
      <w:r>
        <w:rPr>
          <w:color w:val="000000"/>
        </w:rPr>
        <w:t xml:space="preserve">本项目在医疗废物运输、储存、处理等过程中均有可能发生各种事故，事故发 生后均会对环境造成不同程度的污染，因此应该针对本项目开展全面、全员、全过 程的系数安全管理，把环境安全工作的重点放在消除系统的潜在危险上，并从整体 和全局上促进本项目各个环节的环境安全运作，并建立监察、管理、检测、信息系 统和科学决策体系，实行环境安全目标管理。 </w:t>
      </w:r>
    </w:p>
    <w:p>
      <w:pPr>
        <w:pStyle w:val="155"/>
        <w:ind w:firstLine="480"/>
      </w:pPr>
      <w:r>
        <w:rPr>
          <w:rFonts w:hint="eastAsia" w:ascii="宋体" w:hAnsi="宋体"/>
        </w:rPr>
        <w:t>③</w:t>
      </w:r>
      <w:r>
        <w:rPr>
          <w:rFonts w:ascii="宋体" w:hAnsi="宋体"/>
        </w:rPr>
        <w:t>规范并强化在运输、储存、处理过程中的环境风险预防措施</w:t>
      </w:r>
    </w:p>
    <w:p>
      <w:pPr>
        <w:pStyle w:val="155"/>
        <w:ind w:firstLine="480"/>
      </w:pPr>
      <w:r>
        <w:rPr>
          <w:color w:val="000000"/>
        </w:rPr>
        <w:t>为预防安全事故的发生，建设单位必须制定比较完善的环境安全管理规章制度，应从制度上对环境风险予以防范，尽管本项目的许多事故虽不一定导致环境安全事故的发生，却会产生一定的环境污染事故后果。对于这类事故的预防仍然需要制定相应的防范措施，从运输、储存、处理等各个环节予以全面考虑，并力图做到规范且可操作性强。如：医疗废物在收集、预处理、运输过程中因意外出现泄漏，应立即报告医院保卫部门，封闭现场，进行清理。清理干净后，需要对现场进行严格消毒，对含有毒性强的医疗废物泄漏，还应该立即疏散周围人群，</w:t>
      </w:r>
      <w:r>
        <w:rPr>
          <w:rFonts w:ascii="宋体" w:hAnsi="宋体"/>
        </w:rPr>
        <w:t>设置警示标志及距离，并在处理过程中穿防护服。</w:t>
      </w:r>
    </w:p>
    <w:p>
      <w:pPr>
        <w:pStyle w:val="155"/>
        <w:ind w:firstLine="480"/>
      </w:pPr>
      <w:r>
        <w:rPr>
          <w:rFonts w:hint="eastAsia" w:ascii="宋体" w:hAnsi="宋体"/>
        </w:rPr>
        <w:t>④</w:t>
      </w:r>
      <w:r>
        <w:rPr>
          <w:rFonts w:ascii="宋体" w:hAnsi="宋体"/>
        </w:rPr>
        <w:t>加强巡回检查，减少医疗废物泄漏对环境的污染。</w:t>
      </w:r>
    </w:p>
    <w:p>
      <w:pPr>
        <w:pStyle w:val="155"/>
        <w:ind w:firstLine="480"/>
      </w:pPr>
      <w:r>
        <w:rPr>
          <w:rFonts w:ascii="宋体" w:hAnsi="宋体"/>
        </w:rPr>
        <w:t>医疗废物在装卸、运输的</w:t>
      </w:r>
      <w:r>
        <w:t>“</w:t>
      </w:r>
      <w:r>
        <w:rPr>
          <w:rFonts w:ascii="宋体" w:hAnsi="宋体"/>
        </w:rPr>
        <w:t>跑、冒、滴、漏</w:t>
      </w:r>
      <w:r>
        <w:t>”</w:t>
      </w:r>
      <w:r>
        <w:rPr>
          <w:rFonts w:ascii="宋体" w:hAnsi="宋体"/>
        </w:rPr>
        <w:t>现象是风险来源之一，其后果在大 多数情况下并不导致人员受伤或是设备受损，但外泄的危险废物对环境造成污染。</w:t>
      </w:r>
    </w:p>
    <w:p>
      <w:pPr>
        <w:pStyle w:val="155"/>
        <w:ind w:firstLine="480"/>
      </w:pPr>
      <w:r>
        <w:rPr>
          <w:rFonts w:ascii="宋体" w:hAnsi="宋体"/>
        </w:rPr>
        <w:t>因此要加强巡回检查，是发现</w:t>
      </w:r>
      <w:r>
        <w:t>“</w:t>
      </w:r>
      <w:r>
        <w:rPr>
          <w:rFonts w:ascii="宋体" w:hAnsi="宋体"/>
        </w:rPr>
        <w:t>跑、冒、滴、漏</w:t>
      </w:r>
      <w:r>
        <w:t>”</w:t>
      </w:r>
      <w:r>
        <w:rPr>
          <w:rFonts w:ascii="宋体" w:hAnsi="宋体"/>
        </w:rPr>
        <w:t>等事故的重要是手段。每日的巡回检查应做详细记录，发现问题应及时上报，并做到及时防范。</w:t>
      </w:r>
    </w:p>
    <w:p>
      <w:pPr>
        <w:pStyle w:val="155"/>
        <w:ind w:firstLine="480"/>
      </w:pPr>
      <w:r>
        <w:rPr>
          <w:rFonts w:hint="eastAsia" w:ascii="宋体" w:hAnsi="宋体"/>
        </w:rPr>
        <w:t>⑤</w:t>
      </w:r>
      <w:r>
        <w:rPr>
          <w:rFonts w:ascii="宋体" w:hAnsi="宋体"/>
        </w:rPr>
        <w:t>加强资料的日常记录与管理</w:t>
      </w:r>
    </w:p>
    <w:p>
      <w:pPr>
        <w:pStyle w:val="155"/>
        <w:ind w:firstLine="480"/>
      </w:pPr>
      <w:r>
        <w:rPr>
          <w:rFonts w:ascii="宋体" w:hAnsi="宋体"/>
        </w:rPr>
        <w:t>加强对污水处理系统以及废气处理系统的各项操作参数等资料的日常记录及管理污水的监测，及时发现问题并采取减缓危害的措施。</w:t>
      </w:r>
    </w:p>
    <w:p>
      <w:pPr>
        <w:pStyle w:val="155"/>
        <w:ind w:firstLine="480"/>
      </w:pPr>
      <w:r>
        <w:rPr>
          <w:rFonts w:hint="eastAsia" w:ascii="宋体" w:hAnsi="宋体"/>
        </w:rPr>
        <w:t>⑥</w:t>
      </w:r>
      <w:r>
        <w:rPr>
          <w:rFonts w:ascii="宋体" w:hAnsi="宋体"/>
        </w:rPr>
        <w:t>加强危险废物处理管理</w:t>
      </w:r>
    </w:p>
    <w:p>
      <w:pPr>
        <w:pStyle w:val="155"/>
        <w:ind w:firstLine="480"/>
      </w:pPr>
      <w:r>
        <w:rPr>
          <w:rFonts w:ascii="宋体" w:hAnsi="宋体"/>
        </w:rPr>
        <w:t>加强和完善危险废物的收集、暂存、交接等环节的管理，对危险废物的处理应设专人责任负责制，负责人在接管前应全面学习有关危险废物处理的有关法规和操作方法。做好危险废物有关资料的记录。</w:t>
      </w:r>
    </w:p>
    <w:p>
      <w:pPr>
        <w:pStyle w:val="155"/>
        <w:ind w:firstLine="480"/>
        <w:rPr>
          <w:color w:val="000000"/>
        </w:rPr>
      </w:pPr>
      <w:r>
        <w:rPr>
          <w:rFonts w:hint="eastAsia"/>
          <w:color w:val="000000"/>
        </w:rPr>
        <w:t>⑦</w:t>
      </w:r>
      <w:r>
        <w:rPr>
          <w:color w:val="000000"/>
        </w:rPr>
        <w:t>消防设施配置情况</w:t>
      </w:r>
    </w:p>
    <w:p>
      <w:pPr>
        <w:pStyle w:val="155"/>
        <w:ind w:firstLine="480"/>
        <w:rPr>
          <w:bCs/>
          <w:color w:val="000000"/>
        </w:rPr>
      </w:pPr>
      <w:r>
        <w:rPr>
          <w:bCs/>
          <w:color w:val="000000"/>
        </w:rPr>
        <w:t>本项目室内按建筑防火规范要求，在各层楼梯口设消火栓箱（配套水龙带及水枪等全套）保护，每层两套，消火栓箱内设直接启泵按钮。室内消火栓布置保证有 2股水柱可同时到达室内任何地点，每股充实水柱不小于 10m，水量 5L/s，消火栓间距不大于30m，同时，在适当位置处配置手提式磷酸铵盐干粉灭火器若干具，均按照 A（E）类中危险级标准配置。</w:t>
      </w:r>
    </w:p>
    <w:p>
      <w:pPr>
        <w:pStyle w:val="155"/>
        <w:ind w:firstLine="480"/>
      </w:pPr>
      <w:r>
        <w:rPr>
          <w:rFonts w:hint="eastAsia" w:ascii="宋体" w:hAnsi="宋体"/>
        </w:rPr>
        <w:t>⑧</w:t>
      </w:r>
      <w:r>
        <w:rPr>
          <w:rFonts w:ascii="宋体" w:hAnsi="宋体"/>
        </w:rPr>
        <w:t>应对措施</w:t>
      </w:r>
    </w:p>
    <w:p>
      <w:pPr>
        <w:pStyle w:val="155"/>
        <w:ind w:firstLine="480"/>
      </w:pPr>
      <w:r>
        <w:rPr>
          <w:rFonts w:ascii="宋体" w:hAnsi="宋体"/>
        </w:rPr>
        <w:t>事故发生的可能性总是存在的，为减少事故发生后造成的损失，尤其是减少对环境造成严重的污染，建设单位除一方面要落实已制定的各种安全管理制度以及上述所列各项风险减缓措施，另一方面，建设单位还应对发生各类风险事故后采取必要的事故应急措施，建议建设单位对以下几方面予以着重考虑：</w:t>
      </w:r>
    </w:p>
    <w:p>
      <w:pPr>
        <w:pStyle w:val="155"/>
        <w:numPr>
          <w:ilvl w:val="0"/>
          <w:numId w:val="8"/>
        </w:numPr>
        <w:ind w:firstLine="480"/>
      </w:pPr>
      <w:r>
        <w:rPr>
          <w:rFonts w:ascii="宋体" w:hAnsi="宋体"/>
        </w:rPr>
        <w:t>制定全面、周密的风险救援计划，以应付可能发生的各种事故，保证发生事故后能够做到有章可循。</w:t>
      </w:r>
    </w:p>
    <w:p>
      <w:pPr>
        <w:pStyle w:val="155"/>
        <w:numPr>
          <w:ilvl w:val="0"/>
          <w:numId w:val="8"/>
        </w:numPr>
        <w:ind w:firstLine="480"/>
      </w:pPr>
      <w:r>
        <w:rPr>
          <w:rFonts w:ascii="宋体" w:hAnsi="宋体"/>
        </w:rPr>
        <w:t>设立专门的安全环保机构，平时负责日常的安全环保管理工作，确保各项安全、环保措施的执行与落实，做好事故的预防工作；事故期间，则负责落实风险救援计划各项措施，确保应急救援工作的展开。</w:t>
      </w:r>
    </w:p>
    <w:p>
      <w:pPr>
        <w:pStyle w:val="155"/>
        <w:numPr>
          <w:ilvl w:val="0"/>
          <w:numId w:val="8"/>
        </w:numPr>
        <w:ind w:firstLine="480"/>
      </w:pPr>
      <w:r>
        <w:rPr>
          <w:rFonts w:ascii="宋体" w:hAnsi="宋体"/>
        </w:rPr>
        <w:t>制订污水处理站、医疗废物收集、预处理、运输、处理、钟点实验室、化学品库事故应急预案；建立医院应急管理、报警体系。</w:t>
      </w:r>
    </w:p>
    <w:p>
      <w:pPr>
        <w:pStyle w:val="155"/>
        <w:numPr>
          <w:ilvl w:val="0"/>
          <w:numId w:val="8"/>
        </w:numPr>
        <w:ind w:firstLine="480"/>
      </w:pPr>
      <w:r>
        <w:rPr>
          <w:rFonts w:ascii="宋体" w:hAnsi="宋体"/>
        </w:rPr>
        <w:t>危险废物运输车辆上配备必要的防中毒、消防、通讯及其它的应急设施，确保发生事故后能具有一定的自救手段和通讯联络能力。</w:t>
      </w:r>
    </w:p>
    <w:p>
      <w:pPr>
        <w:pStyle w:val="155"/>
        <w:numPr>
          <w:ilvl w:val="0"/>
          <w:numId w:val="8"/>
        </w:numPr>
        <w:ind w:firstLine="480"/>
      </w:pPr>
      <w:r>
        <w:rPr>
          <w:rFonts w:ascii="宋体" w:hAnsi="宋体"/>
        </w:rPr>
        <w:t>发生事故后，应进行事故后果评价，并将有关情况通报给上级环保主管部门。</w:t>
      </w:r>
    </w:p>
    <w:p>
      <w:pPr>
        <w:pStyle w:val="155"/>
        <w:ind w:firstLine="480"/>
        <w:rPr>
          <w:color w:val="FF0000"/>
        </w:rPr>
      </w:pPr>
      <w:r>
        <w:t>f</w:t>
      </w:r>
      <w:r>
        <w:rPr>
          <w:rFonts w:ascii="宋体" w:hAnsi="宋体"/>
        </w:rPr>
        <w:t xml:space="preserve">、定期举行应急培训活动，对本项目相关人员进行事故应急救援培训，提高事故发生后的应急处理能力；对新上岗的工作人员、实习人员、进行岗前安全、环保培训，重点部门的人员定期轮训；在对所有参与医疗废物管理处理的人员进行知识培训后，还对其进行了责任分配制度，确保医院所产生的医疗废物在任意一个环节都能责任到人，确保不出现意外。 </w:t>
      </w:r>
    </w:p>
    <w:p>
      <w:pPr>
        <w:pStyle w:val="4"/>
      </w:pPr>
      <w:r>
        <w:t>风险应急预案</w:t>
      </w:r>
    </w:p>
    <w:p>
      <w:pPr>
        <w:pStyle w:val="155"/>
        <w:ind w:firstLine="480"/>
      </w:pPr>
      <w:r>
        <w:rPr>
          <w:rFonts w:hint="eastAsia"/>
        </w:rPr>
        <w:t>为了在突发性事故和公共</w:t>
      </w:r>
      <w:r>
        <w:rPr>
          <w:rFonts w:ascii="宋体" w:hAnsi="宋体"/>
        </w:rPr>
        <w:t>卫生事故发生时，能迅速、准确地处理和控制事故扩大，把事故损失及危害降到最小程度，最大程度地减少突发公共卫生事件对公众健康造成的危害，有效的应急救援行动是唯一可抵御事故灾害蔓延和减缓灾害后果的有力措施。</w:t>
      </w:r>
    </w:p>
    <w:p>
      <w:pPr>
        <w:pStyle w:val="5"/>
      </w:pPr>
      <w:r>
        <w:t>应急计划区确定及分布</w:t>
      </w:r>
    </w:p>
    <w:p>
      <w:pPr>
        <w:pStyle w:val="155"/>
        <w:ind w:firstLine="480"/>
      </w:pPr>
      <w:r>
        <w:rPr>
          <w:rFonts w:ascii="宋体" w:hAnsi="宋体"/>
        </w:rPr>
        <w:t>医院应根据贮存化学危险品的品种、数量、危险性质以及可能引起重大事故的特点，确定应急计划区，并将其分布情况绘制成图，以便在一旦发生紧急事故后，可迅速确定其方位，及时采取行动。</w:t>
      </w:r>
    </w:p>
    <w:p>
      <w:pPr>
        <w:pStyle w:val="5"/>
      </w:pPr>
      <w:r>
        <w:t>应急组织</w:t>
      </w:r>
    </w:p>
    <w:p>
      <w:pPr>
        <w:spacing w:line="360" w:lineRule="auto"/>
        <w:ind w:firstLine="480" w:firstLineChars="200"/>
      </w:pPr>
      <w:r>
        <w:rPr>
          <w:rFonts w:hint="eastAsia"/>
        </w:rPr>
        <w:t>（1）</w:t>
      </w:r>
      <w:r>
        <w:t>人员组织</w:t>
      </w:r>
    </w:p>
    <w:p>
      <w:pPr>
        <w:pStyle w:val="155"/>
        <w:ind w:firstLine="480"/>
      </w:pPr>
      <w:r>
        <w:rPr>
          <w:rFonts w:hint="eastAsia" w:ascii="宋体" w:hAnsi="宋体"/>
        </w:rPr>
        <w:t>①</w:t>
      </w:r>
      <w:r>
        <w:rPr>
          <w:rFonts w:ascii="宋体" w:hAnsi="宋体"/>
        </w:rPr>
        <w:t>在人员组织方面，医院应对于医疗废物管理成立专门的医疗废物管理组，进行详细的人员分工，职责分明。</w:t>
      </w:r>
    </w:p>
    <w:p>
      <w:pPr>
        <w:pStyle w:val="155"/>
        <w:ind w:firstLine="480"/>
        <w:rPr>
          <w:rFonts w:ascii="宋体" w:hAnsi="宋体"/>
        </w:rPr>
      </w:pPr>
      <w:r>
        <w:rPr>
          <w:rFonts w:hint="eastAsia" w:ascii="宋体" w:hAnsi="宋体"/>
        </w:rPr>
        <w:t>②</w:t>
      </w:r>
      <w:r>
        <w:rPr>
          <w:rFonts w:ascii="宋体" w:hAnsi="宋体"/>
        </w:rPr>
        <w:t>对新上岗的工作人员、实习人员进行岗前安全、环保知识培训，重点部门人员定期进行轮训。</w:t>
      </w:r>
    </w:p>
    <w:p>
      <w:pPr>
        <w:pStyle w:val="155"/>
        <w:ind w:firstLine="480"/>
      </w:pPr>
      <w:r>
        <w:rPr>
          <w:rFonts w:hint="eastAsia" w:ascii="宋体" w:hAnsi="宋体"/>
        </w:rPr>
        <w:t>③</w:t>
      </w:r>
      <w:r>
        <w:rPr>
          <w:rFonts w:ascii="宋体" w:hAnsi="宋体"/>
        </w:rPr>
        <w:t>在对所有参与医疗废物管理、处置人员进行专业知识培训后，还要对其进行责任分配，确保医院所产生的医疗废物在任何一个环节都能责任到人，确保不出现意外。</w:t>
      </w:r>
    </w:p>
    <w:p>
      <w:pPr>
        <w:pStyle w:val="155"/>
        <w:ind w:firstLine="480"/>
      </w:pPr>
      <w:r>
        <w:rPr>
          <w:rFonts w:hint="eastAsia"/>
        </w:rPr>
        <w:t>（2）物料器材配备</w:t>
      </w:r>
    </w:p>
    <w:p>
      <w:pPr>
        <w:pStyle w:val="155"/>
        <w:ind w:firstLine="480"/>
      </w:pPr>
      <w:r>
        <w:rPr>
          <w:rFonts w:hint="eastAsia" w:ascii="宋体" w:hAnsi="宋体"/>
        </w:rPr>
        <w:t>①</w:t>
      </w:r>
      <w:r>
        <w:rPr>
          <w:rFonts w:ascii="宋体" w:hAnsi="宋体"/>
        </w:rPr>
        <w:t>贮存一定量的消毒药剂</w:t>
      </w:r>
      <w:r>
        <w:rPr>
          <w:rFonts w:hint="eastAsia" w:ascii="宋体" w:hAnsi="宋体"/>
        </w:rPr>
        <w:t>；</w:t>
      </w:r>
    </w:p>
    <w:p>
      <w:pPr>
        <w:pStyle w:val="155"/>
        <w:ind w:firstLine="480"/>
      </w:pPr>
      <w:r>
        <w:rPr>
          <w:rFonts w:hint="eastAsia" w:ascii="宋体" w:hAnsi="宋体"/>
        </w:rPr>
        <w:t>②</w:t>
      </w:r>
      <w:r>
        <w:rPr>
          <w:rFonts w:ascii="宋体" w:hAnsi="宋体"/>
        </w:rPr>
        <w:t>配备个人防护用品，以备应急时使用。</w:t>
      </w:r>
    </w:p>
    <w:p>
      <w:pPr>
        <w:pStyle w:val="155"/>
        <w:ind w:firstLine="480"/>
      </w:pPr>
      <w:r>
        <w:rPr>
          <w:rFonts w:hint="eastAsia"/>
        </w:rPr>
        <w:t>（3）职责</w:t>
      </w:r>
    </w:p>
    <w:p>
      <w:pPr>
        <w:pStyle w:val="155"/>
        <w:ind w:firstLine="480"/>
      </w:pPr>
      <w:r>
        <w:rPr>
          <w:rFonts w:hint="eastAsia" w:ascii="宋体" w:hAnsi="宋体"/>
        </w:rPr>
        <w:t>①</w:t>
      </w:r>
      <w:r>
        <w:rPr>
          <w:rFonts w:ascii="宋体" w:hAnsi="宋体"/>
        </w:rPr>
        <w:t>制订污水处理设备、医疗垃圾收集、预处理、运输、处理等事故应急预案；</w:t>
      </w:r>
    </w:p>
    <w:p>
      <w:pPr>
        <w:pStyle w:val="155"/>
        <w:ind w:firstLine="480"/>
      </w:pPr>
      <w:r>
        <w:rPr>
          <w:rFonts w:hint="eastAsia" w:ascii="宋体" w:hAnsi="宋体"/>
        </w:rPr>
        <w:t>②</w:t>
      </w:r>
      <w:r>
        <w:rPr>
          <w:rFonts w:ascii="宋体" w:hAnsi="宋体"/>
        </w:rPr>
        <w:t>制订化学品及危险物质贮存应急预案；</w:t>
      </w:r>
    </w:p>
    <w:p>
      <w:pPr>
        <w:pStyle w:val="155"/>
        <w:ind w:firstLine="480"/>
      </w:pPr>
      <w:r>
        <w:rPr>
          <w:rFonts w:hint="eastAsia" w:ascii="宋体" w:hAnsi="宋体"/>
        </w:rPr>
        <w:t>③</w:t>
      </w:r>
      <w:r>
        <w:rPr>
          <w:rFonts w:ascii="宋体" w:hAnsi="宋体"/>
        </w:rPr>
        <w:t>建立医院应急管理、报警体系；</w:t>
      </w:r>
    </w:p>
    <w:p>
      <w:pPr>
        <w:pStyle w:val="155"/>
        <w:ind w:firstLine="480"/>
      </w:pPr>
      <w:r>
        <w:rPr>
          <w:rFonts w:hint="eastAsia" w:ascii="宋体" w:hAnsi="宋体"/>
        </w:rPr>
        <w:t>④</w:t>
      </w:r>
      <w:r>
        <w:rPr>
          <w:rFonts w:ascii="宋体" w:hAnsi="宋体"/>
        </w:rPr>
        <w:t>负责人员、资源配置、应急队伍的调动；确定现场指挥人员；协调事故现场有关工作；批准预案的启动与终止；事故状态下各级人员的职责；环境污染事故信息的上报工作；接受政府的指令和调动；组织应急预案的演练；负责保护事故现场及相关数据。</w:t>
      </w:r>
    </w:p>
    <w:p>
      <w:pPr>
        <w:pStyle w:val="5"/>
      </w:pPr>
      <w:r>
        <w:t>应急警报</w:t>
      </w:r>
    </w:p>
    <w:p>
      <w:pPr>
        <w:pStyle w:val="155"/>
        <w:ind w:firstLine="480"/>
      </w:pPr>
      <w:r>
        <w:rPr>
          <w:rFonts w:ascii="宋体" w:hAnsi="宋体"/>
        </w:rPr>
        <w:t>事故报警的及时与正确是能否及时实施应急救援的关键。当发生突发性事故时，事故单位或现场人员，除了积极组织自救外，必须及时将事故向有关部门报告。突发环境污染事故现场人员应作为第一责任人立即向应急值班人员或有关负责人报警，其它获知该信息人员也有责任立即报警。</w:t>
      </w:r>
    </w:p>
    <w:p>
      <w:pPr>
        <w:pStyle w:val="155"/>
        <w:ind w:firstLine="480"/>
      </w:pPr>
      <w:r>
        <w:rPr>
          <w:rFonts w:ascii="宋体" w:hAnsi="宋体"/>
        </w:rPr>
        <w:t>应急值班人员接到报警后应立即向本单位应急指挥负责人及政府环保部门报告。单位应急指挥负责人根据报警信息，启动相应的应急预案。</w:t>
      </w:r>
    </w:p>
    <w:p>
      <w:pPr>
        <w:pStyle w:val="5"/>
      </w:pPr>
      <w:r>
        <w:t>应急处置预案</w:t>
      </w:r>
    </w:p>
    <w:p>
      <w:pPr>
        <w:pStyle w:val="155"/>
        <w:ind w:firstLine="480"/>
      </w:pPr>
      <w:r>
        <w:rPr>
          <w:rFonts w:hAnsi="宋体"/>
        </w:rPr>
        <w:t>应急预案是在贯彻预防为主的前提下，针对项目可能出现的事故，为及时控制事故源，抢救受害人员，指导居民防护和组织撤离，消除或减轻事故后果而组织救援活动的预想方案。</w:t>
      </w:r>
    </w:p>
    <w:p>
      <w:pPr>
        <w:pStyle w:val="155"/>
        <w:ind w:firstLine="480"/>
        <w:rPr>
          <w:rFonts w:hAnsi="宋体"/>
        </w:rPr>
      </w:pPr>
      <w:r>
        <w:rPr>
          <w:rFonts w:hAnsi="宋体"/>
        </w:rPr>
        <w:t>（1）应急救援指挥机构 医院应成立事故应急救援指挥领导小组：由医院院长、医院副院长、后勤部门、安全保障部门 、消防救援等部门负责人组成，下设―应急救援办公室。一旦发生事故时应急救援指挥小组负责全厂应急救援的组织和指挥，医院院长任总指挥，若医院院长不在时，医院副院长全权负责应急救援工作。组织机构包括应急处置行动组、通讯联络组、疏散引导组、安全防护救助小组等。</w:t>
      </w:r>
    </w:p>
    <w:p>
      <w:pPr>
        <w:pStyle w:val="155"/>
        <w:ind w:firstLine="480"/>
      </w:pPr>
      <w:r>
        <w:rPr>
          <w:rFonts w:hint="eastAsia"/>
        </w:rPr>
        <w:t>（2）</w:t>
      </w:r>
      <w:r>
        <w:rPr>
          <w:rFonts w:ascii="宋体" w:hAnsi="宋体"/>
        </w:rPr>
        <w:t>指挥机构职责指挥领导小组负责企业重大事故应急预案的制定、修订。组建应急救援专业队伍，组织预案实施和演练。</w:t>
      </w:r>
    </w:p>
    <w:p>
      <w:pPr>
        <w:pStyle w:val="155"/>
        <w:ind w:firstLine="480"/>
      </w:pPr>
      <w:r>
        <w:rPr>
          <w:rFonts w:ascii="宋体" w:hAnsi="宋体"/>
        </w:rPr>
        <w:t>检查督促做好危险源事故的预防措施和应急救援的准备工作；一旦发生事故，按照应急救援预案，实施救援。</w:t>
      </w:r>
    </w:p>
    <w:p>
      <w:pPr>
        <w:pStyle w:val="155"/>
        <w:ind w:firstLine="480"/>
      </w:pPr>
      <w:r>
        <w:rPr>
          <w:rFonts w:ascii="宋体" w:hAnsi="宋体"/>
        </w:rPr>
        <w:t>各部门及人员分工：</w:t>
      </w:r>
    </w:p>
    <w:p>
      <w:pPr>
        <w:pStyle w:val="155"/>
        <w:ind w:firstLine="480"/>
      </w:pPr>
      <w:r>
        <w:rPr>
          <w:rFonts w:ascii="宋体" w:hAnsi="宋体"/>
        </w:rPr>
        <w:t>总指挥：全面组织指挥企业的应急救援。</w:t>
      </w:r>
    </w:p>
    <w:p>
      <w:pPr>
        <w:pStyle w:val="155"/>
        <w:ind w:firstLine="480"/>
      </w:pPr>
      <w:r>
        <w:rPr>
          <w:rFonts w:ascii="宋体" w:hAnsi="宋体"/>
        </w:rPr>
        <w:t>副总指挥：协助总指挥负责应急救援的具体指挥工作。</w:t>
      </w:r>
    </w:p>
    <w:p>
      <w:pPr>
        <w:pStyle w:val="155"/>
        <w:ind w:firstLine="480"/>
      </w:pPr>
      <w:r>
        <w:rPr>
          <w:rFonts w:ascii="宋体" w:hAnsi="宋体"/>
        </w:rPr>
        <w:t>安技部门：协助总指挥做好事故报警、情况通报、事故处置等工作。</w:t>
      </w:r>
    </w:p>
    <w:p>
      <w:pPr>
        <w:pStyle w:val="155"/>
        <w:ind w:firstLine="480"/>
      </w:pPr>
      <w:r>
        <w:rPr>
          <w:rFonts w:ascii="宋体" w:hAnsi="宋体"/>
        </w:rPr>
        <w:t>保卫部门：负责灭火、警戒、治安保卫、人员疏散、事故现场通讯联络和对外联系、道路管制等工作。</w:t>
      </w:r>
    </w:p>
    <w:p>
      <w:pPr>
        <w:pStyle w:val="155"/>
        <w:ind w:firstLine="480"/>
      </w:pPr>
      <w:r>
        <w:rPr>
          <w:rFonts w:ascii="宋体" w:hAnsi="宋体"/>
        </w:rPr>
        <w:t>卫生部门：负责现场医疗救护指挥及中毒、受伤人员分类、抢救和护送等工作。</w:t>
      </w:r>
    </w:p>
    <w:p>
      <w:pPr>
        <w:spacing w:line="360" w:lineRule="auto"/>
        <w:ind w:firstLine="200"/>
      </w:pPr>
      <w:r>
        <w:rPr>
          <w:rFonts w:ascii="华文楷体" w:hAnsi="华文楷体"/>
        </w:rPr>
        <w:t>环保部门：负责事故现场的环境监测及毒害物质扩散区域内的洗消工作等。</w:t>
      </w:r>
    </w:p>
    <w:p>
      <w:pPr>
        <w:pStyle w:val="155"/>
        <w:ind w:firstLine="480"/>
      </w:pPr>
      <w:r>
        <w:rPr>
          <w:rFonts w:hint="eastAsia"/>
        </w:rPr>
        <w:t>（3）</w:t>
      </w:r>
      <w:r>
        <w:rPr>
          <w:rFonts w:ascii="宋体" w:hAnsi="宋体"/>
        </w:rPr>
        <w:t>应急结束和善后总结</w:t>
      </w:r>
    </w:p>
    <w:p>
      <w:pPr>
        <w:pStyle w:val="155"/>
        <w:ind w:firstLine="480"/>
      </w:pPr>
      <w:r>
        <w:rPr>
          <w:rFonts w:ascii="宋体" w:hAnsi="宋体"/>
        </w:rPr>
        <w:t>如果易燃易爆气体和危险化学品的浓度均已降到安全水平，且符合国家相关环保标准要求；受伤人员均得到及时救护处置，抢险救援人员得到健康监护和体检；危险建筑物或设备残部得到处理，无坍塌、倾倒等危险；事故池的废水处理达标排放；由应急救援指挥中心宣布应急救援工作结束。</w:t>
      </w:r>
    </w:p>
    <w:p>
      <w:pPr>
        <w:pStyle w:val="155"/>
        <w:ind w:firstLine="480"/>
        <w:rPr>
          <w:rFonts w:ascii="宋体" w:hAnsi="宋体"/>
        </w:rPr>
      </w:pPr>
      <w:r>
        <w:rPr>
          <w:rFonts w:ascii="宋体" w:hAnsi="宋体"/>
        </w:rPr>
        <w:t>由应急救援领导小组根据所发生危险化学品事故的危害和影响，组建事故调查组，彻底查清事故原因，明确事故责任，总结经验教训，并根据引发事故的直接原因和间接原因，提出整改建议和措施，形成事故调查报告。</w:t>
      </w:r>
    </w:p>
    <w:p>
      <w:pPr>
        <w:pStyle w:val="5"/>
      </w:pPr>
      <w:r>
        <w:t>应急撤离</w:t>
      </w:r>
    </w:p>
    <w:p>
      <w:pPr>
        <w:pStyle w:val="155"/>
        <w:ind w:firstLine="480"/>
      </w:pPr>
      <w:r>
        <w:rPr>
          <w:rFonts w:ascii="宋体" w:hAnsi="宋体"/>
        </w:rPr>
        <w:t>根据事故情况，建立警戒区域，并迅速将警戒区内与事故处理无关人员撤离。应急撤离应注意以下几点：</w:t>
      </w:r>
    </w:p>
    <w:p>
      <w:pPr>
        <w:pStyle w:val="155"/>
        <w:ind w:firstLine="480"/>
      </w:pPr>
      <w:r>
        <w:t>1</w:t>
      </w:r>
      <w:r>
        <w:rPr>
          <w:rFonts w:ascii="宋体" w:hAnsi="宋体"/>
        </w:rPr>
        <w:t>、警戒区域的边界应设警示标志并有专人警戒；</w:t>
      </w:r>
    </w:p>
    <w:p>
      <w:pPr>
        <w:pStyle w:val="155"/>
        <w:ind w:firstLine="480"/>
      </w:pPr>
      <w:r>
        <w:t>2</w:t>
      </w:r>
      <w:r>
        <w:rPr>
          <w:rFonts w:ascii="宋体" w:hAnsi="宋体"/>
        </w:rPr>
        <w:t>、除消防及应急处理人员外，其他人员禁止进入警戒区；</w:t>
      </w:r>
    </w:p>
    <w:p>
      <w:pPr>
        <w:pStyle w:val="155"/>
        <w:ind w:firstLine="480"/>
      </w:pPr>
      <w:r>
        <w:t>3</w:t>
      </w:r>
      <w:r>
        <w:rPr>
          <w:rFonts w:ascii="宋体" w:hAnsi="宋体"/>
        </w:rPr>
        <w:t>、应向上风向转移；明确专人引导和护送疏散人员到安全区；</w:t>
      </w:r>
    </w:p>
    <w:p>
      <w:pPr>
        <w:pStyle w:val="155"/>
        <w:ind w:firstLine="480"/>
      </w:pPr>
      <w:r>
        <w:t>4</w:t>
      </w:r>
      <w:r>
        <w:rPr>
          <w:rFonts w:ascii="宋体" w:hAnsi="宋体"/>
        </w:rPr>
        <w:t>、不要在低洼处滞留；</w:t>
      </w:r>
    </w:p>
    <w:p>
      <w:pPr>
        <w:pStyle w:val="155"/>
        <w:ind w:firstLine="480"/>
      </w:pPr>
      <w:r>
        <w:t>5</w:t>
      </w:r>
      <w:r>
        <w:rPr>
          <w:rFonts w:ascii="宋体" w:hAnsi="宋体"/>
        </w:rPr>
        <w:t>、要查清是否有人留在污染区与着火区；</w:t>
      </w:r>
    </w:p>
    <w:p>
      <w:pPr>
        <w:pStyle w:val="155"/>
        <w:ind w:firstLine="480"/>
      </w:pPr>
      <w:r>
        <w:t>6</w:t>
      </w:r>
      <w:r>
        <w:rPr>
          <w:rFonts w:ascii="宋体" w:hAnsi="宋体"/>
        </w:rPr>
        <w:t>、为使疏散工作顺利进行，设置畅通无阻的紧急出口，并有明显标志；</w:t>
      </w:r>
    </w:p>
    <w:p>
      <w:pPr>
        <w:pStyle w:val="155"/>
        <w:ind w:firstLine="480"/>
      </w:pPr>
      <w:r>
        <w:t>7</w:t>
      </w:r>
      <w:r>
        <w:rPr>
          <w:rFonts w:ascii="宋体" w:hAnsi="宋体"/>
        </w:rPr>
        <w:t>、应急设施、设备与器材</w:t>
      </w:r>
    </w:p>
    <w:p>
      <w:pPr>
        <w:pStyle w:val="155"/>
        <w:ind w:firstLine="480"/>
      </w:pPr>
      <w:r>
        <w:t>8</w:t>
      </w:r>
      <w:r>
        <w:rPr>
          <w:rFonts w:ascii="宋体" w:hAnsi="宋体"/>
        </w:rPr>
        <w:t>、配备一定的消防器材，如泡沫、二氧化碳灭火器及喷水冷却设施；</w:t>
      </w:r>
    </w:p>
    <w:p>
      <w:pPr>
        <w:pStyle w:val="155"/>
        <w:ind w:firstLine="480"/>
      </w:pPr>
      <w:r>
        <w:t>9</w:t>
      </w:r>
      <w:r>
        <w:rPr>
          <w:rFonts w:ascii="宋体" w:hAnsi="宋体"/>
        </w:rPr>
        <w:t>、配备一定的防毒面具和化学防护服；</w:t>
      </w:r>
    </w:p>
    <w:p>
      <w:pPr>
        <w:pStyle w:val="155"/>
        <w:ind w:firstLine="480"/>
      </w:pPr>
      <w:r>
        <w:t>10、应规定应急状态下的报警通讯方式和通知方式</w:t>
      </w:r>
    </w:p>
    <w:p>
      <w:pPr>
        <w:pStyle w:val="5"/>
      </w:pPr>
      <w:r>
        <w:t>应急医疗救护组织</w:t>
      </w:r>
    </w:p>
    <w:p>
      <w:pPr>
        <w:pStyle w:val="155"/>
        <w:ind w:firstLine="480"/>
        <w:rPr>
          <w:rFonts w:ascii="宋体" w:hAnsi="宋体"/>
        </w:rPr>
      </w:pPr>
      <w:r>
        <w:rPr>
          <w:rFonts w:ascii="宋体" w:hAnsi="宋体"/>
        </w:rPr>
        <w:t>应急医疗救护组织包括医院内医疗救护组织和医院外医疗机构。负责事故现场、受事故影响的临近区域人员及公众对毒物应急剂量控制规定，撤离组织计划及救护。</w:t>
      </w:r>
    </w:p>
    <w:p>
      <w:pPr>
        <w:spacing w:line="360" w:lineRule="auto"/>
        <w:ind w:firstLine="200"/>
        <w:rPr>
          <w:rFonts w:ascii="宋体" w:hAnsi="宋体" w:eastAsia="宋体" w:cs="Times New Roman"/>
          <w:szCs w:val="24"/>
        </w:rPr>
      </w:pPr>
      <w:r>
        <w:rPr>
          <w:rFonts w:ascii="宋体" w:hAnsi="宋体" w:eastAsia="宋体" w:cs="Times New Roman"/>
          <w:szCs w:val="24"/>
        </w:rPr>
        <w:t>积极抢救受伤和被困人员，限制燃烧范围。毒害物、火灾易造成人员伤亡，灭火人员在采取防护措施后，应立即投入寻找和抢救受伤、被困人员的工作。</w:t>
      </w:r>
    </w:p>
    <w:p>
      <w:pPr>
        <w:pStyle w:val="5"/>
      </w:pPr>
      <w:r>
        <w:t>应急环境监测及事故后评价</w:t>
      </w:r>
    </w:p>
    <w:p>
      <w:pPr>
        <w:pStyle w:val="155"/>
        <w:ind w:firstLine="480"/>
      </w:pPr>
      <w:r>
        <w:rPr>
          <w:rFonts w:ascii="宋体" w:hAnsi="宋体"/>
        </w:rPr>
        <w:t>配备专业队伍负责对事故现场进行监测，配备一定现场事故监测设备，及时准确发现事故灾害，并对事故性质、参数预测后果进行评估，为指挥部门提供决策依据。</w:t>
      </w:r>
    </w:p>
    <w:p>
      <w:pPr>
        <w:pStyle w:val="5"/>
      </w:pPr>
      <w:r>
        <w:t>应急状态终止与恢复措施</w:t>
      </w:r>
    </w:p>
    <w:p>
      <w:pPr>
        <w:pStyle w:val="155"/>
        <w:ind w:firstLine="480"/>
      </w:pPr>
      <w:r>
        <w:rPr>
          <w:rFonts w:ascii="宋体" w:hAnsi="宋体"/>
        </w:rPr>
        <w:t>规定应急状态终止程序，事故现场善后处理，恢复措施邻近区域解除事故警戒及善后恢复措施。现场善后处理是应急预案的重要组成部分。善后计划关系到防止污染的扩大和防止事故的进一步引发，应予以重视。</w:t>
      </w:r>
    </w:p>
    <w:p>
      <w:pPr>
        <w:pStyle w:val="155"/>
        <w:ind w:firstLine="480"/>
      </w:pPr>
      <w:r>
        <w:rPr>
          <w:rFonts w:ascii="宋体" w:hAnsi="宋体"/>
        </w:rPr>
        <w:t>善后计划应包括对事故现场作进一步的安全检查，尤其是由于事故或抢救过程中留下的隐患，是否可能进一步引起新的事故。善后计划包括对事故原因分析、教训的吸取，改进措施及总结，写出事故报告，报告有关部门。</w:t>
      </w:r>
    </w:p>
    <w:p>
      <w:pPr>
        <w:pStyle w:val="5"/>
      </w:pPr>
      <w:r>
        <w:t>公共卫生事故应急防范措施</w:t>
      </w:r>
    </w:p>
    <w:p>
      <w:pPr>
        <w:pStyle w:val="155"/>
        <w:ind w:firstLine="480"/>
      </w:pPr>
      <w:r>
        <w:t>1</w:t>
      </w:r>
      <w:r>
        <w:rPr>
          <w:rFonts w:ascii="宋体" w:hAnsi="宋体"/>
        </w:rPr>
        <w:t>、应急反应</w:t>
      </w:r>
    </w:p>
    <w:p>
      <w:pPr>
        <w:pStyle w:val="155"/>
        <w:ind w:firstLine="480"/>
      </w:pPr>
      <w:r>
        <w:rPr>
          <w:rFonts w:ascii="宋体" w:hAnsi="宋体"/>
        </w:rPr>
        <w:t>（</w:t>
      </w:r>
      <w:r>
        <w:t>1</w:t>
      </w:r>
      <w:r>
        <w:rPr>
          <w:rFonts w:ascii="宋体" w:hAnsi="宋体"/>
        </w:rPr>
        <w:t>）开展病人接诊、收治和转运工作，实行重症和普通病人分开管理，对疑似病人及时排除或确诊。</w:t>
      </w:r>
    </w:p>
    <w:p>
      <w:pPr>
        <w:pStyle w:val="155"/>
        <w:ind w:firstLine="480"/>
      </w:pPr>
      <w:r>
        <w:rPr>
          <w:rFonts w:ascii="宋体" w:hAnsi="宋体"/>
        </w:rPr>
        <w:t>（</w:t>
      </w:r>
      <w:r>
        <w:t>2</w:t>
      </w:r>
      <w:r>
        <w:rPr>
          <w:rFonts w:ascii="宋体" w:hAnsi="宋体"/>
        </w:rPr>
        <w:t>）协助疾控机构人员开展标本的采集、流行病学调查工作。</w:t>
      </w:r>
    </w:p>
    <w:p>
      <w:pPr>
        <w:pStyle w:val="155"/>
        <w:ind w:firstLine="480"/>
      </w:pPr>
      <w:r>
        <w:rPr>
          <w:rFonts w:ascii="宋体" w:hAnsi="宋体"/>
        </w:rPr>
        <w:t>（</w:t>
      </w:r>
      <w:r>
        <w:t>3</w:t>
      </w:r>
      <w:r>
        <w:rPr>
          <w:rFonts w:ascii="宋体" w:hAnsi="宋体"/>
        </w:rPr>
        <w:t>）做好医院内现场控制、消毒隔离、个人防护、医疗垃圾和污水处理工作，防止院内交叉感染和污染。</w:t>
      </w:r>
    </w:p>
    <w:p>
      <w:pPr>
        <w:pStyle w:val="155"/>
        <w:ind w:firstLine="480"/>
      </w:pPr>
      <w:r>
        <w:t>2</w:t>
      </w:r>
      <w:r>
        <w:rPr>
          <w:rFonts w:ascii="宋体" w:hAnsi="宋体"/>
        </w:rPr>
        <w:t>、非事件发生应急反应措施 院内未发生突发公共卫生事件时，应根据其他地方发生事件的性质、特点、发生区域和发展趋势，分析医院受波及的可能性和程度，重点做好以下工作：</w:t>
      </w:r>
    </w:p>
    <w:p>
      <w:pPr>
        <w:pStyle w:val="155"/>
        <w:ind w:firstLine="480"/>
      </w:pPr>
      <w:r>
        <w:rPr>
          <w:rFonts w:ascii="宋体" w:hAnsi="宋体"/>
        </w:rPr>
        <w:t>（</w:t>
      </w:r>
      <w:r>
        <w:t>1</w:t>
      </w:r>
      <w:r>
        <w:rPr>
          <w:rFonts w:ascii="宋体" w:hAnsi="宋体"/>
        </w:rPr>
        <w:t>）密切保持与事件发生地方的联系，及时获取相关信息。</w:t>
      </w:r>
    </w:p>
    <w:p>
      <w:pPr>
        <w:pStyle w:val="155"/>
        <w:ind w:firstLine="480"/>
      </w:pPr>
      <w:r>
        <w:rPr>
          <w:rFonts w:ascii="宋体" w:hAnsi="宋体"/>
        </w:rPr>
        <w:t>（</w:t>
      </w:r>
      <w:r>
        <w:t>2</w:t>
      </w:r>
      <w:r>
        <w:rPr>
          <w:rFonts w:ascii="宋体" w:hAnsi="宋体"/>
        </w:rPr>
        <w:t>）组织做好院内应急处理所需的人员与物资准备。</w:t>
      </w:r>
    </w:p>
    <w:p>
      <w:pPr>
        <w:pStyle w:val="155"/>
        <w:ind w:firstLine="480"/>
      </w:pPr>
      <w:r>
        <w:rPr>
          <w:rFonts w:ascii="宋体" w:hAnsi="宋体"/>
        </w:rPr>
        <w:t>（</w:t>
      </w:r>
      <w:r>
        <w:t>3</w:t>
      </w:r>
      <w:r>
        <w:rPr>
          <w:rFonts w:ascii="宋体" w:hAnsi="宋体"/>
        </w:rPr>
        <w:t>）加强相关疾病与健康监测和报告工作，必要时，建立专门报告制度。</w:t>
      </w:r>
    </w:p>
    <w:p>
      <w:pPr>
        <w:pStyle w:val="155"/>
        <w:ind w:firstLine="480"/>
      </w:pPr>
      <w:r>
        <w:rPr>
          <w:rFonts w:ascii="宋体" w:hAnsi="宋体"/>
        </w:rPr>
        <w:t>（</w:t>
      </w:r>
      <w:r>
        <w:t>4</w:t>
      </w:r>
      <w:r>
        <w:rPr>
          <w:rFonts w:ascii="宋体" w:hAnsi="宋体"/>
        </w:rPr>
        <w:t>）开展重点人群、重点场所和重点环节的监测和预防控制工作，防患于未然。</w:t>
      </w:r>
    </w:p>
    <w:p>
      <w:pPr>
        <w:pStyle w:val="155"/>
        <w:ind w:firstLine="480"/>
      </w:pPr>
      <w:r>
        <w:rPr>
          <w:rFonts w:ascii="宋体" w:hAnsi="宋体"/>
        </w:rPr>
        <w:t>（</w:t>
      </w:r>
      <w:r>
        <w:t>5</w:t>
      </w:r>
      <w:r>
        <w:rPr>
          <w:rFonts w:ascii="宋体" w:hAnsi="宋体"/>
        </w:rPr>
        <w:t>）开展防治知识宣传和健康教育，提高全院自我保护意识和能力。</w:t>
      </w:r>
    </w:p>
    <w:p>
      <w:pPr>
        <w:pStyle w:val="4"/>
      </w:pPr>
      <w:r>
        <w:t>环境风险评价结论</w:t>
      </w:r>
    </w:p>
    <w:p>
      <w:pPr>
        <w:pStyle w:val="155"/>
        <w:ind w:firstLine="360" w:firstLineChars="150"/>
      </w:pPr>
      <w:r>
        <w:rPr>
          <w:rFonts w:ascii="宋体" w:hAnsi="宋体"/>
        </w:rPr>
        <w:t>项目营运期环境存在着一定的环境风险，只要项目加强风险防范意识，严格管理、严格按照国家相关管理要求进行安全营运，建立完善整个医院的风险管理制度，制订相应的事故应急预案，同时严格按照环评要求进行环境风险防范，则可将项目的环境风险降低至可接受程度。</w:t>
      </w:r>
    </w:p>
    <w:p>
      <w:pPr>
        <w:pStyle w:val="155"/>
        <w:ind w:firstLine="480"/>
        <w:sectPr>
          <w:pgSz w:w="11911" w:h="16838"/>
          <w:pgMar w:top="1060" w:right="958" w:bottom="1338" w:left="1519" w:header="720" w:footer="720" w:gutter="0"/>
          <w:cols w:space="0" w:num="1"/>
        </w:sectPr>
      </w:pPr>
      <w:r>
        <w:rPr>
          <w:rFonts w:ascii="宋体" w:hAnsi="宋体"/>
        </w:rPr>
        <w:t>综上所述：本项目风险处于可接受的水平，其风险管理措施有效、可靠，从风险角度而言是可行。</w:t>
      </w:r>
    </w:p>
    <w:p>
      <w:pPr>
        <w:pStyle w:val="2"/>
        <w:adjustRightInd w:val="0"/>
        <w:snapToGrid w:val="0"/>
        <w:spacing w:line="360" w:lineRule="auto"/>
        <w:rPr>
          <w:color w:val="000000" w:themeColor="text1"/>
        </w:rPr>
      </w:pPr>
      <w:bookmarkStart w:id="198" w:name="_Toc532763222"/>
      <w:bookmarkStart w:id="199" w:name="_Toc25826500"/>
      <w:bookmarkStart w:id="200" w:name="_Toc532497689"/>
      <w:bookmarkStart w:id="201" w:name="_Toc532498758"/>
      <w:bookmarkStart w:id="202" w:name="_Toc532376165"/>
      <w:r>
        <w:rPr>
          <w:rFonts w:hint="eastAsia"/>
          <w:color w:val="000000" w:themeColor="text1"/>
        </w:rPr>
        <w:t>环境影响经济损益分析</w:t>
      </w:r>
      <w:bookmarkEnd w:id="198"/>
      <w:bookmarkEnd w:id="199"/>
      <w:bookmarkEnd w:id="200"/>
      <w:bookmarkEnd w:id="201"/>
      <w:bookmarkEnd w:id="202"/>
    </w:p>
    <w:p>
      <w:pPr>
        <w:pStyle w:val="4"/>
        <w:adjustRightInd w:val="0"/>
        <w:snapToGrid w:val="0"/>
        <w:rPr>
          <w:color w:val="000000" w:themeColor="text1"/>
        </w:rPr>
      </w:pPr>
      <w:bookmarkStart w:id="203" w:name="_Toc25826501"/>
      <w:bookmarkStart w:id="204" w:name="_Toc532763223"/>
      <w:bookmarkStart w:id="205" w:name="_Toc532497690"/>
      <w:bookmarkStart w:id="206" w:name="_Toc532376166"/>
      <w:bookmarkStart w:id="207" w:name="_Toc532498759"/>
      <w:r>
        <w:rPr>
          <w:rFonts w:hint="eastAsia"/>
          <w:color w:val="000000" w:themeColor="text1"/>
        </w:rPr>
        <w:t>环境保护投资估算</w:t>
      </w:r>
      <w:bookmarkEnd w:id="203"/>
      <w:bookmarkEnd w:id="204"/>
      <w:bookmarkEnd w:id="205"/>
      <w:bookmarkEnd w:id="206"/>
      <w:bookmarkEnd w:id="207"/>
    </w:p>
    <w:p>
      <w:pPr>
        <w:autoSpaceDE w:val="0"/>
        <w:autoSpaceDN w:val="0"/>
        <w:adjustRightInd w:val="0"/>
        <w:snapToGrid w:val="0"/>
        <w:spacing w:line="360" w:lineRule="auto"/>
        <w:ind w:firstLine="480" w:firstLineChars="200"/>
        <w:jc w:val="left"/>
        <w:rPr>
          <w:rFonts w:ascii="宋体" w:eastAsia="宋体" w:cs="宋体" w:hAnsiTheme="minorHAnsi"/>
          <w:kern w:val="0"/>
          <w:szCs w:val="24"/>
        </w:rPr>
      </w:pPr>
      <w:r>
        <w:rPr>
          <w:rFonts w:hint="eastAsia"/>
        </w:rPr>
        <w:t>环境经济损益分析是环境影响评价的一项重要工作内容，其主要任务是衡量建设项目需要投入的环保投资和所能收到的环境保护效果，因此，在环境经济损益分析中除需计算用于控制污染所需投资和费用外，还要同时核算可能收到的环境与经济实效。然而，经济效益比较直观，而环境效益和社会效益则很难用货币直接计算。本评价环境经济损益分析，采用定性与半定量相结合的方法进行简要的分析。</w:t>
      </w:r>
    </w:p>
    <w:p>
      <w:pPr>
        <w:pStyle w:val="4"/>
        <w:adjustRightInd w:val="0"/>
        <w:snapToGrid w:val="0"/>
        <w:rPr>
          <w:color w:val="000000" w:themeColor="text1"/>
        </w:rPr>
      </w:pPr>
      <w:bookmarkStart w:id="208" w:name="_Toc532376167"/>
      <w:bookmarkStart w:id="209" w:name="_Toc25826502"/>
      <w:bookmarkStart w:id="210" w:name="_Toc532498760"/>
      <w:bookmarkStart w:id="211" w:name="_Toc532497691"/>
      <w:bookmarkStart w:id="212" w:name="_Toc532763224"/>
      <w:r>
        <w:rPr>
          <w:rFonts w:hint="eastAsia"/>
          <w:color w:val="000000" w:themeColor="text1"/>
        </w:rPr>
        <w:t>经济效益分析</w:t>
      </w:r>
      <w:bookmarkEnd w:id="208"/>
      <w:bookmarkEnd w:id="209"/>
      <w:bookmarkEnd w:id="210"/>
      <w:bookmarkEnd w:id="211"/>
      <w:bookmarkEnd w:id="212"/>
    </w:p>
    <w:p>
      <w:pPr>
        <w:autoSpaceDE w:val="0"/>
        <w:autoSpaceDN w:val="0"/>
        <w:adjustRightInd w:val="0"/>
        <w:snapToGrid w:val="0"/>
        <w:spacing w:line="360" w:lineRule="auto"/>
        <w:ind w:firstLine="480" w:firstLineChars="200"/>
        <w:jc w:val="left"/>
        <w:rPr>
          <w:rFonts w:eastAsia="宋体" w:cs="Times New Roman"/>
          <w:kern w:val="0"/>
          <w:szCs w:val="24"/>
        </w:rPr>
      </w:pPr>
      <w:r>
        <w:rPr>
          <w:rFonts w:eastAsia="宋体" w:cs="Times New Roman"/>
          <w:color w:val="000000" w:themeColor="text1"/>
          <w:kern w:val="0"/>
          <w:szCs w:val="24"/>
        </w:rPr>
        <w:t>本项目总投资11165万元，属社会公益基础设施建设</w:t>
      </w:r>
      <w:r>
        <w:rPr>
          <w:rFonts w:hint="eastAsia" w:eastAsia="宋体" w:cs="Times New Roman"/>
          <w:color w:val="000000" w:themeColor="text1"/>
          <w:kern w:val="0"/>
          <w:szCs w:val="24"/>
        </w:rPr>
        <w:t>，</w:t>
      </w:r>
      <w:r>
        <w:rPr>
          <w:rFonts w:eastAsia="宋体" w:cs="Times New Roman"/>
          <w:color w:val="000000" w:themeColor="text1"/>
          <w:kern w:val="0"/>
          <w:szCs w:val="24"/>
        </w:rPr>
        <w:t>项目主要为完善岳阳市基本医疗服务能力，提高岳阳地区医疗服务质量和水平，提高岳阳地区人民群众健康素质，并非单纯的追求经济效益。</w:t>
      </w:r>
    </w:p>
    <w:p>
      <w:pPr>
        <w:pStyle w:val="4"/>
        <w:adjustRightInd w:val="0"/>
        <w:snapToGrid w:val="0"/>
        <w:rPr>
          <w:color w:val="000000" w:themeColor="text1"/>
        </w:rPr>
      </w:pPr>
      <w:bookmarkStart w:id="213" w:name="_Toc532763225"/>
      <w:bookmarkStart w:id="214" w:name="_Toc532498761"/>
      <w:bookmarkStart w:id="215" w:name="_Toc532497692"/>
      <w:bookmarkStart w:id="216" w:name="_Toc532376168"/>
      <w:bookmarkStart w:id="217" w:name="_Toc25826503"/>
      <w:r>
        <w:rPr>
          <w:rFonts w:hint="eastAsia"/>
          <w:color w:val="000000" w:themeColor="text1"/>
        </w:rPr>
        <w:t>社会效益分析</w:t>
      </w:r>
      <w:bookmarkEnd w:id="213"/>
      <w:bookmarkEnd w:id="214"/>
      <w:bookmarkEnd w:id="215"/>
      <w:bookmarkEnd w:id="216"/>
      <w:bookmarkEnd w:id="217"/>
    </w:p>
    <w:p>
      <w:pPr>
        <w:spacing w:line="360" w:lineRule="auto"/>
        <w:ind w:firstLine="480" w:firstLineChars="200"/>
      </w:pPr>
      <w:r>
        <w:rPr>
          <w:rFonts w:hint="eastAsia"/>
        </w:rPr>
        <w:t>（1）本项目切实改善了岳阳市的医疗服务能力状况，有效提高了岳阳地区的基本医疗保障服务能力，对促进全市乃至全省的医疗事业发展具有积极意义。</w:t>
      </w:r>
    </w:p>
    <w:p>
      <w:pPr>
        <w:spacing w:line="360" w:lineRule="auto"/>
        <w:ind w:firstLine="480" w:firstLineChars="200"/>
      </w:pPr>
      <w:r>
        <w:rPr>
          <w:rFonts w:hint="eastAsia"/>
        </w:rPr>
        <w:t>（2）本项目有效健全的岳阳地区医疗服务体积建设，合理布局公立医院医疗资源和服务设施，着力提升区域内医疗服务质量和水平，提高人民群众健康素质和幸福指数，有力促进岳阳市医疗卫生事业科学、健康发展。</w:t>
      </w:r>
    </w:p>
    <w:p>
      <w:pPr>
        <w:pStyle w:val="4"/>
        <w:adjustRightInd w:val="0"/>
        <w:snapToGrid w:val="0"/>
      </w:pPr>
      <w:bookmarkStart w:id="218" w:name="_Toc532763226"/>
      <w:bookmarkStart w:id="219" w:name="_Toc532376169"/>
      <w:bookmarkStart w:id="220" w:name="_Toc25826504"/>
      <w:bookmarkStart w:id="221" w:name="_Toc532497693"/>
      <w:bookmarkStart w:id="222" w:name="_Toc532498762"/>
      <w:r>
        <w:rPr>
          <w:rFonts w:hint="eastAsia"/>
        </w:rPr>
        <w:t>环境损益分析</w:t>
      </w:r>
      <w:bookmarkEnd w:id="218"/>
      <w:bookmarkEnd w:id="219"/>
      <w:bookmarkEnd w:id="220"/>
      <w:bookmarkEnd w:id="221"/>
      <w:bookmarkEnd w:id="222"/>
    </w:p>
    <w:p>
      <w:pPr>
        <w:autoSpaceDE w:val="0"/>
        <w:autoSpaceDN w:val="0"/>
        <w:adjustRightInd w:val="0"/>
        <w:snapToGrid w:val="0"/>
        <w:spacing w:line="360" w:lineRule="auto"/>
        <w:ind w:firstLine="480" w:firstLineChars="200"/>
        <w:jc w:val="left"/>
        <w:rPr>
          <w:rFonts w:cs="Times New Roman"/>
          <w:color w:val="000000" w:themeColor="text1"/>
        </w:rPr>
      </w:pPr>
      <w:r>
        <w:rPr>
          <w:rFonts w:eastAsia="宋体" w:cs="Times New Roman"/>
          <w:color w:val="000000" w:themeColor="text1"/>
          <w:kern w:val="0"/>
          <w:szCs w:val="24"/>
        </w:rPr>
        <w:t>本项总投资11165万元，</w:t>
      </w:r>
      <w:r>
        <w:rPr>
          <w:rFonts w:cs="Times New Roman"/>
          <w:color w:val="000000" w:themeColor="text1"/>
        </w:rPr>
        <w:t>整改后合计环境保护措施的投资费用约为</w:t>
      </w:r>
      <w:r>
        <w:rPr>
          <w:rFonts w:hint="eastAsia" w:cs="Times New Roman"/>
          <w:color w:val="000000" w:themeColor="text1"/>
        </w:rPr>
        <w:t>149</w:t>
      </w:r>
      <w:r>
        <w:rPr>
          <w:rFonts w:cs="Times New Roman"/>
          <w:color w:val="000000" w:themeColor="text1"/>
        </w:rPr>
        <w:t>万元，环保投资比例约为</w:t>
      </w:r>
      <w:r>
        <w:rPr>
          <w:rFonts w:hint="eastAsia" w:cs="Times New Roman"/>
          <w:color w:val="000000" w:themeColor="text1"/>
        </w:rPr>
        <w:t>1.3</w:t>
      </w:r>
      <w:r>
        <w:rPr>
          <w:rFonts w:cs="Times New Roman"/>
          <w:color w:val="000000" w:themeColor="text1"/>
        </w:rPr>
        <w:t>%。在拟投入的环保资金里，以废水投资所占比例最大，其次是废气治理和固废治理，与项目实际情况相符合。项目环保投资见下表所示</w:t>
      </w:r>
      <w:r>
        <w:rPr>
          <w:rFonts w:hint="eastAsia" w:cs="Times New Roman"/>
          <w:color w:val="000000" w:themeColor="text1"/>
        </w:rPr>
        <w:t>。</w:t>
      </w:r>
    </w:p>
    <w:p>
      <w:pPr>
        <w:pStyle w:val="14"/>
        <w:spacing w:line="240" w:lineRule="auto"/>
        <w:rPr>
          <w:rFonts w:cs="Times New Roman"/>
          <w:color w:val="000000" w:themeColor="text1"/>
          <w:kern w:val="0"/>
          <w:szCs w:val="24"/>
        </w:rPr>
      </w:pPr>
      <w:r>
        <w:rPr>
          <w:rFonts w:hint="eastAsia" w:cs="Times New Roman"/>
        </w:rPr>
        <w:t>表</w:t>
      </w:r>
      <w:r>
        <w:rPr>
          <w:rFonts w:cs="Times New Roman"/>
        </w:rPr>
        <w:fldChar w:fldCharType="begin"/>
      </w:r>
      <w:r>
        <w:rPr>
          <w:rFonts w:cs="Times New Roman"/>
        </w:rPr>
        <w:instrText xml:space="preserve"> </w:instrText>
      </w:r>
      <w:r>
        <w:rPr>
          <w:rFonts w:hint="eastAsia" w:cs="Times New Roman"/>
        </w:rPr>
        <w:instrText xml:space="preserve">STYLEREF 2 \s</w:instrText>
      </w:r>
      <w:r>
        <w:rPr>
          <w:rFonts w:cs="Times New Roman"/>
        </w:rPr>
        <w:instrText xml:space="preserve"> </w:instrText>
      </w:r>
      <w:r>
        <w:rPr>
          <w:rFonts w:cs="Times New Roman"/>
        </w:rPr>
        <w:fldChar w:fldCharType="separate"/>
      </w:r>
      <w:r>
        <w:rPr>
          <w:rFonts w:cs="Times New Roman"/>
        </w:rPr>
        <w:t>8.4</w:t>
      </w:r>
      <w:r>
        <w:rPr>
          <w:rFonts w:cs="Times New Roman"/>
        </w:rPr>
        <w:fldChar w:fldCharType="end"/>
      </w:r>
      <w:r>
        <w:rPr>
          <w:rFonts w:cs="Times New Roman"/>
        </w:rPr>
        <w:noBreakHyphen/>
      </w:r>
      <w:r>
        <w:rPr>
          <w:rFonts w:cs="Times New Roman"/>
        </w:rPr>
        <w:fldChar w:fldCharType="begin"/>
      </w:r>
      <w:r>
        <w:rPr>
          <w:rFonts w:cs="Times New Roman"/>
        </w:rPr>
        <w:instrText xml:space="preserve"> </w:instrText>
      </w:r>
      <w:r>
        <w:rPr>
          <w:rFonts w:hint="eastAsia" w:cs="Times New Roman"/>
        </w:rPr>
        <w:instrText xml:space="preserve">SEQ 表 \* ARABIC \s 2</w:instrText>
      </w:r>
      <w:r>
        <w:rPr>
          <w:rFonts w:cs="Times New Roman"/>
        </w:rPr>
        <w:instrText xml:space="preserve"> </w:instrText>
      </w:r>
      <w:r>
        <w:rPr>
          <w:rFonts w:cs="Times New Roman"/>
        </w:rPr>
        <w:fldChar w:fldCharType="separate"/>
      </w:r>
      <w:r>
        <w:rPr>
          <w:rFonts w:cs="Times New Roman"/>
        </w:rPr>
        <w:t>1</w:t>
      </w:r>
      <w:r>
        <w:rPr>
          <w:rFonts w:cs="Times New Roman"/>
        </w:rPr>
        <w:fldChar w:fldCharType="end"/>
      </w:r>
      <w:r>
        <w:rPr>
          <w:rFonts w:hint="eastAsia" w:cs="Times New Roman"/>
          <w:color w:val="000000" w:themeColor="text1"/>
          <w:kern w:val="0"/>
          <w:szCs w:val="24"/>
        </w:rPr>
        <w:t xml:space="preserve">  环境保护投估算一览表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autofit"/>
        <w:tblCellMar>
          <w:top w:w="0" w:type="dxa"/>
          <w:left w:w="108" w:type="dxa"/>
          <w:bottom w:w="0" w:type="dxa"/>
          <w:right w:w="108" w:type="dxa"/>
        </w:tblCellMar>
      </w:tblPr>
      <w:tblGrid>
        <w:gridCol w:w="664"/>
        <w:gridCol w:w="2304"/>
        <w:gridCol w:w="4644"/>
        <w:gridCol w:w="1295"/>
        <w:gridCol w:w="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372" w:hRule="atLeast"/>
          <w:jc w:val="center"/>
        </w:trPr>
        <w:tc>
          <w:tcPr>
            <w:tcW w:w="344" w:type="pct"/>
            <w:vAlign w:val="center"/>
          </w:tcPr>
          <w:p>
            <w:pPr>
              <w:pStyle w:val="147"/>
              <w:spacing w:line="240" w:lineRule="exact"/>
              <w:rPr>
                <w:rFonts w:ascii="Times New Roman" w:hAnsi="Times New Roman" w:cs="Times New Roman"/>
                <w:color w:val="000000" w:themeColor="text1"/>
                <w:szCs w:val="21"/>
              </w:rPr>
            </w:pPr>
            <w:r>
              <w:rPr>
                <w:rFonts w:ascii="Times New Roman" w:cs="Times New Roman"/>
                <w:color w:val="000000" w:themeColor="text1"/>
                <w:szCs w:val="21"/>
              </w:rPr>
              <w:t>类别</w:t>
            </w:r>
          </w:p>
        </w:tc>
        <w:tc>
          <w:tcPr>
            <w:tcW w:w="1194" w:type="pct"/>
            <w:vAlign w:val="center"/>
          </w:tcPr>
          <w:p>
            <w:pPr>
              <w:spacing w:line="240" w:lineRule="exact"/>
              <w:jc w:val="center"/>
              <w:rPr>
                <w:rFonts w:cs="Times New Roman"/>
                <w:color w:val="000000" w:themeColor="text1"/>
                <w:sz w:val="21"/>
              </w:rPr>
            </w:pPr>
            <w:r>
              <w:rPr>
                <w:rFonts w:cs="Times New Roman"/>
                <w:color w:val="000000" w:themeColor="text1"/>
                <w:sz w:val="21"/>
              </w:rPr>
              <w:t>治理对象</w:t>
            </w:r>
          </w:p>
        </w:tc>
        <w:tc>
          <w:tcPr>
            <w:tcW w:w="2406" w:type="pct"/>
            <w:vAlign w:val="center"/>
          </w:tcPr>
          <w:p>
            <w:pPr>
              <w:spacing w:line="240" w:lineRule="exact"/>
              <w:jc w:val="center"/>
              <w:rPr>
                <w:rFonts w:cs="Times New Roman"/>
                <w:color w:val="000000" w:themeColor="text1"/>
                <w:sz w:val="21"/>
              </w:rPr>
            </w:pPr>
            <w:r>
              <w:rPr>
                <w:rFonts w:cs="Times New Roman"/>
                <w:color w:val="000000" w:themeColor="text1"/>
                <w:sz w:val="21"/>
              </w:rPr>
              <w:t>环保措施</w:t>
            </w:r>
          </w:p>
        </w:tc>
        <w:tc>
          <w:tcPr>
            <w:tcW w:w="671" w:type="pct"/>
            <w:vAlign w:val="center"/>
          </w:tcPr>
          <w:p>
            <w:pPr>
              <w:pStyle w:val="147"/>
              <w:spacing w:line="240" w:lineRule="exact"/>
              <w:rPr>
                <w:rFonts w:ascii="Times New Roman" w:hAnsi="Times New Roman" w:cs="Times New Roman"/>
                <w:color w:val="000000" w:themeColor="text1"/>
                <w:szCs w:val="21"/>
              </w:rPr>
            </w:pPr>
            <w:r>
              <w:rPr>
                <w:rFonts w:ascii="Times New Roman" w:cs="Times New Roman"/>
                <w:color w:val="000000" w:themeColor="text1"/>
                <w:szCs w:val="21"/>
              </w:rPr>
              <w:t>投资估算（万元）</w:t>
            </w:r>
          </w:p>
        </w:tc>
        <w:tc>
          <w:tcPr>
            <w:tcW w:w="385" w:type="pct"/>
            <w:vAlign w:val="center"/>
          </w:tcPr>
          <w:p>
            <w:pPr>
              <w:pStyle w:val="147"/>
              <w:spacing w:line="240" w:lineRule="exact"/>
              <w:rPr>
                <w:rFonts w:ascii="Times New Roman" w:hAnsi="Times New Roman" w:cs="Times New Roman"/>
                <w:color w:val="000000" w:themeColor="text1"/>
                <w:szCs w:val="21"/>
              </w:rPr>
            </w:pPr>
            <w:r>
              <w:rPr>
                <w:rFonts w:ascii="Times New Roman" w:cs="Times New Roman"/>
                <w:color w:val="000000" w:themeColor="text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65" w:hRule="atLeast"/>
          <w:jc w:val="center"/>
        </w:trPr>
        <w:tc>
          <w:tcPr>
            <w:tcW w:w="344" w:type="pct"/>
            <w:vMerge w:val="restart"/>
            <w:vAlign w:val="center"/>
          </w:tcPr>
          <w:p>
            <w:pPr>
              <w:pStyle w:val="147"/>
              <w:rPr>
                <w:rFonts w:ascii="Times New Roman" w:hAnsi="Times New Roman" w:cs="Times New Roman"/>
                <w:color w:val="000000" w:themeColor="text1"/>
                <w:szCs w:val="21"/>
              </w:rPr>
            </w:pPr>
            <w:r>
              <w:rPr>
                <w:rFonts w:ascii="Times New Roman" w:cs="Times New Roman"/>
                <w:color w:val="000000" w:themeColor="text1"/>
                <w:szCs w:val="21"/>
              </w:rPr>
              <w:t>废气</w:t>
            </w:r>
          </w:p>
        </w:tc>
        <w:tc>
          <w:tcPr>
            <w:tcW w:w="1194" w:type="pct"/>
            <w:vAlign w:val="center"/>
          </w:tcPr>
          <w:p>
            <w:pPr>
              <w:jc w:val="center"/>
              <w:rPr>
                <w:rFonts w:cs="Times New Roman"/>
                <w:color w:val="000000" w:themeColor="text1"/>
                <w:sz w:val="21"/>
              </w:rPr>
            </w:pPr>
            <w:r>
              <w:rPr>
                <w:rFonts w:cs="Times New Roman"/>
                <w:color w:val="000000" w:themeColor="text1"/>
                <w:sz w:val="21"/>
              </w:rPr>
              <w:t>食堂油烟</w:t>
            </w:r>
          </w:p>
        </w:tc>
        <w:tc>
          <w:tcPr>
            <w:tcW w:w="2406" w:type="pct"/>
            <w:vAlign w:val="center"/>
          </w:tcPr>
          <w:p>
            <w:pPr>
              <w:jc w:val="center"/>
              <w:rPr>
                <w:rFonts w:cs="Times New Roman"/>
                <w:color w:val="000000" w:themeColor="text1"/>
                <w:sz w:val="21"/>
              </w:rPr>
            </w:pPr>
            <w:r>
              <w:rPr>
                <w:rFonts w:cs="Times New Roman"/>
                <w:color w:val="000000" w:themeColor="text1"/>
                <w:sz w:val="21"/>
              </w:rPr>
              <w:t>集气罩+油烟净化器+专用烟道送至楼顶排放</w:t>
            </w:r>
          </w:p>
        </w:tc>
        <w:tc>
          <w:tcPr>
            <w:tcW w:w="671" w:type="pct"/>
            <w:vAlign w:val="center"/>
          </w:tcPr>
          <w:p>
            <w:pPr>
              <w:pStyle w:val="147"/>
              <w:rPr>
                <w:rFonts w:ascii="Times New Roman" w:hAnsi="Times New Roman" w:cs="Times New Roman"/>
                <w:color w:val="000000" w:themeColor="text1"/>
                <w:szCs w:val="21"/>
              </w:rPr>
            </w:pPr>
            <w:r>
              <w:rPr>
                <w:rFonts w:ascii="Times New Roman" w:hAnsi="Times New Roman" w:cs="Times New Roman"/>
                <w:color w:val="000000" w:themeColor="text1"/>
                <w:szCs w:val="21"/>
              </w:rPr>
              <w:t>10</w:t>
            </w:r>
          </w:p>
        </w:tc>
        <w:tc>
          <w:tcPr>
            <w:tcW w:w="385" w:type="pct"/>
            <w:vAlign w:val="center"/>
          </w:tcPr>
          <w:p>
            <w:pPr>
              <w:pStyle w:val="147"/>
              <w:rPr>
                <w:rFonts w:ascii="Times New Roman" w:hAnsi="Times New Roman" w:cs="Times New Roman"/>
                <w:color w:val="000000" w:themeColor="text1"/>
                <w:szCs w:val="21"/>
              </w:rPr>
            </w:pPr>
            <w:r>
              <w:rPr>
                <w:rFonts w:ascii="Times New Roman" w:cs="Times New Roman"/>
                <w:color w:val="000000" w:themeColor="text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250" w:hRule="atLeast"/>
          <w:jc w:val="center"/>
        </w:trPr>
        <w:tc>
          <w:tcPr>
            <w:tcW w:w="344" w:type="pct"/>
            <w:vMerge w:val="continue"/>
            <w:vAlign w:val="center"/>
          </w:tcPr>
          <w:p>
            <w:pPr>
              <w:pStyle w:val="147"/>
              <w:rPr>
                <w:rFonts w:ascii="Times New Roman" w:hAnsi="Times New Roman" w:cs="Times New Roman"/>
                <w:color w:val="000000" w:themeColor="text1"/>
                <w:szCs w:val="21"/>
              </w:rPr>
            </w:pPr>
          </w:p>
        </w:tc>
        <w:tc>
          <w:tcPr>
            <w:tcW w:w="1194" w:type="pct"/>
            <w:vAlign w:val="center"/>
          </w:tcPr>
          <w:p>
            <w:pPr>
              <w:jc w:val="center"/>
              <w:rPr>
                <w:rFonts w:cs="Times New Roman"/>
                <w:color w:val="000000" w:themeColor="text1"/>
                <w:sz w:val="21"/>
              </w:rPr>
            </w:pPr>
            <w:r>
              <w:rPr>
                <w:rFonts w:cs="Times New Roman"/>
                <w:color w:val="000000" w:themeColor="text1"/>
                <w:sz w:val="21"/>
              </w:rPr>
              <w:t>污水处理站恶臭</w:t>
            </w:r>
          </w:p>
        </w:tc>
        <w:tc>
          <w:tcPr>
            <w:tcW w:w="2406" w:type="pct"/>
            <w:vAlign w:val="center"/>
          </w:tcPr>
          <w:p>
            <w:pPr>
              <w:jc w:val="center"/>
              <w:rPr>
                <w:rFonts w:cs="Times New Roman"/>
                <w:color w:val="000000" w:themeColor="text1"/>
                <w:sz w:val="21"/>
              </w:rPr>
            </w:pPr>
            <w:r>
              <w:rPr>
                <w:rFonts w:cs="Times New Roman"/>
                <w:color w:val="000000" w:themeColor="text1"/>
                <w:sz w:val="21"/>
              </w:rPr>
              <w:t>院内污水处理站恶臭经喷洒除臭剂处理；</w:t>
            </w:r>
          </w:p>
        </w:tc>
        <w:tc>
          <w:tcPr>
            <w:tcW w:w="671" w:type="pct"/>
            <w:vAlign w:val="center"/>
          </w:tcPr>
          <w:p>
            <w:pPr>
              <w:pStyle w:val="147"/>
              <w:rPr>
                <w:rFonts w:ascii="Times New Roman" w:hAnsi="Times New Roman" w:cs="Times New Roman"/>
                <w:color w:val="000000" w:themeColor="text1"/>
                <w:szCs w:val="21"/>
              </w:rPr>
            </w:pPr>
            <w:r>
              <w:rPr>
                <w:rFonts w:ascii="Times New Roman" w:hAnsi="Times New Roman" w:cs="Times New Roman"/>
                <w:color w:val="000000" w:themeColor="text1"/>
                <w:szCs w:val="21"/>
              </w:rPr>
              <w:t>2</w:t>
            </w:r>
          </w:p>
        </w:tc>
        <w:tc>
          <w:tcPr>
            <w:tcW w:w="385" w:type="pct"/>
            <w:vAlign w:val="center"/>
          </w:tcPr>
          <w:p>
            <w:pPr>
              <w:pStyle w:val="147"/>
              <w:rPr>
                <w:rFonts w:ascii="Times New Roman" w:hAnsi="Times New Roman" w:cs="Times New Roman"/>
                <w:color w:val="000000" w:themeColor="text1"/>
                <w:szCs w:val="21"/>
              </w:rPr>
            </w:pPr>
            <w:r>
              <w:rPr>
                <w:rFonts w:ascii="Times New Roman" w:cs="Times New Roman"/>
                <w:color w:val="000000" w:themeColor="text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303" w:hRule="atLeast"/>
          <w:jc w:val="center"/>
        </w:trPr>
        <w:tc>
          <w:tcPr>
            <w:tcW w:w="344" w:type="pct"/>
            <w:vMerge w:val="continue"/>
            <w:vAlign w:val="center"/>
          </w:tcPr>
          <w:p>
            <w:pPr>
              <w:pStyle w:val="147"/>
              <w:rPr>
                <w:rFonts w:ascii="Times New Roman" w:hAnsi="Times New Roman" w:cs="Times New Roman"/>
                <w:color w:val="000000" w:themeColor="text1"/>
                <w:szCs w:val="21"/>
              </w:rPr>
            </w:pPr>
          </w:p>
        </w:tc>
        <w:tc>
          <w:tcPr>
            <w:tcW w:w="1194" w:type="pct"/>
            <w:vAlign w:val="center"/>
          </w:tcPr>
          <w:p>
            <w:pPr>
              <w:jc w:val="center"/>
              <w:rPr>
                <w:rFonts w:cs="Times New Roman"/>
                <w:color w:val="000000" w:themeColor="text1"/>
                <w:sz w:val="21"/>
              </w:rPr>
            </w:pPr>
            <w:r>
              <w:rPr>
                <w:rFonts w:cs="Times New Roman"/>
                <w:color w:val="000000" w:themeColor="text1"/>
                <w:sz w:val="21"/>
              </w:rPr>
              <w:t>燃气锅炉</w:t>
            </w:r>
          </w:p>
        </w:tc>
        <w:tc>
          <w:tcPr>
            <w:tcW w:w="2406" w:type="pct"/>
            <w:vAlign w:val="center"/>
          </w:tcPr>
          <w:p>
            <w:pPr>
              <w:jc w:val="center"/>
              <w:rPr>
                <w:rFonts w:cs="Times New Roman"/>
                <w:color w:val="000000" w:themeColor="text1"/>
                <w:sz w:val="21"/>
              </w:rPr>
            </w:pPr>
            <w:r>
              <w:rPr>
                <w:rFonts w:cs="Times New Roman"/>
                <w:color w:val="000000" w:themeColor="text1"/>
                <w:sz w:val="21"/>
              </w:rPr>
              <w:t>天然气+由精神大楼旁的锅炉房楼顶排气筒排放（排气筒未达到《锅炉大气污染物排放标准》中燃气锅炉排气筒高度的要求） 需要对排气筒进行整改</w:t>
            </w:r>
          </w:p>
        </w:tc>
        <w:tc>
          <w:tcPr>
            <w:tcW w:w="671" w:type="pct"/>
            <w:vAlign w:val="center"/>
          </w:tcPr>
          <w:p>
            <w:pPr>
              <w:pStyle w:val="147"/>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2</w:t>
            </w:r>
          </w:p>
        </w:tc>
        <w:tc>
          <w:tcPr>
            <w:tcW w:w="385" w:type="pct"/>
            <w:vAlign w:val="center"/>
          </w:tcPr>
          <w:p>
            <w:pPr>
              <w:pStyle w:val="147"/>
              <w:rPr>
                <w:rFonts w:ascii="Times New Roman" w:hAnsi="Times New Roman" w:cs="Times New Roman"/>
                <w:color w:val="000000" w:themeColor="text1"/>
                <w:szCs w:val="21"/>
              </w:rPr>
            </w:pPr>
            <w:r>
              <w:rPr>
                <w:rFonts w:hint="eastAsia" w:ascii="Times New Roman" w:cs="Times New Roman"/>
                <w:color w:val="000000" w:themeColor="text1"/>
                <w:szCs w:val="21"/>
              </w:rPr>
              <w:t>需要</w:t>
            </w:r>
            <w:r>
              <w:rPr>
                <w:rFonts w:ascii="Times New Roman" w:cs="Times New Roman"/>
                <w:color w:val="000000" w:themeColor="text1"/>
                <w:szCs w:val="21"/>
              </w:rPr>
              <w:t>整改</w:t>
            </w:r>
            <w:r>
              <w:rPr>
                <w:rFonts w:hint="eastAsia" w:ascii="Times New Roman" w:cs="Times New Roman"/>
                <w:color w:val="000000" w:themeColor="text1"/>
                <w:szCs w:val="21"/>
              </w:rPr>
              <w:t>（新建排气筒）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244" w:hRule="atLeast"/>
          <w:jc w:val="center"/>
        </w:trPr>
        <w:tc>
          <w:tcPr>
            <w:tcW w:w="344" w:type="pct"/>
            <w:vMerge w:val="continue"/>
            <w:vAlign w:val="center"/>
          </w:tcPr>
          <w:p>
            <w:pPr>
              <w:pStyle w:val="147"/>
              <w:rPr>
                <w:rFonts w:ascii="Times New Roman" w:hAnsi="Times New Roman" w:cs="Times New Roman"/>
                <w:color w:val="000000" w:themeColor="text1"/>
                <w:szCs w:val="21"/>
              </w:rPr>
            </w:pPr>
          </w:p>
        </w:tc>
        <w:tc>
          <w:tcPr>
            <w:tcW w:w="1194" w:type="pct"/>
            <w:vAlign w:val="center"/>
          </w:tcPr>
          <w:p>
            <w:pPr>
              <w:jc w:val="center"/>
              <w:rPr>
                <w:rFonts w:cs="Times New Roman"/>
                <w:color w:val="000000" w:themeColor="text1"/>
                <w:sz w:val="21"/>
              </w:rPr>
            </w:pPr>
            <w:r>
              <w:rPr>
                <w:rFonts w:cs="Times New Roman"/>
                <w:color w:val="000000" w:themeColor="text1"/>
                <w:sz w:val="21"/>
              </w:rPr>
              <w:t>发电机尾气</w:t>
            </w:r>
          </w:p>
        </w:tc>
        <w:tc>
          <w:tcPr>
            <w:tcW w:w="2406" w:type="pct"/>
            <w:vAlign w:val="center"/>
          </w:tcPr>
          <w:p>
            <w:pPr>
              <w:jc w:val="center"/>
              <w:rPr>
                <w:rFonts w:cs="Times New Roman"/>
                <w:color w:val="000000" w:themeColor="text1"/>
                <w:sz w:val="21"/>
              </w:rPr>
            </w:pPr>
            <w:r>
              <w:rPr>
                <w:rFonts w:cs="Times New Roman"/>
                <w:color w:val="000000" w:themeColor="text1"/>
                <w:sz w:val="21"/>
              </w:rPr>
              <w:t>由内置专用烟道引至高空排放</w:t>
            </w:r>
          </w:p>
        </w:tc>
        <w:tc>
          <w:tcPr>
            <w:tcW w:w="671" w:type="pct"/>
            <w:vAlign w:val="center"/>
          </w:tcPr>
          <w:p>
            <w:pPr>
              <w:jc w:val="center"/>
              <w:rPr>
                <w:rFonts w:cs="Times New Roman"/>
                <w:color w:val="000000" w:themeColor="text1"/>
                <w:sz w:val="21"/>
              </w:rPr>
            </w:pPr>
            <w:r>
              <w:rPr>
                <w:rFonts w:cs="Times New Roman"/>
                <w:color w:val="000000" w:themeColor="text1"/>
                <w:sz w:val="21"/>
              </w:rPr>
              <w:t>2</w:t>
            </w:r>
          </w:p>
        </w:tc>
        <w:tc>
          <w:tcPr>
            <w:tcW w:w="385" w:type="pct"/>
            <w:vAlign w:val="center"/>
          </w:tcPr>
          <w:p>
            <w:pPr>
              <w:jc w:val="center"/>
              <w:rPr>
                <w:rFonts w:cs="Times New Roman"/>
                <w:color w:val="000000" w:themeColor="text1"/>
                <w:sz w:val="21"/>
              </w:rPr>
            </w:pPr>
            <w:r>
              <w:rPr>
                <w:rFonts w:cs="Times New Roman"/>
                <w:color w:val="000000" w:themeColor="text1"/>
                <w:sz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58" w:hRule="atLeast"/>
          <w:jc w:val="center"/>
        </w:trPr>
        <w:tc>
          <w:tcPr>
            <w:tcW w:w="344" w:type="pct"/>
            <w:vMerge w:val="restart"/>
            <w:vAlign w:val="center"/>
          </w:tcPr>
          <w:p>
            <w:pPr>
              <w:pStyle w:val="147"/>
              <w:rPr>
                <w:rFonts w:ascii="Times New Roman" w:hAnsi="Times New Roman" w:cs="Times New Roman"/>
                <w:color w:val="000000" w:themeColor="text1"/>
                <w:szCs w:val="21"/>
              </w:rPr>
            </w:pPr>
            <w:r>
              <w:rPr>
                <w:rFonts w:ascii="Times New Roman" w:cs="Times New Roman"/>
                <w:color w:val="000000" w:themeColor="text1"/>
                <w:szCs w:val="21"/>
              </w:rPr>
              <w:t>废水</w:t>
            </w:r>
          </w:p>
        </w:tc>
        <w:tc>
          <w:tcPr>
            <w:tcW w:w="1194" w:type="pct"/>
            <w:vAlign w:val="center"/>
          </w:tcPr>
          <w:p>
            <w:pPr>
              <w:jc w:val="center"/>
              <w:rPr>
                <w:rFonts w:cs="Times New Roman"/>
                <w:color w:val="000000" w:themeColor="text1"/>
                <w:sz w:val="21"/>
              </w:rPr>
            </w:pPr>
            <w:r>
              <w:rPr>
                <w:rFonts w:cs="Times New Roman"/>
                <w:color w:val="000000" w:themeColor="text1"/>
                <w:sz w:val="21"/>
              </w:rPr>
              <w:t>雨污管网</w:t>
            </w:r>
          </w:p>
        </w:tc>
        <w:tc>
          <w:tcPr>
            <w:tcW w:w="2406" w:type="pct"/>
            <w:vAlign w:val="center"/>
          </w:tcPr>
          <w:p>
            <w:pPr>
              <w:jc w:val="center"/>
              <w:rPr>
                <w:rFonts w:cs="Times New Roman"/>
                <w:color w:val="000000" w:themeColor="text1"/>
                <w:sz w:val="21"/>
              </w:rPr>
            </w:pPr>
            <w:r>
              <w:rPr>
                <w:rFonts w:cs="Times New Roman"/>
                <w:color w:val="000000" w:themeColor="text1"/>
                <w:sz w:val="21"/>
              </w:rPr>
              <w:t>院内分别建设雨水、污水管道各一套</w:t>
            </w:r>
          </w:p>
        </w:tc>
        <w:tc>
          <w:tcPr>
            <w:tcW w:w="671" w:type="pct"/>
            <w:vAlign w:val="center"/>
          </w:tcPr>
          <w:p>
            <w:pPr>
              <w:jc w:val="center"/>
              <w:rPr>
                <w:rFonts w:cs="Times New Roman"/>
                <w:color w:val="000000" w:themeColor="text1"/>
                <w:sz w:val="21"/>
              </w:rPr>
            </w:pPr>
            <w:r>
              <w:rPr>
                <w:rFonts w:cs="Times New Roman"/>
                <w:color w:val="000000" w:themeColor="text1"/>
                <w:sz w:val="21"/>
              </w:rPr>
              <w:t>30</w:t>
            </w:r>
          </w:p>
        </w:tc>
        <w:tc>
          <w:tcPr>
            <w:tcW w:w="385" w:type="pct"/>
            <w:vAlign w:val="center"/>
          </w:tcPr>
          <w:p>
            <w:pPr>
              <w:jc w:val="center"/>
              <w:rPr>
                <w:rFonts w:cs="Times New Roman"/>
                <w:color w:val="000000" w:themeColor="text1"/>
                <w:sz w:val="21"/>
              </w:rPr>
            </w:pPr>
            <w:r>
              <w:rPr>
                <w:rFonts w:cs="Times New Roman"/>
                <w:color w:val="000000" w:themeColor="text1"/>
                <w:sz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1145" w:hRule="atLeast"/>
          <w:jc w:val="center"/>
        </w:trPr>
        <w:tc>
          <w:tcPr>
            <w:tcW w:w="344" w:type="pct"/>
            <w:vMerge w:val="continue"/>
            <w:vAlign w:val="center"/>
          </w:tcPr>
          <w:p>
            <w:pPr>
              <w:pStyle w:val="147"/>
              <w:rPr>
                <w:rFonts w:ascii="Times New Roman" w:hAnsi="Times New Roman" w:cs="Times New Roman"/>
                <w:color w:val="000000" w:themeColor="text1"/>
                <w:szCs w:val="21"/>
              </w:rPr>
            </w:pPr>
          </w:p>
        </w:tc>
        <w:tc>
          <w:tcPr>
            <w:tcW w:w="1194" w:type="pct"/>
            <w:vAlign w:val="center"/>
          </w:tcPr>
          <w:p>
            <w:pPr>
              <w:jc w:val="center"/>
              <w:rPr>
                <w:rFonts w:cs="Times New Roman"/>
                <w:color w:val="000000" w:themeColor="text1"/>
                <w:sz w:val="21"/>
              </w:rPr>
            </w:pPr>
            <w:r>
              <w:rPr>
                <w:rFonts w:cs="Times New Roman"/>
                <w:color w:val="000000" w:themeColor="text1"/>
                <w:sz w:val="21"/>
              </w:rPr>
              <w:t>本医院的住院病人产生的废水、门诊病人产生的废水、洗衣房废水和医护人员的生活废水、检验室废水</w:t>
            </w:r>
          </w:p>
        </w:tc>
        <w:tc>
          <w:tcPr>
            <w:tcW w:w="2406" w:type="pct"/>
            <w:vAlign w:val="center"/>
          </w:tcPr>
          <w:p>
            <w:pPr>
              <w:jc w:val="center"/>
              <w:rPr>
                <w:rFonts w:cs="Times New Roman"/>
                <w:color w:val="000000" w:themeColor="text1"/>
                <w:sz w:val="21"/>
              </w:rPr>
            </w:pPr>
            <w:r>
              <w:rPr>
                <w:rFonts w:hint="eastAsia" w:cs="Times New Roman"/>
                <w:color w:val="000000" w:themeColor="text1"/>
                <w:sz w:val="21"/>
              </w:rPr>
              <w:t>医院</w:t>
            </w:r>
            <w:r>
              <w:rPr>
                <w:rFonts w:cs="Times New Roman"/>
                <w:color w:val="000000" w:themeColor="text1"/>
                <w:sz w:val="21"/>
              </w:rPr>
              <w:t>自建污水处理站</w:t>
            </w:r>
          </w:p>
        </w:tc>
        <w:tc>
          <w:tcPr>
            <w:tcW w:w="671" w:type="pct"/>
            <w:vMerge w:val="restart"/>
            <w:vAlign w:val="center"/>
          </w:tcPr>
          <w:p>
            <w:pPr>
              <w:jc w:val="center"/>
              <w:rPr>
                <w:rFonts w:cs="Times New Roman"/>
                <w:color w:val="000000" w:themeColor="text1"/>
                <w:sz w:val="21"/>
              </w:rPr>
            </w:pPr>
            <w:r>
              <w:rPr>
                <w:rFonts w:hint="eastAsia" w:cs="Times New Roman"/>
                <w:color w:val="000000" w:themeColor="text1"/>
                <w:sz w:val="21"/>
              </w:rPr>
              <w:t>60</w:t>
            </w:r>
          </w:p>
        </w:tc>
        <w:tc>
          <w:tcPr>
            <w:tcW w:w="385" w:type="pct"/>
            <w:vMerge w:val="restart"/>
            <w:vAlign w:val="center"/>
          </w:tcPr>
          <w:p>
            <w:pPr>
              <w:jc w:val="center"/>
              <w:rPr>
                <w:rFonts w:cs="Times New Roman"/>
                <w:color w:val="000000" w:themeColor="text1"/>
                <w:sz w:val="21"/>
              </w:rPr>
            </w:pPr>
            <w:r>
              <w:rPr>
                <w:rFonts w:cs="Times New Roman"/>
                <w:color w:val="000000" w:themeColor="text1"/>
                <w:sz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905" w:hRule="atLeast"/>
          <w:jc w:val="center"/>
        </w:trPr>
        <w:tc>
          <w:tcPr>
            <w:tcW w:w="344" w:type="pct"/>
            <w:vMerge w:val="continue"/>
            <w:vAlign w:val="center"/>
          </w:tcPr>
          <w:p>
            <w:pPr>
              <w:pStyle w:val="147"/>
              <w:rPr>
                <w:rFonts w:ascii="Times New Roman" w:hAnsi="Times New Roman" w:cs="Times New Roman"/>
                <w:color w:val="000000" w:themeColor="text1"/>
                <w:szCs w:val="21"/>
              </w:rPr>
            </w:pPr>
          </w:p>
        </w:tc>
        <w:tc>
          <w:tcPr>
            <w:tcW w:w="1194" w:type="pct"/>
            <w:vAlign w:val="center"/>
          </w:tcPr>
          <w:p>
            <w:pPr>
              <w:jc w:val="center"/>
              <w:rPr>
                <w:rFonts w:cs="Times New Roman"/>
                <w:color w:val="000000" w:themeColor="text1"/>
                <w:sz w:val="21"/>
              </w:rPr>
            </w:pPr>
            <w:r>
              <w:rPr>
                <w:rFonts w:hint="eastAsia" w:cs="Times New Roman"/>
                <w:color w:val="000000" w:themeColor="text1"/>
                <w:sz w:val="21"/>
              </w:rPr>
              <w:t>职工公寓</w:t>
            </w:r>
          </w:p>
        </w:tc>
        <w:tc>
          <w:tcPr>
            <w:tcW w:w="2406" w:type="pct"/>
            <w:vAlign w:val="center"/>
          </w:tcPr>
          <w:p>
            <w:pPr>
              <w:jc w:val="center"/>
              <w:rPr>
                <w:rFonts w:cs="Times New Roman"/>
                <w:color w:val="000000" w:themeColor="text1"/>
                <w:sz w:val="21"/>
              </w:rPr>
            </w:pPr>
            <w:r>
              <w:rPr>
                <w:rFonts w:cs="Times New Roman"/>
                <w:color w:val="000000" w:themeColor="text1"/>
                <w:sz w:val="21"/>
              </w:rPr>
              <w:t>化粪池</w:t>
            </w:r>
          </w:p>
        </w:tc>
        <w:tc>
          <w:tcPr>
            <w:tcW w:w="671" w:type="pct"/>
            <w:vMerge w:val="continue"/>
            <w:vAlign w:val="center"/>
          </w:tcPr>
          <w:p>
            <w:pPr>
              <w:jc w:val="center"/>
              <w:rPr>
                <w:rFonts w:cs="Times New Roman"/>
                <w:color w:val="000000" w:themeColor="text1"/>
                <w:sz w:val="21"/>
              </w:rPr>
            </w:pPr>
          </w:p>
        </w:tc>
        <w:tc>
          <w:tcPr>
            <w:tcW w:w="385" w:type="pct"/>
            <w:vMerge w:val="continue"/>
            <w:vAlign w:val="center"/>
          </w:tcPr>
          <w:p>
            <w:pPr>
              <w:jc w:val="center"/>
              <w:rPr>
                <w:rFonts w:cs="Times New Roman"/>
                <w:color w:val="000000" w:themeColor="text1"/>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993" w:hRule="atLeast"/>
          <w:jc w:val="center"/>
        </w:trPr>
        <w:tc>
          <w:tcPr>
            <w:tcW w:w="344" w:type="pct"/>
            <w:vMerge w:val="continue"/>
            <w:vAlign w:val="center"/>
          </w:tcPr>
          <w:p>
            <w:pPr>
              <w:pStyle w:val="147"/>
              <w:rPr>
                <w:rFonts w:ascii="Times New Roman" w:hAnsi="Times New Roman" w:cs="Times New Roman"/>
                <w:color w:val="000000" w:themeColor="text1"/>
                <w:szCs w:val="21"/>
              </w:rPr>
            </w:pPr>
          </w:p>
        </w:tc>
        <w:tc>
          <w:tcPr>
            <w:tcW w:w="1194" w:type="pct"/>
            <w:vAlign w:val="center"/>
          </w:tcPr>
          <w:p>
            <w:pPr>
              <w:jc w:val="center"/>
              <w:rPr>
                <w:rFonts w:cs="Times New Roman"/>
                <w:color w:val="000000" w:themeColor="text1"/>
                <w:sz w:val="21"/>
              </w:rPr>
            </w:pPr>
            <w:r>
              <w:rPr>
                <w:rFonts w:cs="Times New Roman"/>
                <w:color w:val="000000" w:themeColor="text1"/>
                <w:sz w:val="21"/>
              </w:rPr>
              <w:t>食堂废水</w:t>
            </w:r>
          </w:p>
        </w:tc>
        <w:tc>
          <w:tcPr>
            <w:tcW w:w="2406" w:type="pct"/>
            <w:vAlign w:val="center"/>
          </w:tcPr>
          <w:p>
            <w:pPr>
              <w:jc w:val="center"/>
              <w:rPr>
                <w:rFonts w:cs="Times New Roman"/>
                <w:color w:val="000000" w:themeColor="text1"/>
                <w:sz w:val="21"/>
              </w:rPr>
            </w:pPr>
            <w:r>
              <w:rPr>
                <w:rFonts w:cs="Times New Roman"/>
                <w:color w:val="000000" w:themeColor="text1"/>
                <w:sz w:val="21"/>
              </w:rPr>
              <w:t>隔油沉淀池</w:t>
            </w:r>
            <w:r>
              <w:rPr>
                <w:rFonts w:hint="eastAsia" w:cs="Times New Roman"/>
                <w:color w:val="000000" w:themeColor="text1"/>
                <w:sz w:val="21"/>
              </w:rPr>
              <w:t>+化粪池</w:t>
            </w:r>
          </w:p>
        </w:tc>
        <w:tc>
          <w:tcPr>
            <w:tcW w:w="671" w:type="pct"/>
            <w:vMerge w:val="continue"/>
            <w:vAlign w:val="center"/>
          </w:tcPr>
          <w:p>
            <w:pPr>
              <w:jc w:val="center"/>
              <w:rPr>
                <w:rFonts w:cs="Times New Roman"/>
                <w:color w:val="000000" w:themeColor="text1"/>
                <w:sz w:val="21"/>
              </w:rPr>
            </w:pPr>
          </w:p>
        </w:tc>
        <w:tc>
          <w:tcPr>
            <w:tcW w:w="385" w:type="pct"/>
            <w:vMerge w:val="continue"/>
            <w:vAlign w:val="center"/>
          </w:tcPr>
          <w:p>
            <w:pPr>
              <w:jc w:val="center"/>
              <w:rPr>
                <w:rFonts w:cs="Times New Roman"/>
                <w:color w:val="000000" w:themeColor="text1"/>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817" w:hRule="atLeast"/>
          <w:jc w:val="center"/>
        </w:trPr>
        <w:tc>
          <w:tcPr>
            <w:tcW w:w="344" w:type="pct"/>
            <w:vAlign w:val="center"/>
          </w:tcPr>
          <w:p>
            <w:pPr>
              <w:jc w:val="center"/>
              <w:rPr>
                <w:rFonts w:cs="Times New Roman"/>
                <w:color w:val="000000" w:themeColor="text1"/>
                <w:sz w:val="21"/>
              </w:rPr>
            </w:pPr>
            <w:r>
              <w:rPr>
                <w:rFonts w:cs="Times New Roman"/>
                <w:color w:val="000000" w:themeColor="text1"/>
                <w:sz w:val="21"/>
              </w:rPr>
              <w:t>噪声</w:t>
            </w:r>
          </w:p>
        </w:tc>
        <w:tc>
          <w:tcPr>
            <w:tcW w:w="1194" w:type="pct"/>
            <w:vAlign w:val="center"/>
          </w:tcPr>
          <w:p>
            <w:pPr>
              <w:jc w:val="center"/>
              <w:rPr>
                <w:rFonts w:cs="Times New Roman"/>
                <w:color w:val="000000" w:themeColor="text1"/>
                <w:sz w:val="21"/>
              </w:rPr>
            </w:pPr>
            <w:r>
              <w:rPr>
                <w:rFonts w:cs="Times New Roman"/>
                <w:color w:val="000000" w:themeColor="text1"/>
                <w:sz w:val="21"/>
              </w:rPr>
              <w:t>各种动力设备（风机、泵、发电机等）及交通噪声</w:t>
            </w:r>
          </w:p>
        </w:tc>
        <w:tc>
          <w:tcPr>
            <w:tcW w:w="2406" w:type="pct"/>
            <w:vAlign w:val="center"/>
          </w:tcPr>
          <w:p>
            <w:pPr>
              <w:jc w:val="center"/>
              <w:rPr>
                <w:rFonts w:cs="Times New Roman"/>
                <w:color w:val="000000" w:themeColor="text1"/>
                <w:sz w:val="21"/>
              </w:rPr>
            </w:pPr>
            <w:r>
              <w:rPr>
                <w:rFonts w:cs="Times New Roman"/>
                <w:color w:val="000000" w:themeColor="text1"/>
                <w:sz w:val="21"/>
              </w:rPr>
              <w:t>基础减震、消声器消声、隔音罩隔音</w:t>
            </w:r>
          </w:p>
        </w:tc>
        <w:tc>
          <w:tcPr>
            <w:tcW w:w="671" w:type="pct"/>
            <w:vAlign w:val="center"/>
          </w:tcPr>
          <w:p>
            <w:pPr>
              <w:jc w:val="center"/>
              <w:rPr>
                <w:rFonts w:cs="Times New Roman"/>
                <w:color w:val="000000" w:themeColor="text1"/>
                <w:sz w:val="21"/>
              </w:rPr>
            </w:pPr>
            <w:r>
              <w:rPr>
                <w:rFonts w:hint="eastAsia" w:cs="Times New Roman"/>
                <w:color w:val="000000" w:themeColor="text1"/>
                <w:sz w:val="21"/>
              </w:rPr>
              <w:t>2</w:t>
            </w:r>
          </w:p>
        </w:tc>
        <w:tc>
          <w:tcPr>
            <w:tcW w:w="385" w:type="pct"/>
            <w:vAlign w:val="center"/>
          </w:tcPr>
          <w:p>
            <w:pPr>
              <w:jc w:val="center"/>
              <w:rPr>
                <w:rFonts w:cs="Times New Roman"/>
                <w:color w:val="000000" w:themeColor="text1"/>
                <w:sz w:val="21"/>
              </w:rPr>
            </w:pPr>
            <w:r>
              <w:rPr>
                <w:rFonts w:cs="Times New Roman"/>
                <w:color w:val="000000" w:themeColor="text1"/>
                <w:sz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372" w:hRule="atLeast"/>
          <w:jc w:val="center"/>
        </w:trPr>
        <w:tc>
          <w:tcPr>
            <w:tcW w:w="344" w:type="pct"/>
            <w:vMerge w:val="restart"/>
            <w:vAlign w:val="center"/>
          </w:tcPr>
          <w:p>
            <w:pPr>
              <w:pStyle w:val="147"/>
              <w:rPr>
                <w:rFonts w:ascii="Times New Roman" w:hAnsi="Times New Roman" w:cs="Times New Roman"/>
                <w:color w:val="000000" w:themeColor="text1"/>
                <w:szCs w:val="21"/>
              </w:rPr>
            </w:pPr>
            <w:r>
              <w:rPr>
                <w:rFonts w:ascii="Times New Roman" w:cs="Times New Roman"/>
                <w:color w:val="000000" w:themeColor="text1"/>
                <w:szCs w:val="21"/>
              </w:rPr>
              <w:t>固废</w:t>
            </w:r>
          </w:p>
        </w:tc>
        <w:tc>
          <w:tcPr>
            <w:tcW w:w="1194" w:type="pct"/>
            <w:vAlign w:val="center"/>
          </w:tcPr>
          <w:p>
            <w:pPr>
              <w:pStyle w:val="147"/>
              <w:rPr>
                <w:rFonts w:ascii="Times New Roman" w:hAnsi="Times New Roman" w:cs="Times New Roman"/>
                <w:color w:val="000000" w:themeColor="text1"/>
                <w:szCs w:val="21"/>
              </w:rPr>
            </w:pPr>
            <w:r>
              <w:rPr>
                <w:rFonts w:ascii="Times New Roman" w:cs="Times New Roman"/>
                <w:color w:val="000000" w:themeColor="text1"/>
                <w:szCs w:val="21"/>
              </w:rPr>
              <w:t>医疗垃圾</w:t>
            </w:r>
          </w:p>
        </w:tc>
        <w:tc>
          <w:tcPr>
            <w:tcW w:w="2406" w:type="pct"/>
            <w:vAlign w:val="center"/>
          </w:tcPr>
          <w:p>
            <w:pPr>
              <w:jc w:val="center"/>
              <w:rPr>
                <w:rFonts w:cs="Times New Roman"/>
                <w:color w:val="000000" w:themeColor="text1"/>
              </w:rPr>
            </w:pPr>
            <w:r>
              <w:rPr>
                <w:rFonts w:cs="Times New Roman"/>
                <w:bCs/>
                <w:color w:val="000000" w:themeColor="text1"/>
                <w:sz w:val="21"/>
              </w:rPr>
              <w:t>设置医疗废物暂存间，位于老年呵护大楼旁（为独立的密闭小房间），面积为10m</w:t>
            </w:r>
            <w:r>
              <w:rPr>
                <w:rFonts w:cs="Times New Roman"/>
                <w:bCs/>
                <w:color w:val="000000" w:themeColor="text1"/>
                <w:sz w:val="21"/>
                <w:vertAlign w:val="superscript"/>
              </w:rPr>
              <w:t>2</w:t>
            </w:r>
            <w:r>
              <w:rPr>
                <w:rFonts w:cs="Times New Roman"/>
                <w:bCs/>
                <w:color w:val="000000" w:themeColor="text1"/>
                <w:sz w:val="21"/>
              </w:rPr>
              <w:t>，并</w:t>
            </w:r>
            <w:r>
              <w:rPr>
                <w:rFonts w:cs="Times New Roman"/>
                <w:color w:val="000000" w:themeColor="text1"/>
                <w:kern w:val="0"/>
                <w:sz w:val="21"/>
              </w:rPr>
              <w:t>定期由岳阳市方向固废安全处置有限公司收集处置。</w:t>
            </w:r>
          </w:p>
        </w:tc>
        <w:tc>
          <w:tcPr>
            <w:tcW w:w="671" w:type="pct"/>
            <w:vAlign w:val="center"/>
          </w:tcPr>
          <w:p>
            <w:pPr>
              <w:pStyle w:val="147"/>
              <w:rPr>
                <w:rFonts w:ascii="Times New Roman" w:hAnsi="Times New Roman" w:cs="Times New Roman"/>
                <w:color w:val="000000" w:themeColor="text1"/>
                <w:szCs w:val="21"/>
              </w:rPr>
            </w:pPr>
            <w:r>
              <w:rPr>
                <w:rFonts w:ascii="Times New Roman" w:hAnsi="Times New Roman" w:cs="Times New Roman"/>
                <w:color w:val="000000" w:themeColor="text1"/>
                <w:szCs w:val="21"/>
              </w:rPr>
              <w:t>10</w:t>
            </w:r>
          </w:p>
        </w:tc>
        <w:tc>
          <w:tcPr>
            <w:tcW w:w="385" w:type="pct"/>
            <w:vAlign w:val="center"/>
          </w:tcPr>
          <w:p>
            <w:pPr>
              <w:pStyle w:val="147"/>
              <w:rPr>
                <w:rFonts w:ascii="Times New Roman" w:hAnsi="Times New Roman" w:cs="Times New Roman"/>
                <w:color w:val="000000" w:themeColor="text1"/>
                <w:szCs w:val="21"/>
              </w:rPr>
            </w:pPr>
            <w:r>
              <w:rPr>
                <w:rFonts w:ascii="Times New Roman" w:cs="Times New Roman"/>
                <w:color w:val="000000" w:themeColor="text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372" w:hRule="atLeast"/>
          <w:jc w:val="center"/>
        </w:trPr>
        <w:tc>
          <w:tcPr>
            <w:tcW w:w="344" w:type="pct"/>
            <w:vMerge w:val="continue"/>
            <w:vAlign w:val="center"/>
          </w:tcPr>
          <w:p>
            <w:pPr>
              <w:pStyle w:val="147"/>
              <w:rPr>
                <w:rFonts w:ascii="Times New Roman" w:hAnsi="Times New Roman" w:cs="Times New Roman"/>
                <w:color w:val="000000" w:themeColor="text1"/>
                <w:szCs w:val="21"/>
              </w:rPr>
            </w:pPr>
          </w:p>
        </w:tc>
        <w:tc>
          <w:tcPr>
            <w:tcW w:w="1194" w:type="pct"/>
            <w:vAlign w:val="center"/>
          </w:tcPr>
          <w:p>
            <w:pPr>
              <w:jc w:val="center"/>
              <w:rPr>
                <w:rFonts w:cs="Times New Roman"/>
                <w:color w:val="000000" w:themeColor="text1"/>
                <w:sz w:val="21"/>
              </w:rPr>
            </w:pPr>
            <w:r>
              <w:rPr>
                <w:rFonts w:cs="Times New Roman"/>
                <w:color w:val="000000" w:themeColor="text1"/>
                <w:sz w:val="21"/>
              </w:rPr>
              <w:t>污泥</w:t>
            </w:r>
          </w:p>
        </w:tc>
        <w:tc>
          <w:tcPr>
            <w:tcW w:w="2406" w:type="pct"/>
            <w:vAlign w:val="center"/>
          </w:tcPr>
          <w:p>
            <w:pPr>
              <w:jc w:val="center"/>
              <w:rPr>
                <w:rFonts w:cs="Times New Roman"/>
                <w:color w:val="000000" w:themeColor="text1"/>
                <w:sz w:val="21"/>
              </w:rPr>
            </w:pPr>
            <w:r>
              <w:rPr>
                <w:rFonts w:hint="eastAsia" w:cs="Times New Roman"/>
                <w:color w:val="000000" w:themeColor="text1"/>
                <w:sz w:val="21"/>
              </w:rPr>
              <w:t>消毒</w:t>
            </w:r>
            <w:r>
              <w:rPr>
                <w:rFonts w:cs="Times New Roman"/>
                <w:color w:val="000000" w:themeColor="text1"/>
                <w:sz w:val="21"/>
              </w:rPr>
              <w:t>脱水后暂存于医疗固废暂存间，</w:t>
            </w:r>
            <w:r>
              <w:rPr>
                <w:rFonts w:hint="eastAsia" w:cs="Times New Roman"/>
                <w:color w:val="000000" w:themeColor="text1"/>
                <w:sz w:val="21"/>
              </w:rPr>
              <w:t>委托有资质的单位进行处理</w:t>
            </w:r>
          </w:p>
        </w:tc>
        <w:tc>
          <w:tcPr>
            <w:tcW w:w="671" w:type="pct"/>
            <w:vAlign w:val="center"/>
          </w:tcPr>
          <w:p>
            <w:pPr>
              <w:pStyle w:val="147"/>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10</w:t>
            </w:r>
          </w:p>
        </w:tc>
        <w:tc>
          <w:tcPr>
            <w:tcW w:w="385" w:type="pct"/>
            <w:vAlign w:val="center"/>
          </w:tcPr>
          <w:p>
            <w:pPr>
              <w:pStyle w:val="147"/>
              <w:rPr>
                <w:rFonts w:ascii="Times New Roman" w:hAnsi="Times New Roman" w:cs="Times New Roman"/>
                <w:color w:val="000000" w:themeColor="text1"/>
                <w:szCs w:val="21"/>
              </w:rPr>
            </w:pPr>
            <w:r>
              <w:rPr>
                <w:rFonts w:ascii="Times New Roman" w:cs="Times New Roman"/>
                <w:color w:val="000000" w:themeColor="text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372" w:hRule="atLeast"/>
          <w:jc w:val="center"/>
        </w:trPr>
        <w:tc>
          <w:tcPr>
            <w:tcW w:w="344" w:type="pct"/>
            <w:vMerge w:val="continue"/>
            <w:vAlign w:val="center"/>
          </w:tcPr>
          <w:p>
            <w:pPr>
              <w:pStyle w:val="147"/>
              <w:rPr>
                <w:rFonts w:ascii="Times New Roman" w:hAnsi="Times New Roman" w:cs="Times New Roman"/>
                <w:color w:val="000000" w:themeColor="text1"/>
                <w:szCs w:val="21"/>
              </w:rPr>
            </w:pPr>
          </w:p>
        </w:tc>
        <w:tc>
          <w:tcPr>
            <w:tcW w:w="1194" w:type="pct"/>
            <w:vAlign w:val="center"/>
          </w:tcPr>
          <w:p>
            <w:pPr>
              <w:jc w:val="center"/>
              <w:rPr>
                <w:rFonts w:cs="Times New Roman"/>
                <w:color w:val="000000" w:themeColor="text1"/>
                <w:sz w:val="21"/>
              </w:rPr>
            </w:pPr>
            <w:r>
              <w:rPr>
                <w:rFonts w:cs="Times New Roman"/>
                <w:color w:val="000000" w:themeColor="text1"/>
                <w:sz w:val="21"/>
              </w:rPr>
              <w:t>餐厨垃圾</w:t>
            </w:r>
          </w:p>
        </w:tc>
        <w:tc>
          <w:tcPr>
            <w:tcW w:w="2406" w:type="pct"/>
            <w:vAlign w:val="center"/>
          </w:tcPr>
          <w:p>
            <w:pPr>
              <w:jc w:val="center"/>
              <w:rPr>
                <w:rFonts w:cs="Times New Roman"/>
                <w:color w:val="000000" w:themeColor="text1"/>
                <w:sz w:val="21"/>
              </w:rPr>
            </w:pPr>
            <w:r>
              <w:rPr>
                <w:rFonts w:cs="Times New Roman"/>
                <w:color w:val="000000" w:themeColor="text1"/>
                <w:kern w:val="0"/>
                <w:sz w:val="21"/>
              </w:rPr>
              <w:t>对餐厨垃圾废油脂进行收集，交由有资质的单位处理</w:t>
            </w:r>
          </w:p>
        </w:tc>
        <w:tc>
          <w:tcPr>
            <w:tcW w:w="671" w:type="pct"/>
            <w:vAlign w:val="center"/>
          </w:tcPr>
          <w:p>
            <w:pPr>
              <w:pStyle w:val="147"/>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5</w:t>
            </w:r>
          </w:p>
        </w:tc>
        <w:tc>
          <w:tcPr>
            <w:tcW w:w="385" w:type="pct"/>
            <w:vAlign w:val="center"/>
          </w:tcPr>
          <w:p>
            <w:pPr>
              <w:pStyle w:val="147"/>
              <w:rPr>
                <w:rFonts w:ascii="Times New Roman" w:hAnsi="Times New Roman" w:cs="Times New Roman"/>
                <w:color w:val="000000" w:themeColor="text1"/>
                <w:szCs w:val="21"/>
              </w:rPr>
            </w:pPr>
            <w:r>
              <w:rPr>
                <w:rFonts w:ascii="Times New Roman" w:cs="Times New Roman"/>
                <w:color w:val="000000" w:themeColor="text1"/>
                <w:szCs w:val="21"/>
              </w:rPr>
              <w:t>需整改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372" w:hRule="atLeast"/>
          <w:jc w:val="center"/>
        </w:trPr>
        <w:tc>
          <w:tcPr>
            <w:tcW w:w="344" w:type="pct"/>
            <w:vMerge w:val="continue"/>
            <w:vAlign w:val="center"/>
          </w:tcPr>
          <w:p>
            <w:pPr>
              <w:pStyle w:val="147"/>
              <w:rPr>
                <w:rFonts w:ascii="Times New Roman" w:hAnsi="Times New Roman" w:cs="Times New Roman"/>
                <w:color w:val="000000" w:themeColor="text1"/>
                <w:szCs w:val="21"/>
              </w:rPr>
            </w:pPr>
          </w:p>
        </w:tc>
        <w:tc>
          <w:tcPr>
            <w:tcW w:w="1194" w:type="pct"/>
            <w:vAlign w:val="center"/>
          </w:tcPr>
          <w:p>
            <w:pPr>
              <w:jc w:val="center"/>
              <w:rPr>
                <w:rFonts w:cs="Times New Roman"/>
                <w:color w:val="000000" w:themeColor="text1"/>
                <w:sz w:val="21"/>
              </w:rPr>
            </w:pPr>
            <w:r>
              <w:rPr>
                <w:rFonts w:cs="Times New Roman"/>
                <w:color w:val="000000" w:themeColor="text1"/>
                <w:sz w:val="21"/>
              </w:rPr>
              <w:t>生活垃圾</w:t>
            </w:r>
          </w:p>
        </w:tc>
        <w:tc>
          <w:tcPr>
            <w:tcW w:w="2406" w:type="pct"/>
            <w:vAlign w:val="center"/>
          </w:tcPr>
          <w:p>
            <w:pPr>
              <w:jc w:val="center"/>
              <w:rPr>
                <w:rFonts w:cs="Times New Roman"/>
                <w:color w:val="000000" w:themeColor="text1"/>
                <w:sz w:val="21"/>
              </w:rPr>
            </w:pPr>
            <w:r>
              <w:rPr>
                <w:rFonts w:cs="Times New Roman"/>
                <w:color w:val="000000" w:themeColor="text1"/>
                <w:sz w:val="21"/>
              </w:rPr>
              <w:t>设垃圾桶和收集池集中收集后由环卫部门送至填埋场卫生填埋</w:t>
            </w:r>
          </w:p>
        </w:tc>
        <w:tc>
          <w:tcPr>
            <w:tcW w:w="671" w:type="pct"/>
            <w:vAlign w:val="center"/>
          </w:tcPr>
          <w:p>
            <w:pPr>
              <w:pStyle w:val="147"/>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1</w:t>
            </w:r>
          </w:p>
        </w:tc>
        <w:tc>
          <w:tcPr>
            <w:tcW w:w="385" w:type="pct"/>
            <w:vAlign w:val="center"/>
          </w:tcPr>
          <w:p>
            <w:pPr>
              <w:pStyle w:val="147"/>
              <w:rPr>
                <w:rFonts w:ascii="Times New Roman" w:hAnsi="Times New Roman" w:cs="Times New Roman"/>
                <w:color w:val="000000" w:themeColor="text1"/>
                <w:szCs w:val="21"/>
              </w:rPr>
            </w:pPr>
            <w:r>
              <w:rPr>
                <w:rFonts w:ascii="Times New Roman" w:cs="Times New Roman"/>
                <w:color w:val="000000" w:themeColor="text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64" w:hRule="atLeast"/>
          <w:jc w:val="center"/>
        </w:trPr>
        <w:tc>
          <w:tcPr>
            <w:tcW w:w="344" w:type="pct"/>
            <w:vAlign w:val="center"/>
          </w:tcPr>
          <w:p>
            <w:pPr>
              <w:pStyle w:val="147"/>
              <w:rPr>
                <w:rFonts w:ascii="Times New Roman" w:hAnsi="Times New Roman" w:cs="Times New Roman"/>
                <w:color w:val="auto"/>
                <w:szCs w:val="21"/>
              </w:rPr>
            </w:pPr>
            <w:r>
              <w:rPr>
                <w:rFonts w:ascii="Times New Roman" w:cs="Times New Roman"/>
                <w:color w:val="auto"/>
                <w:szCs w:val="21"/>
              </w:rPr>
              <w:t>地下水防渗、防漏</w:t>
            </w:r>
          </w:p>
        </w:tc>
        <w:tc>
          <w:tcPr>
            <w:tcW w:w="3600" w:type="pct"/>
            <w:gridSpan w:val="2"/>
            <w:vAlign w:val="center"/>
          </w:tcPr>
          <w:p>
            <w:pPr>
              <w:pStyle w:val="147"/>
              <w:spacing w:line="240" w:lineRule="auto"/>
              <w:rPr>
                <w:rFonts w:ascii="Times New Roman" w:hAnsi="Times New Roman" w:cs="Times New Roman"/>
              </w:rPr>
            </w:pPr>
            <w:r>
              <w:rPr>
                <w:rFonts w:hint="eastAsia" w:cs="Times New Roman"/>
              </w:rPr>
              <w:t>①</w:t>
            </w:r>
            <w:r>
              <w:rPr>
                <w:rFonts w:ascii="Times New Roman" w:hAnsi="Times New Roman" w:cs="Times New Roman"/>
              </w:rPr>
              <w:t>本项目办公区域简单防渗区采用一般地面硬化防渗措施。</w:t>
            </w:r>
          </w:p>
          <w:p>
            <w:pPr>
              <w:pStyle w:val="147"/>
              <w:spacing w:line="240" w:lineRule="auto"/>
              <w:rPr>
                <w:rFonts w:ascii="Times New Roman" w:hAnsi="Times New Roman" w:cs="Times New Roman"/>
              </w:rPr>
            </w:pPr>
            <w:r>
              <w:rPr>
                <w:rFonts w:hint="eastAsia" w:cs="Times New Roman"/>
              </w:rPr>
              <w:t>②</w:t>
            </w:r>
            <w:r>
              <w:rPr>
                <w:rFonts w:ascii="Times New Roman" w:hAnsi="Times New Roman" w:cs="Times New Roman"/>
              </w:rPr>
              <w:t>对病房、诊室等一般污染防治区已经按照《一般工业固体废物储存、处置场污染控制标准》（GB18599-2001）的相关要求进行防渗设计、施工。地坪混凝土防渗层抗渗等级不应小于P6（混凝土的抗渗等级能抵抗0.6Mpa的静水压力而不渗水）其厚度不宜小于100mm，其防渗层性能与1.5m厚粘土层（渗透系数1.0×10</w:t>
            </w:r>
            <w:r>
              <w:rPr>
                <w:rFonts w:ascii="Times New Roman" w:hAnsi="Times New Roman" w:cs="Times New Roman"/>
                <w:vertAlign w:val="superscript"/>
              </w:rPr>
              <w:t>-7</w:t>
            </w:r>
            <w:r>
              <w:rPr>
                <w:rFonts w:ascii="Times New Roman" w:hAnsi="Times New Roman" w:cs="Times New Roman"/>
              </w:rPr>
              <w:t>cm/s）等效。</w:t>
            </w:r>
          </w:p>
          <w:p>
            <w:pPr>
              <w:pStyle w:val="147"/>
              <w:spacing w:line="240" w:lineRule="auto"/>
              <w:rPr>
                <w:rFonts w:ascii="Times New Roman" w:hAnsi="Times New Roman" w:cs="Times New Roman"/>
                <w:color w:val="auto"/>
                <w:szCs w:val="21"/>
              </w:rPr>
            </w:pPr>
            <w:r>
              <w:rPr>
                <w:rFonts w:hint="eastAsia" w:cs="Times New Roman"/>
                <w:color w:val="auto"/>
                <w:szCs w:val="21"/>
              </w:rPr>
              <w:t>③</w:t>
            </w:r>
            <w:r>
              <w:rPr>
                <w:rFonts w:ascii="Times New Roman" w:hAnsi="Times New Roman" w:cs="Times New Roman"/>
                <w:color w:val="auto"/>
                <w:szCs w:val="21"/>
              </w:rPr>
              <w:t>对医疗废物暂存间、污水处理站、化粪池、隔油池等重点污染防治区已经按照《危险废物填埋污染控制标准》（GB18598-2001）的相关要求进行防渗设计、施工。地坪混凝土防渗层抗渗等级不应小于P8（混凝土的抗渗等级能抵抗0.8MPa 的静水压力而不渗水），其厚度不宜小于150mm，防渗层性能应与6m厚粘土层（渗透系数1.0×10</w:t>
            </w:r>
            <w:r>
              <w:rPr>
                <w:rFonts w:ascii="Times New Roman" w:hAnsi="Times New Roman" w:cs="Times New Roman"/>
                <w:color w:val="auto"/>
                <w:szCs w:val="21"/>
                <w:vertAlign w:val="superscript"/>
              </w:rPr>
              <w:t>-10</w:t>
            </w:r>
            <w:r>
              <w:rPr>
                <w:rFonts w:ascii="Times New Roman" w:hAnsi="Times New Roman" w:cs="Times New Roman"/>
                <w:color w:val="auto"/>
                <w:szCs w:val="21"/>
              </w:rPr>
              <w:t>cm/s）等效。</w:t>
            </w:r>
          </w:p>
        </w:tc>
        <w:tc>
          <w:tcPr>
            <w:tcW w:w="671" w:type="pct"/>
            <w:vAlign w:val="center"/>
          </w:tcPr>
          <w:p>
            <w:pPr>
              <w:jc w:val="center"/>
              <w:rPr>
                <w:rFonts w:cs="Times New Roman"/>
                <w:sz w:val="21"/>
              </w:rPr>
            </w:pPr>
            <w:r>
              <w:rPr>
                <w:rFonts w:cs="Times New Roman"/>
                <w:sz w:val="21"/>
              </w:rPr>
              <w:t>10</w:t>
            </w:r>
          </w:p>
        </w:tc>
        <w:tc>
          <w:tcPr>
            <w:tcW w:w="385" w:type="pct"/>
            <w:vAlign w:val="center"/>
          </w:tcPr>
          <w:p>
            <w:pPr>
              <w:jc w:val="center"/>
              <w:rPr>
                <w:rFonts w:cs="Times New Roman"/>
                <w:sz w:val="21"/>
              </w:rPr>
            </w:pPr>
            <w:r>
              <w:rPr>
                <w:rFonts w:cs="Times New Roman"/>
                <w:sz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1491" w:hRule="atLeast"/>
          <w:jc w:val="center"/>
        </w:trPr>
        <w:tc>
          <w:tcPr>
            <w:tcW w:w="344" w:type="pct"/>
            <w:vAlign w:val="center"/>
          </w:tcPr>
          <w:p>
            <w:pPr>
              <w:pStyle w:val="147"/>
              <w:rPr>
                <w:rFonts w:ascii="Times New Roman" w:hAnsi="Times New Roman" w:cs="Times New Roman"/>
                <w:color w:val="auto"/>
                <w:szCs w:val="21"/>
              </w:rPr>
            </w:pPr>
            <w:r>
              <w:rPr>
                <w:rFonts w:ascii="Times New Roman" w:cs="Times New Roman"/>
                <w:color w:val="auto"/>
                <w:szCs w:val="21"/>
              </w:rPr>
              <w:t>风险防范措施</w:t>
            </w:r>
          </w:p>
        </w:tc>
        <w:tc>
          <w:tcPr>
            <w:tcW w:w="3600" w:type="pct"/>
            <w:gridSpan w:val="2"/>
            <w:vAlign w:val="center"/>
          </w:tcPr>
          <w:p>
            <w:pPr>
              <w:pStyle w:val="147"/>
              <w:spacing w:line="240" w:lineRule="auto"/>
              <w:rPr>
                <w:rFonts w:ascii="Times New Roman" w:hAnsi="Times New Roman" w:cs="Times New Roman"/>
              </w:rPr>
            </w:pPr>
            <w:r>
              <w:rPr>
                <w:rFonts w:ascii="Times New Roman" w:cs="Times New Roman"/>
              </w:rPr>
              <w:t>设置一个容积不小于</w:t>
            </w:r>
            <w:r>
              <w:rPr>
                <w:rFonts w:hint="eastAsia" w:ascii="Times New Roman" w:hAnsi="Times New Roman" w:cs="Times New Roman"/>
              </w:rPr>
              <w:t>100</w:t>
            </w:r>
            <w:r>
              <w:rPr>
                <w:rFonts w:ascii="Times New Roman" w:hAnsi="Times New Roman" w:cs="Times New Roman"/>
              </w:rPr>
              <w:t>m</w:t>
            </w:r>
            <w:r>
              <w:rPr>
                <w:rFonts w:ascii="Times New Roman" w:hAnsi="Times New Roman" w:cs="Times New Roman"/>
                <w:vertAlign w:val="superscript"/>
              </w:rPr>
              <w:t>3</w:t>
            </w:r>
            <w:r>
              <w:rPr>
                <w:rFonts w:ascii="Times New Roman" w:cs="Times New Roman"/>
              </w:rPr>
              <w:t>的事故应急池</w:t>
            </w:r>
          </w:p>
        </w:tc>
        <w:tc>
          <w:tcPr>
            <w:tcW w:w="671" w:type="pct"/>
            <w:vAlign w:val="center"/>
          </w:tcPr>
          <w:p>
            <w:pPr>
              <w:jc w:val="center"/>
              <w:rPr>
                <w:rFonts w:cs="Times New Roman"/>
                <w:sz w:val="21"/>
              </w:rPr>
            </w:pPr>
            <w:r>
              <w:rPr>
                <w:rFonts w:hint="eastAsia" w:cs="Times New Roman"/>
                <w:sz w:val="21"/>
              </w:rPr>
              <w:t>5</w:t>
            </w:r>
          </w:p>
        </w:tc>
        <w:tc>
          <w:tcPr>
            <w:tcW w:w="385" w:type="pct"/>
            <w:vAlign w:val="center"/>
          </w:tcPr>
          <w:p>
            <w:pPr>
              <w:jc w:val="center"/>
              <w:rPr>
                <w:rFonts w:cs="Times New Roman"/>
                <w:sz w:val="21"/>
              </w:rPr>
            </w:pPr>
            <w:r>
              <w:rPr>
                <w:rFonts w:cs="Times New Roman"/>
                <w:sz w:val="21"/>
              </w:rPr>
              <w:t>需整改（新建）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65" w:hRule="atLeast"/>
          <w:jc w:val="center"/>
        </w:trPr>
        <w:tc>
          <w:tcPr>
            <w:tcW w:w="344" w:type="pct"/>
            <w:vAlign w:val="center"/>
          </w:tcPr>
          <w:p>
            <w:pPr>
              <w:pStyle w:val="147"/>
              <w:rPr>
                <w:rFonts w:ascii="Times New Roman" w:hAnsi="Times New Roman" w:cs="Times New Roman"/>
                <w:color w:val="auto"/>
                <w:szCs w:val="21"/>
              </w:rPr>
            </w:pPr>
            <w:r>
              <w:rPr>
                <w:rFonts w:ascii="Times New Roman" w:cs="Times New Roman"/>
                <w:color w:val="auto"/>
                <w:szCs w:val="21"/>
              </w:rPr>
              <w:t>合计</w:t>
            </w:r>
          </w:p>
        </w:tc>
        <w:tc>
          <w:tcPr>
            <w:tcW w:w="3600" w:type="pct"/>
            <w:gridSpan w:val="2"/>
            <w:vAlign w:val="center"/>
          </w:tcPr>
          <w:p>
            <w:pPr>
              <w:pStyle w:val="147"/>
              <w:rPr>
                <w:rFonts w:ascii="Times New Roman" w:hAnsi="Times New Roman" w:cs="Times New Roman"/>
                <w:color w:val="auto"/>
                <w:szCs w:val="21"/>
              </w:rPr>
            </w:pPr>
            <w:r>
              <w:rPr>
                <w:rFonts w:ascii="Times New Roman" w:hAnsi="Times New Roman" w:cs="Times New Roman"/>
                <w:color w:val="auto"/>
                <w:szCs w:val="21"/>
              </w:rPr>
              <w:t>—</w:t>
            </w:r>
          </w:p>
        </w:tc>
        <w:tc>
          <w:tcPr>
            <w:tcW w:w="1056" w:type="pct"/>
            <w:gridSpan w:val="2"/>
            <w:vAlign w:val="center"/>
          </w:tcPr>
          <w:p>
            <w:pPr>
              <w:pStyle w:val="147"/>
              <w:rPr>
                <w:rFonts w:ascii="Times New Roman" w:hAnsi="Times New Roman" w:cs="Times New Roman"/>
                <w:color w:val="auto"/>
                <w:szCs w:val="21"/>
              </w:rPr>
            </w:pPr>
            <w:r>
              <w:rPr>
                <w:rFonts w:hint="eastAsia" w:ascii="Times New Roman" w:hAnsi="Times New Roman" w:cs="Times New Roman"/>
                <w:color w:val="auto"/>
                <w:szCs w:val="21"/>
              </w:rPr>
              <w:t>149</w:t>
            </w:r>
          </w:p>
        </w:tc>
      </w:tr>
    </w:tbl>
    <w:p>
      <w:pPr>
        <w:pStyle w:val="4"/>
        <w:adjustRightInd w:val="0"/>
        <w:snapToGrid w:val="0"/>
        <w:rPr>
          <w:kern w:val="0"/>
        </w:rPr>
      </w:pPr>
      <w:bookmarkStart w:id="223" w:name="_Toc25826505"/>
      <w:bookmarkStart w:id="224" w:name="_Toc532376170"/>
      <w:bookmarkStart w:id="225" w:name="_Toc532497694"/>
      <w:bookmarkStart w:id="226" w:name="_Toc532763227"/>
      <w:bookmarkStart w:id="227" w:name="_Toc532498763"/>
      <w:r>
        <w:rPr>
          <w:rFonts w:hint="eastAsia"/>
          <w:kern w:val="0"/>
        </w:rPr>
        <w:t>小结</w:t>
      </w:r>
      <w:bookmarkEnd w:id="223"/>
      <w:bookmarkEnd w:id="224"/>
      <w:bookmarkEnd w:id="225"/>
      <w:bookmarkEnd w:id="226"/>
      <w:bookmarkEnd w:id="227"/>
    </w:p>
    <w:p>
      <w:pPr>
        <w:adjustRightInd w:val="0"/>
        <w:snapToGrid w:val="0"/>
        <w:spacing w:line="360" w:lineRule="auto"/>
        <w:ind w:firstLine="480" w:firstLineChars="200"/>
        <w:jc w:val="left"/>
        <w:rPr>
          <w:szCs w:val="24"/>
        </w:rPr>
      </w:pPr>
      <w:r>
        <w:rPr>
          <w:rFonts w:hint="eastAsia" w:ascii="宋体" w:hAnsi="宋体"/>
          <w:szCs w:val="24"/>
        </w:rPr>
        <w:t>建设项目在保证环保投资落实到位，环保设施正常运行，各污染物达标排放的前提下，环保投资具有较好的环境效益、经济效益及社会效益，项目的各项基础条件已具备，既符合国家的有关方针、政策，又能产生一定的经济效益和良好的社会效益，从环境经济的角度分析，项目的建设是可行的。综上所述，该因此项目可行。</w:t>
      </w:r>
    </w:p>
    <w:p>
      <w:pPr>
        <w:autoSpaceDE w:val="0"/>
        <w:autoSpaceDN w:val="0"/>
        <w:adjustRightInd w:val="0"/>
        <w:snapToGrid w:val="0"/>
        <w:spacing w:line="360" w:lineRule="auto"/>
        <w:ind w:firstLine="480" w:firstLineChars="200"/>
        <w:jc w:val="left"/>
        <w:rPr>
          <w:rFonts w:ascii="宋体" w:eastAsia="宋体" w:cs="宋体" w:hAnsiTheme="minorHAnsi"/>
          <w:kern w:val="0"/>
          <w:szCs w:val="24"/>
        </w:rPr>
      </w:pPr>
    </w:p>
    <w:p>
      <w:pPr>
        <w:pStyle w:val="2"/>
        <w:adjustRightInd w:val="0"/>
        <w:snapToGrid w:val="0"/>
        <w:spacing w:line="360" w:lineRule="auto"/>
        <w:rPr>
          <w:color w:val="000000" w:themeColor="text1"/>
        </w:rPr>
      </w:pPr>
      <w:bookmarkStart w:id="228" w:name="_Toc25826506"/>
      <w:bookmarkStart w:id="229" w:name="_Toc532498764"/>
      <w:bookmarkStart w:id="230" w:name="_Toc532376171"/>
      <w:bookmarkStart w:id="231" w:name="_Toc532497695"/>
      <w:bookmarkStart w:id="232" w:name="_Toc532763228"/>
      <w:r>
        <w:rPr>
          <w:rFonts w:hint="eastAsia"/>
          <w:color w:val="000000" w:themeColor="text1"/>
        </w:rPr>
        <w:t>环境管理与环境监测</w:t>
      </w:r>
      <w:bookmarkEnd w:id="228"/>
      <w:bookmarkEnd w:id="229"/>
      <w:bookmarkEnd w:id="230"/>
      <w:bookmarkEnd w:id="231"/>
      <w:bookmarkEnd w:id="232"/>
    </w:p>
    <w:p>
      <w:pPr>
        <w:pStyle w:val="4"/>
        <w:adjustRightInd w:val="0"/>
        <w:snapToGrid w:val="0"/>
        <w:rPr>
          <w:color w:val="000000" w:themeColor="text1"/>
        </w:rPr>
      </w:pPr>
      <w:bookmarkStart w:id="233" w:name="_Toc25826507"/>
      <w:r>
        <w:rPr>
          <w:rFonts w:hint="eastAsia"/>
          <w:color w:val="000000" w:themeColor="text1"/>
        </w:rPr>
        <w:t>环境管理机构与职能</w:t>
      </w:r>
      <w:bookmarkEnd w:id="233"/>
    </w:p>
    <w:p>
      <w:pPr>
        <w:spacing w:line="360" w:lineRule="auto"/>
        <w:ind w:firstLine="480" w:firstLineChars="200"/>
        <w:rPr>
          <w:szCs w:val="24"/>
        </w:rPr>
      </w:pPr>
      <w:r>
        <w:rPr>
          <w:rFonts w:hint="eastAsia" w:ascii="宋体" w:hAnsi="宋体"/>
          <w:szCs w:val="24"/>
        </w:rPr>
        <w:t>（</w:t>
      </w:r>
      <w:r>
        <w:rPr>
          <w:rFonts w:hint="eastAsia"/>
          <w:szCs w:val="24"/>
        </w:rPr>
        <w:t>1</w:t>
      </w:r>
      <w:r>
        <w:rPr>
          <w:rFonts w:hint="eastAsia" w:ascii="宋体" w:hAnsi="宋体"/>
          <w:szCs w:val="24"/>
        </w:rPr>
        <w:t>）机构</w:t>
      </w:r>
    </w:p>
    <w:p>
      <w:pPr>
        <w:spacing w:line="360" w:lineRule="auto"/>
        <w:ind w:firstLine="480" w:firstLineChars="200"/>
        <w:rPr>
          <w:szCs w:val="24"/>
        </w:rPr>
      </w:pPr>
      <w:r>
        <w:rPr>
          <w:rFonts w:hint="eastAsia" w:ascii="宋体" w:hAnsi="宋体"/>
          <w:szCs w:val="24"/>
        </w:rPr>
        <w:t>为保证环境管理任务的顺利实施，医院的法定负责人，又是控制环境污染，保护环境的法律责任者。</w:t>
      </w:r>
    </w:p>
    <w:p>
      <w:pPr>
        <w:spacing w:line="360" w:lineRule="auto"/>
        <w:ind w:firstLine="480" w:firstLineChars="200"/>
        <w:rPr>
          <w:szCs w:val="24"/>
        </w:rPr>
      </w:pPr>
      <w:r>
        <w:rPr>
          <w:rFonts w:hint="eastAsia" w:ascii="宋体" w:hAnsi="宋体"/>
          <w:szCs w:val="24"/>
        </w:rPr>
        <w:t>此外，医院应该设立专门的环保机构和专职负责人，负责医院的施工期和营运期的环境管理工作。</w:t>
      </w:r>
    </w:p>
    <w:p>
      <w:pPr>
        <w:spacing w:line="360" w:lineRule="auto"/>
        <w:ind w:firstLine="480" w:firstLineChars="200"/>
        <w:rPr>
          <w:szCs w:val="24"/>
        </w:rPr>
      </w:pPr>
      <w:r>
        <w:rPr>
          <w:rFonts w:hint="eastAsia" w:ascii="宋体" w:hAnsi="宋体"/>
          <w:szCs w:val="24"/>
        </w:rPr>
        <w:t>（</w:t>
      </w:r>
      <w:r>
        <w:rPr>
          <w:rFonts w:hint="eastAsia"/>
          <w:szCs w:val="24"/>
        </w:rPr>
        <w:t>2</w:t>
      </w:r>
      <w:r>
        <w:rPr>
          <w:rFonts w:hint="eastAsia" w:ascii="宋体" w:hAnsi="宋体"/>
          <w:szCs w:val="24"/>
        </w:rPr>
        <w:t>）职能</w:t>
      </w:r>
    </w:p>
    <w:p>
      <w:pPr>
        <w:spacing w:line="360" w:lineRule="auto"/>
        <w:ind w:firstLine="480" w:firstLineChars="200"/>
        <w:rPr>
          <w:szCs w:val="24"/>
        </w:rPr>
      </w:pPr>
      <w:r>
        <w:rPr>
          <w:rFonts w:hint="eastAsia"/>
          <w:szCs w:val="24"/>
        </w:rPr>
        <w:t>①贯彻执行国家、省、市的有关部门环保法规、标准、政策和要求；</w:t>
      </w:r>
    </w:p>
    <w:p>
      <w:pPr>
        <w:spacing w:line="360" w:lineRule="auto"/>
        <w:ind w:firstLine="480" w:firstLineChars="200"/>
        <w:rPr>
          <w:szCs w:val="24"/>
        </w:rPr>
      </w:pPr>
      <w:r>
        <w:rPr>
          <w:rFonts w:hint="eastAsia"/>
          <w:szCs w:val="24"/>
        </w:rPr>
        <w:t>②组织制定医院的环境保护管理制度和保护目标；</w:t>
      </w:r>
    </w:p>
    <w:p>
      <w:pPr>
        <w:spacing w:line="360" w:lineRule="auto"/>
        <w:ind w:firstLine="480" w:firstLineChars="200"/>
        <w:rPr>
          <w:szCs w:val="24"/>
        </w:rPr>
      </w:pPr>
      <w:r>
        <w:rPr>
          <w:rFonts w:hint="eastAsia"/>
          <w:szCs w:val="24"/>
        </w:rPr>
        <w:t>③负责监督“三同时”的执行情况，检查各种环保设施的运行状态，负责设施的正常运转和维护；</w:t>
      </w:r>
    </w:p>
    <w:p>
      <w:pPr>
        <w:spacing w:line="360" w:lineRule="auto"/>
        <w:ind w:firstLine="480" w:firstLineChars="200"/>
        <w:rPr>
          <w:szCs w:val="24"/>
        </w:rPr>
      </w:pPr>
      <w:r>
        <w:rPr>
          <w:rFonts w:hint="eastAsia"/>
          <w:szCs w:val="24"/>
        </w:rPr>
        <w:t>④负责环境监测计划的实施；</w:t>
      </w:r>
    </w:p>
    <w:p>
      <w:pPr>
        <w:spacing w:line="360" w:lineRule="auto"/>
        <w:ind w:firstLine="480" w:firstLineChars="200"/>
        <w:rPr>
          <w:szCs w:val="24"/>
        </w:rPr>
      </w:pPr>
      <w:r>
        <w:rPr>
          <w:rFonts w:hint="eastAsia"/>
          <w:szCs w:val="24"/>
        </w:rPr>
        <w:t>⑤协助有关部门进行污染事故的监测、监视和报告；</w:t>
      </w:r>
    </w:p>
    <w:p>
      <w:pPr>
        <w:spacing w:line="360" w:lineRule="auto"/>
        <w:ind w:firstLine="480" w:firstLineChars="200"/>
        <w:rPr>
          <w:szCs w:val="24"/>
        </w:rPr>
      </w:pPr>
      <w:r>
        <w:rPr>
          <w:rFonts w:hint="eastAsia"/>
          <w:szCs w:val="24"/>
        </w:rPr>
        <w:t>⑥对医院的绿化工作进行监督管理，提出建议；</w:t>
      </w:r>
    </w:p>
    <w:p>
      <w:pPr>
        <w:spacing w:line="360" w:lineRule="auto"/>
        <w:ind w:firstLine="480" w:firstLineChars="200"/>
        <w:rPr>
          <w:szCs w:val="24"/>
        </w:rPr>
      </w:pPr>
      <w:r>
        <w:rPr>
          <w:rFonts w:hint="eastAsia"/>
          <w:szCs w:val="24"/>
        </w:rPr>
        <w:t>⑦负责环境管理及监测的档案管理和统计上报工作。</w:t>
      </w:r>
    </w:p>
    <w:p>
      <w:pPr>
        <w:pStyle w:val="4"/>
      </w:pPr>
      <w:bookmarkStart w:id="234" w:name="_Toc25826508"/>
      <w:r>
        <w:rPr>
          <w:rFonts w:hint="eastAsia"/>
        </w:rPr>
        <w:t>环境管理制度</w:t>
      </w:r>
      <w:bookmarkEnd w:id="234"/>
    </w:p>
    <w:p>
      <w:pPr>
        <w:spacing w:line="360" w:lineRule="auto"/>
        <w:ind w:firstLine="480" w:firstLineChars="200"/>
        <w:rPr>
          <w:szCs w:val="24"/>
        </w:rPr>
      </w:pPr>
      <w:r>
        <w:rPr>
          <w:rFonts w:hint="eastAsia" w:ascii="宋体" w:hAnsi="宋体"/>
          <w:szCs w:val="24"/>
        </w:rPr>
        <w:t>可通过建立《环境保护管理制度》、《岗位环保责任制》、《污染物排放许可细则》、《环保经济责任制考核办法》等办法，逐步完善和建立以下环境管理制度：</w:t>
      </w:r>
    </w:p>
    <w:p>
      <w:pPr>
        <w:spacing w:line="360" w:lineRule="auto"/>
        <w:ind w:firstLine="480" w:firstLineChars="200"/>
        <w:rPr>
          <w:szCs w:val="24"/>
        </w:rPr>
      </w:pPr>
      <w:r>
        <w:rPr>
          <w:rFonts w:hint="eastAsia" w:ascii="宋体" w:hAnsi="宋体"/>
          <w:szCs w:val="24"/>
        </w:rPr>
        <w:t>（</w:t>
      </w:r>
      <w:r>
        <w:rPr>
          <w:rFonts w:hint="eastAsia"/>
          <w:szCs w:val="24"/>
        </w:rPr>
        <w:t>1</w:t>
      </w:r>
      <w:r>
        <w:rPr>
          <w:rFonts w:hint="eastAsia" w:ascii="宋体" w:hAnsi="宋体"/>
          <w:szCs w:val="24"/>
        </w:rPr>
        <w:t>）每季定期开一次环保会议，各级领导准时参加，会议对当季环保工作进行总结，并布置下月的环保工作。</w:t>
      </w:r>
    </w:p>
    <w:p>
      <w:pPr>
        <w:spacing w:line="360" w:lineRule="auto"/>
        <w:ind w:firstLine="480" w:firstLineChars="200"/>
        <w:rPr>
          <w:szCs w:val="24"/>
        </w:rPr>
      </w:pPr>
      <w:r>
        <w:rPr>
          <w:rFonts w:hint="eastAsia" w:ascii="宋体" w:hAnsi="宋体"/>
          <w:szCs w:val="24"/>
        </w:rPr>
        <w:t>（</w:t>
      </w:r>
      <w:r>
        <w:rPr>
          <w:rFonts w:hint="eastAsia"/>
          <w:szCs w:val="24"/>
        </w:rPr>
        <w:t>2</w:t>
      </w:r>
      <w:r>
        <w:rPr>
          <w:rFonts w:hint="eastAsia" w:ascii="宋体" w:hAnsi="宋体"/>
          <w:szCs w:val="24"/>
        </w:rPr>
        <w:t>）实行“三级管理”。即院办、部门、科室三级管理负责制，各科室产生的污染物应按规定达标排放，院办随时督促检查，凡不达标者纳入考核进行整改。</w:t>
      </w:r>
    </w:p>
    <w:p>
      <w:pPr>
        <w:spacing w:line="360" w:lineRule="auto"/>
        <w:ind w:firstLine="480" w:firstLineChars="200"/>
        <w:rPr>
          <w:szCs w:val="24"/>
        </w:rPr>
      </w:pPr>
      <w:r>
        <w:rPr>
          <w:rFonts w:hint="eastAsia" w:ascii="宋体" w:hAnsi="宋体"/>
          <w:szCs w:val="24"/>
        </w:rPr>
        <w:t>（</w:t>
      </w:r>
      <w:r>
        <w:rPr>
          <w:rFonts w:hint="eastAsia"/>
          <w:szCs w:val="24"/>
        </w:rPr>
        <w:t>3</w:t>
      </w:r>
      <w:r>
        <w:rPr>
          <w:rFonts w:hint="eastAsia" w:ascii="宋体" w:hAnsi="宋体"/>
          <w:szCs w:val="24"/>
        </w:rPr>
        <w:t>）“一控双达标”工作由院办负责，确保以下目标的实现。</w:t>
      </w:r>
    </w:p>
    <w:p>
      <w:pPr>
        <w:spacing w:line="360" w:lineRule="auto"/>
        <w:ind w:firstLine="480" w:firstLineChars="200"/>
        <w:rPr>
          <w:szCs w:val="24"/>
        </w:rPr>
      </w:pPr>
      <w:r>
        <w:rPr>
          <w:rFonts w:hint="eastAsia"/>
          <w:szCs w:val="24"/>
        </w:rPr>
        <w:t>A</w:t>
      </w:r>
      <w:r>
        <w:rPr>
          <w:rFonts w:hint="eastAsia" w:ascii="宋体" w:hAnsi="宋体"/>
          <w:szCs w:val="24"/>
        </w:rPr>
        <w:t>、各科室产生的污染物按规定要求进行处理，可利用的固体废物综合利用，防止二次污染的发生。</w:t>
      </w:r>
    </w:p>
    <w:p>
      <w:pPr>
        <w:spacing w:line="360" w:lineRule="auto"/>
        <w:ind w:firstLine="480" w:firstLineChars="200"/>
        <w:rPr>
          <w:szCs w:val="24"/>
        </w:rPr>
      </w:pPr>
      <w:r>
        <w:rPr>
          <w:rFonts w:hint="eastAsia"/>
          <w:szCs w:val="24"/>
        </w:rPr>
        <w:t>C</w:t>
      </w:r>
      <w:r>
        <w:rPr>
          <w:rFonts w:hint="eastAsia" w:ascii="宋体" w:hAnsi="宋体"/>
          <w:szCs w:val="24"/>
        </w:rPr>
        <w:t>、对医疗废水和生活污水分开处理，分别达标排放。</w:t>
      </w:r>
    </w:p>
    <w:p>
      <w:pPr>
        <w:spacing w:line="360" w:lineRule="auto"/>
        <w:ind w:firstLine="480" w:firstLineChars="200"/>
        <w:rPr>
          <w:szCs w:val="24"/>
        </w:rPr>
      </w:pPr>
      <w:r>
        <w:rPr>
          <w:rFonts w:hint="eastAsia" w:ascii="宋体" w:hAnsi="宋体"/>
          <w:szCs w:val="24"/>
        </w:rPr>
        <w:t>（</w:t>
      </w:r>
      <w:r>
        <w:rPr>
          <w:rFonts w:hint="eastAsia"/>
          <w:szCs w:val="24"/>
        </w:rPr>
        <w:t>4</w:t>
      </w:r>
      <w:r>
        <w:rPr>
          <w:rFonts w:hint="eastAsia" w:ascii="宋体" w:hAnsi="宋体"/>
          <w:szCs w:val="24"/>
        </w:rPr>
        <w:t>）做好环境保护的宣传工作，采取专刊、黑板报、简报的形式开展环保法的宣传，组织职工学习有关的环保资料，以提高职工的环保意识。</w:t>
      </w:r>
    </w:p>
    <w:p>
      <w:pPr>
        <w:spacing w:line="360" w:lineRule="auto"/>
        <w:ind w:firstLine="480" w:firstLineChars="200"/>
        <w:rPr>
          <w:szCs w:val="24"/>
        </w:rPr>
      </w:pPr>
      <w:r>
        <w:rPr>
          <w:rFonts w:hint="eastAsia" w:ascii="宋体" w:hAnsi="宋体"/>
          <w:szCs w:val="24"/>
        </w:rPr>
        <w:t>（</w:t>
      </w:r>
      <w:r>
        <w:rPr>
          <w:rFonts w:hint="eastAsia"/>
          <w:szCs w:val="24"/>
        </w:rPr>
        <w:t>5</w:t>
      </w:r>
      <w:r>
        <w:rPr>
          <w:rFonts w:hint="eastAsia" w:ascii="宋体" w:hAnsi="宋体"/>
          <w:szCs w:val="24"/>
        </w:rPr>
        <w:t>）抓好环境保护的管理工作，杜绝环保污染事故的发生。</w:t>
      </w:r>
    </w:p>
    <w:p>
      <w:pPr>
        <w:spacing w:line="360" w:lineRule="auto"/>
        <w:ind w:firstLine="480" w:firstLineChars="200"/>
        <w:rPr>
          <w:rFonts w:ascii="宋体" w:hAnsi="宋体"/>
          <w:szCs w:val="24"/>
        </w:rPr>
      </w:pPr>
      <w:r>
        <w:rPr>
          <w:rFonts w:hint="eastAsia" w:ascii="宋体" w:hAnsi="宋体"/>
          <w:szCs w:val="24"/>
        </w:rPr>
        <w:t>（6）做好环保报表的统计上报工作。</w:t>
      </w:r>
    </w:p>
    <w:p>
      <w:pPr>
        <w:pStyle w:val="5"/>
        <w:rPr>
          <w:color w:val="000000" w:themeColor="text1"/>
        </w:rPr>
      </w:pPr>
      <w:bookmarkStart w:id="235" w:name="_Toc532497699"/>
      <w:r>
        <w:rPr>
          <w:rFonts w:hint="eastAsia"/>
          <w:color w:val="000000" w:themeColor="text1"/>
        </w:rPr>
        <w:t>竣工验收</w:t>
      </w:r>
      <w:bookmarkEnd w:id="235"/>
    </w:p>
    <w:p>
      <w:pPr>
        <w:spacing w:line="360" w:lineRule="auto"/>
        <w:ind w:firstLine="480" w:firstLineChars="200"/>
        <w:rPr>
          <w:rFonts w:ascii="宋体" w:hAnsi="宋体"/>
          <w:szCs w:val="24"/>
        </w:rPr>
      </w:pPr>
      <w:r>
        <w:rPr>
          <w:rFonts w:hint="eastAsia"/>
        </w:rPr>
        <w:t>根据国务院第682号令《建设项目环境保护管理条例》（2017.10.1起施行）：编制环境影响报告书项目竣工后，建设单位应当按照国务院环境保护行政主管部门规定的标准和程序，对配套建设的环境保护设施进行验收，编制验收报告。为了便于</w:t>
      </w:r>
      <w:r>
        <w:rPr>
          <w:rFonts w:hint="eastAsia" w:ascii="宋体" w:hAnsi="宋体"/>
          <w:szCs w:val="24"/>
        </w:rPr>
        <w:t>建设单位及环保主管部门对工程项目进行竣工验收，现按照国家有关规定，提出环境保护竣工验收一览表，详见表下表。</w:t>
      </w:r>
    </w:p>
    <w:p>
      <w:pPr>
        <w:jc w:val="center"/>
        <w:rPr>
          <w:rFonts w:cs="Times New Roman"/>
          <w:b/>
        </w:rPr>
      </w:pPr>
      <w:r>
        <w:rPr>
          <w:rFonts w:hAnsi="宋体" w:cs="Times New Roman"/>
          <w:b/>
          <w:szCs w:val="24"/>
        </w:rPr>
        <w:t>表</w:t>
      </w:r>
      <w:r>
        <w:rPr>
          <w:rFonts w:hAnsi="宋体" w:cs="Times New Roman"/>
          <w:b/>
          <w:szCs w:val="24"/>
        </w:rPr>
        <w:fldChar w:fldCharType="begin"/>
      </w:r>
      <w:r>
        <w:rPr>
          <w:rFonts w:hAnsi="宋体" w:cs="Times New Roman"/>
          <w:b/>
          <w:szCs w:val="24"/>
        </w:rPr>
        <w:instrText xml:space="preserve"> STYLEREF 2 \s </w:instrText>
      </w:r>
      <w:r>
        <w:rPr>
          <w:rFonts w:hAnsi="宋体" w:cs="Times New Roman"/>
          <w:b/>
          <w:szCs w:val="24"/>
        </w:rPr>
        <w:fldChar w:fldCharType="separate"/>
      </w:r>
      <w:r>
        <w:rPr>
          <w:rFonts w:hAnsi="宋体" w:cs="Times New Roman"/>
          <w:b/>
          <w:szCs w:val="24"/>
        </w:rPr>
        <w:t>9.2</w:t>
      </w:r>
      <w:r>
        <w:rPr>
          <w:rFonts w:hAnsi="宋体" w:cs="Times New Roman"/>
          <w:b/>
          <w:szCs w:val="24"/>
        </w:rPr>
        <w:fldChar w:fldCharType="end"/>
      </w:r>
      <w:r>
        <w:rPr>
          <w:rFonts w:hAnsi="宋体" w:cs="Times New Roman"/>
          <w:b/>
          <w:szCs w:val="24"/>
        </w:rPr>
        <w:noBreakHyphen/>
      </w:r>
      <w:r>
        <w:rPr>
          <w:rFonts w:hAnsi="宋体" w:cs="Times New Roman"/>
          <w:b/>
          <w:szCs w:val="24"/>
        </w:rPr>
        <w:fldChar w:fldCharType="begin"/>
      </w:r>
      <w:r>
        <w:rPr>
          <w:rFonts w:hAnsi="宋体" w:cs="Times New Roman"/>
          <w:b/>
          <w:szCs w:val="24"/>
        </w:rPr>
        <w:instrText xml:space="preserve"> SEQ 表 \* ARABIC \s 2 </w:instrText>
      </w:r>
      <w:r>
        <w:rPr>
          <w:rFonts w:hAnsi="宋体" w:cs="Times New Roman"/>
          <w:b/>
          <w:szCs w:val="24"/>
        </w:rPr>
        <w:fldChar w:fldCharType="separate"/>
      </w:r>
      <w:r>
        <w:rPr>
          <w:rFonts w:hAnsi="宋体" w:cs="Times New Roman"/>
          <w:b/>
          <w:szCs w:val="24"/>
        </w:rPr>
        <w:t>1</w:t>
      </w:r>
      <w:r>
        <w:rPr>
          <w:rFonts w:hAnsi="宋体" w:cs="Times New Roman"/>
          <w:b/>
          <w:szCs w:val="24"/>
        </w:rPr>
        <w:fldChar w:fldCharType="end"/>
      </w:r>
      <w:r>
        <w:rPr>
          <w:rFonts w:hAnsi="宋体" w:cs="Times New Roman"/>
          <w:b/>
          <w:bCs/>
        </w:rPr>
        <w:t>环境保护竣工验收一览表</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4"/>
        <w:gridCol w:w="1490"/>
        <w:gridCol w:w="3283"/>
        <w:gridCol w:w="1648"/>
        <w:gridCol w:w="2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 w:type="pct"/>
            <w:vAlign w:val="center"/>
          </w:tcPr>
          <w:p>
            <w:pPr>
              <w:adjustRightInd w:val="0"/>
              <w:snapToGrid w:val="0"/>
              <w:jc w:val="center"/>
              <w:rPr>
                <w:rFonts w:eastAsia="宋体" w:cs="Times New Roman"/>
                <w:bCs/>
                <w:sz w:val="21"/>
              </w:rPr>
            </w:pPr>
            <w:r>
              <w:rPr>
                <w:rFonts w:eastAsia="宋体" w:cs="Times New Roman"/>
                <w:bCs/>
                <w:sz w:val="21"/>
              </w:rPr>
              <w:t>项目</w:t>
            </w:r>
          </w:p>
        </w:tc>
        <w:tc>
          <w:tcPr>
            <w:tcW w:w="772" w:type="pct"/>
            <w:vAlign w:val="center"/>
          </w:tcPr>
          <w:p>
            <w:pPr>
              <w:adjustRightInd w:val="0"/>
              <w:snapToGrid w:val="0"/>
              <w:jc w:val="center"/>
              <w:rPr>
                <w:rFonts w:eastAsia="宋体" w:cs="Times New Roman"/>
                <w:bCs/>
                <w:sz w:val="21"/>
              </w:rPr>
            </w:pPr>
            <w:r>
              <w:rPr>
                <w:rFonts w:eastAsia="宋体" w:cs="Times New Roman"/>
                <w:bCs/>
                <w:sz w:val="21"/>
              </w:rPr>
              <w:t>污染源</w:t>
            </w:r>
          </w:p>
        </w:tc>
        <w:tc>
          <w:tcPr>
            <w:tcW w:w="1701" w:type="pct"/>
            <w:vAlign w:val="center"/>
          </w:tcPr>
          <w:p>
            <w:pPr>
              <w:adjustRightInd w:val="0"/>
              <w:snapToGrid w:val="0"/>
              <w:jc w:val="center"/>
              <w:rPr>
                <w:rFonts w:eastAsia="宋体" w:cs="Times New Roman"/>
                <w:bCs/>
                <w:sz w:val="21"/>
              </w:rPr>
            </w:pPr>
            <w:r>
              <w:rPr>
                <w:rFonts w:eastAsia="宋体" w:cs="Times New Roman"/>
                <w:bCs/>
                <w:sz w:val="21"/>
              </w:rPr>
              <w:t>处理设施</w:t>
            </w:r>
          </w:p>
        </w:tc>
        <w:tc>
          <w:tcPr>
            <w:tcW w:w="854" w:type="pct"/>
            <w:vAlign w:val="center"/>
          </w:tcPr>
          <w:p>
            <w:pPr>
              <w:adjustRightInd w:val="0"/>
              <w:snapToGrid w:val="0"/>
              <w:jc w:val="center"/>
              <w:rPr>
                <w:rFonts w:eastAsia="宋体" w:cs="Times New Roman"/>
                <w:bCs/>
                <w:sz w:val="21"/>
              </w:rPr>
            </w:pPr>
            <w:r>
              <w:rPr>
                <w:rFonts w:eastAsia="宋体" w:cs="Times New Roman"/>
                <w:bCs/>
                <w:sz w:val="21"/>
              </w:rPr>
              <w:t>检测项目</w:t>
            </w:r>
          </w:p>
        </w:tc>
        <w:tc>
          <w:tcPr>
            <w:tcW w:w="1360" w:type="pct"/>
            <w:vAlign w:val="center"/>
          </w:tcPr>
          <w:p>
            <w:pPr>
              <w:adjustRightInd w:val="0"/>
              <w:snapToGrid w:val="0"/>
              <w:jc w:val="center"/>
              <w:rPr>
                <w:rFonts w:eastAsia="宋体" w:cs="Times New Roman"/>
                <w:bCs/>
                <w:sz w:val="21"/>
              </w:rPr>
            </w:pPr>
            <w:r>
              <w:rPr>
                <w:rFonts w:eastAsia="宋体" w:cs="Times New Roman"/>
                <w:bCs/>
                <w:sz w:val="21"/>
              </w:rPr>
              <w:t>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 w:type="pct"/>
            <w:vMerge w:val="restart"/>
            <w:vAlign w:val="center"/>
          </w:tcPr>
          <w:p>
            <w:pPr>
              <w:adjustRightInd w:val="0"/>
              <w:snapToGrid w:val="0"/>
              <w:jc w:val="center"/>
              <w:rPr>
                <w:rFonts w:eastAsia="宋体" w:cs="Times New Roman"/>
                <w:sz w:val="21"/>
              </w:rPr>
            </w:pPr>
            <w:r>
              <w:rPr>
                <w:rFonts w:eastAsia="宋体" w:cs="Times New Roman"/>
                <w:sz w:val="21"/>
              </w:rPr>
              <w:t>废水</w:t>
            </w:r>
          </w:p>
        </w:tc>
        <w:tc>
          <w:tcPr>
            <w:tcW w:w="772" w:type="pct"/>
            <w:vAlign w:val="center"/>
          </w:tcPr>
          <w:p>
            <w:pPr>
              <w:adjustRightInd w:val="0"/>
              <w:snapToGrid w:val="0"/>
              <w:jc w:val="center"/>
              <w:rPr>
                <w:rFonts w:eastAsia="宋体" w:cs="Times New Roman"/>
                <w:sz w:val="21"/>
              </w:rPr>
            </w:pPr>
            <w:r>
              <w:rPr>
                <w:rFonts w:eastAsia="宋体" w:cs="Times New Roman"/>
                <w:sz w:val="21"/>
              </w:rPr>
              <w:t>医疗废水</w:t>
            </w:r>
          </w:p>
        </w:tc>
        <w:tc>
          <w:tcPr>
            <w:tcW w:w="1701" w:type="pct"/>
            <w:vAlign w:val="center"/>
          </w:tcPr>
          <w:p>
            <w:pPr>
              <w:adjustRightInd w:val="0"/>
              <w:snapToGrid w:val="0"/>
              <w:jc w:val="center"/>
              <w:rPr>
                <w:rFonts w:eastAsia="宋体" w:cs="Times New Roman"/>
                <w:sz w:val="21"/>
              </w:rPr>
            </w:pPr>
            <w:r>
              <w:rPr>
                <w:rFonts w:eastAsia="宋体" w:cs="Times New Roman"/>
                <w:sz w:val="21"/>
              </w:rPr>
              <w:t>雨污分流管网建设，医疗废水处理设施1座，处理规模约600t/d及排污口规范建设</w:t>
            </w:r>
          </w:p>
        </w:tc>
        <w:tc>
          <w:tcPr>
            <w:tcW w:w="854" w:type="pct"/>
            <w:vMerge w:val="restart"/>
            <w:vAlign w:val="center"/>
          </w:tcPr>
          <w:p>
            <w:pPr>
              <w:adjustRightInd w:val="0"/>
              <w:snapToGrid w:val="0"/>
              <w:jc w:val="center"/>
              <w:rPr>
                <w:rFonts w:eastAsia="宋体" w:cs="Times New Roman"/>
                <w:sz w:val="21"/>
              </w:rPr>
            </w:pPr>
            <w:r>
              <w:rPr>
                <w:rFonts w:eastAsia="宋体" w:cs="Times New Roman"/>
                <w:sz w:val="21"/>
              </w:rPr>
              <w:t>pH、COD</w:t>
            </w:r>
            <w:r>
              <w:rPr>
                <w:rFonts w:eastAsia="宋体" w:cs="Times New Roman"/>
                <w:sz w:val="21"/>
                <w:vertAlign w:val="subscript"/>
              </w:rPr>
              <w:t>Cr</w:t>
            </w:r>
            <w:r>
              <w:rPr>
                <w:rFonts w:eastAsia="宋体" w:cs="Times New Roman"/>
                <w:sz w:val="21"/>
              </w:rPr>
              <w:t>、SS、BOD</w:t>
            </w:r>
            <w:r>
              <w:rPr>
                <w:rFonts w:eastAsia="宋体" w:cs="Times New Roman"/>
                <w:sz w:val="21"/>
                <w:vertAlign w:val="subscript"/>
              </w:rPr>
              <w:t>5</w:t>
            </w:r>
            <w:r>
              <w:rPr>
                <w:rFonts w:eastAsia="宋体" w:cs="Times New Roman"/>
                <w:sz w:val="21"/>
              </w:rPr>
              <w:t>、氨氮、动植物油、总氰化物、粪大肠菌群、总余氯</w:t>
            </w:r>
          </w:p>
        </w:tc>
        <w:tc>
          <w:tcPr>
            <w:tcW w:w="1360" w:type="pct"/>
            <w:vMerge w:val="restart"/>
            <w:vAlign w:val="center"/>
          </w:tcPr>
          <w:p>
            <w:pPr>
              <w:adjustRightInd w:val="0"/>
              <w:snapToGrid w:val="0"/>
              <w:jc w:val="center"/>
              <w:rPr>
                <w:rFonts w:eastAsia="宋体" w:cs="Times New Roman"/>
                <w:sz w:val="21"/>
              </w:rPr>
            </w:pPr>
            <w:r>
              <w:rPr>
                <w:rFonts w:eastAsia="宋体" w:cs="Times New Roman"/>
                <w:sz w:val="21"/>
              </w:rPr>
              <w:t>《医疗机构水污染物排放标准》（GB18466-2005）表2预处理标准和《城镇污水处理厂污染物排放标准》(GB18918-2002)一级A标准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0" w:type="auto"/>
            <w:vMerge w:val="continue"/>
            <w:vAlign w:val="center"/>
          </w:tcPr>
          <w:p>
            <w:pPr>
              <w:widowControl/>
              <w:adjustRightInd w:val="0"/>
              <w:snapToGrid w:val="0"/>
              <w:jc w:val="center"/>
              <w:rPr>
                <w:rFonts w:eastAsia="宋体" w:cs="Times New Roman"/>
                <w:sz w:val="21"/>
              </w:rPr>
            </w:pPr>
          </w:p>
        </w:tc>
        <w:tc>
          <w:tcPr>
            <w:tcW w:w="0" w:type="auto"/>
            <w:vAlign w:val="center"/>
          </w:tcPr>
          <w:p>
            <w:pPr>
              <w:adjustRightInd w:val="0"/>
              <w:snapToGrid w:val="0"/>
              <w:jc w:val="center"/>
              <w:rPr>
                <w:rFonts w:eastAsia="宋体" w:cs="Times New Roman"/>
                <w:sz w:val="21"/>
              </w:rPr>
            </w:pPr>
            <w:r>
              <w:rPr>
                <w:rFonts w:eastAsia="宋体" w:cs="Times New Roman"/>
                <w:sz w:val="21"/>
              </w:rPr>
              <w:t>职工</w:t>
            </w:r>
            <w:r>
              <w:rPr>
                <w:rFonts w:hint="eastAsia" w:eastAsia="宋体" w:cs="Times New Roman"/>
                <w:sz w:val="21"/>
              </w:rPr>
              <w:t>公寓</w:t>
            </w:r>
          </w:p>
        </w:tc>
        <w:tc>
          <w:tcPr>
            <w:tcW w:w="1701" w:type="pct"/>
            <w:vAlign w:val="center"/>
          </w:tcPr>
          <w:p>
            <w:pPr>
              <w:adjustRightInd w:val="0"/>
              <w:snapToGrid w:val="0"/>
              <w:jc w:val="center"/>
              <w:rPr>
                <w:rFonts w:eastAsia="宋体" w:cs="Times New Roman"/>
                <w:sz w:val="21"/>
              </w:rPr>
            </w:pPr>
            <w:r>
              <w:rPr>
                <w:rFonts w:eastAsia="宋体" w:cs="Times New Roman"/>
                <w:sz w:val="21"/>
              </w:rPr>
              <w:t>雨污分流管网建设，化粪池</w:t>
            </w:r>
          </w:p>
        </w:tc>
        <w:tc>
          <w:tcPr>
            <w:tcW w:w="0" w:type="auto"/>
            <w:vMerge w:val="continue"/>
            <w:vAlign w:val="center"/>
          </w:tcPr>
          <w:p>
            <w:pPr>
              <w:widowControl/>
              <w:adjustRightInd w:val="0"/>
              <w:snapToGrid w:val="0"/>
              <w:jc w:val="center"/>
              <w:rPr>
                <w:rFonts w:eastAsia="宋体" w:cs="Times New Roman"/>
                <w:sz w:val="21"/>
              </w:rPr>
            </w:pPr>
          </w:p>
        </w:tc>
        <w:tc>
          <w:tcPr>
            <w:tcW w:w="0" w:type="auto"/>
            <w:vMerge w:val="continue"/>
            <w:vAlign w:val="center"/>
          </w:tcPr>
          <w:p>
            <w:pPr>
              <w:widowControl/>
              <w:adjustRightInd w:val="0"/>
              <w:snapToGrid w:val="0"/>
              <w:jc w:val="center"/>
              <w:rPr>
                <w:rFonts w:eastAsia="宋体"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0" w:type="auto"/>
            <w:vMerge w:val="continue"/>
            <w:vAlign w:val="center"/>
          </w:tcPr>
          <w:p>
            <w:pPr>
              <w:widowControl/>
              <w:adjustRightInd w:val="0"/>
              <w:snapToGrid w:val="0"/>
              <w:jc w:val="center"/>
              <w:rPr>
                <w:rFonts w:eastAsia="宋体" w:cs="Times New Roman"/>
                <w:sz w:val="21"/>
              </w:rPr>
            </w:pPr>
          </w:p>
        </w:tc>
        <w:tc>
          <w:tcPr>
            <w:tcW w:w="0" w:type="auto"/>
            <w:vAlign w:val="center"/>
          </w:tcPr>
          <w:p>
            <w:pPr>
              <w:adjustRightInd w:val="0"/>
              <w:snapToGrid w:val="0"/>
              <w:jc w:val="center"/>
              <w:rPr>
                <w:rFonts w:eastAsia="宋体" w:cs="Times New Roman"/>
                <w:sz w:val="21"/>
              </w:rPr>
            </w:pPr>
            <w:r>
              <w:rPr>
                <w:rFonts w:eastAsia="宋体" w:cs="Times New Roman"/>
                <w:sz w:val="21"/>
              </w:rPr>
              <w:t>食堂餐饮废水</w:t>
            </w:r>
          </w:p>
        </w:tc>
        <w:tc>
          <w:tcPr>
            <w:tcW w:w="1701" w:type="pct"/>
            <w:vAlign w:val="center"/>
          </w:tcPr>
          <w:p>
            <w:pPr>
              <w:adjustRightInd w:val="0"/>
              <w:snapToGrid w:val="0"/>
              <w:jc w:val="center"/>
              <w:rPr>
                <w:rFonts w:eastAsia="宋体" w:cs="Times New Roman"/>
                <w:sz w:val="21"/>
              </w:rPr>
            </w:pPr>
            <w:r>
              <w:rPr>
                <w:rFonts w:eastAsia="宋体" w:cs="Times New Roman"/>
                <w:sz w:val="21"/>
              </w:rPr>
              <w:t>隔油沉淀池</w:t>
            </w:r>
            <w:r>
              <w:rPr>
                <w:rFonts w:hint="eastAsia" w:eastAsia="宋体" w:cs="Times New Roman"/>
                <w:sz w:val="21"/>
              </w:rPr>
              <w:t>+化粪池</w:t>
            </w:r>
          </w:p>
        </w:tc>
        <w:tc>
          <w:tcPr>
            <w:tcW w:w="0" w:type="auto"/>
            <w:vMerge w:val="continue"/>
            <w:vAlign w:val="center"/>
          </w:tcPr>
          <w:p>
            <w:pPr>
              <w:widowControl/>
              <w:adjustRightInd w:val="0"/>
              <w:snapToGrid w:val="0"/>
              <w:jc w:val="center"/>
              <w:rPr>
                <w:rFonts w:eastAsia="宋体" w:cs="Times New Roman"/>
                <w:sz w:val="21"/>
              </w:rPr>
            </w:pPr>
          </w:p>
        </w:tc>
        <w:tc>
          <w:tcPr>
            <w:tcW w:w="0" w:type="auto"/>
            <w:vMerge w:val="continue"/>
            <w:vAlign w:val="center"/>
          </w:tcPr>
          <w:p>
            <w:pPr>
              <w:widowControl/>
              <w:adjustRightInd w:val="0"/>
              <w:snapToGrid w:val="0"/>
              <w:jc w:val="center"/>
              <w:rPr>
                <w:rFonts w:eastAsia="宋体"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 w:type="pct"/>
            <w:vMerge w:val="restart"/>
            <w:vAlign w:val="center"/>
          </w:tcPr>
          <w:p>
            <w:pPr>
              <w:adjustRightInd w:val="0"/>
              <w:snapToGrid w:val="0"/>
              <w:jc w:val="center"/>
              <w:rPr>
                <w:rFonts w:eastAsia="宋体" w:cs="Times New Roman"/>
                <w:sz w:val="21"/>
              </w:rPr>
            </w:pPr>
            <w:r>
              <w:rPr>
                <w:rFonts w:eastAsia="宋体" w:cs="Times New Roman"/>
                <w:sz w:val="21"/>
              </w:rPr>
              <w:t>废气</w:t>
            </w:r>
          </w:p>
        </w:tc>
        <w:tc>
          <w:tcPr>
            <w:tcW w:w="772" w:type="pct"/>
            <w:vAlign w:val="center"/>
          </w:tcPr>
          <w:p>
            <w:pPr>
              <w:adjustRightInd w:val="0"/>
              <w:snapToGrid w:val="0"/>
              <w:jc w:val="center"/>
              <w:rPr>
                <w:rFonts w:eastAsia="宋体" w:cs="Times New Roman"/>
                <w:sz w:val="21"/>
              </w:rPr>
            </w:pPr>
            <w:r>
              <w:rPr>
                <w:rFonts w:eastAsia="宋体" w:cs="Times New Roman"/>
                <w:sz w:val="21"/>
              </w:rPr>
              <w:t>食堂油烟废气</w:t>
            </w:r>
          </w:p>
        </w:tc>
        <w:tc>
          <w:tcPr>
            <w:tcW w:w="1701" w:type="pct"/>
            <w:vAlign w:val="center"/>
          </w:tcPr>
          <w:p>
            <w:pPr>
              <w:adjustRightInd w:val="0"/>
              <w:snapToGrid w:val="0"/>
              <w:jc w:val="center"/>
              <w:rPr>
                <w:rFonts w:eastAsia="宋体" w:cs="Times New Roman"/>
                <w:sz w:val="21"/>
              </w:rPr>
            </w:pPr>
            <w:r>
              <w:rPr>
                <w:rFonts w:eastAsia="宋体" w:cs="Times New Roman"/>
                <w:sz w:val="21"/>
              </w:rPr>
              <w:t>食堂厨房油烟抽排设施、油烟净化器+至食堂屋顶排放</w:t>
            </w:r>
          </w:p>
        </w:tc>
        <w:tc>
          <w:tcPr>
            <w:tcW w:w="854" w:type="pct"/>
            <w:vAlign w:val="center"/>
          </w:tcPr>
          <w:p>
            <w:pPr>
              <w:adjustRightInd w:val="0"/>
              <w:snapToGrid w:val="0"/>
              <w:jc w:val="center"/>
              <w:rPr>
                <w:rFonts w:eastAsia="宋体" w:cs="Times New Roman"/>
                <w:sz w:val="21"/>
              </w:rPr>
            </w:pPr>
            <w:r>
              <w:rPr>
                <w:rFonts w:eastAsia="宋体" w:cs="Times New Roman"/>
                <w:sz w:val="21"/>
              </w:rPr>
              <w:t>食堂油烟</w:t>
            </w:r>
          </w:p>
        </w:tc>
        <w:tc>
          <w:tcPr>
            <w:tcW w:w="1360" w:type="pct"/>
            <w:vAlign w:val="center"/>
          </w:tcPr>
          <w:p>
            <w:pPr>
              <w:adjustRightInd w:val="0"/>
              <w:snapToGrid w:val="0"/>
              <w:jc w:val="center"/>
              <w:rPr>
                <w:rFonts w:eastAsia="宋体" w:cs="Times New Roman"/>
                <w:sz w:val="21"/>
              </w:rPr>
            </w:pPr>
            <w:r>
              <w:rPr>
                <w:rFonts w:eastAsia="宋体" w:cs="Times New Roman"/>
                <w:sz w:val="21"/>
              </w:rPr>
              <w:t>《饮食业油烟排放标准》（GB18483-2001）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widowControl/>
              <w:adjustRightInd w:val="0"/>
              <w:snapToGrid w:val="0"/>
              <w:jc w:val="center"/>
              <w:rPr>
                <w:rFonts w:eastAsia="宋体" w:cs="Times New Roman"/>
                <w:sz w:val="21"/>
              </w:rPr>
            </w:pPr>
          </w:p>
        </w:tc>
        <w:tc>
          <w:tcPr>
            <w:tcW w:w="772" w:type="pct"/>
            <w:vAlign w:val="center"/>
          </w:tcPr>
          <w:p>
            <w:pPr>
              <w:adjustRightInd w:val="0"/>
              <w:snapToGrid w:val="0"/>
              <w:jc w:val="center"/>
              <w:rPr>
                <w:rFonts w:eastAsia="宋体" w:cs="Times New Roman"/>
                <w:sz w:val="21"/>
              </w:rPr>
            </w:pPr>
            <w:r>
              <w:rPr>
                <w:rFonts w:eastAsia="宋体" w:cs="Times New Roman"/>
                <w:sz w:val="21"/>
              </w:rPr>
              <w:t>污水处理站臭气</w:t>
            </w:r>
          </w:p>
        </w:tc>
        <w:tc>
          <w:tcPr>
            <w:tcW w:w="1701" w:type="pct"/>
            <w:vAlign w:val="center"/>
          </w:tcPr>
          <w:p>
            <w:pPr>
              <w:adjustRightInd w:val="0"/>
              <w:snapToGrid w:val="0"/>
              <w:jc w:val="center"/>
              <w:rPr>
                <w:rFonts w:eastAsia="宋体" w:cs="Times New Roman"/>
                <w:sz w:val="21"/>
              </w:rPr>
            </w:pPr>
            <w:r>
              <w:rPr>
                <w:rFonts w:eastAsia="宋体" w:cs="Times New Roman"/>
                <w:sz w:val="21"/>
              </w:rPr>
              <w:t>本项目医疗废物处理站建在密闭的建筑物内</w:t>
            </w:r>
            <w:r>
              <w:rPr>
                <w:rFonts w:hint="eastAsia" w:eastAsia="宋体" w:cs="Times New Roman"/>
                <w:sz w:val="21"/>
              </w:rPr>
              <w:t>，化粪池和隔油沉淀池均为地埋式的，同时对污水处理站喷洒除臭剂</w:t>
            </w:r>
          </w:p>
        </w:tc>
        <w:tc>
          <w:tcPr>
            <w:tcW w:w="854" w:type="pct"/>
            <w:vAlign w:val="center"/>
          </w:tcPr>
          <w:p>
            <w:pPr>
              <w:adjustRightInd w:val="0"/>
              <w:snapToGrid w:val="0"/>
              <w:jc w:val="center"/>
              <w:rPr>
                <w:rFonts w:eastAsia="宋体" w:cs="Times New Roman"/>
                <w:sz w:val="21"/>
              </w:rPr>
            </w:pPr>
            <w:r>
              <w:rPr>
                <w:rFonts w:eastAsia="宋体" w:cs="Times New Roman"/>
                <w:sz w:val="21"/>
              </w:rPr>
              <w:t>氨、硫化氢、臭气浓度（无量纲）</w:t>
            </w:r>
          </w:p>
        </w:tc>
        <w:tc>
          <w:tcPr>
            <w:tcW w:w="1360" w:type="pct"/>
            <w:vAlign w:val="center"/>
          </w:tcPr>
          <w:p>
            <w:pPr>
              <w:adjustRightInd w:val="0"/>
              <w:snapToGrid w:val="0"/>
              <w:jc w:val="center"/>
              <w:rPr>
                <w:rFonts w:eastAsia="宋体" w:cs="Times New Roman"/>
                <w:sz w:val="21"/>
              </w:rPr>
            </w:pPr>
            <w:r>
              <w:rPr>
                <w:rFonts w:eastAsia="宋体" w:cs="Times New Roman"/>
                <w:sz w:val="21"/>
              </w:rPr>
              <w:t>《恶臭污染物排放标准》（GB14554-93）表2标准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widowControl/>
              <w:adjustRightInd w:val="0"/>
              <w:snapToGrid w:val="0"/>
              <w:jc w:val="center"/>
              <w:rPr>
                <w:rFonts w:eastAsia="宋体" w:cs="Times New Roman"/>
                <w:sz w:val="21"/>
              </w:rPr>
            </w:pPr>
          </w:p>
        </w:tc>
        <w:tc>
          <w:tcPr>
            <w:tcW w:w="772" w:type="pct"/>
            <w:vAlign w:val="center"/>
          </w:tcPr>
          <w:p>
            <w:pPr>
              <w:adjustRightInd w:val="0"/>
              <w:snapToGrid w:val="0"/>
              <w:jc w:val="center"/>
              <w:rPr>
                <w:rFonts w:eastAsia="宋体" w:cs="Times New Roman"/>
                <w:sz w:val="21"/>
              </w:rPr>
            </w:pPr>
            <w:r>
              <w:rPr>
                <w:rFonts w:eastAsia="宋体" w:cs="Times New Roman"/>
                <w:sz w:val="21"/>
              </w:rPr>
              <w:t>锅炉废气</w:t>
            </w:r>
          </w:p>
        </w:tc>
        <w:tc>
          <w:tcPr>
            <w:tcW w:w="1701" w:type="pct"/>
            <w:vAlign w:val="center"/>
          </w:tcPr>
          <w:p>
            <w:pPr>
              <w:adjustRightInd w:val="0"/>
              <w:snapToGrid w:val="0"/>
              <w:jc w:val="center"/>
              <w:rPr>
                <w:rFonts w:eastAsia="宋体" w:cs="Times New Roman"/>
                <w:sz w:val="21"/>
              </w:rPr>
            </w:pPr>
            <w:r>
              <w:rPr>
                <w:rFonts w:eastAsia="宋体" w:cs="Times New Roman"/>
                <w:sz w:val="21"/>
              </w:rPr>
              <w:t>天然气</w:t>
            </w:r>
            <w:r>
              <w:rPr>
                <w:rFonts w:hint="eastAsia" w:eastAsia="宋体" w:cs="Times New Roman"/>
                <w:sz w:val="21"/>
              </w:rPr>
              <w:t>+锅炉排气筒/气竖井</w:t>
            </w:r>
          </w:p>
        </w:tc>
        <w:tc>
          <w:tcPr>
            <w:tcW w:w="854" w:type="pct"/>
            <w:vAlign w:val="center"/>
          </w:tcPr>
          <w:p>
            <w:pPr>
              <w:adjustRightInd w:val="0"/>
              <w:snapToGrid w:val="0"/>
              <w:jc w:val="center"/>
              <w:rPr>
                <w:rFonts w:eastAsia="宋体" w:cs="Times New Roman"/>
                <w:sz w:val="21"/>
              </w:rPr>
            </w:pPr>
            <w:r>
              <w:rPr>
                <w:rFonts w:eastAsia="宋体" w:cs="Times New Roman"/>
                <w:sz w:val="21"/>
              </w:rPr>
              <w:t>颗粒物、SO</w:t>
            </w:r>
            <w:r>
              <w:rPr>
                <w:rFonts w:eastAsia="宋体" w:cs="Times New Roman"/>
                <w:sz w:val="21"/>
                <w:vertAlign w:val="subscript"/>
              </w:rPr>
              <w:t>2</w:t>
            </w:r>
            <w:r>
              <w:rPr>
                <w:rFonts w:eastAsia="宋体" w:cs="Times New Roman"/>
                <w:sz w:val="21"/>
              </w:rPr>
              <w:t>、NO</w:t>
            </w:r>
            <w:r>
              <w:rPr>
                <w:rFonts w:eastAsia="宋体" w:cs="Times New Roman"/>
                <w:sz w:val="21"/>
                <w:vertAlign w:val="subscript"/>
              </w:rPr>
              <w:t>x</w:t>
            </w:r>
          </w:p>
        </w:tc>
        <w:tc>
          <w:tcPr>
            <w:tcW w:w="1360" w:type="pct"/>
            <w:vAlign w:val="center"/>
          </w:tcPr>
          <w:p>
            <w:pPr>
              <w:adjustRightInd w:val="0"/>
              <w:snapToGrid w:val="0"/>
              <w:jc w:val="center"/>
              <w:rPr>
                <w:rFonts w:eastAsia="宋体" w:cs="Times New Roman"/>
                <w:sz w:val="21"/>
              </w:rPr>
            </w:pPr>
            <w:r>
              <w:rPr>
                <w:rFonts w:eastAsia="宋体" w:cs="Times New Roman"/>
                <w:sz w:val="21"/>
              </w:rPr>
              <w:t>《锅炉大气污染物排放标准》（GB13271-2014）表 3大气污染物特别排放限值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widowControl/>
              <w:adjustRightInd w:val="0"/>
              <w:snapToGrid w:val="0"/>
              <w:jc w:val="center"/>
              <w:rPr>
                <w:rFonts w:eastAsia="宋体" w:cs="Times New Roman"/>
                <w:sz w:val="21"/>
              </w:rPr>
            </w:pPr>
          </w:p>
        </w:tc>
        <w:tc>
          <w:tcPr>
            <w:tcW w:w="772" w:type="pct"/>
            <w:vAlign w:val="center"/>
          </w:tcPr>
          <w:p>
            <w:pPr>
              <w:adjustRightInd w:val="0"/>
              <w:snapToGrid w:val="0"/>
              <w:jc w:val="center"/>
              <w:rPr>
                <w:rFonts w:eastAsia="宋体" w:cs="Times New Roman"/>
                <w:sz w:val="21"/>
              </w:rPr>
            </w:pPr>
            <w:r>
              <w:rPr>
                <w:rFonts w:eastAsia="宋体" w:cs="Times New Roman"/>
                <w:sz w:val="21"/>
              </w:rPr>
              <w:t>柴油发电机废气</w:t>
            </w:r>
          </w:p>
        </w:tc>
        <w:tc>
          <w:tcPr>
            <w:tcW w:w="1701" w:type="pct"/>
            <w:vAlign w:val="center"/>
          </w:tcPr>
          <w:p>
            <w:pPr>
              <w:adjustRightInd w:val="0"/>
              <w:snapToGrid w:val="0"/>
              <w:jc w:val="center"/>
              <w:rPr>
                <w:rFonts w:eastAsia="宋体" w:cs="Times New Roman"/>
                <w:sz w:val="21"/>
              </w:rPr>
            </w:pPr>
            <w:r>
              <w:rPr>
                <w:rFonts w:hint="eastAsia" w:eastAsia="宋体" w:cs="Times New Roman"/>
                <w:sz w:val="21"/>
              </w:rPr>
              <w:t>柴油发电机排烟/气竖井</w:t>
            </w:r>
          </w:p>
        </w:tc>
        <w:tc>
          <w:tcPr>
            <w:tcW w:w="854" w:type="pct"/>
            <w:vAlign w:val="center"/>
          </w:tcPr>
          <w:p>
            <w:pPr>
              <w:adjustRightInd w:val="0"/>
              <w:snapToGrid w:val="0"/>
              <w:jc w:val="center"/>
              <w:rPr>
                <w:rFonts w:eastAsia="宋体" w:cs="Times New Roman"/>
                <w:sz w:val="21"/>
              </w:rPr>
            </w:pPr>
            <w:r>
              <w:rPr>
                <w:rFonts w:eastAsia="宋体" w:cs="Times New Roman"/>
                <w:sz w:val="21"/>
              </w:rPr>
              <w:t>颗粒物、二氧化碳、氮氧化物</w:t>
            </w:r>
          </w:p>
        </w:tc>
        <w:tc>
          <w:tcPr>
            <w:tcW w:w="1360" w:type="pct"/>
            <w:vAlign w:val="center"/>
          </w:tcPr>
          <w:p>
            <w:pPr>
              <w:adjustRightInd w:val="0"/>
              <w:snapToGrid w:val="0"/>
              <w:jc w:val="center"/>
              <w:rPr>
                <w:rFonts w:eastAsia="宋体" w:cs="Times New Roman"/>
                <w:sz w:val="21"/>
              </w:rPr>
            </w:pPr>
            <w:r>
              <w:rPr>
                <w:rFonts w:eastAsia="宋体" w:cs="Times New Roman"/>
                <w:sz w:val="21"/>
              </w:rPr>
              <w:t>《大气污染物综合排放标准》（GB16297-1996）二级标准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 w:type="pct"/>
            <w:vAlign w:val="center"/>
          </w:tcPr>
          <w:p>
            <w:pPr>
              <w:adjustRightInd w:val="0"/>
              <w:snapToGrid w:val="0"/>
              <w:jc w:val="center"/>
              <w:rPr>
                <w:rFonts w:eastAsia="宋体" w:cs="Times New Roman"/>
                <w:sz w:val="21"/>
              </w:rPr>
            </w:pPr>
            <w:r>
              <w:rPr>
                <w:rFonts w:eastAsia="宋体" w:cs="Times New Roman"/>
                <w:sz w:val="21"/>
              </w:rPr>
              <w:t>噪声</w:t>
            </w:r>
          </w:p>
        </w:tc>
        <w:tc>
          <w:tcPr>
            <w:tcW w:w="772" w:type="pct"/>
            <w:vAlign w:val="center"/>
          </w:tcPr>
          <w:p>
            <w:pPr>
              <w:adjustRightInd w:val="0"/>
              <w:snapToGrid w:val="0"/>
              <w:jc w:val="center"/>
              <w:rPr>
                <w:rFonts w:eastAsia="宋体" w:cs="Times New Roman"/>
                <w:sz w:val="21"/>
              </w:rPr>
            </w:pPr>
            <w:r>
              <w:rPr>
                <w:rFonts w:eastAsia="宋体" w:cs="Times New Roman"/>
                <w:sz w:val="21"/>
              </w:rPr>
              <w:t>设备噪声</w:t>
            </w:r>
          </w:p>
        </w:tc>
        <w:tc>
          <w:tcPr>
            <w:tcW w:w="1701" w:type="pct"/>
            <w:vAlign w:val="center"/>
          </w:tcPr>
          <w:p>
            <w:pPr>
              <w:adjustRightInd w:val="0"/>
              <w:snapToGrid w:val="0"/>
              <w:rPr>
                <w:rFonts w:eastAsia="宋体" w:cs="Times New Roman"/>
                <w:sz w:val="21"/>
              </w:rPr>
            </w:pPr>
            <w:r>
              <w:rPr>
                <w:rFonts w:hAnsi="宋体" w:eastAsia="宋体" w:cs="Times New Roman"/>
                <w:color w:val="000000" w:themeColor="text1"/>
                <w:sz w:val="21"/>
              </w:rPr>
              <w:t>排风机</w:t>
            </w:r>
            <w:r>
              <w:rPr>
                <w:rFonts w:hint="eastAsia" w:hAnsi="宋体" w:eastAsia="宋体" w:cs="Times New Roman"/>
                <w:color w:val="000000" w:themeColor="text1"/>
                <w:sz w:val="21"/>
              </w:rPr>
              <w:t>、</w:t>
            </w:r>
            <w:r>
              <w:rPr>
                <w:rFonts w:hAnsi="宋体" w:eastAsia="宋体" w:cs="Times New Roman"/>
                <w:color w:val="000000" w:themeColor="text1"/>
                <w:sz w:val="21"/>
              </w:rPr>
              <w:t>中央空调</w:t>
            </w:r>
            <w:r>
              <w:rPr>
                <w:rFonts w:hint="eastAsia" w:hAnsi="宋体" w:eastAsia="宋体" w:cs="Times New Roman"/>
                <w:color w:val="000000" w:themeColor="text1"/>
                <w:sz w:val="21"/>
              </w:rPr>
              <w:t>、</w:t>
            </w:r>
            <w:r>
              <w:rPr>
                <w:rFonts w:hAnsi="宋体" w:eastAsia="宋体" w:cs="Times New Roman"/>
                <w:color w:val="000000" w:themeColor="text1"/>
                <w:sz w:val="21"/>
              </w:rPr>
              <w:t>中央空调冷却塔</w:t>
            </w:r>
            <w:r>
              <w:rPr>
                <w:rFonts w:hint="eastAsia" w:hAnsi="宋体" w:eastAsia="宋体" w:cs="Times New Roman"/>
                <w:color w:val="000000" w:themeColor="text1"/>
                <w:sz w:val="21"/>
              </w:rPr>
              <w:t>、电梯、柴油发电机、水泵、锅炉、车辆等</w:t>
            </w:r>
            <w:r>
              <w:rPr>
                <w:rFonts w:eastAsia="宋体" w:cs="Times New Roman"/>
                <w:sz w:val="21"/>
              </w:rPr>
              <w:t>。</w:t>
            </w:r>
          </w:p>
        </w:tc>
        <w:tc>
          <w:tcPr>
            <w:tcW w:w="854" w:type="pct"/>
            <w:vAlign w:val="center"/>
          </w:tcPr>
          <w:p>
            <w:pPr>
              <w:adjustRightInd w:val="0"/>
              <w:snapToGrid w:val="0"/>
              <w:jc w:val="center"/>
              <w:rPr>
                <w:rFonts w:eastAsia="宋体" w:cs="Times New Roman"/>
                <w:sz w:val="21"/>
              </w:rPr>
            </w:pPr>
            <w:r>
              <w:rPr>
                <w:rFonts w:eastAsia="宋体" w:cs="Times New Roman"/>
                <w:sz w:val="21"/>
              </w:rPr>
              <w:t>噪声</w:t>
            </w:r>
          </w:p>
        </w:tc>
        <w:tc>
          <w:tcPr>
            <w:tcW w:w="1360" w:type="pct"/>
            <w:vAlign w:val="center"/>
          </w:tcPr>
          <w:p>
            <w:pPr>
              <w:adjustRightInd w:val="0"/>
              <w:snapToGrid w:val="0"/>
              <w:jc w:val="center"/>
              <w:rPr>
                <w:rFonts w:eastAsia="宋体" w:cs="Times New Roman"/>
                <w:sz w:val="21"/>
              </w:rPr>
            </w:pPr>
            <w:r>
              <w:rPr>
                <w:rFonts w:eastAsia="宋体" w:cs="Times New Roman"/>
                <w:sz w:val="21"/>
              </w:rPr>
              <w:t>工业企业厂界环境噪声排放标准》（GB12348-2008）中 2 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 w:type="pct"/>
            <w:vMerge w:val="restart"/>
            <w:vAlign w:val="center"/>
          </w:tcPr>
          <w:p>
            <w:pPr>
              <w:adjustRightInd w:val="0"/>
              <w:snapToGrid w:val="0"/>
              <w:jc w:val="center"/>
              <w:rPr>
                <w:rFonts w:eastAsia="宋体" w:cs="Times New Roman"/>
                <w:sz w:val="21"/>
              </w:rPr>
            </w:pPr>
            <w:r>
              <w:rPr>
                <w:rFonts w:eastAsia="宋体" w:cs="Times New Roman"/>
                <w:sz w:val="21"/>
              </w:rPr>
              <w:t>固废</w:t>
            </w:r>
          </w:p>
        </w:tc>
        <w:tc>
          <w:tcPr>
            <w:tcW w:w="772" w:type="pct"/>
            <w:vAlign w:val="center"/>
          </w:tcPr>
          <w:p>
            <w:pPr>
              <w:adjustRightInd w:val="0"/>
              <w:snapToGrid w:val="0"/>
              <w:jc w:val="center"/>
              <w:rPr>
                <w:rFonts w:eastAsia="宋体" w:cs="Times New Roman"/>
                <w:sz w:val="21"/>
              </w:rPr>
            </w:pPr>
            <w:r>
              <w:rPr>
                <w:rFonts w:eastAsia="宋体" w:cs="Times New Roman"/>
                <w:sz w:val="21"/>
              </w:rPr>
              <w:t>医疗废物</w:t>
            </w:r>
          </w:p>
        </w:tc>
        <w:tc>
          <w:tcPr>
            <w:tcW w:w="1701" w:type="pct"/>
            <w:vAlign w:val="center"/>
          </w:tcPr>
          <w:p>
            <w:pPr>
              <w:adjustRightInd w:val="0"/>
              <w:snapToGrid w:val="0"/>
              <w:jc w:val="center"/>
              <w:rPr>
                <w:rFonts w:eastAsia="宋体" w:cs="Times New Roman"/>
                <w:sz w:val="21"/>
              </w:rPr>
            </w:pPr>
            <w:r>
              <w:rPr>
                <w:rFonts w:eastAsia="宋体" w:cs="Times New Roman"/>
                <w:sz w:val="21"/>
              </w:rPr>
              <w:t>医疗废物暂存场所建设和处置费用（含污水处理站污泥收集、暂存、运送和处置费用）</w:t>
            </w:r>
          </w:p>
        </w:tc>
        <w:tc>
          <w:tcPr>
            <w:tcW w:w="854" w:type="pct"/>
            <w:vAlign w:val="center"/>
          </w:tcPr>
          <w:p>
            <w:pPr>
              <w:adjustRightInd w:val="0"/>
              <w:snapToGrid w:val="0"/>
              <w:jc w:val="center"/>
              <w:rPr>
                <w:rFonts w:eastAsia="宋体" w:cs="Times New Roman"/>
                <w:sz w:val="21"/>
              </w:rPr>
            </w:pPr>
            <w:r>
              <w:rPr>
                <w:rFonts w:eastAsia="宋体" w:cs="Times New Roman"/>
                <w:sz w:val="21"/>
              </w:rPr>
              <w:t>处置协议、新</w:t>
            </w:r>
          </w:p>
          <w:p>
            <w:pPr>
              <w:adjustRightInd w:val="0"/>
              <w:snapToGrid w:val="0"/>
              <w:jc w:val="center"/>
              <w:rPr>
                <w:rFonts w:eastAsia="宋体" w:cs="Times New Roman"/>
                <w:sz w:val="21"/>
              </w:rPr>
            </w:pPr>
            <w:r>
              <w:rPr>
                <w:rFonts w:eastAsia="宋体" w:cs="Times New Roman"/>
                <w:sz w:val="21"/>
              </w:rPr>
              <w:t>建 暂 存间 建设情况，暂存时间不超过 2天</w:t>
            </w:r>
          </w:p>
        </w:tc>
        <w:tc>
          <w:tcPr>
            <w:tcW w:w="1360" w:type="pct"/>
            <w:vAlign w:val="center"/>
          </w:tcPr>
          <w:p>
            <w:pPr>
              <w:adjustRightInd w:val="0"/>
              <w:snapToGrid w:val="0"/>
              <w:jc w:val="center"/>
              <w:rPr>
                <w:rFonts w:eastAsia="宋体" w:cs="Times New Roman"/>
                <w:sz w:val="21"/>
              </w:rPr>
            </w:pPr>
            <w:r>
              <w:rPr>
                <w:rFonts w:eastAsia="宋体" w:cs="Times New Roman"/>
                <w:sz w:val="21"/>
              </w:rPr>
              <w:t>《危险废物贮存污染控制 标 准 》（GB18597-2001）、《危险废物转移联单管理办法》、《医疗废物转运车技术要求》（试行）废水处理污泥同时执行《医疗机构水污染物排放标准》（GB18466-2005）中的医疗机构污泥控制标准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widowControl/>
              <w:adjustRightInd w:val="0"/>
              <w:snapToGrid w:val="0"/>
              <w:jc w:val="center"/>
              <w:rPr>
                <w:rFonts w:eastAsia="宋体" w:cs="Times New Roman"/>
                <w:sz w:val="21"/>
              </w:rPr>
            </w:pPr>
          </w:p>
        </w:tc>
        <w:tc>
          <w:tcPr>
            <w:tcW w:w="772" w:type="pct"/>
            <w:vAlign w:val="center"/>
          </w:tcPr>
          <w:p>
            <w:pPr>
              <w:adjustRightInd w:val="0"/>
              <w:snapToGrid w:val="0"/>
              <w:jc w:val="center"/>
              <w:rPr>
                <w:rFonts w:eastAsia="宋体" w:cs="Times New Roman"/>
                <w:sz w:val="21"/>
              </w:rPr>
            </w:pPr>
            <w:r>
              <w:rPr>
                <w:rFonts w:eastAsia="宋体" w:cs="Times New Roman"/>
                <w:sz w:val="21"/>
              </w:rPr>
              <w:t>生活垃圾</w:t>
            </w:r>
          </w:p>
        </w:tc>
        <w:tc>
          <w:tcPr>
            <w:tcW w:w="1701" w:type="pct"/>
            <w:vAlign w:val="center"/>
          </w:tcPr>
          <w:p>
            <w:pPr>
              <w:adjustRightInd w:val="0"/>
              <w:snapToGrid w:val="0"/>
              <w:jc w:val="center"/>
              <w:rPr>
                <w:rFonts w:eastAsia="宋体" w:cs="Times New Roman"/>
                <w:sz w:val="21"/>
              </w:rPr>
            </w:pPr>
            <w:r>
              <w:rPr>
                <w:rFonts w:eastAsia="宋体" w:cs="Times New Roman"/>
                <w:sz w:val="21"/>
              </w:rPr>
              <w:t>生活垃圾暂存间</w:t>
            </w:r>
          </w:p>
        </w:tc>
        <w:tc>
          <w:tcPr>
            <w:tcW w:w="854" w:type="pct"/>
            <w:vAlign w:val="center"/>
          </w:tcPr>
          <w:p>
            <w:pPr>
              <w:adjustRightInd w:val="0"/>
              <w:snapToGrid w:val="0"/>
              <w:jc w:val="center"/>
              <w:rPr>
                <w:rFonts w:eastAsia="宋体" w:cs="Times New Roman"/>
                <w:sz w:val="21"/>
              </w:rPr>
            </w:pPr>
            <w:r>
              <w:rPr>
                <w:rFonts w:eastAsia="宋体" w:cs="Times New Roman"/>
                <w:sz w:val="21"/>
              </w:rPr>
              <w:t>/</w:t>
            </w:r>
          </w:p>
        </w:tc>
        <w:tc>
          <w:tcPr>
            <w:tcW w:w="1360" w:type="pct"/>
            <w:vMerge w:val="restart"/>
            <w:vAlign w:val="center"/>
          </w:tcPr>
          <w:p>
            <w:pPr>
              <w:adjustRightInd w:val="0"/>
              <w:snapToGrid w:val="0"/>
              <w:jc w:val="center"/>
              <w:rPr>
                <w:rFonts w:eastAsia="宋体" w:cs="Times New Roman"/>
                <w:sz w:val="21"/>
              </w:rPr>
            </w:pPr>
            <w:r>
              <w:rPr>
                <w:rFonts w:eastAsia="宋体" w:cs="Times New Roman"/>
                <w:sz w:val="21"/>
              </w:rPr>
              <w:t>《生活垃圾填埋场污染</w:t>
            </w:r>
          </w:p>
          <w:p>
            <w:pPr>
              <w:adjustRightInd w:val="0"/>
              <w:snapToGrid w:val="0"/>
              <w:jc w:val="center"/>
              <w:rPr>
                <w:rFonts w:eastAsia="宋体" w:cs="Times New Roman"/>
                <w:sz w:val="21"/>
              </w:rPr>
            </w:pPr>
            <w:r>
              <w:rPr>
                <w:rFonts w:eastAsia="宋体" w:cs="Times New Roman"/>
                <w:sz w:val="21"/>
              </w:rPr>
              <w:t>控制标准》（GB16889-2008）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widowControl/>
              <w:adjustRightInd w:val="0"/>
              <w:snapToGrid w:val="0"/>
              <w:jc w:val="center"/>
              <w:rPr>
                <w:rFonts w:eastAsia="宋体" w:cs="Times New Roman"/>
                <w:sz w:val="21"/>
              </w:rPr>
            </w:pPr>
          </w:p>
        </w:tc>
        <w:tc>
          <w:tcPr>
            <w:tcW w:w="772" w:type="pct"/>
            <w:vAlign w:val="center"/>
          </w:tcPr>
          <w:p>
            <w:pPr>
              <w:adjustRightInd w:val="0"/>
              <w:snapToGrid w:val="0"/>
              <w:jc w:val="center"/>
              <w:rPr>
                <w:rFonts w:eastAsia="宋体" w:cs="Times New Roman"/>
                <w:sz w:val="21"/>
              </w:rPr>
            </w:pPr>
            <w:r>
              <w:rPr>
                <w:rFonts w:eastAsia="宋体" w:cs="Times New Roman"/>
                <w:sz w:val="21"/>
              </w:rPr>
              <w:t>餐厨垃圾</w:t>
            </w:r>
          </w:p>
        </w:tc>
        <w:tc>
          <w:tcPr>
            <w:tcW w:w="1701" w:type="pct"/>
            <w:vAlign w:val="center"/>
          </w:tcPr>
          <w:p>
            <w:pPr>
              <w:adjustRightInd w:val="0"/>
              <w:snapToGrid w:val="0"/>
              <w:jc w:val="center"/>
              <w:rPr>
                <w:rFonts w:eastAsia="宋体" w:cs="Times New Roman"/>
                <w:sz w:val="21"/>
              </w:rPr>
            </w:pPr>
            <w:r>
              <w:rPr>
                <w:rFonts w:eastAsia="宋体" w:cs="Times New Roman"/>
                <w:sz w:val="21"/>
              </w:rPr>
              <w:t>餐厨垃圾暂存、处置协议、转运</w:t>
            </w:r>
          </w:p>
        </w:tc>
        <w:tc>
          <w:tcPr>
            <w:tcW w:w="854" w:type="pct"/>
            <w:vAlign w:val="center"/>
          </w:tcPr>
          <w:p>
            <w:pPr>
              <w:adjustRightInd w:val="0"/>
              <w:snapToGrid w:val="0"/>
              <w:jc w:val="center"/>
              <w:rPr>
                <w:rFonts w:eastAsia="宋体" w:cs="Times New Roman"/>
                <w:sz w:val="21"/>
              </w:rPr>
            </w:pPr>
            <w:r>
              <w:rPr>
                <w:rFonts w:eastAsia="宋体" w:cs="Times New Roman"/>
                <w:sz w:val="21"/>
              </w:rPr>
              <w:t>处置协议</w:t>
            </w:r>
          </w:p>
        </w:tc>
        <w:tc>
          <w:tcPr>
            <w:tcW w:w="0" w:type="auto"/>
            <w:vMerge w:val="continue"/>
            <w:vAlign w:val="center"/>
          </w:tcPr>
          <w:p>
            <w:pPr>
              <w:widowControl/>
              <w:adjustRightInd w:val="0"/>
              <w:snapToGrid w:val="0"/>
              <w:jc w:val="center"/>
              <w:rPr>
                <w:rFonts w:eastAsia="宋体"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widowControl/>
              <w:adjustRightInd w:val="0"/>
              <w:snapToGrid w:val="0"/>
              <w:jc w:val="center"/>
              <w:rPr>
                <w:rFonts w:eastAsia="宋体" w:cs="Times New Roman"/>
                <w:sz w:val="21"/>
              </w:rPr>
            </w:pPr>
          </w:p>
        </w:tc>
        <w:tc>
          <w:tcPr>
            <w:tcW w:w="772" w:type="pct"/>
            <w:vAlign w:val="center"/>
          </w:tcPr>
          <w:p>
            <w:pPr>
              <w:adjustRightInd w:val="0"/>
              <w:snapToGrid w:val="0"/>
              <w:jc w:val="center"/>
              <w:rPr>
                <w:rFonts w:eastAsia="宋体" w:cs="Times New Roman"/>
                <w:sz w:val="21"/>
              </w:rPr>
            </w:pPr>
            <w:r>
              <w:rPr>
                <w:rFonts w:eastAsia="宋体" w:cs="Times New Roman"/>
                <w:sz w:val="21"/>
              </w:rPr>
              <w:t>污泥</w:t>
            </w:r>
          </w:p>
        </w:tc>
        <w:tc>
          <w:tcPr>
            <w:tcW w:w="1701" w:type="pct"/>
            <w:vAlign w:val="center"/>
          </w:tcPr>
          <w:p>
            <w:pPr>
              <w:adjustRightInd w:val="0"/>
              <w:snapToGrid w:val="0"/>
              <w:jc w:val="center"/>
              <w:rPr>
                <w:rFonts w:eastAsia="宋体" w:cs="Times New Roman"/>
                <w:sz w:val="21"/>
              </w:rPr>
            </w:pPr>
            <w:r>
              <w:rPr>
                <w:rFonts w:eastAsia="宋体" w:cs="Times New Roman"/>
                <w:sz w:val="21"/>
              </w:rPr>
              <w:t>经消毒后单独储存委托有资质单位处置</w:t>
            </w:r>
          </w:p>
        </w:tc>
        <w:tc>
          <w:tcPr>
            <w:tcW w:w="854" w:type="pct"/>
            <w:vAlign w:val="center"/>
          </w:tcPr>
          <w:p>
            <w:pPr>
              <w:adjustRightInd w:val="0"/>
              <w:snapToGrid w:val="0"/>
              <w:jc w:val="center"/>
              <w:rPr>
                <w:rFonts w:eastAsia="宋体" w:cs="Times New Roman"/>
                <w:sz w:val="21"/>
              </w:rPr>
            </w:pPr>
            <w:r>
              <w:rPr>
                <w:rFonts w:eastAsia="宋体" w:cs="Times New Roman"/>
                <w:sz w:val="21"/>
              </w:rPr>
              <w:t>处置协议、新</w:t>
            </w:r>
          </w:p>
          <w:p>
            <w:pPr>
              <w:adjustRightInd w:val="0"/>
              <w:snapToGrid w:val="0"/>
              <w:jc w:val="center"/>
              <w:rPr>
                <w:rFonts w:eastAsia="宋体" w:cs="Times New Roman"/>
                <w:sz w:val="21"/>
              </w:rPr>
            </w:pPr>
            <w:r>
              <w:rPr>
                <w:rFonts w:eastAsia="宋体" w:cs="Times New Roman"/>
                <w:sz w:val="21"/>
              </w:rPr>
              <w:t>建 暂 存间 建设情况，暂存时间不超过 2天</w:t>
            </w:r>
          </w:p>
        </w:tc>
        <w:tc>
          <w:tcPr>
            <w:tcW w:w="1360" w:type="pct"/>
            <w:vAlign w:val="center"/>
          </w:tcPr>
          <w:p>
            <w:pPr>
              <w:adjustRightInd w:val="0"/>
              <w:snapToGrid w:val="0"/>
              <w:jc w:val="center"/>
              <w:rPr>
                <w:rFonts w:eastAsia="宋体" w:cs="Times New Roman"/>
                <w:sz w:val="21"/>
              </w:rPr>
            </w:pPr>
            <w:r>
              <w:rPr>
                <w:rFonts w:eastAsia="宋体" w:cs="Times New Roman"/>
                <w:sz w:val="21"/>
              </w:rPr>
              <w:t>《危险废物贮存污染控制 标 准 》（GB18597-2001）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313" w:type="pct"/>
            <w:vAlign w:val="center"/>
          </w:tcPr>
          <w:p>
            <w:pPr>
              <w:adjustRightInd w:val="0"/>
              <w:snapToGrid w:val="0"/>
              <w:jc w:val="center"/>
              <w:rPr>
                <w:rFonts w:eastAsia="宋体" w:cs="Times New Roman"/>
                <w:sz w:val="21"/>
              </w:rPr>
            </w:pPr>
            <w:r>
              <w:rPr>
                <w:rFonts w:eastAsia="宋体" w:cs="Times New Roman"/>
                <w:sz w:val="21"/>
              </w:rPr>
              <w:t>环境风险</w:t>
            </w:r>
          </w:p>
        </w:tc>
        <w:tc>
          <w:tcPr>
            <w:tcW w:w="772" w:type="pct"/>
            <w:vAlign w:val="center"/>
          </w:tcPr>
          <w:p>
            <w:pPr>
              <w:adjustRightInd w:val="0"/>
              <w:snapToGrid w:val="0"/>
              <w:jc w:val="center"/>
              <w:rPr>
                <w:rFonts w:eastAsia="宋体" w:cs="Times New Roman"/>
                <w:sz w:val="21"/>
              </w:rPr>
            </w:pPr>
            <w:r>
              <w:rPr>
                <w:rFonts w:eastAsia="宋体" w:cs="Times New Roman"/>
                <w:sz w:val="21"/>
              </w:rPr>
              <w:t>医疗废水</w:t>
            </w:r>
          </w:p>
        </w:tc>
        <w:tc>
          <w:tcPr>
            <w:tcW w:w="1701" w:type="pct"/>
            <w:vAlign w:val="center"/>
          </w:tcPr>
          <w:p>
            <w:pPr>
              <w:adjustRightInd w:val="0"/>
              <w:snapToGrid w:val="0"/>
              <w:jc w:val="center"/>
              <w:rPr>
                <w:rFonts w:eastAsia="宋体" w:cs="Times New Roman"/>
                <w:sz w:val="21"/>
              </w:rPr>
            </w:pPr>
            <w:r>
              <w:rPr>
                <w:rFonts w:eastAsia="宋体" w:cs="Times New Roman"/>
                <w:sz w:val="21"/>
              </w:rPr>
              <w:t>400m</w:t>
            </w:r>
            <w:r>
              <w:rPr>
                <w:rFonts w:eastAsia="宋体" w:cs="Times New Roman"/>
                <w:sz w:val="21"/>
                <w:vertAlign w:val="superscript"/>
              </w:rPr>
              <w:t>3</w:t>
            </w:r>
            <w:r>
              <w:rPr>
                <w:rFonts w:eastAsia="宋体" w:cs="Times New Roman"/>
                <w:sz w:val="21"/>
              </w:rPr>
              <w:t>事故池一座、应急物资的配备</w:t>
            </w:r>
          </w:p>
        </w:tc>
        <w:tc>
          <w:tcPr>
            <w:tcW w:w="854" w:type="pct"/>
            <w:vAlign w:val="center"/>
          </w:tcPr>
          <w:p>
            <w:pPr>
              <w:adjustRightInd w:val="0"/>
              <w:snapToGrid w:val="0"/>
              <w:jc w:val="center"/>
              <w:rPr>
                <w:rFonts w:eastAsia="宋体" w:cs="Times New Roman"/>
                <w:sz w:val="21"/>
              </w:rPr>
            </w:pPr>
            <w:r>
              <w:rPr>
                <w:rFonts w:eastAsia="宋体" w:cs="Times New Roman"/>
                <w:sz w:val="21"/>
              </w:rPr>
              <w:t>/</w:t>
            </w:r>
          </w:p>
        </w:tc>
        <w:tc>
          <w:tcPr>
            <w:tcW w:w="1360" w:type="pct"/>
            <w:vAlign w:val="center"/>
          </w:tcPr>
          <w:p>
            <w:pPr>
              <w:adjustRightInd w:val="0"/>
              <w:snapToGrid w:val="0"/>
              <w:jc w:val="center"/>
              <w:rPr>
                <w:rFonts w:eastAsia="宋体" w:cs="Times New Roman"/>
                <w:sz w:val="21"/>
              </w:rPr>
            </w:pPr>
            <w:r>
              <w:rPr>
                <w:rFonts w:eastAsia="宋体" w:cs="Times New Roman"/>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 w:type="pct"/>
            <w:vAlign w:val="center"/>
          </w:tcPr>
          <w:p>
            <w:pPr>
              <w:adjustRightInd w:val="0"/>
              <w:snapToGrid w:val="0"/>
              <w:jc w:val="center"/>
              <w:rPr>
                <w:rFonts w:eastAsia="宋体" w:cs="Times New Roman"/>
                <w:sz w:val="21"/>
              </w:rPr>
            </w:pPr>
            <w:r>
              <w:rPr>
                <w:rFonts w:eastAsia="宋体" w:cs="Times New Roman"/>
                <w:sz w:val="21"/>
              </w:rPr>
              <w:t>地下水</w:t>
            </w:r>
          </w:p>
        </w:tc>
        <w:tc>
          <w:tcPr>
            <w:tcW w:w="772" w:type="pct"/>
            <w:vAlign w:val="center"/>
          </w:tcPr>
          <w:p>
            <w:pPr>
              <w:adjustRightInd w:val="0"/>
              <w:snapToGrid w:val="0"/>
              <w:jc w:val="center"/>
              <w:rPr>
                <w:rFonts w:eastAsia="宋体" w:cs="Times New Roman"/>
                <w:sz w:val="21"/>
              </w:rPr>
            </w:pPr>
            <w:r>
              <w:rPr>
                <w:rFonts w:eastAsia="宋体" w:cs="Times New Roman"/>
                <w:sz w:val="21"/>
              </w:rPr>
              <w:t>地下水防渗</w:t>
            </w:r>
          </w:p>
        </w:tc>
        <w:tc>
          <w:tcPr>
            <w:tcW w:w="1701" w:type="pct"/>
            <w:vAlign w:val="center"/>
          </w:tcPr>
          <w:p>
            <w:pPr>
              <w:pStyle w:val="147"/>
              <w:spacing w:line="240" w:lineRule="auto"/>
              <w:jc w:val="both"/>
              <w:rPr>
                <w:rFonts w:ascii="Times New Roman" w:hAnsi="Times New Roman" w:cs="Times New Roman"/>
                <w:szCs w:val="21"/>
              </w:rPr>
            </w:pPr>
            <w:r>
              <w:rPr>
                <w:rFonts w:hint="eastAsia" w:cs="Times New Roman"/>
                <w:szCs w:val="21"/>
              </w:rPr>
              <w:t>①</w:t>
            </w:r>
            <w:r>
              <w:rPr>
                <w:rFonts w:ascii="Times New Roman" w:hAnsi="Times New Roman" w:cs="Times New Roman"/>
                <w:szCs w:val="21"/>
              </w:rPr>
              <w:t>本项目办公区域简单防渗区采用一般地面硬化防渗措施。</w:t>
            </w:r>
          </w:p>
          <w:p>
            <w:pPr>
              <w:pStyle w:val="147"/>
              <w:spacing w:line="240" w:lineRule="auto"/>
              <w:jc w:val="both"/>
              <w:rPr>
                <w:rFonts w:ascii="Times New Roman" w:hAnsi="Times New Roman" w:cs="Times New Roman"/>
                <w:szCs w:val="21"/>
              </w:rPr>
            </w:pPr>
            <w:r>
              <w:rPr>
                <w:rFonts w:hint="eastAsia" w:cs="Times New Roman"/>
                <w:szCs w:val="21"/>
              </w:rPr>
              <w:t>②</w:t>
            </w:r>
            <w:r>
              <w:rPr>
                <w:rFonts w:ascii="Times New Roman" w:hAnsi="Times New Roman" w:cs="Times New Roman"/>
                <w:szCs w:val="21"/>
              </w:rPr>
              <w:t>对病房、诊室等一般污染防治区已经按照《一般工业固体废物储存、处置场污染控制标准》（GB18599-2001）的相关要求进行防渗设计、施工。地坪混凝土防渗层抗渗等级不应小于P6（混凝土的抗渗等级能抵抗0.6Mpa的静水压力而不渗水）其厚度不宜小于100mm，其防渗层性能与1.5m厚粘土层（渗透系数1.0×10</w:t>
            </w:r>
            <w:r>
              <w:rPr>
                <w:rFonts w:ascii="Times New Roman" w:hAnsi="Times New Roman" w:cs="Times New Roman"/>
                <w:szCs w:val="21"/>
                <w:vertAlign w:val="superscript"/>
              </w:rPr>
              <w:t>-7</w:t>
            </w:r>
            <w:r>
              <w:rPr>
                <w:rFonts w:ascii="Times New Roman" w:hAnsi="Times New Roman" w:cs="Times New Roman"/>
                <w:szCs w:val="21"/>
              </w:rPr>
              <w:t>cm/s）等效。</w:t>
            </w:r>
          </w:p>
          <w:p>
            <w:pPr>
              <w:adjustRightInd w:val="0"/>
              <w:snapToGrid w:val="0"/>
              <w:jc w:val="center"/>
              <w:rPr>
                <w:rFonts w:eastAsia="宋体" w:cs="Times New Roman"/>
                <w:sz w:val="21"/>
              </w:rPr>
            </w:pPr>
            <w:r>
              <w:rPr>
                <w:rFonts w:hAnsi="宋体" w:eastAsia="宋体" w:cs="Times New Roman"/>
                <w:sz w:val="21"/>
              </w:rPr>
              <w:t>③</w:t>
            </w:r>
            <w:r>
              <w:rPr>
                <w:rFonts w:eastAsia="宋体" w:cs="Times New Roman"/>
                <w:sz w:val="21"/>
              </w:rPr>
              <w:t>对医疗废物暂存间、污水处理站、化粪池、隔油池等重点污染防治区已经按照《危险废物填埋污染控制标准》（GB18598-2001）的相关要求进行防渗设计、施工。地坪混凝土防渗层抗渗等级不应小于P8（混凝土的抗渗等级能抵抗0.8MPa 的静水压力而不渗水），其厚度不宜小于150mm，防渗层性能应与6m厚粘土层（渗透系数1.0×10</w:t>
            </w:r>
            <w:r>
              <w:rPr>
                <w:rFonts w:eastAsia="宋体" w:cs="Times New Roman"/>
                <w:sz w:val="21"/>
                <w:vertAlign w:val="superscript"/>
              </w:rPr>
              <w:t>-10</w:t>
            </w:r>
            <w:r>
              <w:rPr>
                <w:rFonts w:eastAsia="宋体" w:cs="Times New Roman"/>
                <w:sz w:val="21"/>
              </w:rPr>
              <w:t>cm/s）等效。</w:t>
            </w:r>
          </w:p>
        </w:tc>
        <w:tc>
          <w:tcPr>
            <w:tcW w:w="854" w:type="pct"/>
            <w:vAlign w:val="center"/>
          </w:tcPr>
          <w:p>
            <w:pPr>
              <w:adjustRightInd w:val="0"/>
              <w:snapToGrid w:val="0"/>
              <w:jc w:val="center"/>
              <w:rPr>
                <w:rFonts w:eastAsia="宋体" w:cs="Times New Roman"/>
                <w:sz w:val="21"/>
              </w:rPr>
            </w:pPr>
            <w:r>
              <w:rPr>
                <w:rFonts w:hint="eastAsia" w:eastAsia="宋体" w:cs="Times New Roman"/>
                <w:sz w:val="21"/>
              </w:rPr>
              <w:t>/</w:t>
            </w:r>
          </w:p>
        </w:tc>
        <w:tc>
          <w:tcPr>
            <w:tcW w:w="1360" w:type="pct"/>
            <w:vAlign w:val="center"/>
          </w:tcPr>
          <w:p>
            <w:pPr>
              <w:adjustRightInd w:val="0"/>
              <w:snapToGrid w:val="0"/>
              <w:jc w:val="center"/>
              <w:rPr>
                <w:rFonts w:eastAsia="宋体" w:cs="Times New Roman"/>
                <w:sz w:val="21"/>
              </w:rPr>
            </w:pPr>
            <w:r>
              <w:rPr>
                <w:rFonts w:eastAsia="宋体" w:cs="Times New Roman"/>
                <w:sz w:val="21"/>
              </w:rPr>
              <w:t>不污染地下水</w:t>
            </w:r>
          </w:p>
        </w:tc>
      </w:tr>
    </w:tbl>
    <w:p>
      <w:pPr>
        <w:pStyle w:val="4"/>
      </w:pPr>
      <w:bookmarkStart w:id="236" w:name="_Toc25826509"/>
      <w:r>
        <w:t>排污许可证制度</w:t>
      </w:r>
      <w:bookmarkEnd w:id="236"/>
    </w:p>
    <w:p>
      <w:pPr>
        <w:spacing w:line="360" w:lineRule="auto"/>
        <w:ind w:firstLine="480" w:firstLineChars="200"/>
        <w:rPr>
          <w:szCs w:val="24"/>
        </w:rPr>
      </w:pPr>
      <w:r>
        <w:rPr>
          <w:rFonts w:ascii="宋体" w:hAnsi="宋体"/>
          <w:szCs w:val="24"/>
        </w:rPr>
        <w:t>（</w:t>
      </w:r>
      <w:r>
        <w:rPr>
          <w:szCs w:val="24"/>
        </w:rPr>
        <w:t>1</w:t>
      </w:r>
      <w:r>
        <w:rPr>
          <w:rFonts w:ascii="宋体" w:hAnsi="宋体"/>
          <w:szCs w:val="24"/>
        </w:rPr>
        <w:t>）落实按证排污责任</w:t>
      </w:r>
    </w:p>
    <w:p>
      <w:pPr>
        <w:spacing w:line="360" w:lineRule="auto"/>
        <w:ind w:firstLine="480" w:firstLineChars="200"/>
        <w:rPr>
          <w:szCs w:val="24"/>
        </w:rPr>
      </w:pPr>
      <w:r>
        <w:rPr>
          <w:rFonts w:ascii="宋体" w:hAnsi="宋体"/>
          <w:szCs w:val="24"/>
        </w:rPr>
        <w:t>建设单位必须按期持证排污、按证排污，不得无证排污，及时申领排污许可证，对申请材料的真实性、准确性和完整性承担法律责任，承诺按照排污许可证的规定排污并严格执行；落实污染物排放控制措施和其他各项环境管理要求，确保污染物排放种类、浓度和排放量等达到许可要求；明确单位负责人和相关人员环境保护责任，不断提高污染治理和环境管理水平，自觉接受监督检查。</w:t>
      </w:r>
    </w:p>
    <w:p>
      <w:pPr>
        <w:spacing w:line="360" w:lineRule="auto"/>
        <w:ind w:firstLine="480" w:firstLineChars="200"/>
        <w:rPr>
          <w:szCs w:val="24"/>
        </w:rPr>
      </w:pPr>
      <w:r>
        <w:rPr>
          <w:rFonts w:ascii="宋体" w:hAnsi="宋体"/>
          <w:szCs w:val="24"/>
        </w:rPr>
        <w:t>（</w:t>
      </w:r>
      <w:r>
        <w:rPr>
          <w:szCs w:val="24"/>
        </w:rPr>
        <w:t>2</w:t>
      </w:r>
      <w:r>
        <w:rPr>
          <w:rFonts w:ascii="宋体" w:hAnsi="宋体"/>
          <w:szCs w:val="24"/>
        </w:rPr>
        <w:t>）实行自行监测和定期报告制度</w:t>
      </w:r>
    </w:p>
    <w:p>
      <w:pPr>
        <w:spacing w:line="360" w:lineRule="auto"/>
        <w:ind w:firstLine="480" w:firstLineChars="200"/>
        <w:rPr>
          <w:szCs w:val="24"/>
        </w:rPr>
      </w:pPr>
      <w:r>
        <w:rPr>
          <w:rFonts w:ascii="宋体" w:hAnsi="宋体"/>
          <w:szCs w:val="24"/>
        </w:rPr>
        <w:t>依法开展自行监测，安装或使用监测设备应符合国家有关环境监测、计量认证规定和技术规范，保障数据合法有效，保证设备正常运行，妥善保存原始记录，建立准确完整的环境管理台账。如实向环境保护部门报告排污许可证执行情况，依法向社会公开污染物排放数据并对数据真实性负责。排放情况与排污许可证要求不符的，应及时向环境保护部门报告。</w:t>
      </w:r>
    </w:p>
    <w:p>
      <w:pPr>
        <w:spacing w:line="360" w:lineRule="auto"/>
        <w:ind w:firstLine="480" w:firstLineChars="200"/>
        <w:rPr>
          <w:szCs w:val="24"/>
        </w:rPr>
      </w:pPr>
      <w:r>
        <w:rPr>
          <w:rFonts w:ascii="宋体" w:hAnsi="宋体"/>
          <w:szCs w:val="24"/>
        </w:rPr>
        <w:t>（</w:t>
      </w:r>
      <w:r>
        <w:rPr>
          <w:szCs w:val="24"/>
        </w:rPr>
        <w:t>3</w:t>
      </w:r>
      <w:r>
        <w:rPr>
          <w:rFonts w:ascii="宋体" w:hAnsi="宋体"/>
          <w:szCs w:val="24"/>
        </w:rPr>
        <w:t>）排污许可证管理</w:t>
      </w:r>
    </w:p>
    <w:p>
      <w:pPr>
        <w:spacing w:line="360" w:lineRule="auto"/>
        <w:ind w:firstLine="480" w:firstLineChars="200"/>
        <w:rPr>
          <w:szCs w:val="24"/>
        </w:rPr>
      </w:pPr>
      <w:r>
        <w:rPr>
          <w:szCs w:val="24"/>
        </w:rPr>
        <w:t>1</w:t>
      </w:r>
      <w:r>
        <w:rPr>
          <w:rFonts w:ascii="宋体" w:hAnsi="宋体"/>
          <w:szCs w:val="24"/>
        </w:rPr>
        <w:t>）排污许可证的变更在排污许可证有效期内，建设单位发生以下事项变化的，应当在规定时间内向原核发机关提出变更排污许可证的申请。</w:t>
      </w:r>
    </w:p>
    <w:p>
      <w:pPr>
        <w:spacing w:line="360" w:lineRule="auto"/>
        <w:ind w:firstLine="480" w:firstLineChars="200"/>
        <w:rPr>
          <w:szCs w:val="24"/>
        </w:rPr>
      </w:pPr>
      <w:r>
        <w:rPr>
          <w:rFonts w:hint="eastAsia" w:ascii="宋体" w:hAnsi="宋体"/>
          <w:szCs w:val="24"/>
        </w:rPr>
        <w:t>①</w:t>
      </w:r>
      <w:r>
        <w:rPr>
          <w:rFonts w:ascii="宋体" w:hAnsi="宋体"/>
          <w:szCs w:val="24"/>
        </w:rPr>
        <w:t>排污单位名称、注册地址、法定代表人或者实际负责人等正本中载明的基本信息发生变更之日起二十日内。</w:t>
      </w:r>
    </w:p>
    <w:p>
      <w:pPr>
        <w:spacing w:line="360" w:lineRule="auto"/>
        <w:ind w:firstLine="480" w:firstLineChars="200"/>
        <w:rPr>
          <w:szCs w:val="24"/>
        </w:rPr>
      </w:pPr>
      <w:r>
        <w:rPr>
          <w:rFonts w:hint="eastAsia" w:ascii="宋体" w:hAnsi="宋体"/>
          <w:szCs w:val="24"/>
        </w:rPr>
        <w:t>②</w:t>
      </w:r>
      <w:r>
        <w:rPr>
          <w:rFonts w:ascii="宋体" w:hAnsi="宋体"/>
          <w:szCs w:val="24"/>
        </w:rPr>
        <w:t>排污单位在原场址内实施新改扩建项目应当开展环境影响评价的，在通过环境影响评价审批或者备案后，产生实际排污行为之前二十日内。</w:t>
      </w:r>
    </w:p>
    <w:p>
      <w:pPr>
        <w:spacing w:line="360" w:lineRule="auto"/>
        <w:ind w:firstLine="480" w:firstLineChars="200"/>
        <w:rPr>
          <w:szCs w:val="24"/>
        </w:rPr>
      </w:pPr>
      <w:r>
        <w:rPr>
          <w:rFonts w:hint="eastAsia" w:ascii="宋体" w:hAnsi="宋体"/>
          <w:szCs w:val="24"/>
        </w:rPr>
        <w:t>③</w:t>
      </w:r>
      <w:r>
        <w:rPr>
          <w:rFonts w:ascii="宋体" w:hAnsi="宋体"/>
          <w:szCs w:val="24"/>
        </w:rPr>
        <w:t>国家或地方实施新污染物排放标准的，核发机关应主动通知排污单位进行变更，排污单位在接到通知后二十日内申请变更。</w:t>
      </w:r>
    </w:p>
    <w:p>
      <w:pPr>
        <w:spacing w:line="360" w:lineRule="auto"/>
        <w:ind w:firstLine="480" w:firstLineChars="200"/>
        <w:rPr>
          <w:szCs w:val="24"/>
        </w:rPr>
      </w:pPr>
      <w:r>
        <w:rPr>
          <w:rFonts w:hint="eastAsia" w:ascii="宋体" w:hAnsi="宋体"/>
          <w:szCs w:val="24"/>
        </w:rPr>
        <w:t>④</w:t>
      </w:r>
      <w:r>
        <w:rPr>
          <w:rFonts w:ascii="宋体" w:hAnsi="宋体"/>
          <w:szCs w:val="24"/>
        </w:rPr>
        <w:t>政府相关文件或与其他企业达成协议，进行区域替代实现减量排放的，应在文件或协议规定时限内提出变更申请。</w:t>
      </w:r>
    </w:p>
    <w:p>
      <w:pPr>
        <w:spacing w:line="360" w:lineRule="auto"/>
        <w:ind w:firstLine="480" w:firstLineChars="200"/>
        <w:rPr>
          <w:szCs w:val="24"/>
        </w:rPr>
      </w:pPr>
      <w:r>
        <w:rPr>
          <w:rFonts w:hint="eastAsia" w:ascii="宋体" w:hAnsi="宋体"/>
          <w:szCs w:val="24"/>
        </w:rPr>
        <w:t>⑤</w:t>
      </w:r>
      <w:r>
        <w:rPr>
          <w:rFonts w:ascii="宋体" w:hAnsi="宋体"/>
          <w:szCs w:val="24"/>
        </w:rPr>
        <w:t>需要进行变更的其他情形。</w:t>
      </w:r>
    </w:p>
    <w:p>
      <w:pPr>
        <w:spacing w:line="360" w:lineRule="auto"/>
        <w:ind w:firstLine="480" w:firstLineChars="200"/>
        <w:rPr>
          <w:szCs w:val="24"/>
        </w:rPr>
      </w:pPr>
      <w:r>
        <w:rPr>
          <w:szCs w:val="24"/>
        </w:rPr>
        <w:t>2</w:t>
      </w:r>
      <w:r>
        <w:rPr>
          <w:rFonts w:ascii="宋体" w:hAnsi="宋体"/>
          <w:szCs w:val="24"/>
        </w:rPr>
        <w:t>）排污许可证的补办</w:t>
      </w:r>
    </w:p>
    <w:p>
      <w:pPr>
        <w:spacing w:line="360" w:lineRule="auto"/>
        <w:ind w:firstLine="480" w:firstLineChars="200"/>
        <w:rPr>
          <w:szCs w:val="24"/>
        </w:rPr>
      </w:pPr>
      <w:r>
        <w:rPr>
          <w:rFonts w:ascii="宋体" w:hAnsi="宋体"/>
          <w:szCs w:val="24"/>
        </w:rPr>
        <w:t>排污许可证发生遗失、损毁的，建设单位应当在三十日内向原核发机关申请补领排污许可证，遗失排污许可证的还应同时提交遗失声明，损毁排污许可证的还应同时交回被损毁的许可证。核发机关应当在收到补领申请后十日内补发排污许可证，并及时在国家排污许可证管理信息平台上进行公告。</w:t>
      </w:r>
    </w:p>
    <w:p>
      <w:pPr>
        <w:spacing w:line="360" w:lineRule="auto"/>
        <w:ind w:firstLine="480" w:firstLineChars="200"/>
        <w:rPr>
          <w:szCs w:val="24"/>
        </w:rPr>
      </w:pPr>
      <w:r>
        <w:rPr>
          <w:szCs w:val="24"/>
        </w:rPr>
        <w:t>3</w:t>
      </w:r>
      <w:r>
        <w:rPr>
          <w:rFonts w:ascii="宋体" w:hAnsi="宋体"/>
          <w:szCs w:val="24"/>
        </w:rPr>
        <w:t>）其他相关要求</w:t>
      </w:r>
    </w:p>
    <w:p>
      <w:pPr>
        <w:spacing w:line="360" w:lineRule="auto"/>
        <w:ind w:firstLine="480" w:firstLineChars="200"/>
        <w:rPr>
          <w:szCs w:val="24"/>
        </w:rPr>
      </w:pPr>
      <w:r>
        <w:rPr>
          <w:rFonts w:hint="eastAsia" w:ascii="宋体" w:hAnsi="宋体"/>
          <w:szCs w:val="24"/>
        </w:rPr>
        <w:t>①</w:t>
      </w:r>
      <w:r>
        <w:rPr>
          <w:rFonts w:ascii="宋体" w:hAnsi="宋体"/>
          <w:szCs w:val="24"/>
        </w:rPr>
        <w:t>排污口位置和数量、排放方式、排放去向、排放污染物种类、排放浓度和排放量、执行的排放标准等符合排污许可证的规定，不得私设暗管或以其他方式逃避监管。</w:t>
      </w:r>
    </w:p>
    <w:p>
      <w:pPr>
        <w:spacing w:line="360" w:lineRule="auto"/>
        <w:ind w:firstLine="480" w:firstLineChars="200"/>
        <w:rPr>
          <w:szCs w:val="24"/>
        </w:rPr>
      </w:pPr>
      <w:r>
        <w:rPr>
          <w:rFonts w:hint="eastAsia" w:ascii="宋体" w:hAnsi="宋体"/>
          <w:szCs w:val="24"/>
        </w:rPr>
        <w:t>②</w:t>
      </w:r>
      <w:r>
        <w:rPr>
          <w:rFonts w:ascii="宋体" w:hAnsi="宋体"/>
          <w:szCs w:val="24"/>
        </w:rPr>
        <w:t>落实重污染天气应急管控措施、遵守法律规定的最新环境保护要求等。</w:t>
      </w:r>
    </w:p>
    <w:p>
      <w:pPr>
        <w:spacing w:line="360" w:lineRule="auto"/>
        <w:ind w:firstLine="480" w:firstLineChars="200"/>
        <w:rPr>
          <w:szCs w:val="24"/>
        </w:rPr>
      </w:pPr>
      <w:r>
        <w:rPr>
          <w:rFonts w:hint="eastAsia" w:ascii="宋体" w:hAnsi="宋体"/>
          <w:szCs w:val="24"/>
        </w:rPr>
        <w:t>③</w:t>
      </w:r>
      <w:r>
        <w:rPr>
          <w:rFonts w:ascii="宋体" w:hAnsi="宋体"/>
          <w:szCs w:val="24"/>
        </w:rPr>
        <w:t>按排污许可证规定的监测点位、监测因子、监测频次和相关监测技术规范开展自行监测并公开。</w:t>
      </w:r>
    </w:p>
    <w:p>
      <w:pPr>
        <w:spacing w:line="360" w:lineRule="auto"/>
        <w:ind w:firstLine="480" w:firstLineChars="200"/>
        <w:rPr>
          <w:szCs w:val="24"/>
        </w:rPr>
      </w:pPr>
      <w:r>
        <w:rPr>
          <w:rFonts w:hint="eastAsia" w:ascii="宋体" w:hAnsi="宋体"/>
          <w:szCs w:val="24"/>
        </w:rPr>
        <w:t>④</w:t>
      </w:r>
      <w:r>
        <w:rPr>
          <w:rFonts w:ascii="宋体" w:hAnsi="宋体"/>
          <w:szCs w:val="24"/>
        </w:rPr>
        <w:t>按规范进行台账记录，主要内容包括生产信息、燃料、原辅材料使用情况、污染防治设施运行记录、监测数据等。</w:t>
      </w:r>
    </w:p>
    <w:p>
      <w:pPr>
        <w:spacing w:line="360" w:lineRule="auto"/>
        <w:ind w:firstLine="480" w:firstLineChars="200"/>
        <w:rPr>
          <w:szCs w:val="24"/>
        </w:rPr>
      </w:pPr>
      <w:r>
        <w:rPr>
          <w:rFonts w:hint="eastAsia" w:ascii="宋体" w:hAnsi="宋体"/>
          <w:szCs w:val="24"/>
        </w:rPr>
        <w:t>⑤</w:t>
      </w:r>
      <w:r>
        <w:rPr>
          <w:rFonts w:ascii="宋体" w:hAnsi="宋体"/>
          <w:szCs w:val="24"/>
        </w:rPr>
        <w:t>按排污许可证规定，定期在国家排污许可证管理信息平台填报信息，编制排污许可证执行报告，及时报送有核发权的环境保护主管部门并公开，执行报告主要内容包括生产信息、污染防治设施运行情况、污染物按证排放情况等。</w:t>
      </w:r>
    </w:p>
    <w:p>
      <w:pPr>
        <w:spacing w:line="360" w:lineRule="auto"/>
        <w:ind w:firstLine="480" w:firstLineChars="200"/>
        <w:rPr>
          <w:rFonts w:hint="eastAsia" w:ascii="宋体" w:hAnsi="宋体"/>
          <w:szCs w:val="24"/>
        </w:rPr>
      </w:pPr>
      <w:r>
        <w:rPr>
          <w:rFonts w:hint="eastAsia" w:ascii="宋体" w:hAnsi="宋体"/>
          <w:szCs w:val="24"/>
        </w:rPr>
        <w:t>⑥</w:t>
      </w:r>
      <w:r>
        <w:rPr>
          <w:rFonts w:ascii="宋体" w:hAnsi="宋体"/>
          <w:szCs w:val="24"/>
        </w:rPr>
        <w:t>法律法规规定的其他义务</w:t>
      </w:r>
      <w:r>
        <w:rPr>
          <w:rFonts w:hint="eastAsia" w:ascii="宋体" w:hAnsi="宋体"/>
          <w:szCs w:val="24"/>
        </w:rPr>
        <w:t>。</w:t>
      </w:r>
    </w:p>
    <w:p>
      <w:pPr>
        <w:spacing w:line="360" w:lineRule="auto"/>
        <w:ind w:firstLine="480" w:firstLineChars="200"/>
        <w:rPr>
          <w:rFonts w:ascii="宋体" w:hAnsi="宋体"/>
          <w:szCs w:val="24"/>
        </w:rPr>
      </w:pPr>
    </w:p>
    <w:p>
      <w:pPr>
        <w:pStyle w:val="4"/>
      </w:pPr>
      <w:bookmarkStart w:id="237" w:name="_Toc25826510"/>
      <w:r>
        <w:t>排污口规范化</w:t>
      </w:r>
      <w:bookmarkEnd w:id="237"/>
    </w:p>
    <w:p>
      <w:pPr>
        <w:adjustRightInd w:val="0"/>
        <w:snapToGrid w:val="0"/>
        <w:spacing w:line="360" w:lineRule="auto"/>
        <w:ind w:firstLine="480" w:firstLineChars="200"/>
        <w:rPr>
          <w:szCs w:val="24"/>
        </w:rPr>
      </w:pPr>
      <w:r>
        <w:rPr>
          <w:rFonts w:ascii="宋体" w:hAnsi="宋体"/>
          <w:szCs w:val="24"/>
        </w:rPr>
        <w:t>根据国家环保总局《关于开展排污口规范化整治试点工作的意见》、《关于加快排污口规范化整治试点工作的通知》，企业所有排放口（包括水、气、声、渣）必须按照</w:t>
      </w:r>
      <w:r>
        <w:rPr>
          <w:rFonts w:hint="eastAsia"/>
          <w:szCs w:val="24"/>
        </w:rPr>
        <w:t>“</w:t>
      </w:r>
      <w:r>
        <w:rPr>
          <w:rFonts w:ascii="宋体" w:hAnsi="宋体"/>
          <w:szCs w:val="24"/>
        </w:rPr>
        <w:t>便于采集样品、便于计量监测、便于日常现场监督检查</w:t>
      </w:r>
      <w:r>
        <w:rPr>
          <w:rFonts w:hint="eastAsia"/>
          <w:szCs w:val="24"/>
        </w:rPr>
        <w:t>”</w:t>
      </w:r>
      <w:r>
        <w:rPr>
          <w:rFonts w:ascii="宋体" w:hAnsi="宋体"/>
          <w:szCs w:val="24"/>
        </w:rPr>
        <w:t>的原则和规范化要求，排污口要立标管理，设立国家标准规定的标志牌，根据排污口污染物的排放特点，设置提示性或警告性环境保护图形标志牌，一般污染源设置提示性标志牌，毒性污染物设置警告性环境保护图形标志牌；绘制企业排污口分布图，同时对污水排放口安装流量计，对治理设施安装运行监控装置、排污口的规范化要符合有关要求。</w:t>
      </w:r>
    </w:p>
    <w:p>
      <w:pPr>
        <w:adjustRightInd w:val="0"/>
        <w:snapToGrid w:val="0"/>
        <w:spacing w:line="360" w:lineRule="auto"/>
        <w:ind w:firstLine="480" w:firstLineChars="200"/>
        <w:rPr>
          <w:szCs w:val="24"/>
        </w:rPr>
      </w:pPr>
      <w:r>
        <w:rPr>
          <w:szCs w:val="24"/>
        </w:rPr>
        <w:t>1</w:t>
      </w:r>
      <w:r>
        <w:rPr>
          <w:rFonts w:ascii="宋体" w:hAnsi="宋体"/>
          <w:szCs w:val="24"/>
        </w:rPr>
        <w:t>、废水排放口</w:t>
      </w:r>
    </w:p>
    <w:p>
      <w:pPr>
        <w:adjustRightInd w:val="0"/>
        <w:snapToGrid w:val="0"/>
        <w:spacing w:line="360" w:lineRule="auto"/>
        <w:ind w:firstLine="480" w:firstLineChars="200"/>
        <w:rPr>
          <w:szCs w:val="24"/>
        </w:rPr>
      </w:pPr>
      <w:r>
        <w:rPr>
          <w:rFonts w:ascii="宋体" w:hAnsi="宋体"/>
          <w:szCs w:val="24"/>
        </w:rPr>
        <w:t>本项目厂区的排水体制必须实施</w:t>
      </w:r>
      <w:r>
        <w:rPr>
          <w:szCs w:val="24"/>
        </w:rPr>
        <w:t>“</w:t>
      </w:r>
      <w:r>
        <w:rPr>
          <w:rFonts w:ascii="宋体" w:hAnsi="宋体"/>
          <w:szCs w:val="24"/>
        </w:rPr>
        <w:t>清污分流、雨污分流</w:t>
      </w:r>
      <w:r>
        <w:rPr>
          <w:szCs w:val="24"/>
        </w:rPr>
        <w:t>”</w:t>
      </w:r>
      <w:r>
        <w:rPr>
          <w:rFonts w:ascii="宋体" w:hAnsi="宋体"/>
          <w:szCs w:val="24"/>
        </w:rPr>
        <w:t>制。</w:t>
      </w:r>
    </w:p>
    <w:p>
      <w:pPr>
        <w:adjustRightInd w:val="0"/>
        <w:snapToGrid w:val="0"/>
        <w:spacing w:line="360" w:lineRule="auto"/>
        <w:ind w:firstLine="480" w:firstLineChars="200"/>
        <w:rPr>
          <w:szCs w:val="24"/>
        </w:rPr>
      </w:pPr>
      <w:r>
        <w:rPr>
          <w:szCs w:val="24"/>
        </w:rPr>
        <w:t>2</w:t>
      </w:r>
      <w:r>
        <w:rPr>
          <w:rFonts w:ascii="宋体" w:hAnsi="宋体"/>
          <w:szCs w:val="24"/>
        </w:rPr>
        <w:t>、废气排放口</w:t>
      </w:r>
    </w:p>
    <w:p>
      <w:pPr>
        <w:adjustRightInd w:val="0"/>
        <w:snapToGrid w:val="0"/>
        <w:spacing w:line="360" w:lineRule="auto"/>
        <w:ind w:firstLine="200"/>
        <w:rPr>
          <w:szCs w:val="24"/>
        </w:rPr>
      </w:pPr>
      <w:r>
        <w:rPr>
          <w:rFonts w:ascii="宋体" w:hAnsi="宋体"/>
          <w:szCs w:val="24"/>
        </w:rPr>
        <w:t>项目废气排气筒高度应符合国家大气污染物排放标准的有关规定，废气排放口必须符合规定的高度和按《污染源监测技术规范》便于采样、监测的要求，设置直径不大于</w:t>
      </w:r>
      <w:r>
        <w:rPr>
          <w:szCs w:val="24"/>
        </w:rPr>
        <w:t>75mm</w:t>
      </w:r>
      <w:r>
        <w:rPr>
          <w:rFonts w:ascii="宋体" w:hAnsi="宋体"/>
          <w:szCs w:val="24"/>
        </w:rPr>
        <w:t>的采样口。如无法满足要求的，其采样口与环境监测部门共同确认</w:t>
      </w:r>
      <w:r>
        <w:rPr>
          <w:rFonts w:hint="eastAsia" w:ascii="宋体" w:hAnsi="宋体"/>
          <w:szCs w:val="24"/>
        </w:rPr>
        <w:t>。</w:t>
      </w:r>
    </w:p>
    <w:p>
      <w:pPr>
        <w:adjustRightInd w:val="0"/>
        <w:snapToGrid w:val="0"/>
        <w:spacing w:line="360" w:lineRule="auto"/>
        <w:ind w:firstLine="480" w:firstLineChars="200"/>
        <w:rPr>
          <w:szCs w:val="24"/>
        </w:rPr>
      </w:pPr>
      <w:r>
        <w:rPr>
          <w:szCs w:val="24"/>
        </w:rPr>
        <w:t>3</w:t>
      </w:r>
      <w:r>
        <w:rPr>
          <w:rFonts w:ascii="宋体" w:hAnsi="宋体"/>
          <w:szCs w:val="24"/>
        </w:rPr>
        <w:t>、固定噪声源</w:t>
      </w:r>
    </w:p>
    <w:p>
      <w:pPr>
        <w:adjustRightInd w:val="0"/>
        <w:snapToGrid w:val="0"/>
        <w:spacing w:line="360" w:lineRule="auto"/>
        <w:ind w:firstLine="480" w:firstLineChars="200"/>
        <w:rPr>
          <w:szCs w:val="24"/>
        </w:rPr>
      </w:pPr>
      <w:r>
        <w:rPr>
          <w:rFonts w:ascii="宋体" w:hAnsi="宋体"/>
          <w:szCs w:val="24"/>
        </w:rPr>
        <w:t>按规定对固定噪声源进行治理，在固定噪声源处应按《环境保护图形标志》（</w:t>
      </w:r>
      <w:r>
        <w:rPr>
          <w:szCs w:val="24"/>
        </w:rPr>
        <w:t>GB15562.2-1995</w:t>
      </w:r>
      <w:r>
        <w:rPr>
          <w:rFonts w:ascii="宋体" w:hAnsi="宋体"/>
          <w:szCs w:val="24"/>
        </w:rPr>
        <w:t>）要求设置环境保护图形标志牌。</w:t>
      </w:r>
    </w:p>
    <w:p>
      <w:pPr>
        <w:adjustRightInd w:val="0"/>
        <w:snapToGrid w:val="0"/>
        <w:spacing w:line="360" w:lineRule="auto"/>
        <w:ind w:firstLine="480" w:firstLineChars="200"/>
        <w:rPr>
          <w:szCs w:val="24"/>
        </w:rPr>
      </w:pPr>
      <w:r>
        <w:rPr>
          <w:szCs w:val="24"/>
        </w:rPr>
        <w:t>4</w:t>
      </w:r>
      <w:r>
        <w:rPr>
          <w:rFonts w:ascii="宋体" w:hAnsi="宋体"/>
          <w:szCs w:val="24"/>
        </w:rPr>
        <w:t>、固体废物储存场</w:t>
      </w:r>
    </w:p>
    <w:p>
      <w:pPr>
        <w:adjustRightInd w:val="0"/>
        <w:snapToGrid w:val="0"/>
        <w:spacing w:line="360" w:lineRule="auto"/>
        <w:ind w:firstLine="480" w:firstLineChars="200"/>
        <w:rPr>
          <w:szCs w:val="24"/>
        </w:rPr>
      </w:pPr>
      <w:r>
        <w:rPr>
          <w:rFonts w:ascii="宋体" w:hAnsi="宋体"/>
          <w:szCs w:val="24"/>
        </w:rPr>
        <w:t>对危险废物贮存建造专用的贮存设施，并在固体废物贮存（处置）场所醒目处设置标志牌，定期送有资质处理的单位集中处置。</w:t>
      </w:r>
    </w:p>
    <w:p>
      <w:pPr>
        <w:adjustRightInd w:val="0"/>
        <w:snapToGrid w:val="0"/>
        <w:spacing w:line="360" w:lineRule="auto"/>
        <w:ind w:firstLine="480" w:firstLineChars="200"/>
        <w:rPr>
          <w:szCs w:val="24"/>
        </w:rPr>
      </w:pPr>
      <w:r>
        <w:rPr>
          <w:szCs w:val="24"/>
        </w:rPr>
        <w:t>5</w:t>
      </w:r>
      <w:r>
        <w:rPr>
          <w:rFonts w:ascii="宋体" w:hAnsi="宋体"/>
          <w:szCs w:val="24"/>
        </w:rPr>
        <w:t>、设置标志牌要求</w:t>
      </w:r>
    </w:p>
    <w:p>
      <w:pPr>
        <w:adjustRightInd w:val="0"/>
        <w:snapToGrid w:val="0"/>
        <w:spacing w:line="360" w:lineRule="auto"/>
        <w:ind w:firstLine="480" w:firstLineChars="200"/>
        <w:rPr>
          <w:sz w:val="21"/>
        </w:rPr>
      </w:pPr>
      <w:r>
        <w:rPr>
          <w:rFonts w:ascii="宋体" w:hAnsi="宋体"/>
          <w:szCs w:val="24"/>
        </w:rPr>
        <w:t>对企业废水处理、车间废气处理装置的排口分别设置平面固定式提示标志牌或树立式固定式提示标志牌，平面固定式标志牌为</w:t>
      </w:r>
      <w:r>
        <w:rPr>
          <w:szCs w:val="24"/>
        </w:rPr>
        <w:t>0.48cm×0.3cm</w:t>
      </w:r>
      <w:r>
        <w:rPr>
          <w:rFonts w:ascii="宋体" w:hAnsi="宋体"/>
          <w:szCs w:val="24"/>
        </w:rPr>
        <w:t>的长方形冷轧钢板，树立式提示标志牌为</w:t>
      </w:r>
      <w:r>
        <w:rPr>
          <w:szCs w:val="24"/>
        </w:rPr>
        <w:t>0.42cm×0.42cm</w:t>
      </w:r>
      <w:r>
        <w:rPr>
          <w:rFonts w:ascii="宋体" w:hAnsi="宋体"/>
          <w:szCs w:val="24"/>
        </w:rPr>
        <w:t>的正方形冷轧钢板，提示牌的背景和立柱为绿色，图案、边框、支架和铺助标志的文字为白色，文字字型为黑体，标志牌辅助标志内容包括排污单位名称、标志牌名称、排污口编号和主要污染物名称，并交付当地环保部门注明。</w:t>
      </w:r>
    </w:p>
    <w:p>
      <w:pPr>
        <w:pStyle w:val="150"/>
        <w:spacing w:line="360" w:lineRule="auto"/>
        <w:ind w:firstLine="480" w:firstLineChars="200"/>
        <w:rPr>
          <w:sz w:val="24"/>
          <w:szCs w:val="24"/>
        </w:rPr>
      </w:pPr>
      <w:r>
        <w:rPr>
          <w:rFonts w:ascii="宋体" w:hAnsi="宋体"/>
          <w:sz w:val="24"/>
          <w:szCs w:val="24"/>
        </w:rPr>
        <w:t>环境保护图形标志的形状及颜色见表</w:t>
      </w:r>
      <w:r>
        <w:rPr>
          <w:rFonts w:hint="eastAsia"/>
          <w:sz w:val="24"/>
          <w:szCs w:val="24"/>
        </w:rPr>
        <w:t>9.</w:t>
      </w:r>
      <w:r>
        <w:rPr>
          <w:sz w:val="24"/>
          <w:szCs w:val="24"/>
        </w:rPr>
        <w:t>4-1</w:t>
      </w:r>
      <w:r>
        <w:rPr>
          <w:rFonts w:ascii="宋体" w:hAnsi="宋体"/>
          <w:sz w:val="24"/>
          <w:szCs w:val="24"/>
        </w:rPr>
        <w:t>，环境保护图形符号见表</w:t>
      </w:r>
      <w:r>
        <w:rPr>
          <w:rFonts w:hint="eastAsia"/>
          <w:sz w:val="24"/>
          <w:szCs w:val="24"/>
        </w:rPr>
        <w:t>9</w:t>
      </w:r>
      <w:r>
        <w:rPr>
          <w:sz w:val="24"/>
          <w:szCs w:val="24"/>
        </w:rPr>
        <w:t>.4-2</w:t>
      </w:r>
      <w:r>
        <w:rPr>
          <w:rFonts w:ascii="宋体" w:hAnsi="宋体"/>
          <w:sz w:val="24"/>
          <w:szCs w:val="24"/>
        </w:rPr>
        <w:t>。</w:t>
      </w:r>
    </w:p>
    <w:p>
      <w:pPr>
        <w:pStyle w:val="14"/>
        <w:spacing w:line="240" w:lineRule="auto"/>
        <w:rPr>
          <w:rFonts w:cs="Times New Roman"/>
          <w:bCs/>
          <w:szCs w:val="24"/>
        </w:rPr>
      </w:pPr>
      <w:r>
        <w:rPr>
          <w:rFonts w:hAnsi="宋体" w:cs="Times New Roman"/>
          <w:bCs/>
          <w:szCs w:val="24"/>
        </w:rPr>
        <w:t>表</w:t>
      </w:r>
      <w:r>
        <w:rPr>
          <w:rFonts w:hAnsi="宋体" w:cs="Times New Roman"/>
          <w:bCs/>
          <w:szCs w:val="24"/>
        </w:rPr>
        <w:fldChar w:fldCharType="begin"/>
      </w:r>
      <w:r>
        <w:rPr>
          <w:rFonts w:hAnsi="宋体" w:cs="Times New Roman"/>
          <w:bCs/>
          <w:szCs w:val="24"/>
        </w:rPr>
        <w:instrText xml:space="preserve"> STYLEREF 2 \s </w:instrText>
      </w:r>
      <w:r>
        <w:rPr>
          <w:rFonts w:hAnsi="宋体" w:cs="Times New Roman"/>
          <w:bCs/>
          <w:szCs w:val="24"/>
        </w:rPr>
        <w:fldChar w:fldCharType="separate"/>
      </w:r>
      <w:r>
        <w:rPr>
          <w:rFonts w:hAnsi="宋体" w:cs="Times New Roman"/>
          <w:bCs/>
          <w:szCs w:val="24"/>
        </w:rPr>
        <w:t>9.4</w:t>
      </w:r>
      <w:r>
        <w:rPr>
          <w:rFonts w:hAnsi="宋体" w:cs="Times New Roman"/>
          <w:bCs/>
          <w:szCs w:val="24"/>
        </w:rPr>
        <w:fldChar w:fldCharType="end"/>
      </w:r>
      <w:r>
        <w:rPr>
          <w:rFonts w:hAnsi="宋体" w:cs="Times New Roman"/>
          <w:bCs/>
          <w:szCs w:val="24"/>
        </w:rPr>
        <w:noBreakHyphen/>
      </w:r>
      <w:r>
        <w:rPr>
          <w:rFonts w:hAnsi="宋体" w:cs="Times New Roman"/>
          <w:bCs/>
          <w:szCs w:val="24"/>
        </w:rPr>
        <w:fldChar w:fldCharType="begin"/>
      </w:r>
      <w:r>
        <w:rPr>
          <w:rFonts w:hAnsi="宋体" w:cs="Times New Roman"/>
          <w:bCs/>
          <w:szCs w:val="24"/>
        </w:rPr>
        <w:instrText xml:space="preserve"> SEQ 表 \* ARABIC \s 2 </w:instrText>
      </w:r>
      <w:r>
        <w:rPr>
          <w:rFonts w:hAnsi="宋体" w:cs="Times New Roman"/>
          <w:bCs/>
          <w:szCs w:val="24"/>
        </w:rPr>
        <w:fldChar w:fldCharType="separate"/>
      </w:r>
      <w:r>
        <w:rPr>
          <w:rFonts w:hAnsi="宋体" w:cs="Times New Roman"/>
          <w:bCs/>
          <w:szCs w:val="24"/>
        </w:rPr>
        <w:t>1</w:t>
      </w:r>
      <w:r>
        <w:rPr>
          <w:rFonts w:hAnsi="宋体" w:cs="Times New Roman"/>
          <w:bCs/>
          <w:szCs w:val="24"/>
        </w:rPr>
        <w:fldChar w:fldCharType="end"/>
      </w:r>
      <w:r>
        <w:rPr>
          <w:rFonts w:cs="Times New Roman"/>
          <w:bCs/>
          <w:szCs w:val="24"/>
        </w:rPr>
        <w:t xml:space="preserve">  环境保护图形标志的形状及颜色表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0"/>
        <w:gridCol w:w="1729"/>
        <w:gridCol w:w="2640"/>
        <w:gridCol w:w="2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pct"/>
            <w:vAlign w:val="center"/>
          </w:tcPr>
          <w:p>
            <w:pPr>
              <w:pStyle w:val="151"/>
              <w:rPr>
                <w:bCs/>
              </w:rPr>
            </w:pPr>
            <w:r>
              <w:rPr>
                <w:bCs/>
              </w:rPr>
              <w:t>标志名称</w:t>
            </w:r>
          </w:p>
        </w:tc>
        <w:tc>
          <w:tcPr>
            <w:tcW w:w="896" w:type="pct"/>
            <w:vAlign w:val="center"/>
          </w:tcPr>
          <w:p>
            <w:pPr>
              <w:pStyle w:val="151"/>
              <w:rPr>
                <w:bCs/>
              </w:rPr>
            </w:pPr>
            <w:r>
              <w:rPr>
                <w:bCs/>
              </w:rPr>
              <w:t>形状</w:t>
            </w:r>
          </w:p>
        </w:tc>
        <w:tc>
          <w:tcPr>
            <w:tcW w:w="1368" w:type="pct"/>
            <w:vAlign w:val="center"/>
          </w:tcPr>
          <w:p>
            <w:pPr>
              <w:pStyle w:val="151"/>
              <w:rPr>
                <w:bCs/>
              </w:rPr>
            </w:pPr>
            <w:r>
              <w:rPr>
                <w:bCs/>
              </w:rPr>
              <w:t>背景颜色</w:t>
            </w:r>
          </w:p>
        </w:tc>
        <w:tc>
          <w:tcPr>
            <w:tcW w:w="1368" w:type="pct"/>
            <w:vAlign w:val="center"/>
          </w:tcPr>
          <w:p>
            <w:pPr>
              <w:pStyle w:val="151"/>
              <w:rPr>
                <w:bCs/>
              </w:rPr>
            </w:pPr>
            <w:r>
              <w:rPr>
                <w:bCs/>
              </w:rPr>
              <w:t>图形颜色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pct"/>
            <w:vAlign w:val="center"/>
          </w:tcPr>
          <w:p>
            <w:pPr>
              <w:pStyle w:val="151"/>
            </w:pPr>
            <w:r>
              <w:t>警告标志</w:t>
            </w:r>
          </w:p>
        </w:tc>
        <w:tc>
          <w:tcPr>
            <w:tcW w:w="896" w:type="pct"/>
            <w:vAlign w:val="center"/>
          </w:tcPr>
          <w:p>
            <w:pPr>
              <w:pStyle w:val="151"/>
            </w:pPr>
            <w:r>
              <w:t>三角形边框</w:t>
            </w:r>
          </w:p>
        </w:tc>
        <w:tc>
          <w:tcPr>
            <w:tcW w:w="1368" w:type="pct"/>
            <w:vAlign w:val="center"/>
          </w:tcPr>
          <w:p>
            <w:pPr>
              <w:pStyle w:val="151"/>
            </w:pPr>
            <w:r>
              <w:t>黄色</w:t>
            </w:r>
          </w:p>
        </w:tc>
        <w:tc>
          <w:tcPr>
            <w:tcW w:w="1368" w:type="pct"/>
            <w:vAlign w:val="center"/>
          </w:tcPr>
          <w:p>
            <w:pPr>
              <w:pStyle w:val="151"/>
            </w:pPr>
            <w: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pct"/>
            <w:vAlign w:val="center"/>
          </w:tcPr>
          <w:p>
            <w:pPr>
              <w:pStyle w:val="151"/>
            </w:pPr>
            <w:r>
              <w:t>提示标志</w:t>
            </w:r>
          </w:p>
        </w:tc>
        <w:tc>
          <w:tcPr>
            <w:tcW w:w="896" w:type="pct"/>
            <w:vAlign w:val="center"/>
          </w:tcPr>
          <w:p>
            <w:pPr>
              <w:pStyle w:val="151"/>
            </w:pPr>
            <w:r>
              <w:t>正方形边框</w:t>
            </w:r>
          </w:p>
        </w:tc>
        <w:tc>
          <w:tcPr>
            <w:tcW w:w="1368" w:type="pct"/>
            <w:vAlign w:val="center"/>
          </w:tcPr>
          <w:p>
            <w:pPr>
              <w:pStyle w:val="151"/>
            </w:pPr>
            <w:r>
              <w:t>绿色</w:t>
            </w:r>
          </w:p>
        </w:tc>
        <w:tc>
          <w:tcPr>
            <w:tcW w:w="1368" w:type="pct"/>
            <w:vAlign w:val="center"/>
          </w:tcPr>
          <w:p>
            <w:pPr>
              <w:pStyle w:val="151"/>
            </w:pPr>
            <w:r>
              <w:t>白色</w:t>
            </w:r>
          </w:p>
        </w:tc>
      </w:tr>
    </w:tbl>
    <w:p>
      <w:pPr>
        <w:pStyle w:val="14"/>
        <w:spacing w:line="240" w:lineRule="auto"/>
        <w:rPr>
          <w:rFonts w:cs="Times New Roman"/>
          <w:bCs/>
          <w:kern w:val="18"/>
          <w:szCs w:val="24"/>
        </w:rPr>
      </w:pPr>
      <w:r>
        <w:rPr>
          <w:rFonts w:hAnsi="宋体" w:cs="Times New Roman"/>
          <w:bCs/>
          <w:szCs w:val="24"/>
        </w:rPr>
        <w:t>表</w:t>
      </w:r>
      <w:r>
        <w:rPr>
          <w:rFonts w:hAnsi="宋体" w:cs="Times New Roman"/>
          <w:bCs/>
          <w:szCs w:val="24"/>
        </w:rPr>
        <w:fldChar w:fldCharType="begin"/>
      </w:r>
      <w:r>
        <w:rPr>
          <w:rFonts w:hAnsi="宋体" w:cs="Times New Roman"/>
          <w:bCs/>
          <w:szCs w:val="24"/>
        </w:rPr>
        <w:instrText xml:space="preserve"> STYLEREF 2 \s </w:instrText>
      </w:r>
      <w:r>
        <w:rPr>
          <w:rFonts w:hAnsi="宋体" w:cs="Times New Roman"/>
          <w:bCs/>
          <w:szCs w:val="24"/>
        </w:rPr>
        <w:fldChar w:fldCharType="separate"/>
      </w:r>
      <w:r>
        <w:rPr>
          <w:rFonts w:hAnsi="宋体" w:cs="Times New Roman"/>
          <w:bCs/>
          <w:szCs w:val="24"/>
        </w:rPr>
        <w:t>9.4</w:t>
      </w:r>
      <w:r>
        <w:rPr>
          <w:rFonts w:hAnsi="宋体" w:cs="Times New Roman"/>
          <w:bCs/>
          <w:szCs w:val="24"/>
        </w:rPr>
        <w:fldChar w:fldCharType="end"/>
      </w:r>
      <w:r>
        <w:rPr>
          <w:rFonts w:hAnsi="宋体" w:cs="Times New Roman"/>
          <w:bCs/>
          <w:szCs w:val="24"/>
        </w:rPr>
        <w:noBreakHyphen/>
      </w:r>
      <w:r>
        <w:rPr>
          <w:rFonts w:hAnsi="宋体" w:cs="Times New Roman"/>
          <w:bCs/>
          <w:szCs w:val="24"/>
        </w:rPr>
        <w:fldChar w:fldCharType="begin"/>
      </w:r>
      <w:r>
        <w:rPr>
          <w:rFonts w:hAnsi="宋体" w:cs="Times New Roman"/>
          <w:bCs/>
          <w:szCs w:val="24"/>
        </w:rPr>
        <w:instrText xml:space="preserve"> SEQ 表 \* ARABIC \s 2 </w:instrText>
      </w:r>
      <w:r>
        <w:rPr>
          <w:rFonts w:hAnsi="宋体" w:cs="Times New Roman"/>
          <w:bCs/>
          <w:szCs w:val="24"/>
        </w:rPr>
        <w:fldChar w:fldCharType="separate"/>
      </w:r>
      <w:r>
        <w:rPr>
          <w:rFonts w:hAnsi="宋体" w:cs="Times New Roman"/>
          <w:bCs/>
          <w:szCs w:val="24"/>
        </w:rPr>
        <w:t>2</w:t>
      </w:r>
      <w:r>
        <w:rPr>
          <w:rFonts w:hAnsi="宋体" w:cs="Times New Roman"/>
          <w:bCs/>
          <w:szCs w:val="24"/>
        </w:rPr>
        <w:fldChar w:fldCharType="end"/>
      </w:r>
      <w:r>
        <w:rPr>
          <w:rFonts w:cs="Times New Roman"/>
          <w:bCs/>
          <w:szCs w:val="24"/>
        </w:rPr>
        <w:t xml:space="preserve">  环境保护图形符号一览表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7"/>
        <w:gridCol w:w="1826"/>
        <w:gridCol w:w="1947"/>
        <w:gridCol w:w="1820"/>
        <w:gridCol w:w="3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pct"/>
            <w:vAlign w:val="center"/>
          </w:tcPr>
          <w:p>
            <w:pPr>
              <w:pStyle w:val="151"/>
              <w:rPr>
                <w:bCs/>
              </w:rPr>
            </w:pPr>
            <w:r>
              <w:rPr>
                <w:bCs/>
              </w:rPr>
              <w:t>序号</w:t>
            </w:r>
          </w:p>
        </w:tc>
        <w:tc>
          <w:tcPr>
            <w:tcW w:w="946" w:type="pct"/>
            <w:vAlign w:val="center"/>
          </w:tcPr>
          <w:p>
            <w:pPr>
              <w:pStyle w:val="151"/>
              <w:rPr>
                <w:bCs/>
              </w:rPr>
            </w:pPr>
            <w:r>
              <w:rPr>
                <w:bCs/>
              </w:rPr>
              <w:t>提示图形符号</w:t>
            </w:r>
          </w:p>
        </w:tc>
        <w:tc>
          <w:tcPr>
            <w:tcW w:w="1009" w:type="pct"/>
            <w:vAlign w:val="center"/>
          </w:tcPr>
          <w:p>
            <w:pPr>
              <w:pStyle w:val="151"/>
              <w:rPr>
                <w:bCs/>
              </w:rPr>
            </w:pPr>
            <w:r>
              <w:rPr>
                <w:bCs/>
              </w:rPr>
              <w:t>警告图形符号</w:t>
            </w:r>
          </w:p>
        </w:tc>
        <w:tc>
          <w:tcPr>
            <w:tcW w:w="943" w:type="pct"/>
            <w:vAlign w:val="center"/>
          </w:tcPr>
          <w:p>
            <w:pPr>
              <w:pStyle w:val="151"/>
              <w:rPr>
                <w:bCs/>
              </w:rPr>
            </w:pPr>
            <w:r>
              <w:rPr>
                <w:bCs/>
              </w:rPr>
              <w:t>名称</w:t>
            </w:r>
          </w:p>
        </w:tc>
        <w:tc>
          <w:tcPr>
            <w:tcW w:w="1694" w:type="pct"/>
            <w:vAlign w:val="center"/>
          </w:tcPr>
          <w:p>
            <w:pPr>
              <w:pStyle w:val="151"/>
              <w:rPr>
                <w:bCs/>
              </w:rPr>
            </w:pPr>
            <w:r>
              <w:rPr>
                <w:bCs/>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pct"/>
            <w:vAlign w:val="center"/>
          </w:tcPr>
          <w:p>
            <w:pPr>
              <w:pStyle w:val="151"/>
            </w:pPr>
            <w:r>
              <w:t>1</w:t>
            </w:r>
          </w:p>
        </w:tc>
        <w:tc>
          <w:tcPr>
            <w:tcW w:w="946" w:type="pct"/>
            <w:vAlign w:val="center"/>
          </w:tcPr>
          <w:p>
            <w:pPr>
              <w:pStyle w:val="151"/>
            </w:pPr>
            <w:r>
              <w:drawing>
                <wp:inline distT="0" distB="0" distL="0" distR="0">
                  <wp:extent cx="744220" cy="765810"/>
                  <wp:effectExtent l="19050" t="0" r="0" b="0"/>
                  <wp:docPr id="9" name="图片 9" descr="C:\Users\123\AppData\Local\Temp\ksohtml7816\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123\AppData\Local\Temp\ksohtml7816\wps1.jpg"/>
                          <pic:cNvPicPr>
                            <a:picLocks noChangeAspect="1" noChangeArrowheads="1"/>
                          </pic:cNvPicPr>
                        </pic:nvPicPr>
                        <pic:blipFill>
                          <a:blip r:embed="rId22" cstate="print"/>
                          <a:srcRect/>
                          <a:stretch>
                            <a:fillRect/>
                          </a:stretch>
                        </pic:blipFill>
                        <pic:spPr>
                          <a:xfrm>
                            <a:off x="0" y="0"/>
                            <a:ext cx="744220" cy="765810"/>
                          </a:xfrm>
                          <a:prstGeom prst="rect">
                            <a:avLst/>
                          </a:prstGeom>
                          <a:noFill/>
                          <a:ln w="9525">
                            <a:noFill/>
                            <a:miter lim="800000"/>
                            <a:headEnd/>
                            <a:tailEnd/>
                          </a:ln>
                        </pic:spPr>
                      </pic:pic>
                    </a:graphicData>
                  </a:graphic>
                </wp:inline>
              </w:drawing>
            </w:r>
          </w:p>
        </w:tc>
        <w:tc>
          <w:tcPr>
            <w:tcW w:w="1009" w:type="pct"/>
            <w:vAlign w:val="center"/>
          </w:tcPr>
          <w:p>
            <w:pPr>
              <w:pStyle w:val="151"/>
            </w:pPr>
            <w:r>
              <w:drawing>
                <wp:inline distT="0" distB="0" distL="0" distR="0">
                  <wp:extent cx="786765" cy="800735"/>
                  <wp:effectExtent l="19050" t="0" r="0" b="0"/>
                  <wp:docPr id="10" name="图片 10" descr="C:\Users\123\AppData\Local\Temp\ksohtml7816\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123\AppData\Local\Temp\ksohtml7816\wps2.jpg"/>
                          <pic:cNvPicPr>
                            <a:picLocks noChangeAspect="1" noChangeArrowheads="1"/>
                          </pic:cNvPicPr>
                        </pic:nvPicPr>
                        <pic:blipFill>
                          <a:blip r:embed="rId23" cstate="print"/>
                          <a:srcRect/>
                          <a:stretch>
                            <a:fillRect/>
                          </a:stretch>
                        </pic:blipFill>
                        <pic:spPr>
                          <a:xfrm>
                            <a:off x="0" y="0"/>
                            <a:ext cx="786765" cy="800735"/>
                          </a:xfrm>
                          <a:prstGeom prst="rect">
                            <a:avLst/>
                          </a:prstGeom>
                          <a:noFill/>
                          <a:ln w="9525">
                            <a:noFill/>
                            <a:miter lim="800000"/>
                            <a:headEnd/>
                            <a:tailEnd/>
                          </a:ln>
                        </pic:spPr>
                      </pic:pic>
                    </a:graphicData>
                  </a:graphic>
                </wp:inline>
              </w:drawing>
            </w:r>
          </w:p>
        </w:tc>
        <w:tc>
          <w:tcPr>
            <w:tcW w:w="943" w:type="pct"/>
            <w:vAlign w:val="center"/>
          </w:tcPr>
          <w:p>
            <w:pPr>
              <w:pStyle w:val="151"/>
            </w:pPr>
            <w:r>
              <w:t>废水排放口</w:t>
            </w:r>
          </w:p>
        </w:tc>
        <w:tc>
          <w:tcPr>
            <w:tcW w:w="1694" w:type="pct"/>
            <w:vAlign w:val="center"/>
          </w:tcPr>
          <w:p>
            <w:pPr>
              <w:pStyle w:val="151"/>
            </w:pPr>
            <w:r>
              <w:t>表示废水向外环境排放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pct"/>
            <w:vAlign w:val="center"/>
          </w:tcPr>
          <w:p>
            <w:pPr>
              <w:pStyle w:val="151"/>
            </w:pPr>
            <w:r>
              <w:t>2</w:t>
            </w:r>
          </w:p>
        </w:tc>
        <w:tc>
          <w:tcPr>
            <w:tcW w:w="946" w:type="pct"/>
            <w:vAlign w:val="center"/>
          </w:tcPr>
          <w:p>
            <w:pPr>
              <w:pStyle w:val="151"/>
            </w:pPr>
            <w:r>
              <w:drawing>
                <wp:inline distT="0" distB="0" distL="0" distR="0">
                  <wp:extent cx="772795" cy="786765"/>
                  <wp:effectExtent l="19050" t="0" r="8255" b="0"/>
                  <wp:docPr id="11" name="图片 11" descr="C:\Users\123\AppData\Local\Temp\ksohtml7816\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123\AppData\Local\Temp\ksohtml7816\wps3.jpg"/>
                          <pic:cNvPicPr>
                            <a:picLocks noChangeAspect="1" noChangeArrowheads="1"/>
                          </pic:cNvPicPr>
                        </pic:nvPicPr>
                        <pic:blipFill>
                          <a:blip r:embed="rId24" cstate="print"/>
                          <a:srcRect/>
                          <a:stretch>
                            <a:fillRect/>
                          </a:stretch>
                        </pic:blipFill>
                        <pic:spPr>
                          <a:xfrm>
                            <a:off x="0" y="0"/>
                            <a:ext cx="772795" cy="786765"/>
                          </a:xfrm>
                          <a:prstGeom prst="rect">
                            <a:avLst/>
                          </a:prstGeom>
                          <a:noFill/>
                          <a:ln w="9525">
                            <a:noFill/>
                            <a:miter lim="800000"/>
                            <a:headEnd/>
                            <a:tailEnd/>
                          </a:ln>
                        </pic:spPr>
                      </pic:pic>
                    </a:graphicData>
                  </a:graphic>
                </wp:inline>
              </w:drawing>
            </w:r>
          </w:p>
        </w:tc>
        <w:tc>
          <w:tcPr>
            <w:tcW w:w="1009" w:type="pct"/>
            <w:vAlign w:val="center"/>
          </w:tcPr>
          <w:p>
            <w:pPr>
              <w:pStyle w:val="151"/>
            </w:pPr>
            <w:r>
              <w:drawing>
                <wp:inline distT="0" distB="0" distL="0" distR="0">
                  <wp:extent cx="786765" cy="786765"/>
                  <wp:effectExtent l="19050" t="0" r="0" b="0"/>
                  <wp:docPr id="12" name="图片 12" descr="C:\Users\123\AppData\Local\Temp\ksohtml7816\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123\AppData\Local\Temp\ksohtml7816\wps4.jpg"/>
                          <pic:cNvPicPr>
                            <a:picLocks noChangeAspect="1" noChangeArrowheads="1"/>
                          </pic:cNvPicPr>
                        </pic:nvPicPr>
                        <pic:blipFill>
                          <a:blip r:embed="rId25" cstate="print"/>
                          <a:srcRect/>
                          <a:stretch>
                            <a:fillRect/>
                          </a:stretch>
                        </pic:blipFill>
                        <pic:spPr>
                          <a:xfrm>
                            <a:off x="0" y="0"/>
                            <a:ext cx="786765" cy="786765"/>
                          </a:xfrm>
                          <a:prstGeom prst="rect">
                            <a:avLst/>
                          </a:prstGeom>
                          <a:noFill/>
                          <a:ln w="9525">
                            <a:noFill/>
                            <a:miter lim="800000"/>
                            <a:headEnd/>
                            <a:tailEnd/>
                          </a:ln>
                        </pic:spPr>
                      </pic:pic>
                    </a:graphicData>
                  </a:graphic>
                </wp:inline>
              </w:drawing>
            </w:r>
          </w:p>
        </w:tc>
        <w:tc>
          <w:tcPr>
            <w:tcW w:w="943" w:type="pct"/>
            <w:vAlign w:val="center"/>
          </w:tcPr>
          <w:p>
            <w:pPr>
              <w:pStyle w:val="151"/>
            </w:pPr>
            <w:r>
              <w:t>废气排放口</w:t>
            </w:r>
          </w:p>
        </w:tc>
        <w:tc>
          <w:tcPr>
            <w:tcW w:w="1694" w:type="pct"/>
            <w:vAlign w:val="center"/>
          </w:tcPr>
          <w:p>
            <w:pPr>
              <w:pStyle w:val="151"/>
            </w:pPr>
            <w:r>
              <w:t>表示废气向大气环境排放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pct"/>
            <w:vAlign w:val="center"/>
          </w:tcPr>
          <w:p>
            <w:pPr>
              <w:pStyle w:val="151"/>
            </w:pPr>
            <w:r>
              <w:t>3</w:t>
            </w:r>
          </w:p>
        </w:tc>
        <w:tc>
          <w:tcPr>
            <w:tcW w:w="946" w:type="pct"/>
            <w:vAlign w:val="center"/>
          </w:tcPr>
          <w:p>
            <w:pPr>
              <w:pStyle w:val="151"/>
            </w:pPr>
            <w:r>
              <w:drawing>
                <wp:inline distT="0" distB="0" distL="0" distR="0">
                  <wp:extent cx="786765" cy="786765"/>
                  <wp:effectExtent l="19050" t="0" r="0" b="0"/>
                  <wp:docPr id="13" name="图片 13" descr="C:\Users\123\AppData\Local\Temp\ksohtml7816\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123\AppData\Local\Temp\ksohtml7816\wps5.jpg"/>
                          <pic:cNvPicPr>
                            <a:picLocks noChangeAspect="1" noChangeArrowheads="1"/>
                          </pic:cNvPicPr>
                        </pic:nvPicPr>
                        <pic:blipFill>
                          <a:blip r:embed="rId26" cstate="print"/>
                          <a:srcRect/>
                          <a:stretch>
                            <a:fillRect/>
                          </a:stretch>
                        </pic:blipFill>
                        <pic:spPr>
                          <a:xfrm>
                            <a:off x="0" y="0"/>
                            <a:ext cx="786765" cy="786765"/>
                          </a:xfrm>
                          <a:prstGeom prst="rect">
                            <a:avLst/>
                          </a:prstGeom>
                          <a:noFill/>
                          <a:ln w="9525">
                            <a:noFill/>
                            <a:miter lim="800000"/>
                            <a:headEnd/>
                            <a:tailEnd/>
                          </a:ln>
                        </pic:spPr>
                      </pic:pic>
                    </a:graphicData>
                  </a:graphic>
                </wp:inline>
              </w:drawing>
            </w:r>
          </w:p>
        </w:tc>
        <w:tc>
          <w:tcPr>
            <w:tcW w:w="1009" w:type="pct"/>
            <w:vAlign w:val="center"/>
          </w:tcPr>
          <w:p>
            <w:pPr>
              <w:pStyle w:val="151"/>
            </w:pPr>
            <w:r>
              <w:drawing>
                <wp:inline distT="0" distB="0" distL="0" distR="0">
                  <wp:extent cx="772795" cy="723265"/>
                  <wp:effectExtent l="19050" t="0" r="8255" b="0"/>
                  <wp:docPr id="14" name="图片 14" descr="C:\Users\123\AppData\Local\Temp\ksohtml7816\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123\AppData\Local\Temp\ksohtml7816\wps6.jpg"/>
                          <pic:cNvPicPr>
                            <a:picLocks noChangeAspect="1" noChangeArrowheads="1"/>
                          </pic:cNvPicPr>
                        </pic:nvPicPr>
                        <pic:blipFill>
                          <a:blip r:embed="rId27" cstate="print"/>
                          <a:srcRect/>
                          <a:stretch>
                            <a:fillRect/>
                          </a:stretch>
                        </pic:blipFill>
                        <pic:spPr>
                          <a:xfrm>
                            <a:off x="0" y="0"/>
                            <a:ext cx="772795" cy="723265"/>
                          </a:xfrm>
                          <a:prstGeom prst="rect">
                            <a:avLst/>
                          </a:prstGeom>
                          <a:noFill/>
                          <a:ln w="9525">
                            <a:noFill/>
                            <a:miter lim="800000"/>
                            <a:headEnd/>
                            <a:tailEnd/>
                          </a:ln>
                        </pic:spPr>
                      </pic:pic>
                    </a:graphicData>
                  </a:graphic>
                </wp:inline>
              </w:drawing>
            </w:r>
          </w:p>
        </w:tc>
        <w:tc>
          <w:tcPr>
            <w:tcW w:w="943" w:type="pct"/>
            <w:vAlign w:val="center"/>
          </w:tcPr>
          <w:p>
            <w:pPr>
              <w:pStyle w:val="151"/>
            </w:pPr>
            <w:r>
              <w:t>一般固体废物</w:t>
            </w:r>
          </w:p>
        </w:tc>
        <w:tc>
          <w:tcPr>
            <w:tcW w:w="1694" w:type="pct"/>
            <w:vAlign w:val="center"/>
          </w:tcPr>
          <w:p>
            <w:pPr>
              <w:pStyle w:val="151"/>
            </w:pPr>
            <w:r>
              <w:t>表示一般固体废物贮存、处置场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pct"/>
            <w:vAlign w:val="center"/>
          </w:tcPr>
          <w:p>
            <w:pPr>
              <w:pStyle w:val="151"/>
            </w:pPr>
            <w:r>
              <w:t>4</w:t>
            </w:r>
          </w:p>
        </w:tc>
        <w:tc>
          <w:tcPr>
            <w:tcW w:w="946" w:type="pct"/>
            <w:vAlign w:val="center"/>
          </w:tcPr>
          <w:p>
            <w:pPr>
              <w:pStyle w:val="151"/>
            </w:pPr>
            <w:r>
              <w:drawing>
                <wp:inline distT="0" distB="0" distL="0" distR="0">
                  <wp:extent cx="786765" cy="786765"/>
                  <wp:effectExtent l="19050" t="0" r="0" b="0"/>
                  <wp:docPr id="15" name="图片 15" descr="C:\Users\123\AppData\Local\Temp\ksohtml7816\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123\AppData\Local\Temp\ksohtml7816\wps7.jpg"/>
                          <pic:cNvPicPr>
                            <a:picLocks noChangeAspect="1" noChangeArrowheads="1"/>
                          </pic:cNvPicPr>
                        </pic:nvPicPr>
                        <pic:blipFill>
                          <a:blip r:embed="rId28" cstate="print"/>
                          <a:srcRect/>
                          <a:stretch>
                            <a:fillRect/>
                          </a:stretch>
                        </pic:blipFill>
                        <pic:spPr>
                          <a:xfrm>
                            <a:off x="0" y="0"/>
                            <a:ext cx="786765" cy="786765"/>
                          </a:xfrm>
                          <a:prstGeom prst="rect">
                            <a:avLst/>
                          </a:prstGeom>
                          <a:noFill/>
                          <a:ln w="9525">
                            <a:noFill/>
                            <a:miter lim="800000"/>
                            <a:headEnd/>
                            <a:tailEnd/>
                          </a:ln>
                        </pic:spPr>
                      </pic:pic>
                    </a:graphicData>
                  </a:graphic>
                </wp:inline>
              </w:drawing>
            </w:r>
          </w:p>
        </w:tc>
        <w:tc>
          <w:tcPr>
            <w:tcW w:w="1009" w:type="pct"/>
            <w:vAlign w:val="center"/>
          </w:tcPr>
          <w:p>
            <w:pPr>
              <w:pStyle w:val="151"/>
            </w:pPr>
            <w:r>
              <w:drawing>
                <wp:inline distT="0" distB="0" distL="0" distR="0">
                  <wp:extent cx="864870" cy="772795"/>
                  <wp:effectExtent l="19050" t="0" r="0" b="0"/>
                  <wp:docPr id="16" name="图片 16" descr="C:\Users\123\AppData\Local\Temp\ksohtml7816\wp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123\AppData\Local\Temp\ksohtml7816\wps8.jpg"/>
                          <pic:cNvPicPr>
                            <a:picLocks noChangeAspect="1" noChangeArrowheads="1"/>
                          </pic:cNvPicPr>
                        </pic:nvPicPr>
                        <pic:blipFill>
                          <a:blip r:embed="rId29" cstate="print"/>
                          <a:srcRect/>
                          <a:stretch>
                            <a:fillRect/>
                          </a:stretch>
                        </pic:blipFill>
                        <pic:spPr>
                          <a:xfrm>
                            <a:off x="0" y="0"/>
                            <a:ext cx="864870" cy="772795"/>
                          </a:xfrm>
                          <a:prstGeom prst="rect">
                            <a:avLst/>
                          </a:prstGeom>
                          <a:noFill/>
                          <a:ln w="9525">
                            <a:noFill/>
                            <a:miter lim="800000"/>
                            <a:headEnd/>
                            <a:tailEnd/>
                          </a:ln>
                        </pic:spPr>
                      </pic:pic>
                    </a:graphicData>
                  </a:graphic>
                </wp:inline>
              </w:drawing>
            </w:r>
          </w:p>
        </w:tc>
        <w:tc>
          <w:tcPr>
            <w:tcW w:w="943" w:type="pct"/>
            <w:vAlign w:val="center"/>
          </w:tcPr>
          <w:p>
            <w:pPr>
              <w:pStyle w:val="151"/>
            </w:pPr>
            <w:r>
              <w:t>噪声排放源</w:t>
            </w:r>
          </w:p>
        </w:tc>
        <w:tc>
          <w:tcPr>
            <w:tcW w:w="1694" w:type="pct"/>
            <w:vAlign w:val="center"/>
          </w:tcPr>
          <w:p>
            <w:pPr>
              <w:pStyle w:val="151"/>
            </w:pPr>
            <w:r>
              <w:t>表示噪声向外环境排放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pct"/>
            <w:vAlign w:val="center"/>
          </w:tcPr>
          <w:p>
            <w:pPr>
              <w:pStyle w:val="151"/>
            </w:pPr>
            <w:r>
              <w:t>5</w:t>
            </w:r>
          </w:p>
        </w:tc>
        <w:tc>
          <w:tcPr>
            <w:tcW w:w="946" w:type="pct"/>
            <w:vAlign w:val="center"/>
          </w:tcPr>
          <w:p>
            <w:pPr>
              <w:pStyle w:val="151"/>
            </w:pPr>
            <w:r>
              <w:t>/</w:t>
            </w:r>
          </w:p>
        </w:tc>
        <w:tc>
          <w:tcPr>
            <w:tcW w:w="1009" w:type="pct"/>
            <w:vAlign w:val="center"/>
          </w:tcPr>
          <w:p>
            <w:pPr>
              <w:pStyle w:val="151"/>
            </w:pPr>
            <w:r>
              <w:drawing>
                <wp:inline distT="0" distB="0" distL="0" distR="0">
                  <wp:extent cx="857885" cy="765810"/>
                  <wp:effectExtent l="19050" t="0" r="0" b="0"/>
                  <wp:docPr id="17" name="图片 17" descr="C:\Users\123\AppData\Local\Temp\ksohtml7816\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123\AppData\Local\Temp\ksohtml7816\wps9.png"/>
                          <pic:cNvPicPr>
                            <a:picLocks noChangeAspect="1" noChangeArrowheads="1"/>
                          </pic:cNvPicPr>
                        </pic:nvPicPr>
                        <pic:blipFill>
                          <a:blip r:embed="rId30" cstate="print"/>
                          <a:srcRect/>
                          <a:stretch>
                            <a:fillRect/>
                          </a:stretch>
                        </pic:blipFill>
                        <pic:spPr>
                          <a:xfrm>
                            <a:off x="0" y="0"/>
                            <a:ext cx="857885" cy="765810"/>
                          </a:xfrm>
                          <a:prstGeom prst="rect">
                            <a:avLst/>
                          </a:prstGeom>
                          <a:noFill/>
                          <a:ln w="9525">
                            <a:noFill/>
                            <a:miter lim="800000"/>
                            <a:headEnd/>
                            <a:tailEnd/>
                          </a:ln>
                        </pic:spPr>
                      </pic:pic>
                    </a:graphicData>
                  </a:graphic>
                </wp:inline>
              </w:drawing>
            </w:r>
          </w:p>
        </w:tc>
        <w:tc>
          <w:tcPr>
            <w:tcW w:w="943" w:type="pct"/>
            <w:vAlign w:val="center"/>
          </w:tcPr>
          <w:p>
            <w:pPr>
              <w:pStyle w:val="151"/>
            </w:pPr>
            <w:r>
              <w:t>危险废物</w:t>
            </w:r>
          </w:p>
        </w:tc>
        <w:tc>
          <w:tcPr>
            <w:tcW w:w="1694" w:type="pct"/>
            <w:vAlign w:val="center"/>
          </w:tcPr>
          <w:p>
            <w:pPr>
              <w:pStyle w:val="151"/>
            </w:pPr>
            <w:r>
              <w:t>表示危险废物贮存、处置场</w:t>
            </w:r>
          </w:p>
        </w:tc>
      </w:tr>
    </w:tbl>
    <w:p>
      <w:pPr>
        <w:pStyle w:val="4"/>
      </w:pPr>
      <w:bookmarkStart w:id="238" w:name="_Toc25826511"/>
      <w:r>
        <w:t>环境监测计划</w:t>
      </w:r>
      <w:bookmarkEnd w:id="238"/>
    </w:p>
    <w:p>
      <w:pPr>
        <w:spacing w:line="360" w:lineRule="auto"/>
        <w:ind w:firstLine="480" w:firstLineChars="200"/>
        <w:rPr>
          <w:szCs w:val="24"/>
        </w:rPr>
      </w:pPr>
      <w:r>
        <w:rPr>
          <w:rFonts w:hint="eastAsia" w:ascii="宋体" w:hAnsi="宋体"/>
          <w:szCs w:val="24"/>
        </w:rPr>
        <w:t>为确保环境质量目标的实施，建设单位应及时组织实施工程验收监测、定期监督性监测等，医院内部需要制定常规监测计划。</w:t>
      </w:r>
    </w:p>
    <w:p>
      <w:pPr>
        <w:spacing w:line="360" w:lineRule="auto"/>
        <w:ind w:firstLine="480" w:firstLineChars="200"/>
        <w:rPr>
          <w:szCs w:val="24"/>
        </w:rPr>
      </w:pPr>
      <w:r>
        <w:rPr>
          <w:rFonts w:hint="eastAsia" w:ascii="宋体" w:hAnsi="宋体"/>
          <w:szCs w:val="24"/>
        </w:rPr>
        <w:t>监测计划由医院环保科负责组织实施。如尚无条件成立内部环境监测部门，则该监测工作可委托当地环境监测站或第三方机构进行，监测结果应在监测工作完成后一个月内报环保行政主管部门。</w:t>
      </w:r>
    </w:p>
    <w:p>
      <w:pPr>
        <w:spacing w:line="360" w:lineRule="auto"/>
        <w:ind w:firstLine="480" w:firstLineChars="200"/>
        <w:rPr>
          <w:szCs w:val="24"/>
        </w:rPr>
      </w:pPr>
      <w:r>
        <w:rPr>
          <w:rFonts w:hint="eastAsia" w:ascii="宋体" w:hAnsi="宋体"/>
          <w:szCs w:val="24"/>
        </w:rPr>
        <w:t>监测内容主要是污染源监测和必要的外环境监测。监测项目包括医疗废水处理设施出口、锅炉废气出口、污水处理站废水、噪声监测等。</w:t>
      </w:r>
    </w:p>
    <w:p>
      <w:pPr>
        <w:spacing w:line="360" w:lineRule="auto"/>
        <w:ind w:firstLine="480" w:firstLineChars="200"/>
        <w:rPr>
          <w:szCs w:val="24"/>
        </w:rPr>
      </w:pPr>
      <w:r>
        <w:rPr>
          <w:rFonts w:hint="eastAsia"/>
          <w:szCs w:val="24"/>
        </w:rPr>
        <w:t>①废水排放口监测</w:t>
      </w:r>
    </w:p>
    <w:p>
      <w:pPr>
        <w:spacing w:line="360" w:lineRule="auto"/>
        <w:ind w:firstLine="480" w:firstLineChars="200"/>
        <w:rPr>
          <w:szCs w:val="24"/>
        </w:rPr>
      </w:pPr>
      <w:r>
        <w:rPr>
          <w:rFonts w:hint="eastAsia" w:ascii="宋体" w:hAnsi="宋体"/>
          <w:szCs w:val="24"/>
        </w:rPr>
        <w:t>监测建设的医疗污水处理站进出口废水的排放量和</w:t>
      </w:r>
      <w:r>
        <w:rPr>
          <w:rFonts w:hint="eastAsia"/>
          <w:szCs w:val="24"/>
        </w:rPr>
        <w:t>pH</w:t>
      </w:r>
      <w:r>
        <w:rPr>
          <w:rFonts w:hint="eastAsia" w:ascii="宋体" w:hAnsi="宋体"/>
          <w:szCs w:val="24"/>
        </w:rPr>
        <w:t>、</w:t>
      </w:r>
      <w:r>
        <w:rPr>
          <w:rFonts w:hint="eastAsia"/>
          <w:szCs w:val="24"/>
        </w:rPr>
        <w:t>COD</w:t>
      </w:r>
      <w:r>
        <w:rPr>
          <w:rFonts w:hint="eastAsia"/>
          <w:szCs w:val="24"/>
          <w:vertAlign w:val="subscript"/>
        </w:rPr>
        <w:t>Cr</w:t>
      </w:r>
      <w:r>
        <w:rPr>
          <w:rFonts w:hint="eastAsia" w:ascii="宋体" w:hAnsi="宋体"/>
          <w:szCs w:val="24"/>
        </w:rPr>
        <w:t>、</w:t>
      </w:r>
      <w:r>
        <w:rPr>
          <w:rFonts w:hint="eastAsia"/>
          <w:szCs w:val="24"/>
        </w:rPr>
        <w:t>SS</w:t>
      </w:r>
      <w:r>
        <w:rPr>
          <w:rFonts w:hint="eastAsia" w:ascii="宋体" w:hAnsi="宋体"/>
          <w:szCs w:val="24"/>
        </w:rPr>
        <w:t>、</w:t>
      </w:r>
      <w:r>
        <w:rPr>
          <w:rFonts w:hint="eastAsia"/>
          <w:szCs w:val="24"/>
        </w:rPr>
        <w:t>BOD</w:t>
      </w:r>
      <w:r>
        <w:rPr>
          <w:rFonts w:hint="eastAsia"/>
          <w:szCs w:val="24"/>
          <w:vertAlign w:val="subscript"/>
        </w:rPr>
        <w:t>5</w:t>
      </w:r>
      <w:r>
        <w:rPr>
          <w:rFonts w:hint="eastAsia" w:ascii="宋体" w:hAnsi="宋体"/>
          <w:szCs w:val="24"/>
        </w:rPr>
        <w:t>、氨氮、动植物油、总氰化物、粪大肠菌群、总余氯每季</w:t>
      </w:r>
      <w:r>
        <w:rPr>
          <w:rFonts w:hint="eastAsia"/>
          <w:szCs w:val="24"/>
        </w:rPr>
        <w:t>1</w:t>
      </w:r>
      <w:r>
        <w:rPr>
          <w:rFonts w:hint="eastAsia" w:ascii="宋体" w:hAnsi="宋体"/>
          <w:szCs w:val="24"/>
        </w:rPr>
        <w:t>次。</w:t>
      </w:r>
    </w:p>
    <w:p>
      <w:pPr>
        <w:spacing w:line="360" w:lineRule="auto"/>
        <w:ind w:firstLine="480" w:firstLineChars="200"/>
        <w:rPr>
          <w:szCs w:val="24"/>
        </w:rPr>
      </w:pPr>
      <w:r>
        <w:rPr>
          <w:rFonts w:hint="eastAsia"/>
          <w:szCs w:val="24"/>
        </w:rPr>
        <w:t>②废气排放口监测</w:t>
      </w:r>
    </w:p>
    <w:p>
      <w:pPr>
        <w:spacing w:line="360" w:lineRule="auto"/>
        <w:ind w:firstLine="480" w:firstLineChars="200"/>
        <w:rPr>
          <w:szCs w:val="24"/>
        </w:rPr>
      </w:pPr>
      <w:r>
        <w:rPr>
          <w:rFonts w:hint="eastAsia" w:ascii="宋体" w:hAnsi="宋体"/>
          <w:szCs w:val="24"/>
        </w:rPr>
        <w:t>对污水处理站周边</w:t>
      </w:r>
      <w:r>
        <w:rPr>
          <w:rFonts w:hint="eastAsia"/>
          <w:szCs w:val="24"/>
        </w:rPr>
        <w:t>H</w:t>
      </w:r>
      <w:r>
        <w:rPr>
          <w:rFonts w:hint="eastAsia"/>
          <w:szCs w:val="24"/>
          <w:vertAlign w:val="subscript"/>
        </w:rPr>
        <w:t>2</w:t>
      </w:r>
      <w:r>
        <w:rPr>
          <w:rFonts w:hint="eastAsia"/>
          <w:szCs w:val="24"/>
        </w:rPr>
        <w:t>S</w:t>
      </w:r>
      <w:r>
        <w:rPr>
          <w:rFonts w:hint="eastAsia" w:ascii="宋体" w:hAnsi="宋体"/>
          <w:szCs w:val="24"/>
        </w:rPr>
        <w:t>、</w:t>
      </w:r>
      <w:r>
        <w:rPr>
          <w:rFonts w:hint="eastAsia"/>
          <w:szCs w:val="24"/>
        </w:rPr>
        <w:t>NH</w:t>
      </w:r>
      <w:r>
        <w:rPr>
          <w:rFonts w:hint="eastAsia"/>
          <w:szCs w:val="24"/>
          <w:vertAlign w:val="subscript"/>
        </w:rPr>
        <w:t>3</w:t>
      </w:r>
      <w:r>
        <w:rPr>
          <w:rFonts w:hint="eastAsia" w:ascii="宋体" w:hAnsi="宋体"/>
          <w:szCs w:val="24"/>
        </w:rPr>
        <w:t>、臭气浓度进行监测；监测频次：每季度</w:t>
      </w:r>
      <w:r>
        <w:rPr>
          <w:rFonts w:hint="eastAsia"/>
          <w:szCs w:val="24"/>
        </w:rPr>
        <w:t>1</w:t>
      </w:r>
      <w:r>
        <w:rPr>
          <w:rFonts w:hint="eastAsia" w:ascii="宋体" w:hAnsi="宋体"/>
          <w:szCs w:val="24"/>
        </w:rPr>
        <w:t>次。</w:t>
      </w:r>
    </w:p>
    <w:p>
      <w:pPr>
        <w:spacing w:line="360" w:lineRule="auto"/>
        <w:ind w:firstLine="480" w:firstLineChars="200"/>
        <w:rPr>
          <w:szCs w:val="24"/>
        </w:rPr>
      </w:pPr>
      <w:r>
        <w:rPr>
          <w:rFonts w:hint="eastAsia" w:ascii="宋体" w:hAnsi="宋体"/>
          <w:szCs w:val="24"/>
        </w:rPr>
        <w:t>锅炉废气排气筒出口处</w:t>
      </w:r>
      <w:r>
        <w:rPr>
          <w:rFonts w:hint="eastAsia"/>
          <w:szCs w:val="24"/>
        </w:rPr>
        <w:t>SO</w:t>
      </w:r>
      <w:r>
        <w:rPr>
          <w:rFonts w:hint="eastAsia"/>
          <w:szCs w:val="24"/>
          <w:vertAlign w:val="subscript"/>
        </w:rPr>
        <w:t>2</w:t>
      </w:r>
      <w:r>
        <w:rPr>
          <w:rFonts w:hint="eastAsia" w:ascii="宋体" w:hAnsi="宋体"/>
          <w:szCs w:val="24"/>
        </w:rPr>
        <w:t>、</w:t>
      </w:r>
      <w:r>
        <w:rPr>
          <w:rFonts w:hint="eastAsia"/>
          <w:szCs w:val="24"/>
        </w:rPr>
        <w:t>NO</w:t>
      </w:r>
      <w:r>
        <w:rPr>
          <w:rFonts w:hint="eastAsia"/>
          <w:szCs w:val="24"/>
          <w:vertAlign w:val="subscript"/>
        </w:rPr>
        <w:t>x</w:t>
      </w:r>
      <w:r>
        <w:rPr>
          <w:rFonts w:hint="eastAsia" w:ascii="宋体" w:hAnsi="宋体"/>
          <w:szCs w:val="24"/>
        </w:rPr>
        <w:t>、烟尘浓度进行监测；监测频次：每季度</w:t>
      </w:r>
      <w:r>
        <w:rPr>
          <w:rFonts w:hint="eastAsia"/>
          <w:szCs w:val="24"/>
        </w:rPr>
        <w:t>1</w:t>
      </w:r>
      <w:r>
        <w:rPr>
          <w:rFonts w:hint="eastAsia" w:ascii="宋体" w:hAnsi="宋体"/>
          <w:szCs w:val="24"/>
        </w:rPr>
        <w:t>次。</w:t>
      </w:r>
    </w:p>
    <w:p>
      <w:pPr>
        <w:spacing w:line="360" w:lineRule="auto"/>
        <w:ind w:firstLine="480" w:firstLineChars="200"/>
        <w:rPr>
          <w:szCs w:val="24"/>
        </w:rPr>
      </w:pPr>
      <w:r>
        <w:rPr>
          <w:rFonts w:hint="eastAsia"/>
          <w:szCs w:val="24"/>
        </w:rPr>
        <w:t>③噪声监测</w:t>
      </w:r>
    </w:p>
    <w:p>
      <w:pPr>
        <w:spacing w:line="360" w:lineRule="auto"/>
        <w:ind w:firstLine="480" w:firstLineChars="200"/>
        <w:rPr>
          <w:szCs w:val="24"/>
        </w:rPr>
      </w:pPr>
      <w:r>
        <w:rPr>
          <w:rFonts w:hint="eastAsia" w:ascii="宋体" w:hAnsi="宋体"/>
          <w:szCs w:val="24"/>
        </w:rPr>
        <w:t>区域噪声：场界东、南、西、北边界及周围敏感目标；监测频次：每年</w:t>
      </w:r>
      <w:r>
        <w:rPr>
          <w:rFonts w:hint="eastAsia"/>
          <w:szCs w:val="24"/>
        </w:rPr>
        <w:t>1</w:t>
      </w:r>
      <w:r>
        <w:rPr>
          <w:rFonts w:hint="eastAsia" w:ascii="宋体" w:hAnsi="宋体"/>
          <w:szCs w:val="24"/>
        </w:rPr>
        <w:t>次</w:t>
      </w:r>
    </w:p>
    <w:p>
      <w:pPr>
        <w:jc w:val="center"/>
        <w:rPr>
          <w:rFonts w:cs="Times New Roman"/>
          <w:b/>
        </w:rPr>
      </w:pPr>
    </w:p>
    <w:p>
      <w:pPr>
        <w:jc w:val="center"/>
        <w:rPr>
          <w:rFonts w:cs="Times New Roman"/>
          <w:b/>
        </w:rPr>
      </w:pPr>
    </w:p>
    <w:p>
      <w:pPr>
        <w:jc w:val="center"/>
        <w:rPr>
          <w:rFonts w:cs="Times New Roman"/>
          <w:b/>
        </w:rPr>
      </w:pPr>
      <w:r>
        <w:rPr>
          <w:rFonts w:cs="Times New Roman"/>
          <w:b/>
        </w:rPr>
        <w:t>表</w:t>
      </w:r>
      <w:r>
        <w:rPr>
          <w:rFonts w:cs="Times New Roman"/>
          <w:b/>
        </w:rPr>
        <w:fldChar w:fldCharType="begin"/>
      </w:r>
      <w:r>
        <w:rPr>
          <w:rFonts w:cs="Times New Roman"/>
          <w:b/>
        </w:rPr>
        <w:instrText xml:space="preserve"> STYLEREF 2 \s </w:instrText>
      </w:r>
      <w:r>
        <w:rPr>
          <w:rFonts w:cs="Times New Roman"/>
          <w:b/>
        </w:rPr>
        <w:fldChar w:fldCharType="separate"/>
      </w:r>
      <w:r>
        <w:rPr>
          <w:rFonts w:cs="Times New Roman"/>
          <w:b/>
        </w:rPr>
        <w:t>9.5</w:t>
      </w:r>
      <w:r>
        <w:rPr>
          <w:rFonts w:cs="Times New Roman"/>
          <w:b/>
        </w:rPr>
        <w:fldChar w:fldCharType="end"/>
      </w:r>
      <w:r>
        <w:rPr>
          <w:rFonts w:cs="Times New Roman"/>
          <w:b/>
        </w:rPr>
        <w:noBreakHyphen/>
      </w:r>
      <w:r>
        <w:rPr>
          <w:rFonts w:cs="Times New Roman"/>
          <w:b/>
        </w:rPr>
        <w:fldChar w:fldCharType="begin"/>
      </w:r>
      <w:r>
        <w:rPr>
          <w:rFonts w:cs="Times New Roman"/>
          <w:b/>
        </w:rPr>
        <w:instrText xml:space="preserve"> SEQ 表 \* ARABIC \s 2 </w:instrText>
      </w:r>
      <w:r>
        <w:rPr>
          <w:rFonts w:cs="Times New Roman"/>
          <w:b/>
        </w:rPr>
        <w:fldChar w:fldCharType="separate"/>
      </w:r>
      <w:r>
        <w:rPr>
          <w:rFonts w:cs="Times New Roman"/>
          <w:b/>
        </w:rPr>
        <w:t>1</w:t>
      </w:r>
      <w:r>
        <w:rPr>
          <w:rFonts w:cs="Times New Roman"/>
          <w:b/>
        </w:rPr>
        <w:fldChar w:fldCharType="end"/>
      </w:r>
      <w:r>
        <w:rPr>
          <w:rFonts w:hint="eastAsia" w:cs="Times New Roman"/>
          <w:b/>
        </w:rPr>
        <w:t xml:space="preserve"> </w:t>
      </w:r>
      <w:r>
        <w:rPr>
          <w:rFonts w:hAnsi="宋体" w:cs="Times New Roman"/>
          <w:b/>
          <w:bCs/>
          <w:kern w:val="0"/>
        </w:rPr>
        <w:t>污染源监测计划</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7"/>
        <w:gridCol w:w="818"/>
        <w:gridCol w:w="1243"/>
        <w:gridCol w:w="2461"/>
        <w:gridCol w:w="1283"/>
        <w:gridCol w:w="2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pct"/>
            <w:gridSpan w:val="2"/>
            <w:vAlign w:val="center"/>
          </w:tcPr>
          <w:p>
            <w:pPr>
              <w:jc w:val="center"/>
              <w:rPr>
                <w:rFonts w:eastAsia="宋体" w:cs="Times New Roman"/>
                <w:bCs/>
                <w:sz w:val="21"/>
              </w:rPr>
            </w:pPr>
            <w:r>
              <w:rPr>
                <w:rFonts w:eastAsia="宋体" w:cs="Times New Roman"/>
                <w:bCs/>
                <w:sz w:val="21"/>
              </w:rPr>
              <w:t>类别</w:t>
            </w:r>
          </w:p>
        </w:tc>
        <w:tc>
          <w:tcPr>
            <w:tcW w:w="644" w:type="pct"/>
            <w:vAlign w:val="center"/>
          </w:tcPr>
          <w:p>
            <w:pPr>
              <w:jc w:val="center"/>
              <w:rPr>
                <w:rFonts w:eastAsia="宋体" w:cs="Times New Roman"/>
                <w:bCs/>
                <w:sz w:val="21"/>
              </w:rPr>
            </w:pPr>
            <w:r>
              <w:rPr>
                <w:rFonts w:eastAsia="宋体" w:cs="Times New Roman"/>
                <w:bCs/>
                <w:sz w:val="21"/>
              </w:rPr>
              <w:t>检测位置</w:t>
            </w:r>
          </w:p>
        </w:tc>
        <w:tc>
          <w:tcPr>
            <w:tcW w:w="1275" w:type="pct"/>
            <w:vAlign w:val="center"/>
          </w:tcPr>
          <w:p>
            <w:pPr>
              <w:jc w:val="center"/>
              <w:rPr>
                <w:rFonts w:eastAsia="宋体" w:cs="Times New Roman"/>
                <w:bCs/>
                <w:sz w:val="21"/>
              </w:rPr>
            </w:pPr>
            <w:r>
              <w:rPr>
                <w:rFonts w:eastAsia="宋体" w:cs="Times New Roman"/>
                <w:bCs/>
                <w:sz w:val="21"/>
              </w:rPr>
              <w:t>检测项目</w:t>
            </w:r>
          </w:p>
        </w:tc>
        <w:tc>
          <w:tcPr>
            <w:tcW w:w="665" w:type="pct"/>
            <w:vAlign w:val="center"/>
          </w:tcPr>
          <w:p>
            <w:pPr>
              <w:jc w:val="center"/>
              <w:rPr>
                <w:rFonts w:eastAsia="宋体" w:cs="Times New Roman"/>
                <w:bCs/>
                <w:sz w:val="21"/>
              </w:rPr>
            </w:pPr>
            <w:r>
              <w:rPr>
                <w:rFonts w:eastAsia="宋体" w:cs="Times New Roman"/>
                <w:bCs/>
                <w:sz w:val="21"/>
              </w:rPr>
              <w:t>监测频次</w:t>
            </w:r>
          </w:p>
        </w:tc>
        <w:tc>
          <w:tcPr>
            <w:tcW w:w="1527" w:type="pct"/>
            <w:vAlign w:val="center"/>
          </w:tcPr>
          <w:p>
            <w:pPr>
              <w:jc w:val="center"/>
              <w:rPr>
                <w:rFonts w:eastAsia="宋体" w:cs="Times New Roman"/>
                <w:bCs/>
                <w:sz w:val="21"/>
              </w:rPr>
            </w:pPr>
            <w:r>
              <w:rPr>
                <w:rFonts w:eastAsia="宋体" w:cs="Times New Roman"/>
                <w:bCs/>
                <w:sz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pct"/>
            <w:vMerge w:val="restart"/>
            <w:vAlign w:val="center"/>
          </w:tcPr>
          <w:p>
            <w:pPr>
              <w:jc w:val="center"/>
              <w:rPr>
                <w:rFonts w:eastAsia="宋体" w:cs="Times New Roman"/>
                <w:sz w:val="21"/>
              </w:rPr>
            </w:pPr>
            <w:r>
              <w:rPr>
                <w:rFonts w:eastAsia="宋体" w:cs="Times New Roman"/>
                <w:sz w:val="21"/>
              </w:rPr>
              <w:t>污染源</w:t>
            </w:r>
          </w:p>
          <w:p>
            <w:pPr>
              <w:jc w:val="center"/>
              <w:rPr>
                <w:rFonts w:eastAsia="宋体" w:cs="Times New Roman"/>
                <w:sz w:val="21"/>
              </w:rPr>
            </w:pPr>
            <w:r>
              <w:rPr>
                <w:rFonts w:eastAsia="宋体" w:cs="Times New Roman"/>
                <w:sz w:val="21"/>
              </w:rPr>
              <w:t>监测</w:t>
            </w:r>
          </w:p>
        </w:tc>
        <w:tc>
          <w:tcPr>
            <w:tcW w:w="424" w:type="pct"/>
            <w:vMerge w:val="restart"/>
            <w:vAlign w:val="center"/>
          </w:tcPr>
          <w:p>
            <w:pPr>
              <w:jc w:val="center"/>
              <w:rPr>
                <w:rFonts w:eastAsia="宋体" w:cs="Times New Roman"/>
                <w:sz w:val="21"/>
              </w:rPr>
            </w:pPr>
            <w:r>
              <w:rPr>
                <w:rFonts w:eastAsia="宋体" w:cs="Times New Roman"/>
                <w:sz w:val="21"/>
              </w:rPr>
              <w:t>废水</w:t>
            </w:r>
          </w:p>
        </w:tc>
        <w:tc>
          <w:tcPr>
            <w:tcW w:w="644" w:type="pct"/>
            <w:vAlign w:val="center"/>
          </w:tcPr>
          <w:p>
            <w:pPr>
              <w:jc w:val="center"/>
              <w:rPr>
                <w:rFonts w:eastAsia="宋体" w:cs="Times New Roman"/>
                <w:sz w:val="21"/>
              </w:rPr>
            </w:pPr>
            <w:r>
              <w:rPr>
                <w:rFonts w:hint="eastAsia" w:eastAsia="宋体" w:cs="Times New Roman"/>
                <w:sz w:val="21"/>
              </w:rPr>
              <w:t>医院自建废水处理站排口</w:t>
            </w:r>
          </w:p>
        </w:tc>
        <w:tc>
          <w:tcPr>
            <w:tcW w:w="1275" w:type="pct"/>
            <w:vAlign w:val="center"/>
          </w:tcPr>
          <w:p>
            <w:pPr>
              <w:jc w:val="center"/>
              <w:rPr>
                <w:rFonts w:eastAsia="宋体" w:cs="Times New Roman"/>
                <w:sz w:val="21"/>
              </w:rPr>
            </w:pPr>
            <w:r>
              <w:rPr>
                <w:rFonts w:eastAsia="宋体" w:cs="Times New Roman"/>
                <w:sz w:val="21"/>
              </w:rPr>
              <w:t>pH、COD</w:t>
            </w:r>
            <w:r>
              <w:rPr>
                <w:rFonts w:eastAsia="宋体" w:cs="Times New Roman"/>
                <w:sz w:val="21"/>
                <w:vertAlign w:val="subscript"/>
              </w:rPr>
              <w:t>Cr</w:t>
            </w:r>
            <w:r>
              <w:rPr>
                <w:rFonts w:eastAsia="宋体" w:cs="Times New Roman"/>
                <w:sz w:val="21"/>
              </w:rPr>
              <w:t>、SS、BOD</w:t>
            </w:r>
            <w:r>
              <w:rPr>
                <w:rFonts w:eastAsia="宋体" w:cs="Times New Roman"/>
                <w:sz w:val="21"/>
                <w:vertAlign w:val="subscript"/>
              </w:rPr>
              <w:t>5</w:t>
            </w:r>
            <w:r>
              <w:rPr>
                <w:rFonts w:eastAsia="宋体" w:cs="Times New Roman"/>
                <w:sz w:val="21"/>
              </w:rPr>
              <w:t>、氨氮、动植物油、总氰化物、粪大肠菌群</w:t>
            </w:r>
          </w:p>
        </w:tc>
        <w:tc>
          <w:tcPr>
            <w:tcW w:w="665" w:type="pct"/>
            <w:vAlign w:val="center"/>
          </w:tcPr>
          <w:p>
            <w:pPr>
              <w:jc w:val="center"/>
              <w:rPr>
                <w:rFonts w:eastAsia="宋体" w:cs="Times New Roman"/>
                <w:sz w:val="21"/>
              </w:rPr>
            </w:pPr>
            <w:r>
              <w:rPr>
                <w:rFonts w:eastAsia="宋体" w:cs="Times New Roman"/>
                <w:sz w:val="21"/>
              </w:rPr>
              <w:t>1季度1次</w:t>
            </w:r>
          </w:p>
        </w:tc>
        <w:tc>
          <w:tcPr>
            <w:tcW w:w="1527" w:type="pct"/>
            <w:vAlign w:val="center"/>
          </w:tcPr>
          <w:p>
            <w:pPr>
              <w:jc w:val="center"/>
              <w:rPr>
                <w:rFonts w:eastAsia="宋体" w:cs="Times New Roman"/>
                <w:sz w:val="21"/>
              </w:rPr>
            </w:pPr>
            <w:r>
              <w:rPr>
                <w:rFonts w:eastAsia="宋体" w:cs="Times New Roman"/>
                <w:sz w:val="21"/>
              </w:rPr>
              <w:t>《医疗机构水污染物排放标准》（GB18466-2005）表2预处理标准和《城镇污水处理厂污染物排放标准》(GB18918-2002)一级A标准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pct"/>
            <w:vMerge w:val="continue"/>
            <w:vAlign w:val="center"/>
          </w:tcPr>
          <w:p>
            <w:pPr>
              <w:jc w:val="center"/>
              <w:rPr>
                <w:rFonts w:eastAsia="宋体" w:cs="Times New Roman"/>
                <w:sz w:val="21"/>
              </w:rPr>
            </w:pPr>
          </w:p>
        </w:tc>
        <w:tc>
          <w:tcPr>
            <w:tcW w:w="424" w:type="pct"/>
            <w:vMerge w:val="continue"/>
            <w:vAlign w:val="center"/>
          </w:tcPr>
          <w:p>
            <w:pPr>
              <w:jc w:val="center"/>
              <w:rPr>
                <w:rFonts w:eastAsia="宋体" w:cs="Times New Roman"/>
                <w:sz w:val="21"/>
              </w:rPr>
            </w:pPr>
          </w:p>
        </w:tc>
        <w:tc>
          <w:tcPr>
            <w:tcW w:w="644" w:type="pct"/>
            <w:vAlign w:val="center"/>
          </w:tcPr>
          <w:p>
            <w:pPr>
              <w:jc w:val="center"/>
              <w:rPr>
                <w:rFonts w:eastAsia="宋体" w:cs="Times New Roman"/>
                <w:sz w:val="21"/>
              </w:rPr>
            </w:pPr>
            <w:r>
              <w:rPr>
                <w:rFonts w:hint="eastAsia" w:eastAsia="宋体" w:cs="Times New Roman"/>
                <w:sz w:val="21"/>
              </w:rPr>
              <w:t>食堂废水化粪池排口</w:t>
            </w:r>
          </w:p>
        </w:tc>
        <w:tc>
          <w:tcPr>
            <w:tcW w:w="1275" w:type="pct"/>
            <w:vAlign w:val="center"/>
          </w:tcPr>
          <w:p>
            <w:pPr>
              <w:jc w:val="center"/>
              <w:rPr>
                <w:rFonts w:eastAsia="宋体" w:cs="Times New Roman"/>
                <w:sz w:val="21"/>
              </w:rPr>
            </w:pPr>
            <w:r>
              <w:rPr>
                <w:rFonts w:eastAsia="宋体" w:cs="Times New Roman"/>
                <w:sz w:val="21"/>
              </w:rPr>
              <w:t>pH、COD</w:t>
            </w:r>
            <w:r>
              <w:rPr>
                <w:rFonts w:eastAsia="宋体" w:cs="Times New Roman"/>
                <w:sz w:val="21"/>
                <w:vertAlign w:val="subscript"/>
              </w:rPr>
              <w:t>Cr</w:t>
            </w:r>
            <w:r>
              <w:rPr>
                <w:rFonts w:eastAsia="宋体" w:cs="Times New Roman"/>
                <w:sz w:val="21"/>
              </w:rPr>
              <w:t>、SS、BOD</w:t>
            </w:r>
            <w:r>
              <w:rPr>
                <w:rFonts w:eastAsia="宋体" w:cs="Times New Roman"/>
                <w:sz w:val="21"/>
                <w:vertAlign w:val="subscript"/>
              </w:rPr>
              <w:t>5</w:t>
            </w:r>
            <w:r>
              <w:rPr>
                <w:rFonts w:eastAsia="宋体" w:cs="Times New Roman"/>
                <w:sz w:val="21"/>
              </w:rPr>
              <w:t>、氨氮、动植物油</w:t>
            </w:r>
          </w:p>
        </w:tc>
        <w:tc>
          <w:tcPr>
            <w:tcW w:w="665" w:type="pct"/>
            <w:vAlign w:val="center"/>
          </w:tcPr>
          <w:p>
            <w:pPr>
              <w:jc w:val="center"/>
              <w:rPr>
                <w:rFonts w:eastAsia="宋体" w:cs="Times New Roman"/>
                <w:sz w:val="21"/>
              </w:rPr>
            </w:pPr>
            <w:r>
              <w:rPr>
                <w:rFonts w:eastAsia="宋体" w:cs="Times New Roman"/>
                <w:sz w:val="21"/>
              </w:rPr>
              <w:t>1季度1次</w:t>
            </w:r>
          </w:p>
        </w:tc>
        <w:tc>
          <w:tcPr>
            <w:tcW w:w="1527" w:type="pct"/>
            <w:vMerge w:val="restart"/>
            <w:vAlign w:val="center"/>
          </w:tcPr>
          <w:p>
            <w:pPr>
              <w:jc w:val="center"/>
              <w:rPr>
                <w:rFonts w:eastAsia="宋体" w:cs="Times New Roman"/>
                <w:sz w:val="21"/>
              </w:rPr>
            </w:pPr>
            <w:r>
              <w:rPr>
                <w:rFonts w:hint="eastAsia" w:eastAsia="宋体" w:cs="Times New Roman"/>
                <w:sz w:val="21"/>
              </w:rPr>
              <w:t>《污水综合排放标准》中三级排放标准并满足马壕污水处理厂接管标准要求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pct"/>
            <w:vMerge w:val="continue"/>
            <w:vAlign w:val="center"/>
          </w:tcPr>
          <w:p>
            <w:pPr>
              <w:jc w:val="center"/>
              <w:rPr>
                <w:rFonts w:eastAsia="宋体" w:cs="Times New Roman"/>
                <w:sz w:val="21"/>
              </w:rPr>
            </w:pPr>
          </w:p>
        </w:tc>
        <w:tc>
          <w:tcPr>
            <w:tcW w:w="424" w:type="pct"/>
            <w:vMerge w:val="continue"/>
            <w:vAlign w:val="center"/>
          </w:tcPr>
          <w:p>
            <w:pPr>
              <w:jc w:val="center"/>
              <w:rPr>
                <w:rFonts w:eastAsia="宋体" w:cs="Times New Roman"/>
                <w:sz w:val="21"/>
              </w:rPr>
            </w:pPr>
          </w:p>
        </w:tc>
        <w:tc>
          <w:tcPr>
            <w:tcW w:w="644" w:type="pct"/>
            <w:vAlign w:val="center"/>
          </w:tcPr>
          <w:p>
            <w:pPr>
              <w:rPr>
                <w:rFonts w:eastAsia="宋体" w:cs="Times New Roman"/>
                <w:sz w:val="21"/>
              </w:rPr>
            </w:pPr>
            <w:r>
              <w:rPr>
                <w:rFonts w:hint="eastAsia" w:eastAsia="宋体" w:cs="Times New Roman"/>
                <w:sz w:val="21"/>
              </w:rPr>
              <w:t>职工公寓化粪池排口</w:t>
            </w:r>
          </w:p>
        </w:tc>
        <w:tc>
          <w:tcPr>
            <w:tcW w:w="1275" w:type="pct"/>
            <w:vAlign w:val="center"/>
          </w:tcPr>
          <w:p>
            <w:pPr>
              <w:jc w:val="center"/>
              <w:rPr>
                <w:rFonts w:eastAsia="宋体" w:cs="Times New Roman"/>
                <w:sz w:val="21"/>
              </w:rPr>
            </w:pPr>
            <w:r>
              <w:rPr>
                <w:rFonts w:eastAsia="宋体" w:cs="Times New Roman"/>
                <w:sz w:val="21"/>
              </w:rPr>
              <w:t>pH、COD</w:t>
            </w:r>
            <w:r>
              <w:rPr>
                <w:rFonts w:eastAsia="宋体" w:cs="Times New Roman"/>
                <w:sz w:val="21"/>
                <w:vertAlign w:val="subscript"/>
              </w:rPr>
              <w:t>Cr</w:t>
            </w:r>
            <w:r>
              <w:rPr>
                <w:rFonts w:eastAsia="宋体" w:cs="Times New Roman"/>
                <w:sz w:val="21"/>
              </w:rPr>
              <w:t>、SS、BOD</w:t>
            </w:r>
            <w:r>
              <w:rPr>
                <w:rFonts w:eastAsia="宋体" w:cs="Times New Roman"/>
                <w:sz w:val="21"/>
                <w:vertAlign w:val="subscript"/>
              </w:rPr>
              <w:t>5</w:t>
            </w:r>
            <w:r>
              <w:rPr>
                <w:rFonts w:eastAsia="宋体" w:cs="Times New Roman"/>
                <w:sz w:val="21"/>
              </w:rPr>
              <w:t>、氨氮、动植物油</w:t>
            </w:r>
          </w:p>
        </w:tc>
        <w:tc>
          <w:tcPr>
            <w:tcW w:w="665" w:type="pct"/>
            <w:vAlign w:val="center"/>
          </w:tcPr>
          <w:p>
            <w:pPr>
              <w:jc w:val="center"/>
              <w:rPr>
                <w:rFonts w:eastAsia="宋体" w:cs="Times New Roman"/>
                <w:sz w:val="21"/>
              </w:rPr>
            </w:pPr>
            <w:r>
              <w:rPr>
                <w:rFonts w:eastAsia="宋体" w:cs="Times New Roman"/>
                <w:sz w:val="21"/>
              </w:rPr>
              <w:t>1季度1次</w:t>
            </w:r>
          </w:p>
        </w:tc>
        <w:tc>
          <w:tcPr>
            <w:tcW w:w="1527" w:type="pct"/>
            <w:vMerge w:val="continue"/>
            <w:vAlign w:val="center"/>
          </w:tcPr>
          <w:p>
            <w:pPr>
              <w:jc w:val="center"/>
              <w:rPr>
                <w:rFonts w:eastAsia="宋体"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trPr>
        <w:tc>
          <w:tcPr>
            <w:tcW w:w="465" w:type="pct"/>
            <w:vMerge w:val="continue"/>
            <w:vAlign w:val="center"/>
          </w:tcPr>
          <w:p>
            <w:pPr>
              <w:widowControl/>
              <w:jc w:val="center"/>
              <w:rPr>
                <w:rFonts w:eastAsia="宋体" w:cs="Times New Roman"/>
                <w:sz w:val="21"/>
              </w:rPr>
            </w:pPr>
          </w:p>
        </w:tc>
        <w:tc>
          <w:tcPr>
            <w:tcW w:w="424" w:type="pct"/>
            <w:vMerge w:val="restart"/>
            <w:vAlign w:val="center"/>
          </w:tcPr>
          <w:p>
            <w:pPr>
              <w:jc w:val="center"/>
              <w:rPr>
                <w:rFonts w:eastAsia="宋体" w:cs="Times New Roman"/>
                <w:sz w:val="21"/>
              </w:rPr>
            </w:pPr>
            <w:r>
              <w:rPr>
                <w:rFonts w:eastAsia="宋体" w:cs="Times New Roman"/>
                <w:sz w:val="21"/>
              </w:rPr>
              <w:t>废气</w:t>
            </w:r>
          </w:p>
        </w:tc>
        <w:tc>
          <w:tcPr>
            <w:tcW w:w="644" w:type="pct"/>
            <w:vAlign w:val="center"/>
          </w:tcPr>
          <w:p>
            <w:pPr>
              <w:adjustRightInd w:val="0"/>
              <w:snapToGrid w:val="0"/>
              <w:jc w:val="center"/>
              <w:rPr>
                <w:rFonts w:eastAsia="宋体" w:cs="Times New Roman"/>
                <w:sz w:val="21"/>
              </w:rPr>
            </w:pPr>
            <w:r>
              <w:rPr>
                <w:rFonts w:hint="eastAsia" w:eastAsia="宋体" w:cs="Times New Roman"/>
                <w:sz w:val="21"/>
              </w:rPr>
              <w:t>污水</w:t>
            </w:r>
            <w:r>
              <w:rPr>
                <w:rFonts w:eastAsia="宋体" w:cs="Times New Roman"/>
                <w:sz w:val="21"/>
              </w:rPr>
              <w:t>处理站周边</w:t>
            </w:r>
          </w:p>
        </w:tc>
        <w:tc>
          <w:tcPr>
            <w:tcW w:w="1275" w:type="pct"/>
            <w:vAlign w:val="center"/>
          </w:tcPr>
          <w:p>
            <w:pPr>
              <w:jc w:val="center"/>
              <w:rPr>
                <w:rFonts w:eastAsia="宋体" w:cs="Times New Roman"/>
                <w:sz w:val="21"/>
              </w:rPr>
            </w:pPr>
            <w:r>
              <w:rPr>
                <w:rFonts w:eastAsia="宋体" w:cs="Times New Roman"/>
                <w:sz w:val="21"/>
              </w:rPr>
              <w:t>氨、硫化氢、臭气浓度（无量纲）</w:t>
            </w:r>
          </w:p>
        </w:tc>
        <w:tc>
          <w:tcPr>
            <w:tcW w:w="665" w:type="pct"/>
            <w:vAlign w:val="center"/>
          </w:tcPr>
          <w:p>
            <w:pPr>
              <w:jc w:val="center"/>
              <w:rPr>
                <w:rFonts w:eastAsia="宋体" w:cs="Times New Roman"/>
                <w:sz w:val="21"/>
              </w:rPr>
            </w:pPr>
            <w:r>
              <w:rPr>
                <w:rFonts w:eastAsia="宋体" w:cs="Times New Roman"/>
                <w:sz w:val="21"/>
              </w:rPr>
              <w:t>1季度1次</w:t>
            </w:r>
          </w:p>
        </w:tc>
        <w:tc>
          <w:tcPr>
            <w:tcW w:w="1527" w:type="pct"/>
            <w:vAlign w:val="center"/>
          </w:tcPr>
          <w:p>
            <w:pPr>
              <w:jc w:val="center"/>
              <w:rPr>
                <w:rFonts w:eastAsia="宋体" w:cs="Times New Roman"/>
                <w:sz w:val="21"/>
              </w:rPr>
            </w:pPr>
            <w:r>
              <w:rPr>
                <w:rFonts w:eastAsia="宋体" w:cs="Times New Roman"/>
                <w:sz w:val="21"/>
              </w:rPr>
              <w:t>《恶臭污染物排放标准》（GB14554-93）表2标准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pct"/>
            <w:vMerge w:val="continue"/>
            <w:vAlign w:val="center"/>
          </w:tcPr>
          <w:p>
            <w:pPr>
              <w:widowControl/>
              <w:jc w:val="center"/>
              <w:rPr>
                <w:rFonts w:eastAsia="宋体" w:cs="Times New Roman"/>
                <w:sz w:val="21"/>
              </w:rPr>
            </w:pPr>
          </w:p>
        </w:tc>
        <w:tc>
          <w:tcPr>
            <w:tcW w:w="424" w:type="pct"/>
            <w:vMerge w:val="continue"/>
            <w:vAlign w:val="center"/>
          </w:tcPr>
          <w:p>
            <w:pPr>
              <w:widowControl/>
              <w:jc w:val="center"/>
              <w:rPr>
                <w:rFonts w:eastAsia="宋体" w:cs="Times New Roman"/>
                <w:sz w:val="21"/>
              </w:rPr>
            </w:pPr>
          </w:p>
        </w:tc>
        <w:tc>
          <w:tcPr>
            <w:tcW w:w="644" w:type="pct"/>
            <w:vAlign w:val="center"/>
          </w:tcPr>
          <w:p>
            <w:pPr>
              <w:adjustRightInd w:val="0"/>
              <w:snapToGrid w:val="0"/>
              <w:jc w:val="center"/>
              <w:rPr>
                <w:rFonts w:eastAsia="宋体" w:cs="Times New Roman"/>
                <w:sz w:val="21"/>
              </w:rPr>
            </w:pPr>
            <w:r>
              <w:rPr>
                <w:rFonts w:eastAsia="宋体" w:cs="Times New Roman"/>
                <w:sz w:val="21"/>
              </w:rPr>
              <w:t>锅炉废气排放口</w:t>
            </w:r>
          </w:p>
        </w:tc>
        <w:tc>
          <w:tcPr>
            <w:tcW w:w="1275" w:type="pct"/>
            <w:vAlign w:val="center"/>
          </w:tcPr>
          <w:p>
            <w:pPr>
              <w:jc w:val="center"/>
              <w:rPr>
                <w:rFonts w:eastAsia="宋体" w:cs="Times New Roman"/>
                <w:sz w:val="21"/>
              </w:rPr>
            </w:pPr>
            <w:r>
              <w:rPr>
                <w:rFonts w:eastAsia="宋体" w:cs="Times New Roman"/>
                <w:sz w:val="21"/>
              </w:rPr>
              <w:t>颗粒物、SO</w:t>
            </w:r>
            <w:r>
              <w:rPr>
                <w:rFonts w:eastAsia="宋体" w:cs="Times New Roman"/>
                <w:sz w:val="21"/>
                <w:vertAlign w:val="subscript"/>
              </w:rPr>
              <w:t>2</w:t>
            </w:r>
            <w:r>
              <w:rPr>
                <w:rFonts w:eastAsia="宋体" w:cs="Times New Roman"/>
                <w:sz w:val="21"/>
              </w:rPr>
              <w:t>、NO</w:t>
            </w:r>
            <w:r>
              <w:rPr>
                <w:rFonts w:eastAsia="宋体" w:cs="Times New Roman"/>
                <w:sz w:val="21"/>
                <w:vertAlign w:val="subscript"/>
              </w:rPr>
              <w:t>x</w:t>
            </w:r>
          </w:p>
        </w:tc>
        <w:tc>
          <w:tcPr>
            <w:tcW w:w="665" w:type="pct"/>
            <w:vAlign w:val="center"/>
          </w:tcPr>
          <w:p>
            <w:pPr>
              <w:jc w:val="center"/>
              <w:rPr>
                <w:rFonts w:eastAsia="宋体" w:cs="Times New Roman"/>
                <w:sz w:val="21"/>
              </w:rPr>
            </w:pPr>
            <w:r>
              <w:rPr>
                <w:rFonts w:eastAsia="宋体" w:cs="Times New Roman"/>
                <w:sz w:val="21"/>
              </w:rPr>
              <w:t>1季度1次</w:t>
            </w:r>
          </w:p>
        </w:tc>
        <w:tc>
          <w:tcPr>
            <w:tcW w:w="1527" w:type="pct"/>
            <w:vAlign w:val="center"/>
          </w:tcPr>
          <w:p>
            <w:pPr>
              <w:jc w:val="center"/>
              <w:rPr>
                <w:rFonts w:eastAsia="宋体" w:cs="Times New Roman"/>
                <w:sz w:val="21"/>
              </w:rPr>
            </w:pPr>
            <w:r>
              <w:rPr>
                <w:rFonts w:eastAsia="宋体" w:cs="Times New Roman"/>
                <w:sz w:val="21"/>
              </w:rPr>
              <w:t>《锅炉大气污染物排放标准》（GB13271-2014）表 3大气污染物特别排放限值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pct"/>
            <w:vMerge w:val="continue"/>
            <w:vAlign w:val="center"/>
          </w:tcPr>
          <w:p>
            <w:pPr>
              <w:widowControl/>
              <w:jc w:val="center"/>
              <w:rPr>
                <w:rFonts w:eastAsia="宋体" w:cs="Times New Roman"/>
                <w:sz w:val="21"/>
              </w:rPr>
            </w:pPr>
          </w:p>
        </w:tc>
        <w:tc>
          <w:tcPr>
            <w:tcW w:w="424" w:type="pct"/>
            <w:vMerge w:val="continue"/>
            <w:vAlign w:val="center"/>
          </w:tcPr>
          <w:p>
            <w:pPr>
              <w:widowControl/>
              <w:jc w:val="center"/>
              <w:rPr>
                <w:rFonts w:eastAsia="宋体" w:cs="Times New Roman"/>
                <w:sz w:val="21"/>
              </w:rPr>
            </w:pPr>
          </w:p>
        </w:tc>
        <w:tc>
          <w:tcPr>
            <w:tcW w:w="644" w:type="pct"/>
            <w:vAlign w:val="center"/>
          </w:tcPr>
          <w:p>
            <w:pPr>
              <w:adjustRightInd w:val="0"/>
              <w:snapToGrid w:val="0"/>
              <w:jc w:val="center"/>
              <w:rPr>
                <w:rFonts w:eastAsia="宋体" w:cs="Times New Roman"/>
                <w:sz w:val="21"/>
              </w:rPr>
            </w:pPr>
            <w:r>
              <w:rPr>
                <w:rFonts w:eastAsia="宋体" w:cs="Times New Roman"/>
                <w:sz w:val="21"/>
              </w:rPr>
              <w:t>厂界上风向、下风向</w:t>
            </w:r>
          </w:p>
        </w:tc>
        <w:tc>
          <w:tcPr>
            <w:tcW w:w="1275" w:type="pct"/>
            <w:vAlign w:val="center"/>
          </w:tcPr>
          <w:p>
            <w:pPr>
              <w:jc w:val="center"/>
              <w:rPr>
                <w:rFonts w:eastAsia="宋体" w:cs="Times New Roman"/>
                <w:sz w:val="21"/>
              </w:rPr>
            </w:pPr>
            <w:r>
              <w:rPr>
                <w:rFonts w:eastAsia="宋体" w:cs="Times New Roman"/>
                <w:sz w:val="21"/>
              </w:rPr>
              <w:t>氨、硫化氢、臭气浓度（无量纲）</w:t>
            </w:r>
          </w:p>
        </w:tc>
        <w:tc>
          <w:tcPr>
            <w:tcW w:w="665" w:type="pct"/>
            <w:vAlign w:val="center"/>
          </w:tcPr>
          <w:p>
            <w:pPr>
              <w:jc w:val="center"/>
              <w:rPr>
                <w:rFonts w:eastAsia="宋体" w:cs="Times New Roman"/>
                <w:sz w:val="21"/>
              </w:rPr>
            </w:pPr>
            <w:r>
              <w:rPr>
                <w:rFonts w:eastAsia="宋体" w:cs="Times New Roman"/>
                <w:sz w:val="21"/>
              </w:rPr>
              <w:t>1季度1次</w:t>
            </w:r>
          </w:p>
        </w:tc>
        <w:tc>
          <w:tcPr>
            <w:tcW w:w="1527" w:type="pct"/>
            <w:vAlign w:val="center"/>
          </w:tcPr>
          <w:p>
            <w:pPr>
              <w:jc w:val="center"/>
              <w:rPr>
                <w:rFonts w:eastAsia="宋体" w:cs="Times New Roman"/>
                <w:sz w:val="21"/>
              </w:rPr>
            </w:pPr>
            <w:r>
              <w:rPr>
                <w:rFonts w:eastAsia="宋体" w:cs="Times New Roman"/>
                <w:sz w:val="21"/>
              </w:rPr>
              <w:t>《医疗机构水污染物排放标准》周边大气污染物最高允许浓度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pct"/>
            <w:vMerge w:val="continue"/>
            <w:vAlign w:val="center"/>
          </w:tcPr>
          <w:p>
            <w:pPr>
              <w:widowControl/>
              <w:jc w:val="center"/>
              <w:rPr>
                <w:rFonts w:eastAsia="宋体" w:cs="Times New Roman"/>
                <w:sz w:val="21"/>
              </w:rPr>
            </w:pPr>
          </w:p>
        </w:tc>
        <w:tc>
          <w:tcPr>
            <w:tcW w:w="424" w:type="pct"/>
            <w:vAlign w:val="center"/>
          </w:tcPr>
          <w:p>
            <w:pPr>
              <w:jc w:val="center"/>
              <w:rPr>
                <w:rFonts w:eastAsia="宋体" w:cs="Times New Roman"/>
                <w:sz w:val="21"/>
              </w:rPr>
            </w:pPr>
            <w:r>
              <w:rPr>
                <w:rFonts w:eastAsia="宋体" w:cs="Times New Roman"/>
                <w:sz w:val="21"/>
              </w:rPr>
              <w:t>噪声</w:t>
            </w:r>
          </w:p>
        </w:tc>
        <w:tc>
          <w:tcPr>
            <w:tcW w:w="644" w:type="pct"/>
            <w:vAlign w:val="center"/>
          </w:tcPr>
          <w:p>
            <w:pPr>
              <w:jc w:val="center"/>
              <w:rPr>
                <w:rFonts w:eastAsia="宋体" w:cs="Times New Roman"/>
                <w:sz w:val="21"/>
              </w:rPr>
            </w:pPr>
            <w:r>
              <w:rPr>
                <w:rFonts w:eastAsia="宋体" w:cs="Times New Roman"/>
                <w:sz w:val="21"/>
              </w:rPr>
              <w:t>四侧厂界1m</w:t>
            </w:r>
          </w:p>
        </w:tc>
        <w:tc>
          <w:tcPr>
            <w:tcW w:w="1275" w:type="pct"/>
            <w:vAlign w:val="center"/>
          </w:tcPr>
          <w:p>
            <w:pPr>
              <w:jc w:val="center"/>
              <w:rPr>
                <w:rFonts w:eastAsia="宋体" w:cs="Times New Roman"/>
                <w:sz w:val="21"/>
              </w:rPr>
            </w:pPr>
            <w:r>
              <w:rPr>
                <w:rFonts w:eastAsia="宋体" w:cs="Times New Roman"/>
                <w:sz w:val="21"/>
              </w:rPr>
              <w:t>等效连续A声级（昼间）</w:t>
            </w:r>
          </w:p>
        </w:tc>
        <w:tc>
          <w:tcPr>
            <w:tcW w:w="665" w:type="pct"/>
            <w:vAlign w:val="center"/>
          </w:tcPr>
          <w:p>
            <w:pPr>
              <w:jc w:val="center"/>
              <w:rPr>
                <w:rFonts w:eastAsia="宋体" w:cs="Times New Roman"/>
                <w:sz w:val="21"/>
              </w:rPr>
            </w:pPr>
            <w:r>
              <w:rPr>
                <w:rFonts w:eastAsia="宋体" w:cs="Times New Roman"/>
                <w:sz w:val="21"/>
              </w:rPr>
              <w:t>1季度1次</w:t>
            </w:r>
          </w:p>
        </w:tc>
        <w:tc>
          <w:tcPr>
            <w:tcW w:w="1527" w:type="pct"/>
            <w:vAlign w:val="center"/>
          </w:tcPr>
          <w:p>
            <w:pPr>
              <w:jc w:val="center"/>
              <w:rPr>
                <w:rFonts w:eastAsia="宋体" w:cs="Times New Roman"/>
                <w:sz w:val="21"/>
              </w:rPr>
            </w:pPr>
            <w:r>
              <w:rPr>
                <w:rFonts w:eastAsia="宋体" w:cs="Times New Roman"/>
                <w:sz w:val="21"/>
              </w:rPr>
              <w:t>《工业企业厂界环境噪声排放标准》（GB12348-2008）中的2类标准</w:t>
            </w:r>
          </w:p>
        </w:tc>
      </w:tr>
    </w:tbl>
    <w:p>
      <w:pPr>
        <w:spacing w:line="360" w:lineRule="auto"/>
        <w:ind w:firstLine="480" w:firstLineChars="200"/>
        <w:rPr>
          <w:szCs w:val="24"/>
        </w:rPr>
      </w:pPr>
      <w:r>
        <w:rPr>
          <w:rFonts w:ascii="宋体" w:hAnsi="宋体"/>
          <w:kern w:val="0"/>
          <w:szCs w:val="24"/>
        </w:rPr>
        <w:t>上述监测计划可企业委托有资质单位进行监测。</w:t>
      </w:r>
    </w:p>
    <w:p>
      <w:pPr>
        <w:pStyle w:val="4"/>
        <w:adjustRightInd w:val="0"/>
        <w:snapToGrid w:val="0"/>
        <w:rPr>
          <w:color w:val="000000" w:themeColor="text1"/>
        </w:rPr>
      </w:pPr>
      <w:bookmarkStart w:id="239" w:name="_Toc25826512"/>
      <w:bookmarkStart w:id="240" w:name="_Toc532497706"/>
      <w:bookmarkStart w:id="241" w:name="_Toc532498768"/>
      <w:bookmarkStart w:id="242" w:name="_Toc532376175"/>
      <w:bookmarkStart w:id="243" w:name="_Toc532763232"/>
      <w:r>
        <w:rPr>
          <w:rFonts w:hint="eastAsia"/>
          <w:color w:val="000000" w:themeColor="text1"/>
        </w:rPr>
        <w:t>达标排放与总量控制</w:t>
      </w:r>
      <w:bookmarkEnd w:id="239"/>
      <w:bookmarkEnd w:id="240"/>
      <w:bookmarkEnd w:id="241"/>
      <w:bookmarkEnd w:id="242"/>
      <w:bookmarkEnd w:id="243"/>
    </w:p>
    <w:p>
      <w:pPr>
        <w:spacing w:line="360" w:lineRule="auto"/>
        <w:ind w:firstLine="480" w:firstLineChars="200"/>
      </w:pPr>
      <w:r>
        <w:rPr>
          <w:rFonts w:hint="eastAsia"/>
        </w:rPr>
        <w:t>1、污染物达标分析</w:t>
      </w:r>
    </w:p>
    <w:p>
      <w:pPr>
        <w:spacing w:line="360" w:lineRule="auto"/>
        <w:ind w:firstLine="480" w:firstLineChars="200"/>
      </w:pPr>
      <w:r>
        <w:t>污染物达标排放是我国控制污染的一项重要措施，各建设项目必须执行环境保护的“三同时”制度，确保工程投产后，各污染物均能做到达标排放。</w:t>
      </w:r>
    </w:p>
    <w:p>
      <w:pPr>
        <w:spacing w:line="360" w:lineRule="auto"/>
        <w:ind w:firstLine="480" w:firstLineChars="200"/>
      </w:pPr>
      <w:r>
        <w:t>（1）废水排放</w:t>
      </w:r>
    </w:p>
    <w:p>
      <w:pPr>
        <w:spacing w:line="360" w:lineRule="auto"/>
        <w:ind w:firstLine="480" w:firstLineChars="200"/>
      </w:pPr>
      <w:r>
        <w:t>项目内实行雨、污分流制。</w:t>
      </w:r>
      <w:r>
        <w:rPr>
          <w:rFonts w:hint="eastAsia"/>
        </w:rPr>
        <w:t>医疗废水经预处理消毒达到《医疗机构水污染物排放标准》（</w:t>
      </w:r>
      <w:r>
        <w:t>GB18466-2005</w:t>
      </w:r>
      <w:r>
        <w:rPr>
          <w:rFonts w:hint="eastAsia"/>
        </w:rPr>
        <w:t>）中表</w:t>
      </w:r>
      <w:r>
        <w:t>2</w:t>
      </w:r>
      <w:r>
        <w:rPr>
          <w:rFonts w:hint="eastAsia"/>
        </w:rPr>
        <w:t>的预处理排放标准后经城市排污管网进入马壕污水处理厂</w:t>
      </w:r>
      <w:r>
        <w:rPr>
          <w:kern w:val="0"/>
        </w:rPr>
        <w:t>处理达《城镇污水处理厂污染物排放标准》（GB18918-2002）中的一级</w:t>
      </w:r>
      <w:r>
        <w:rPr>
          <w:rFonts w:hint="eastAsia"/>
          <w:kern w:val="0"/>
        </w:rPr>
        <w:t>A</w:t>
      </w:r>
      <w:r>
        <w:rPr>
          <w:kern w:val="0"/>
        </w:rPr>
        <w:t>标准后排入</w:t>
      </w:r>
      <w:r>
        <w:rPr>
          <w:rFonts w:hint="eastAsia"/>
          <w:kern w:val="0"/>
        </w:rPr>
        <w:t>东风湖</w:t>
      </w:r>
      <w:r>
        <w:rPr>
          <w:rFonts w:hint="eastAsia"/>
        </w:rPr>
        <w:t>；厨房废水经隔油池再经化粪池处理、生活污水化粪池预处理达到《污水综合排放标准》（</w:t>
      </w:r>
      <w:r>
        <w:t>GB8978-1996</w:t>
      </w:r>
      <w:r>
        <w:rPr>
          <w:rFonts w:hint="eastAsia"/>
        </w:rPr>
        <w:t>）中表</w:t>
      </w:r>
      <w:r>
        <w:t>4</w:t>
      </w:r>
      <w:r>
        <w:rPr>
          <w:rFonts w:hint="eastAsia"/>
        </w:rPr>
        <w:t>的三级排放标准后经城市排污管网进入马壕污水处理厂</w:t>
      </w:r>
      <w:r>
        <w:rPr>
          <w:kern w:val="0"/>
        </w:rPr>
        <w:t>处理达《城镇污水处理厂污染物排放标准》（GB18918-2002）中的一级</w:t>
      </w:r>
      <w:r>
        <w:rPr>
          <w:rFonts w:hint="eastAsia"/>
          <w:kern w:val="0"/>
        </w:rPr>
        <w:t>A</w:t>
      </w:r>
      <w:r>
        <w:rPr>
          <w:kern w:val="0"/>
        </w:rPr>
        <w:t>标准后排入东风湖</w:t>
      </w:r>
      <w:r>
        <w:t>。因此，项目废水可做到达标排放。</w:t>
      </w:r>
    </w:p>
    <w:p>
      <w:pPr>
        <w:spacing w:line="360" w:lineRule="auto"/>
        <w:ind w:firstLine="480" w:firstLineChars="200"/>
      </w:pPr>
      <w:r>
        <w:t>（2）废气排放</w:t>
      </w:r>
    </w:p>
    <w:p>
      <w:pPr>
        <w:spacing w:line="360" w:lineRule="auto"/>
        <w:ind w:firstLine="480" w:firstLineChars="200"/>
      </w:pPr>
      <w:r>
        <w:t>项目不使用任何燃煤锅炉和炉灶，所用能源为电能和天然气、轻柴油等清洁能源，从源头上控制废气污染物的排放；</w:t>
      </w:r>
      <w:r>
        <w:rPr>
          <w:rFonts w:hint="eastAsia"/>
        </w:rPr>
        <w:t>食堂油烟经油烟净化器处理经油烟管道至屋顶</w:t>
      </w:r>
      <w:r>
        <w:t>排放</w:t>
      </w:r>
      <w:r>
        <w:rPr>
          <w:rFonts w:hint="eastAsia"/>
        </w:rPr>
        <w:t>高空排放，</w:t>
      </w:r>
      <w:r>
        <w:t>发电机尾气由内置专用烟道引至高空排放。</w:t>
      </w:r>
      <w:r>
        <w:rPr>
          <w:rFonts w:hint="eastAsia"/>
        </w:rPr>
        <w:t>锅炉采取天然气作为燃料，其燃烧烟气引至高空排放</w:t>
      </w:r>
      <w:r>
        <w:rPr>
          <w:rFonts w:hint="eastAsia" w:hAnsi="宋体"/>
          <w:spacing w:val="4"/>
        </w:rPr>
        <w:t>，</w:t>
      </w:r>
      <w:r>
        <w:t>垃圾收集站臭气喷洒消毒药剂，放置除臭剂。经以上措施处理后，项目废气</w:t>
      </w:r>
      <w:r>
        <w:rPr>
          <w:rFonts w:hint="eastAsia"/>
        </w:rPr>
        <w:t>均能达标排放，对周边环境影响较小。</w:t>
      </w:r>
    </w:p>
    <w:p>
      <w:pPr>
        <w:spacing w:line="360" w:lineRule="auto"/>
        <w:ind w:firstLine="480" w:firstLineChars="200"/>
      </w:pPr>
      <w:r>
        <w:t>（3）噪声排放</w:t>
      </w:r>
    </w:p>
    <w:p>
      <w:pPr>
        <w:spacing w:line="360" w:lineRule="auto"/>
        <w:ind w:firstLine="480" w:firstLineChars="200"/>
      </w:pPr>
      <w:r>
        <w:rPr>
          <w:rFonts w:hint="eastAsia"/>
        </w:rPr>
        <w:t>医院内</w:t>
      </w:r>
      <w:r>
        <w:t>车辆交通噪声，采取优化项目总平面布置、人车分流，以及严格控制进入项目的车流量、车速，禁鸣喇叭等措施后，交通噪声对区内声环境影响较小；项目配套的动力设施（水泵、风机、发电机、电梯机组等）均置于地下室，水泵、风机等选低噪设备，对其基础采用减振基础，减震基础与建设主基础不相连，并采取有效的隔声和吸声措施。采取上述措施后，项目噪声可达到</w:t>
      </w:r>
      <w:r>
        <w:rPr>
          <w:rFonts w:hint="eastAsia" w:hAnsi="宋体"/>
        </w:rPr>
        <w:t>《工业企业厂界环境噪声排放标准》（GB12348-2008）</w:t>
      </w:r>
      <w:r>
        <w:t>中的2类标准。</w:t>
      </w:r>
    </w:p>
    <w:p>
      <w:pPr>
        <w:spacing w:line="360" w:lineRule="auto"/>
        <w:ind w:firstLine="480" w:firstLineChars="200"/>
      </w:pPr>
      <w:r>
        <w:t>（4）固废排放</w:t>
      </w:r>
    </w:p>
    <w:p>
      <w:pPr>
        <w:adjustRightInd w:val="0"/>
        <w:snapToGrid w:val="0"/>
        <w:spacing w:line="360" w:lineRule="auto"/>
        <w:ind w:firstLine="480" w:firstLineChars="200"/>
      </w:pPr>
      <w:r>
        <w:t>本项目</w:t>
      </w:r>
      <w:r>
        <w:rPr>
          <w:rFonts w:hint="eastAsia"/>
        </w:rPr>
        <w:t>产生的医疗垃圾</w:t>
      </w:r>
      <w:r>
        <w:rPr>
          <w:rFonts w:hint="eastAsia" w:hAnsi="宋体"/>
        </w:rPr>
        <w:t>交</w:t>
      </w:r>
      <w:r>
        <w:t>岳阳市方向固废安全处置中心</w:t>
      </w:r>
      <w:r>
        <w:rPr>
          <w:rFonts w:hint="eastAsia"/>
        </w:rPr>
        <w:t>无害化处置</w:t>
      </w:r>
      <w:r>
        <w:t>，不会对环境产生污染</w:t>
      </w:r>
      <w:r>
        <w:rPr>
          <w:rFonts w:hint="eastAsia"/>
        </w:rPr>
        <w:t>；污水处理站污泥定期清掏，经消毒脱水后委托有资质单位进行无害化处置；</w:t>
      </w:r>
      <w:r>
        <w:t>生活垃圾</w:t>
      </w:r>
      <w:r>
        <w:rPr>
          <w:rFonts w:hint="eastAsia"/>
        </w:rPr>
        <w:t>经</w:t>
      </w:r>
      <w:r>
        <w:t>集中收集后由</w:t>
      </w:r>
      <w:r>
        <w:rPr>
          <w:rFonts w:hint="eastAsia"/>
        </w:rPr>
        <w:t>岳阳市</w:t>
      </w:r>
      <w:r>
        <w:t>环卫部门统一</w:t>
      </w:r>
      <w:r>
        <w:rPr>
          <w:rFonts w:hint="eastAsia"/>
        </w:rPr>
        <w:t>送至岳阳市</w:t>
      </w:r>
      <w:r>
        <w:t>城市生活垃圾卫生填埋场，</w:t>
      </w:r>
      <w:r>
        <w:rPr>
          <w:rFonts w:hint="eastAsia"/>
        </w:rPr>
        <w:t>因此本项目产生的固废均能得到合适的处置。</w:t>
      </w:r>
    </w:p>
    <w:p>
      <w:pPr>
        <w:autoSpaceDE w:val="0"/>
        <w:autoSpaceDN w:val="0"/>
        <w:adjustRightInd w:val="0"/>
        <w:spacing w:line="360" w:lineRule="auto"/>
        <w:ind w:firstLine="480" w:firstLineChars="200"/>
        <w:jc w:val="left"/>
      </w:pPr>
      <w:r>
        <w:t>由以上分析可知，本项目污染物均可达标排放或得到妥善处置。</w:t>
      </w:r>
    </w:p>
    <w:p>
      <w:pPr>
        <w:autoSpaceDE w:val="0"/>
        <w:autoSpaceDN w:val="0"/>
        <w:adjustRightInd w:val="0"/>
        <w:spacing w:line="360" w:lineRule="auto"/>
        <w:ind w:firstLine="480" w:firstLineChars="200"/>
        <w:jc w:val="left"/>
      </w:pPr>
      <w:r>
        <w:rPr>
          <w:rFonts w:hint="eastAsia"/>
        </w:rPr>
        <w:t>2、总量控制</w:t>
      </w:r>
    </w:p>
    <w:p>
      <w:pPr>
        <w:spacing w:line="360" w:lineRule="auto"/>
        <w:ind w:firstLine="480" w:firstLineChars="200"/>
      </w:pPr>
      <w:r>
        <w:t>为了适应我国改革开放和经济建设快速发展的需要，做到经济发展和环境保护协调并进，单靠控制污染物排放浓度的措施，不能有效遏制环境质量的恶化趋势。对污染源的控制，不仅要求污染物排放浓度达标，还必须控制污染物的排放总量。根据项目污染源及其源强的分析，废水</w:t>
      </w:r>
      <w:r>
        <w:rPr>
          <w:rFonts w:hint="eastAsia"/>
        </w:rPr>
        <w:t>的</w:t>
      </w:r>
      <w:r>
        <w:t>主要污染因子是COD和NH</w:t>
      </w:r>
      <w:r>
        <w:rPr>
          <w:vertAlign w:val="subscript"/>
        </w:rPr>
        <w:t>3</w:t>
      </w:r>
      <w:r>
        <w:t>-N</w:t>
      </w:r>
      <w:r>
        <w:rPr>
          <w:rFonts w:hint="eastAsia"/>
        </w:rPr>
        <w:t>，废气主要污染因子为二氧化硫和氮氧化物。</w:t>
      </w:r>
    </w:p>
    <w:p>
      <w:pPr>
        <w:autoSpaceDE w:val="0"/>
        <w:autoSpaceDN w:val="0"/>
        <w:adjustRightInd w:val="0"/>
        <w:spacing w:line="360" w:lineRule="auto"/>
        <w:ind w:firstLine="480" w:firstLineChars="200"/>
        <w:jc w:val="left"/>
        <w:rPr>
          <w:color w:val="000000" w:themeColor="text1"/>
        </w:rPr>
      </w:pPr>
      <w:r>
        <w:rPr>
          <w:color w:val="000000" w:themeColor="text1"/>
        </w:rPr>
        <w:t>本次环评在达标排放基础上给出该项目污染物排放总量控制建议指标，项目废水经</w:t>
      </w:r>
      <w:r>
        <w:rPr>
          <w:rFonts w:hint="eastAsia"/>
          <w:color w:val="000000" w:themeColor="text1"/>
        </w:rPr>
        <w:t>预</w:t>
      </w:r>
      <w:r>
        <w:rPr>
          <w:color w:val="000000" w:themeColor="text1"/>
        </w:rPr>
        <w:t>处理后</w:t>
      </w:r>
      <w:r>
        <w:rPr>
          <w:rFonts w:hint="eastAsia"/>
          <w:color w:val="000000" w:themeColor="text1"/>
        </w:rPr>
        <w:t>进入马壕污水处理厂</w:t>
      </w:r>
      <w:r>
        <w:rPr>
          <w:color w:val="000000" w:themeColor="text1"/>
        </w:rPr>
        <w:t>处理后进入</w:t>
      </w:r>
      <w:r>
        <w:rPr>
          <w:rFonts w:hint="eastAsia"/>
          <w:color w:val="000000" w:themeColor="text1"/>
        </w:rPr>
        <w:t>东风湖</w:t>
      </w:r>
      <w:r>
        <w:rPr>
          <w:color w:val="000000" w:themeColor="text1"/>
        </w:rPr>
        <w:t>，COD</w:t>
      </w:r>
      <w:r>
        <w:rPr>
          <w:color w:val="000000" w:themeColor="text1"/>
          <w:vertAlign w:val="subscript"/>
        </w:rPr>
        <w:t>Cr</w:t>
      </w:r>
      <w:r>
        <w:rPr>
          <w:rFonts w:hint="eastAsia"/>
          <w:color w:val="000000" w:themeColor="text1"/>
        </w:rPr>
        <w:t>总量</w:t>
      </w:r>
      <w:r>
        <w:rPr>
          <w:color w:val="000000" w:themeColor="text1"/>
        </w:rPr>
        <w:t>控制建议指标为</w:t>
      </w:r>
      <w:r>
        <w:rPr>
          <w:rFonts w:hint="eastAsia"/>
          <w:color w:val="000000" w:themeColor="text1"/>
        </w:rPr>
        <w:t>21.531</w:t>
      </w:r>
      <w:r>
        <w:rPr>
          <w:color w:val="000000" w:themeColor="text1"/>
        </w:rPr>
        <w:t>t/a</w:t>
      </w:r>
      <w:r>
        <w:rPr>
          <w:rFonts w:hint="eastAsia"/>
          <w:color w:val="000000" w:themeColor="text1"/>
        </w:rPr>
        <w:t>、氨氮总量</w:t>
      </w:r>
      <w:r>
        <w:rPr>
          <w:color w:val="000000" w:themeColor="text1"/>
        </w:rPr>
        <w:t>控制建议指标为</w:t>
      </w:r>
      <w:r>
        <w:rPr>
          <w:rFonts w:hint="eastAsia"/>
          <w:color w:val="000000" w:themeColor="text1"/>
        </w:rPr>
        <w:t>1.89</w:t>
      </w:r>
      <w:r>
        <w:rPr>
          <w:color w:val="000000" w:themeColor="text1"/>
        </w:rPr>
        <w:t>t/a</w:t>
      </w:r>
      <w:r>
        <w:rPr>
          <w:rFonts w:hint="eastAsia"/>
          <w:color w:val="000000" w:themeColor="text1"/>
        </w:rPr>
        <w:t>，总磷总量控制建议指标为0.14t/a，总氮的总量控制建议指标为3.02t/a。大气中的二氧化硫总量控制建议指标为0.304t/a、氮氧化物总量控制建议指标为0.296t/a，总量指标由建设单位向岳阳市环境保护局岳阳楼区分局申请。</w:t>
      </w:r>
    </w:p>
    <w:p>
      <w:pPr>
        <w:pStyle w:val="14"/>
        <w:spacing w:line="240" w:lineRule="auto"/>
        <w:rPr>
          <w:rFonts w:cs="Times New Roman"/>
          <w:color w:val="000000" w:themeColor="text1"/>
        </w:rPr>
      </w:pPr>
    </w:p>
    <w:p>
      <w:pPr>
        <w:pStyle w:val="14"/>
        <w:spacing w:line="240" w:lineRule="auto"/>
        <w:rPr>
          <w:rFonts w:cs="Times New Roman"/>
          <w:color w:val="000000" w:themeColor="text1"/>
          <w:kern w:val="0"/>
          <w:szCs w:val="24"/>
        </w:rPr>
      </w:pPr>
      <w:r>
        <w:rPr>
          <w:rFonts w:cs="Times New Roman"/>
          <w:color w:val="000000" w:themeColor="text1"/>
        </w:rPr>
        <w:t>表</w:t>
      </w:r>
      <w:r>
        <w:rPr>
          <w:rFonts w:cs="Times New Roman"/>
          <w:color w:val="000000" w:themeColor="text1"/>
        </w:rPr>
        <w:fldChar w:fldCharType="begin"/>
      </w:r>
      <w:r>
        <w:rPr>
          <w:rFonts w:cs="Times New Roman"/>
          <w:color w:val="000000" w:themeColor="text1"/>
        </w:rPr>
        <w:instrText xml:space="preserve"> STYLEREF 2 \s </w:instrText>
      </w:r>
      <w:r>
        <w:rPr>
          <w:rFonts w:cs="Times New Roman"/>
          <w:color w:val="000000" w:themeColor="text1"/>
        </w:rPr>
        <w:fldChar w:fldCharType="separate"/>
      </w:r>
      <w:r>
        <w:rPr>
          <w:rFonts w:cs="Times New Roman"/>
          <w:color w:val="000000" w:themeColor="text1"/>
        </w:rPr>
        <w:t>9.6</w:t>
      </w:r>
      <w:r>
        <w:rPr>
          <w:rFonts w:cs="Times New Roman"/>
          <w:color w:val="000000" w:themeColor="text1"/>
        </w:rPr>
        <w:fldChar w:fldCharType="end"/>
      </w:r>
      <w:r>
        <w:rPr>
          <w:rFonts w:cs="Times New Roman"/>
          <w:color w:val="000000" w:themeColor="text1"/>
        </w:rPr>
        <w:noBreakHyphen/>
      </w:r>
      <w:r>
        <w:rPr>
          <w:rFonts w:cs="Times New Roman"/>
          <w:color w:val="000000" w:themeColor="text1"/>
        </w:rPr>
        <w:fldChar w:fldCharType="begin"/>
      </w:r>
      <w:r>
        <w:rPr>
          <w:rFonts w:cs="Times New Roman"/>
          <w:color w:val="000000" w:themeColor="text1"/>
        </w:rPr>
        <w:instrText xml:space="preserve"> SEQ 表 \* ARABIC \s 2 </w:instrText>
      </w:r>
      <w:r>
        <w:rPr>
          <w:rFonts w:cs="Times New Roman"/>
          <w:color w:val="000000" w:themeColor="text1"/>
        </w:rPr>
        <w:fldChar w:fldCharType="separate"/>
      </w:r>
      <w:r>
        <w:rPr>
          <w:rFonts w:cs="Times New Roman"/>
          <w:color w:val="000000" w:themeColor="text1"/>
        </w:rPr>
        <w:t>1</w:t>
      </w:r>
      <w:r>
        <w:rPr>
          <w:rFonts w:cs="Times New Roman"/>
          <w:color w:val="000000" w:themeColor="text1"/>
        </w:rPr>
        <w:fldChar w:fldCharType="end"/>
      </w:r>
      <w:r>
        <w:rPr>
          <w:color w:val="000000" w:themeColor="text1"/>
          <w:spacing w:val="-6"/>
        </w:rPr>
        <w:t>污染物排放总量控制建议指标</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2"/>
        <w:gridCol w:w="2091"/>
        <w:gridCol w:w="2425"/>
        <w:gridCol w:w="2017"/>
        <w:gridCol w:w="2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504" w:type="pct"/>
            <w:vAlign w:val="center"/>
          </w:tcPr>
          <w:p>
            <w:pPr>
              <w:jc w:val="center"/>
              <w:rPr>
                <w:sz w:val="21"/>
              </w:rPr>
            </w:pPr>
            <w:r>
              <w:rPr>
                <w:sz w:val="21"/>
              </w:rPr>
              <w:t>项目</w:t>
            </w:r>
          </w:p>
        </w:tc>
        <w:tc>
          <w:tcPr>
            <w:tcW w:w="1083" w:type="pct"/>
            <w:vAlign w:val="center"/>
          </w:tcPr>
          <w:p>
            <w:pPr>
              <w:jc w:val="center"/>
              <w:rPr>
                <w:sz w:val="21"/>
              </w:rPr>
            </w:pPr>
            <w:r>
              <w:rPr>
                <w:sz w:val="21"/>
              </w:rPr>
              <w:t>污染物名称</w:t>
            </w:r>
          </w:p>
        </w:tc>
        <w:tc>
          <w:tcPr>
            <w:tcW w:w="1256" w:type="pct"/>
            <w:vAlign w:val="center"/>
          </w:tcPr>
          <w:p>
            <w:pPr>
              <w:jc w:val="center"/>
              <w:rPr>
                <w:sz w:val="21"/>
              </w:rPr>
            </w:pPr>
            <w:r>
              <w:rPr>
                <w:sz w:val="21"/>
              </w:rPr>
              <w:t>污染物</w:t>
            </w:r>
            <w:r>
              <w:rPr>
                <w:rFonts w:hint="eastAsia"/>
                <w:sz w:val="21"/>
              </w:rPr>
              <w:t>产生量</w:t>
            </w:r>
          </w:p>
        </w:tc>
        <w:tc>
          <w:tcPr>
            <w:tcW w:w="1045" w:type="pct"/>
            <w:vAlign w:val="center"/>
          </w:tcPr>
          <w:p>
            <w:pPr>
              <w:jc w:val="center"/>
              <w:rPr>
                <w:sz w:val="21"/>
              </w:rPr>
            </w:pPr>
            <w:r>
              <w:rPr>
                <w:rFonts w:hint="eastAsia"/>
                <w:sz w:val="21"/>
              </w:rPr>
              <w:t>自身及马壕污水厂</w:t>
            </w:r>
            <w:r>
              <w:rPr>
                <w:sz w:val="21"/>
              </w:rPr>
              <w:t>削减量</w:t>
            </w:r>
          </w:p>
        </w:tc>
        <w:tc>
          <w:tcPr>
            <w:tcW w:w="1111" w:type="pct"/>
            <w:vAlign w:val="center"/>
          </w:tcPr>
          <w:p>
            <w:pPr>
              <w:jc w:val="center"/>
              <w:rPr>
                <w:sz w:val="21"/>
              </w:rPr>
            </w:pPr>
            <w:r>
              <w:rPr>
                <w:rFonts w:hint="eastAsia"/>
                <w:sz w:val="21"/>
              </w:rPr>
              <w:t>最终</w:t>
            </w:r>
            <w:r>
              <w:rPr>
                <w:sz w:val="21"/>
              </w:rPr>
              <w:t>排放总量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504" w:type="pct"/>
            <w:vMerge w:val="restart"/>
            <w:vAlign w:val="center"/>
          </w:tcPr>
          <w:p>
            <w:pPr>
              <w:jc w:val="center"/>
              <w:rPr>
                <w:sz w:val="21"/>
              </w:rPr>
            </w:pPr>
            <w:r>
              <w:rPr>
                <w:sz w:val="21"/>
              </w:rPr>
              <w:t>废水</w:t>
            </w:r>
          </w:p>
        </w:tc>
        <w:tc>
          <w:tcPr>
            <w:tcW w:w="1083" w:type="pct"/>
            <w:vAlign w:val="center"/>
          </w:tcPr>
          <w:p>
            <w:pPr>
              <w:jc w:val="center"/>
              <w:rPr>
                <w:sz w:val="21"/>
              </w:rPr>
            </w:pPr>
            <w:r>
              <w:rPr>
                <w:sz w:val="21"/>
              </w:rPr>
              <w:t>COD</w:t>
            </w:r>
          </w:p>
        </w:tc>
        <w:tc>
          <w:tcPr>
            <w:tcW w:w="1256" w:type="pct"/>
            <w:vAlign w:val="center"/>
          </w:tcPr>
          <w:p>
            <w:pPr>
              <w:jc w:val="center"/>
              <w:rPr>
                <w:sz w:val="21"/>
              </w:rPr>
            </w:pPr>
            <w:r>
              <w:rPr>
                <w:rFonts w:hint="eastAsia"/>
                <w:sz w:val="21"/>
              </w:rPr>
              <w:t>36.2</w:t>
            </w:r>
            <w:r>
              <w:rPr>
                <w:sz w:val="21"/>
              </w:rPr>
              <w:t>t/a</w:t>
            </w:r>
          </w:p>
        </w:tc>
        <w:tc>
          <w:tcPr>
            <w:tcW w:w="1045" w:type="pct"/>
            <w:vAlign w:val="center"/>
          </w:tcPr>
          <w:p>
            <w:pPr>
              <w:jc w:val="center"/>
              <w:rPr>
                <w:sz w:val="21"/>
              </w:rPr>
            </w:pPr>
            <w:r>
              <w:rPr>
                <w:rFonts w:hint="eastAsia"/>
                <w:sz w:val="21"/>
              </w:rPr>
              <w:t>14.67</w:t>
            </w:r>
            <w:r>
              <w:rPr>
                <w:sz w:val="21"/>
              </w:rPr>
              <w:t>t/a</w:t>
            </w:r>
          </w:p>
        </w:tc>
        <w:tc>
          <w:tcPr>
            <w:tcW w:w="1111" w:type="pct"/>
            <w:vAlign w:val="center"/>
          </w:tcPr>
          <w:p>
            <w:pPr>
              <w:jc w:val="center"/>
              <w:rPr>
                <w:sz w:val="21"/>
              </w:rPr>
            </w:pPr>
            <w:r>
              <w:rPr>
                <w:rFonts w:hint="eastAsia"/>
                <w:sz w:val="21"/>
              </w:rPr>
              <w:t>21.53</w:t>
            </w:r>
            <w:r>
              <w:rPr>
                <w:sz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504" w:type="pct"/>
            <w:vMerge w:val="continue"/>
            <w:vAlign w:val="center"/>
          </w:tcPr>
          <w:p>
            <w:pPr>
              <w:jc w:val="center"/>
              <w:rPr>
                <w:sz w:val="21"/>
              </w:rPr>
            </w:pPr>
          </w:p>
        </w:tc>
        <w:tc>
          <w:tcPr>
            <w:tcW w:w="1083" w:type="pct"/>
            <w:vAlign w:val="center"/>
          </w:tcPr>
          <w:p>
            <w:pPr>
              <w:jc w:val="center"/>
              <w:rPr>
                <w:sz w:val="21"/>
              </w:rPr>
            </w:pPr>
            <w:r>
              <w:rPr>
                <w:sz w:val="21"/>
              </w:rPr>
              <w:t>NH</w:t>
            </w:r>
            <w:r>
              <w:rPr>
                <w:sz w:val="21"/>
                <w:vertAlign w:val="subscript"/>
              </w:rPr>
              <w:t>3</w:t>
            </w:r>
            <w:r>
              <w:rPr>
                <w:sz w:val="21"/>
              </w:rPr>
              <w:t>-N</w:t>
            </w:r>
          </w:p>
        </w:tc>
        <w:tc>
          <w:tcPr>
            <w:tcW w:w="1256" w:type="pct"/>
            <w:vAlign w:val="center"/>
          </w:tcPr>
          <w:p>
            <w:pPr>
              <w:jc w:val="center"/>
              <w:rPr>
                <w:sz w:val="21"/>
              </w:rPr>
            </w:pPr>
            <w:r>
              <w:rPr>
                <w:rFonts w:hint="eastAsia"/>
                <w:sz w:val="21"/>
              </w:rPr>
              <w:t>4.46</w:t>
            </w:r>
            <w:r>
              <w:rPr>
                <w:sz w:val="21"/>
              </w:rPr>
              <w:t>t/a</w:t>
            </w:r>
          </w:p>
        </w:tc>
        <w:tc>
          <w:tcPr>
            <w:tcW w:w="1045" w:type="pct"/>
            <w:vAlign w:val="center"/>
          </w:tcPr>
          <w:p>
            <w:pPr>
              <w:jc w:val="center"/>
              <w:rPr>
                <w:sz w:val="21"/>
              </w:rPr>
            </w:pPr>
            <w:r>
              <w:rPr>
                <w:rFonts w:hint="eastAsia"/>
                <w:sz w:val="21"/>
              </w:rPr>
              <w:t>2.57</w:t>
            </w:r>
            <w:r>
              <w:rPr>
                <w:sz w:val="21"/>
              </w:rPr>
              <w:t>t/a</w:t>
            </w:r>
          </w:p>
        </w:tc>
        <w:tc>
          <w:tcPr>
            <w:tcW w:w="1111" w:type="pct"/>
            <w:vAlign w:val="center"/>
          </w:tcPr>
          <w:p>
            <w:pPr>
              <w:jc w:val="center"/>
              <w:rPr>
                <w:sz w:val="21"/>
              </w:rPr>
            </w:pPr>
            <w:r>
              <w:rPr>
                <w:rFonts w:hint="eastAsia"/>
                <w:sz w:val="21"/>
              </w:rPr>
              <w:t>1.89</w:t>
            </w:r>
            <w:r>
              <w:rPr>
                <w:sz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504" w:type="pct"/>
            <w:vMerge w:val="continue"/>
            <w:vAlign w:val="center"/>
          </w:tcPr>
          <w:p>
            <w:pPr>
              <w:jc w:val="center"/>
              <w:rPr>
                <w:sz w:val="21"/>
              </w:rPr>
            </w:pPr>
          </w:p>
        </w:tc>
        <w:tc>
          <w:tcPr>
            <w:tcW w:w="1083" w:type="pct"/>
            <w:vAlign w:val="center"/>
          </w:tcPr>
          <w:p>
            <w:pPr>
              <w:jc w:val="center"/>
              <w:rPr>
                <w:sz w:val="21"/>
              </w:rPr>
            </w:pPr>
            <w:r>
              <w:rPr>
                <w:sz w:val="21"/>
              </w:rPr>
              <w:t>总磷</w:t>
            </w:r>
          </w:p>
        </w:tc>
        <w:tc>
          <w:tcPr>
            <w:tcW w:w="1256" w:type="pct"/>
            <w:vAlign w:val="center"/>
          </w:tcPr>
          <w:p>
            <w:pPr>
              <w:jc w:val="center"/>
              <w:rPr>
                <w:sz w:val="21"/>
              </w:rPr>
            </w:pPr>
            <w:r>
              <w:rPr>
                <w:rFonts w:hint="eastAsia"/>
                <w:sz w:val="21"/>
              </w:rPr>
              <w:t>0.28</w:t>
            </w:r>
            <w:r>
              <w:rPr>
                <w:sz w:val="21"/>
              </w:rPr>
              <w:t>t/a</w:t>
            </w:r>
          </w:p>
        </w:tc>
        <w:tc>
          <w:tcPr>
            <w:tcW w:w="1045" w:type="pct"/>
            <w:vAlign w:val="center"/>
          </w:tcPr>
          <w:p>
            <w:pPr>
              <w:jc w:val="center"/>
              <w:rPr>
                <w:kern w:val="0"/>
                <w:sz w:val="21"/>
              </w:rPr>
            </w:pPr>
            <w:r>
              <w:rPr>
                <w:rFonts w:hint="eastAsia"/>
                <w:kern w:val="0"/>
                <w:sz w:val="21"/>
              </w:rPr>
              <w:t>0.14</w:t>
            </w:r>
            <w:r>
              <w:rPr>
                <w:sz w:val="21"/>
              </w:rPr>
              <w:t>t/a</w:t>
            </w:r>
          </w:p>
        </w:tc>
        <w:tc>
          <w:tcPr>
            <w:tcW w:w="1111" w:type="pct"/>
            <w:vAlign w:val="center"/>
          </w:tcPr>
          <w:p>
            <w:pPr>
              <w:jc w:val="center"/>
              <w:rPr>
                <w:sz w:val="21"/>
              </w:rPr>
            </w:pPr>
            <w:r>
              <w:rPr>
                <w:rFonts w:hint="eastAsia"/>
                <w:sz w:val="21"/>
              </w:rPr>
              <w:t>0.14</w:t>
            </w:r>
            <w:r>
              <w:rPr>
                <w:sz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504" w:type="pct"/>
            <w:vMerge w:val="continue"/>
            <w:vAlign w:val="center"/>
          </w:tcPr>
          <w:p>
            <w:pPr>
              <w:jc w:val="center"/>
              <w:rPr>
                <w:sz w:val="21"/>
              </w:rPr>
            </w:pPr>
          </w:p>
        </w:tc>
        <w:tc>
          <w:tcPr>
            <w:tcW w:w="1083" w:type="pct"/>
            <w:vAlign w:val="center"/>
          </w:tcPr>
          <w:p>
            <w:pPr>
              <w:jc w:val="center"/>
              <w:rPr>
                <w:sz w:val="21"/>
              </w:rPr>
            </w:pPr>
            <w:r>
              <w:rPr>
                <w:sz w:val="21"/>
              </w:rPr>
              <w:t>总氮</w:t>
            </w:r>
          </w:p>
        </w:tc>
        <w:tc>
          <w:tcPr>
            <w:tcW w:w="1256" w:type="pct"/>
            <w:vAlign w:val="center"/>
          </w:tcPr>
          <w:p>
            <w:pPr>
              <w:jc w:val="center"/>
              <w:rPr>
                <w:sz w:val="21"/>
              </w:rPr>
            </w:pPr>
            <w:r>
              <w:rPr>
                <w:rFonts w:hint="eastAsia"/>
                <w:sz w:val="21"/>
              </w:rPr>
              <w:t>6.06</w:t>
            </w:r>
            <w:r>
              <w:rPr>
                <w:sz w:val="21"/>
              </w:rPr>
              <w:t>t/a</w:t>
            </w:r>
          </w:p>
        </w:tc>
        <w:tc>
          <w:tcPr>
            <w:tcW w:w="1045" w:type="pct"/>
            <w:vAlign w:val="center"/>
          </w:tcPr>
          <w:p>
            <w:pPr>
              <w:jc w:val="center"/>
              <w:rPr>
                <w:kern w:val="0"/>
                <w:sz w:val="21"/>
              </w:rPr>
            </w:pPr>
            <w:r>
              <w:rPr>
                <w:rFonts w:hint="eastAsia"/>
                <w:kern w:val="0"/>
                <w:sz w:val="21"/>
              </w:rPr>
              <w:t>3.04</w:t>
            </w:r>
            <w:r>
              <w:rPr>
                <w:sz w:val="21"/>
              </w:rPr>
              <w:t>t/a</w:t>
            </w:r>
          </w:p>
        </w:tc>
        <w:tc>
          <w:tcPr>
            <w:tcW w:w="1111" w:type="pct"/>
            <w:vAlign w:val="center"/>
          </w:tcPr>
          <w:p>
            <w:pPr>
              <w:jc w:val="center"/>
              <w:rPr>
                <w:sz w:val="21"/>
              </w:rPr>
            </w:pPr>
            <w:r>
              <w:rPr>
                <w:rFonts w:hint="eastAsia"/>
                <w:sz w:val="21"/>
              </w:rPr>
              <w:t>3.02</w:t>
            </w:r>
            <w:r>
              <w:rPr>
                <w:sz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504" w:type="pct"/>
            <w:vMerge w:val="restart"/>
            <w:vAlign w:val="center"/>
          </w:tcPr>
          <w:p>
            <w:pPr>
              <w:jc w:val="center"/>
              <w:rPr>
                <w:sz w:val="21"/>
              </w:rPr>
            </w:pPr>
            <w:r>
              <w:rPr>
                <w:rFonts w:hint="eastAsia"/>
                <w:sz w:val="21"/>
              </w:rPr>
              <w:t>废气</w:t>
            </w:r>
          </w:p>
        </w:tc>
        <w:tc>
          <w:tcPr>
            <w:tcW w:w="1083" w:type="pct"/>
            <w:vAlign w:val="center"/>
          </w:tcPr>
          <w:p>
            <w:pPr>
              <w:adjustRightInd w:val="0"/>
              <w:snapToGrid w:val="0"/>
              <w:jc w:val="center"/>
              <w:rPr>
                <w:sz w:val="21"/>
              </w:rPr>
            </w:pPr>
            <w:r>
              <w:rPr>
                <w:rFonts w:hint="eastAsia"/>
                <w:sz w:val="21"/>
              </w:rPr>
              <w:t>SO</w:t>
            </w:r>
            <w:r>
              <w:rPr>
                <w:rFonts w:hint="eastAsia"/>
                <w:sz w:val="21"/>
                <w:vertAlign w:val="subscript"/>
              </w:rPr>
              <w:t>2</w:t>
            </w:r>
          </w:p>
        </w:tc>
        <w:tc>
          <w:tcPr>
            <w:tcW w:w="1256" w:type="pct"/>
            <w:vAlign w:val="center"/>
          </w:tcPr>
          <w:p>
            <w:pPr>
              <w:jc w:val="center"/>
              <w:rPr>
                <w:sz w:val="21"/>
              </w:rPr>
            </w:pPr>
            <w:r>
              <w:rPr>
                <w:rFonts w:hint="eastAsia"/>
                <w:sz w:val="21"/>
              </w:rPr>
              <w:t>0.304</w:t>
            </w:r>
            <w:r>
              <w:rPr>
                <w:sz w:val="21"/>
              </w:rPr>
              <w:t>t/a</w:t>
            </w:r>
          </w:p>
        </w:tc>
        <w:tc>
          <w:tcPr>
            <w:tcW w:w="1045" w:type="pct"/>
            <w:vAlign w:val="center"/>
          </w:tcPr>
          <w:p>
            <w:pPr>
              <w:jc w:val="center"/>
              <w:rPr>
                <w:kern w:val="0"/>
                <w:sz w:val="21"/>
              </w:rPr>
            </w:pPr>
            <w:r>
              <w:rPr>
                <w:rFonts w:hint="eastAsia"/>
                <w:kern w:val="0"/>
                <w:sz w:val="21"/>
              </w:rPr>
              <w:t>0</w:t>
            </w:r>
          </w:p>
        </w:tc>
        <w:tc>
          <w:tcPr>
            <w:tcW w:w="1111" w:type="pct"/>
            <w:vAlign w:val="center"/>
          </w:tcPr>
          <w:p>
            <w:pPr>
              <w:jc w:val="center"/>
              <w:rPr>
                <w:sz w:val="21"/>
              </w:rPr>
            </w:pPr>
            <w:r>
              <w:rPr>
                <w:rFonts w:hint="eastAsia"/>
                <w:sz w:val="21"/>
              </w:rPr>
              <w:t>0.304</w:t>
            </w:r>
            <w:r>
              <w:rPr>
                <w:sz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504" w:type="pct"/>
            <w:vMerge w:val="continue"/>
            <w:vAlign w:val="center"/>
          </w:tcPr>
          <w:p>
            <w:pPr>
              <w:jc w:val="center"/>
              <w:rPr>
                <w:sz w:val="21"/>
              </w:rPr>
            </w:pPr>
          </w:p>
        </w:tc>
        <w:tc>
          <w:tcPr>
            <w:tcW w:w="1083" w:type="pct"/>
            <w:vAlign w:val="center"/>
          </w:tcPr>
          <w:p>
            <w:pPr>
              <w:adjustRightInd w:val="0"/>
              <w:snapToGrid w:val="0"/>
              <w:jc w:val="center"/>
              <w:rPr>
                <w:sz w:val="21"/>
              </w:rPr>
            </w:pPr>
            <w:r>
              <w:rPr>
                <w:rFonts w:hint="eastAsia"/>
                <w:sz w:val="21"/>
              </w:rPr>
              <w:t>NO</w:t>
            </w:r>
            <w:r>
              <w:rPr>
                <w:rFonts w:hint="eastAsia"/>
                <w:sz w:val="21"/>
                <w:vertAlign w:val="subscript"/>
              </w:rPr>
              <w:t>x</w:t>
            </w:r>
          </w:p>
        </w:tc>
        <w:tc>
          <w:tcPr>
            <w:tcW w:w="1256" w:type="pct"/>
            <w:vAlign w:val="center"/>
          </w:tcPr>
          <w:p>
            <w:pPr>
              <w:jc w:val="center"/>
              <w:rPr>
                <w:sz w:val="21"/>
              </w:rPr>
            </w:pPr>
            <w:r>
              <w:rPr>
                <w:rFonts w:hint="eastAsia"/>
                <w:sz w:val="21"/>
              </w:rPr>
              <w:t>0.296</w:t>
            </w:r>
            <w:r>
              <w:rPr>
                <w:sz w:val="21"/>
              </w:rPr>
              <w:t>t/a</w:t>
            </w:r>
          </w:p>
        </w:tc>
        <w:tc>
          <w:tcPr>
            <w:tcW w:w="1045" w:type="pct"/>
            <w:vAlign w:val="center"/>
          </w:tcPr>
          <w:p>
            <w:pPr>
              <w:jc w:val="center"/>
              <w:rPr>
                <w:kern w:val="0"/>
                <w:sz w:val="21"/>
              </w:rPr>
            </w:pPr>
            <w:r>
              <w:rPr>
                <w:rFonts w:hint="eastAsia"/>
                <w:kern w:val="0"/>
                <w:sz w:val="21"/>
              </w:rPr>
              <w:t>0</w:t>
            </w:r>
          </w:p>
        </w:tc>
        <w:tc>
          <w:tcPr>
            <w:tcW w:w="1111" w:type="pct"/>
            <w:vAlign w:val="center"/>
          </w:tcPr>
          <w:p>
            <w:pPr>
              <w:jc w:val="center"/>
              <w:rPr>
                <w:sz w:val="21"/>
              </w:rPr>
            </w:pPr>
            <w:r>
              <w:rPr>
                <w:rFonts w:hint="eastAsia"/>
                <w:sz w:val="21"/>
              </w:rPr>
              <w:t>0.296</w:t>
            </w:r>
            <w:r>
              <w:rPr>
                <w:sz w:val="21"/>
              </w:rPr>
              <w:t>t/a</w:t>
            </w:r>
          </w:p>
        </w:tc>
      </w:tr>
    </w:tbl>
    <w:p>
      <w:pPr>
        <w:pStyle w:val="14"/>
        <w:rPr>
          <w:rFonts w:cs="Times New Roman"/>
          <w:color w:val="FF0000"/>
          <w:kern w:val="0"/>
          <w:szCs w:val="24"/>
        </w:rPr>
      </w:pPr>
    </w:p>
    <w:p>
      <w:pPr>
        <w:widowControl/>
        <w:jc w:val="left"/>
        <w:rPr>
          <w:rFonts w:ascii="宋体" w:eastAsia="宋体" w:cs="宋体" w:hAnsiTheme="minorHAnsi"/>
          <w:color w:val="000000" w:themeColor="text1"/>
          <w:kern w:val="0"/>
          <w:szCs w:val="24"/>
        </w:rPr>
      </w:pPr>
      <w:r>
        <w:rPr>
          <w:rFonts w:ascii="宋体" w:eastAsia="宋体" w:cs="宋体" w:hAnsiTheme="minorHAnsi"/>
          <w:color w:val="000000" w:themeColor="text1"/>
          <w:kern w:val="0"/>
          <w:szCs w:val="24"/>
        </w:rPr>
        <w:br w:type="page"/>
      </w:r>
    </w:p>
    <w:p>
      <w:pPr>
        <w:pStyle w:val="2"/>
        <w:adjustRightInd w:val="0"/>
        <w:snapToGrid w:val="0"/>
        <w:spacing w:line="360" w:lineRule="auto"/>
        <w:rPr>
          <w:color w:val="000000" w:themeColor="text1"/>
        </w:rPr>
      </w:pPr>
      <w:bookmarkStart w:id="244" w:name="_Toc532376182"/>
      <w:bookmarkStart w:id="245" w:name="_Toc532497729"/>
      <w:bookmarkStart w:id="246" w:name="_Toc532763239"/>
      <w:bookmarkStart w:id="247" w:name="_Toc532498775"/>
      <w:bookmarkStart w:id="248" w:name="_Toc25826513"/>
      <w:r>
        <w:rPr>
          <w:rFonts w:hint="eastAsia"/>
          <w:color w:val="000000" w:themeColor="text1"/>
        </w:rPr>
        <w:t>结论与建议</w:t>
      </w:r>
      <w:bookmarkEnd w:id="244"/>
      <w:bookmarkEnd w:id="245"/>
      <w:bookmarkEnd w:id="246"/>
      <w:bookmarkEnd w:id="247"/>
      <w:bookmarkEnd w:id="248"/>
    </w:p>
    <w:p>
      <w:pPr>
        <w:pStyle w:val="4"/>
        <w:adjustRightInd w:val="0"/>
        <w:snapToGrid w:val="0"/>
        <w:rPr>
          <w:color w:val="000000" w:themeColor="text1"/>
        </w:rPr>
      </w:pPr>
      <w:bookmarkStart w:id="249" w:name="_Toc532763240"/>
      <w:bookmarkStart w:id="250" w:name="_Toc532376183"/>
      <w:bookmarkStart w:id="251" w:name="_Toc25826514"/>
      <w:bookmarkStart w:id="252" w:name="_Toc532498776"/>
      <w:bookmarkStart w:id="253" w:name="_Toc532497730"/>
      <w:r>
        <w:rPr>
          <w:rFonts w:hint="eastAsia"/>
          <w:color w:val="000000" w:themeColor="text1"/>
        </w:rPr>
        <w:t>建设项目概况</w:t>
      </w:r>
      <w:bookmarkEnd w:id="249"/>
      <w:bookmarkEnd w:id="250"/>
      <w:bookmarkEnd w:id="251"/>
      <w:bookmarkEnd w:id="252"/>
      <w:bookmarkEnd w:id="253"/>
    </w:p>
    <w:p>
      <w:pPr>
        <w:spacing w:line="360" w:lineRule="auto"/>
        <w:ind w:firstLine="480" w:firstLineChars="200"/>
        <w:rPr>
          <w:rFonts w:asciiTheme="minorEastAsia" w:hAnsiTheme="minorEastAsia"/>
          <w:color w:val="000000" w:themeColor="text1"/>
        </w:rPr>
      </w:pPr>
      <w:r>
        <w:rPr>
          <w:rFonts w:hint="eastAsia"/>
          <w:color w:val="000000" w:themeColor="text1"/>
        </w:rPr>
        <w:t>岳阳市康复医院</w:t>
      </w:r>
      <w:r>
        <w:rPr>
          <w:rFonts w:cs="Times New Roman"/>
          <w:color w:val="000000" w:themeColor="text1"/>
          <w:szCs w:val="24"/>
        </w:rPr>
        <w:t>坐落于福颐路48号，占地40余亩</w:t>
      </w:r>
      <w:r>
        <w:rPr>
          <w:rFonts w:hint="eastAsia" w:cs="Times New Roman"/>
          <w:color w:val="000000" w:themeColor="text1"/>
          <w:szCs w:val="24"/>
        </w:rPr>
        <w:t>，</w:t>
      </w:r>
      <w:r>
        <w:rPr>
          <w:rFonts w:cs="Times New Roman"/>
          <w:color w:val="000000" w:themeColor="text1"/>
          <w:szCs w:val="24"/>
        </w:rPr>
        <w:t>设置的主要科室有：精神</w:t>
      </w:r>
      <w:r>
        <w:rPr>
          <w:rFonts w:hint="eastAsia" w:cs="Times New Roman"/>
          <w:color w:val="000000" w:themeColor="text1"/>
          <w:szCs w:val="24"/>
        </w:rPr>
        <w:t>病类</w:t>
      </w:r>
      <w:r>
        <w:rPr>
          <w:rFonts w:cs="Times New Roman"/>
          <w:color w:val="000000" w:themeColor="text1"/>
          <w:szCs w:val="24"/>
        </w:rPr>
        <w:t>（设一、二、三科）、老年康复</w:t>
      </w:r>
      <w:r>
        <w:rPr>
          <w:rFonts w:hint="eastAsia" w:cs="Times New Roman"/>
          <w:color w:val="000000" w:themeColor="text1"/>
          <w:szCs w:val="24"/>
        </w:rPr>
        <w:t>类</w:t>
      </w:r>
      <w:r>
        <w:rPr>
          <w:rFonts w:cs="Times New Roman"/>
          <w:color w:val="000000" w:themeColor="text1"/>
          <w:szCs w:val="24"/>
        </w:rPr>
        <w:t>(</w:t>
      </w:r>
      <w:r>
        <w:rPr>
          <w:rFonts w:hint="eastAsia" w:cs="Times New Roman"/>
          <w:color w:val="000000" w:themeColor="text1"/>
          <w:szCs w:val="24"/>
        </w:rPr>
        <w:t>四、五、六</w:t>
      </w:r>
      <w:r>
        <w:rPr>
          <w:rFonts w:cs="Times New Roman"/>
          <w:color w:val="000000" w:themeColor="text1"/>
          <w:szCs w:val="24"/>
        </w:rPr>
        <w:t>科）、美沙酮门诊、流浪精神病</w:t>
      </w:r>
      <w:r>
        <w:rPr>
          <w:rFonts w:hint="eastAsia" w:cs="Times New Roman"/>
          <w:color w:val="000000" w:themeColor="text1"/>
          <w:szCs w:val="24"/>
        </w:rPr>
        <w:t>科</w:t>
      </w:r>
      <w:r>
        <w:rPr>
          <w:rFonts w:cs="Times New Roman"/>
          <w:color w:val="000000" w:themeColor="text1"/>
          <w:szCs w:val="24"/>
        </w:rPr>
        <w:t>、</w:t>
      </w:r>
      <w:r>
        <w:rPr>
          <w:rFonts w:hint="eastAsia" w:cs="Times New Roman"/>
          <w:color w:val="000000" w:themeColor="text1"/>
          <w:szCs w:val="24"/>
        </w:rPr>
        <w:t>康复理疗</w:t>
      </w:r>
      <w:r>
        <w:rPr>
          <w:rFonts w:cs="Times New Roman"/>
          <w:color w:val="000000" w:themeColor="text1"/>
          <w:szCs w:val="24"/>
        </w:rPr>
        <w:t>科、心理咨询科</w:t>
      </w:r>
      <w:r>
        <w:rPr>
          <w:rFonts w:hint="eastAsia" w:cs="Times New Roman"/>
          <w:color w:val="000000" w:themeColor="text1"/>
          <w:szCs w:val="24"/>
        </w:rPr>
        <w:t>以及</w:t>
      </w:r>
      <w:r>
        <w:rPr>
          <w:rFonts w:cs="Times New Roman"/>
          <w:color w:val="000000" w:themeColor="text1"/>
          <w:szCs w:val="24"/>
        </w:rPr>
        <w:t>门诊部、药械科等其他医剂科室，共计</w:t>
      </w:r>
      <w:r>
        <w:rPr>
          <w:rFonts w:hint="eastAsia" w:cs="Times New Roman"/>
          <w:color w:val="000000" w:themeColor="text1"/>
          <w:szCs w:val="24"/>
        </w:rPr>
        <w:t>床位</w:t>
      </w:r>
      <w:r>
        <w:rPr>
          <w:rFonts w:cs="Times New Roman"/>
          <w:color w:val="000000" w:themeColor="text1"/>
        </w:rPr>
        <w:t>768</w:t>
      </w:r>
      <w:r>
        <w:rPr>
          <w:rFonts w:hint="eastAsia" w:cs="Times New Roman"/>
          <w:color w:val="000000" w:themeColor="text1"/>
          <w:szCs w:val="24"/>
        </w:rPr>
        <w:t>张。</w:t>
      </w:r>
      <w:r>
        <w:rPr>
          <w:rFonts w:hint="eastAsia"/>
          <w:color w:val="000000" w:themeColor="text1"/>
        </w:rPr>
        <w:t>项目属于</w:t>
      </w:r>
      <w:r>
        <w:rPr>
          <w:rFonts w:hint="eastAsia" w:asciiTheme="minorEastAsia" w:hAnsiTheme="minorEastAsia"/>
          <w:color w:val="000000" w:themeColor="text1"/>
        </w:rPr>
        <w:t>“未批先建”项目，本次进行完善环评手续，不新增建筑。</w:t>
      </w:r>
    </w:p>
    <w:p>
      <w:pPr>
        <w:pStyle w:val="4"/>
        <w:adjustRightInd w:val="0"/>
        <w:snapToGrid w:val="0"/>
        <w:rPr>
          <w:color w:val="000000" w:themeColor="text1"/>
        </w:rPr>
      </w:pPr>
      <w:bookmarkStart w:id="254" w:name="_Toc532497731"/>
      <w:bookmarkStart w:id="255" w:name="_Toc532763241"/>
      <w:bookmarkStart w:id="256" w:name="_Toc25826515"/>
      <w:bookmarkStart w:id="257" w:name="_Toc532376184"/>
      <w:bookmarkStart w:id="258" w:name="_Toc532498777"/>
      <w:r>
        <w:rPr>
          <w:rFonts w:hint="eastAsia"/>
          <w:color w:val="000000" w:themeColor="text1"/>
        </w:rPr>
        <w:t>环境和质量现状</w:t>
      </w:r>
      <w:bookmarkEnd w:id="254"/>
      <w:bookmarkEnd w:id="255"/>
      <w:bookmarkEnd w:id="256"/>
      <w:bookmarkEnd w:id="257"/>
      <w:bookmarkEnd w:id="258"/>
    </w:p>
    <w:p>
      <w:pPr>
        <w:spacing w:line="360" w:lineRule="auto"/>
        <w:ind w:firstLine="480" w:firstLineChars="200"/>
      </w:pPr>
      <w:r>
        <w:t>（1）环境空气</w:t>
      </w:r>
      <w:r>
        <w:rPr>
          <w:rFonts w:hint="eastAsia"/>
        </w:rPr>
        <w:t>：</w:t>
      </w:r>
      <w:r>
        <w:t>本项目筛选的评价基准年为2018年。区域达标判定所用数据引用2018年岳阳市环境监测站点的基本污染物环境质量现状数据，结论来自岳阳市环境保护局公开发布的2018年环境质量公报</w:t>
      </w:r>
      <w:r>
        <w:rPr>
          <w:rFonts w:hint="eastAsia"/>
        </w:rPr>
        <w:t>。由监测数据可知</w:t>
      </w:r>
      <w:r>
        <w:rPr>
          <w:kern w:val="0"/>
        </w:rPr>
        <w:t>所在区域为不达标区域。根据湖南省人民政府 2018 年6月18日发布的《湖南省污染防治攻坚战三年行动计划（2018—2020）年》的通知（湘政发〔2018〕17号）要求：到2020年，岳阳、益阳PM</w:t>
      </w:r>
      <w:r>
        <w:rPr>
          <w:kern w:val="0"/>
          <w:vertAlign w:val="subscript"/>
        </w:rPr>
        <w:t>10</w:t>
      </w:r>
      <w:r>
        <w:rPr>
          <w:kern w:val="0"/>
        </w:rPr>
        <w:t>年均浓度平均值下降到71μg /m</w:t>
      </w:r>
      <w:r>
        <w:rPr>
          <w:kern w:val="0"/>
          <w:vertAlign w:val="superscript"/>
        </w:rPr>
        <w:t>3</w:t>
      </w:r>
      <w:r>
        <w:rPr>
          <w:kern w:val="0"/>
        </w:rPr>
        <w:t>以下。同时根据岳阳市大气污染防治行动计划要求，当地政府加大环境治理力度，采取更为严格的大气防治手段，在岳阳市及岳阳县2020年PM</w:t>
      </w:r>
      <w:r>
        <w:rPr>
          <w:kern w:val="0"/>
          <w:vertAlign w:val="subscript"/>
        </w:rPr>
        <w:t>10</w:t>
      </w:r>
      <w:r>
        <w:rPr>
          <w:kern w:val="0"/>
        </w:rPr>
        <w:t>限期达标规划值后，2020年的PM</w:t>
      </w:r>
      <w:r>
        <w:rPr>
          <w:kern w:val="0"/>
          <w:vertAlign w:val="subscript"/>
        </w:rPr>
        <w:t>10</w:t>
      </w:r>
      <w:r>
        <w:rPr>
          <w:kern w:val="0"/>
        </w:rPr>
        <w:t>年平均质量浓度能符合环境质量标准，满足环境空气功能区二类区的要求，大气环境质量将得到改善。</w:t>
      </w:r>
      <w:r>
        <w:t xml:space="preserve"> 其中特征因子</w:t>
      </w:r>
      <w:r>
        <w:rPr>
          <w:color w:val="000000" w:themeColor="text1"/>
        </w:rPr>
        <w:t>H</w:t>
      </w:r>
      <w:r>
        <w:rPr>
          <w:color w:val="000000" w:themeColor="text1"/>
          <w:vertAlign w:val="subscript"/>
        </w:rPr>
        <w:t>2</w:t>
      </w:r>
      <w:r>
        <w:rPr>
          <w:color w:val="000000" w:themeColor="text1"/>
        </w:rPr>
        <w:t>S、NH</w:t>
      </w:r>
      <w:r>
        <w:rPr>
          <w:color w:val="000000" w:themeColor="text1"/>
          <w:vertAlign w:val="subscript"/>
        </w:rPr>
        <w:t>3</w:t>
      </w:r>
      <w:r>
        <w:rPr>
          <w:color w:val="000000" w:themeColor="text1"/>
        </w:rPr>
        <w:t>的监测数据可满足《环境影响评价技术导则大气环境》（HJ2.2-2018）中附录 D.1“其他污染物空气质量浓度参考限值”</w:t>
      </w:r>
      <w:r>
        <w:rPr>
          <w:rFonts w:hint="eastAsia"/>
          <w:color w:val="000000" w:themeColor="text1"/>
        </w:rPr>
        <w:t>的标准要求。</w:t>
      </w:r>
    </w:p>
    <w:p>
      <w:pPr>
        <w:spacing w:line="360" w:lineRule="auto"/>
        <w:ind w:firstLine="480" w:firstLineChars="200"/>
      </w:pPr>
      <w:r>
        <w:t>（2）</w:t>
      </w:r>
      <w:r>
        <w:rPr>
          <w:rFonts w:hint="eastAsia"/>
        </w:rPr>
        <w:t>地表</w:t>
      </w:r>
      <w:r>
        <w:t>水环境</w:t>
      </w:r>
      <w:r>
        <w:rPr>
          <w:rFonts w:hint="eastAsia"/>
        </w:rPr>
        <w:t>：</w:t>
      </w:r>
      <w:r>
        <w:rPr>
          <w:rFonts w:cs="Times New Roman"/>
        </w:rPr>
        <w:t>东风湖上湖W4水质监测断面各项指标除pH、总氮、SS、动植物油外均超过了《地表水环境质量标准》（GB3838—2002）中的Ⅳ类标准要求，W5水质监测断面除pH、总氮、BOD</w:t>
      </w:r>
      <w:r>
        <w:rPr>
          <w:rFonts w:cs="Times New Roman"/>
          <w:vertAlign w:val="subscript"/>
        </w:rPr>
        <w:t>5</w:t>
      </w:r>
      <w:r>
        <w:rPr>
          <w:rFonts w:cs="Times New Roman"/>
        </w:rPr>
        <w:t>、SS、动植物油、石油类外均超过了《地表水环境质量标准》（GB3838—2002）中的Ⅳ类标准要求。东风湖上湖出现超标的主要原因是东风湖周边居民污水未进行收集处理，直接排入东风湖，导致东风湖水质出现超标现象。</w:t>
      </w:r>
    </w:p>
    <w:p>
      <w:pPr>
        <w:spacing w:line="360" w:lineRule="auto"/>
        <w:ind w:firstLine="480" w:firstLineChars="200"/>
      </w:pPr>
      <w:r>
        <w:t>（</w:t>
      </w:r>
      <w:r>
        <w:rPr>
          <w:rFonts w:hint="eastAsia"/>
        </w:rPr>
        <w:t>3</w:t>
      </w:r>
      <w:r>
        <w:t>）声环境</w:t>
      </w:r>
      <w:r>
        <w:rPr>
          <w:rFonts w:hint="eastAsia"/>
        </w:rPr>
        <w:t>：</w:t>
      </w:r>
      <w:r>
        <w:t>由监测统计结果可以看出监测期间项目</w:t>
      </w:r>
      <w:r>
        <w:rPr>
          <w:rFonts w:hint="eastAsia"/>
        </w:rPr>
        <w:t>各场界噪声均符合</w:t>
      </w:r>
      <w:r>
        <w:t>《声环境质量标准》（GB3096-2008）中的</w:t>
      </w:r>
      <w:r>
        <w:rPr>
          <w:rFonts w:hint="eastAsia"/>
        </w:rPr>
        <w:t>2</w:t>
      </w:r>
      <w:r>
        <w:t>类标准</w:t>
      </w:r>
      <w:r>
        <w:rPr>
          <w:rFonts w:hint="eastAsia"/>
        </w:rPr>
        <w:t>，项目所在地声环境质量较好。</w:t>
      </w:r>
    </w:p>
    <w:p>
      <w:pPr>
        <w:spacing w:line="360" w:lineRule="auto"/>
        <w:ind w:firstLine="480" w:firstLineChars="200"/>
      </w:pPr>
      <w:r>
        <w:t>（</w:t>
      </w:r>
      <w:r>
        <w:rPr>
          <w:rFonts w:hint="eastAsia"/>
        </w:rPr>
        <w:t>4</w:t>
      </w:r>
      <w:r>
        <w:t>）</w:t>
      </w:r>
      <w:r>
        <w:rPr>
          <w:rFonts w:cs="Times New Roman"/>
        </w:rPr>
        <w:t>本项目土壤监测数据可满足《土壤环境质量建设用地土壤污染风险管控标准（试行）》（GB36600-2018）中第一类用地筛选值标准要求。</w:t>
      </w:r>
    </w:p>
    <w:p>
      <w:pPr>
        <w:pStyle w:val="4"/>
        <w:adjustRightInd w:val="0"/>
        <w:snapToGrid w:val="0"/>
        <w:rPr>
          <w:color w:val="000000" w:themeColor="text1"/>
        </w:rPr>
      </w:pPr>
      <w:bookmarkStart w:id="259" w:name="_Toc532498778"/>
      <w:bookmarkStart w:id="260" w:name="_Toc25826516"/>
      <w:bookmarkStart w:id="261" w:name="_Toc532376185"/>
      <w:bookmarkStart w:id="262" w:name="_Toc532763242"/>
      <w:bookmarkStart w:id="263" w:name="_Toc532497732"/>
      <w:r>
        <w:rPr>
          <w:rFonts w:hint="eastAsia"/>
          <w:color w:val="000000" w:themeColor="text1"/>
        </w:rPr>
        <w:t>环境影响预测与评价</w:t>
      </w:r>
      <w:bookmarkEnd w:id="259"/>
      <w:bookmarkEnd w:id="260"/>
      <w:bookmarkEnd w:id="261"/>
      <w:bookmarkEnd w:id="262"/>
      <w:bookmarkEnd w:id="263"/>
    </w:p>
    <w:p>
      <w:pPr>
        <w:spacing w:line="360" w:lineRule="auto"/>
        <w:ind w:firstLine="480" w:firstLineChars="200"/>
      </w:pPr>
      <w:r>
        <w:rPr>
          <w:rFonts w:hint="eastAsia"/>
        </w:rPr>
        <w:t>（1）</w:t>
      </w:r>
      <w:r>
        <w:t>水环境影响分析</w:t>
      </w:r>
    </w:p>
    <w:p>
      <w:pPr>
        <w:spacing w:line="360" w:lineRule="auto"/>
        <w:ind w:firstLine="480" w:firstLineChars="200"/>
      </w:pPr>
      <w:r>
        <w:rPr>
          <w:rFonts w:hint="eastAsia" w:cs="Times New Roman" w:hAnsiTheme="minorEastAsia"/>
          <w:color w:val="000000" w:themeColor="text1"/>
        </w:rPr>
        <w:t>本项目医院内实行污水分流措施，本医院的住院病人产生的废水、门诊病人产生的废水、洗衣房废水和医护人员的生活废水、检验室废水经过医院自建的污水处理站预处理，</w:t>
      </w:r>
      <w:r>
        <w:rPr>
          <w:rFonts w:cs="Times New Roman" w:hAnsiTheme="minorEastAsia"/>
          <w:color w:val="000000" w:themeColor="text1"/>
        </w:rPr>
        <w:t>达到《医疗机构水污染排放标准》（</w:t>
      </w:r>
      <w:r>
        <w:rPr>
          <w:rFonts w:cs="Times New Roman"/>
          <w:color w:val="000000" w:themeColor="text1"/>
        </w:rPr>
        <w:t>GB18466-2005</w:t>
      </w:r>
      <w:r>
        <w:rPr>
          <w:rFonts w:cs="Times New Roman" w:hAnsiTheme="minorEastAsia"/>
          <w:color w:val="000000" w:themeColor="text1"/>
        </w:rPr>
        <w:t>）表</w:t>
      </w:r>
      <w:r>
        <w:rPr>
          <w:rFonts w:cs="Times New Roman"/>
          <w:color w:val="000000" w:themeColor="text1"/>
        </w:rPr>
        <w:t>2</w:t>
      </w:r>
      <w:r>
        <w:rPr>
          <w:rFonts w:cs="Times New Roman" w:hAnsiTheme="minorEastAsia"/>
          <w:color w:val="000000" w:themeColor="text1"/>
        </w:rPr>
        <w:t>中</w:t>
      </w:r>
      <w:r>
        <w:rPr>
          <w:rFonts w:cs="Times New Roman"/>
          <w:color w:val="000000" w:themeColor="text1"/>
        </w:rPr>
        <w:t>“</w:t>
      </w:r>
      <w:r>
        <w:rPr>
          <w:rFonts w:cs="Times New Roman" w:hAnsiTheme="minorEastAsia"/>
          <w:color w:val="000000" w:themeColor="text1"/>
        </w:rPr>
        <w:t>预处理标准</w:t>
      </w:r>
      <w:r>
        <w:rPr>
          <w:rFonts w:cs="Times New Roman"/>
          <w:color w:val="000000" w:themeColor="text1"/>
        </w:rPr>
        <w:t>”</w:t>
      </w:r>
      <w:r>
        <w:rPr>
          <w:rFonts w:cs="Times New Roman" w:hAnsiTheme="minorEastAsia"/>
          <w:color w:val="000000" w:themeColor="text1"/>
        </w:rPr>
        <w:t>后排入市政排水管网，</w:t>
      </w:r>
      <w:r>
        <w:rPr>
          <w:rFonts w:hint="eastAsia" w:cs="Times New Roman" w:hAnsiTheme="minorEastAsia"/>
          <w:color w:val="000000" w:themeColor="text1"/>
        </w:rPr>
        <w:t>再</w:t>
      </w:r>
      <w:r>
        <w:rPr>
          <w:rFonts w:cs="Times New Roman" w:hAnsiTheme="minorEastAsia"/>
          <w:color w:val="000000" w:themeColor="text1"/>
        </w:rPr>
        <w:t>排入马壕污水处理厂处理</w:t>
      </w:r>
      <w:r>
        <w:rPr>
          <w:rFonts w:hint="eastAsia" w:cs="Times New Roman" w:hAnsiTheme="minorEastAsia"/>
          <w:color w:val="000000" w:themeColor="text1"/>
        </w:rPr>
        <w:t>，职工公寓废水经化粪池处理之后排入市政管网，再进入马壕污水处理厂处理。医院食堂废水经隔油沉淀池处理之后再进化粪池处理排入市政管网，再进入马壕污水处理厂处理。经马壕污水处理厂处理的废水达到《城镇污水处理厂污染物排放标准》（GB18918-2002）一级标准A标准之后排入东风湖。</w:t>
      </w:r>
    </w:p>
    <w:p>
      <w:pPr>
        <w:spacing w:line="360" w:lineRule="auto"/>
        <w:ind w:firstLine="480" w:firstLineChars="200"/>
      </w:pPr>
      <w:r>
        <w:rPr>
          <w:rFonts w:hint="eastAsia"/>
        </w:rPr>
        <w:t>（2）</w:t>
      </w:r>
      <w:r>
        <w:t>环境空气影响分析</w:t>
      </w:r>
    </w:p>
    <w:p>
      <w:pPr>
        <w:pStyle w:val="38"/>
        <w:adjustRightInd w:val="0"/>
        <w:snapToGrid w:val="0"/>
        <w:spacing w:after="0" w:line="360" w:lineRule="auto"/>
        <w:ind w:left="-125" w:leftChars="-52" w:firstLine="600" w:firstLineChars="250"/>
      </w:pPr>
      <w:r>
        <w:rPr>
          <w:rFonts w:hint="eastAsia"/>
        </w:rPr>
        <w:t>食堂油烟：经油烟净化器处理后的油烟废气通过内置排气筒引至楼顶排放，餐厅油烟排放浓度为1.5mg/m</w:t>
      </w:r>
      <w:r>
        <w:rPr>
          <w:vertAlign w:val="superscript"/>
        </w:rPr>
        <w:t>3</w:t>
      </w:r>
      <w:r>
        <w:rPr>
          <w:rFonts w:hint="eastAsia"/>
        </w:rPr>
        <w:t>，排放浓度满足《饮食业油烟排放标准》中对“大型”标准的规定和油烟最高允许排放浓度为2.0mg/m</w:t>
      </w:r>
      <w:r>
        <w:rPr>
          <w:vertAlign w:val="superscript"/>
        </w:rPr>
        <w:t>3</w:t>
      </w:r>
      <w:r>
        <w:rPr>
          <w:rFonts w:hint="eastAsia"/>
        </w:rPr>
        <w:t>要求，治理措施可行。</w:t>
      </w:r>
    </w:p>
    <w:p>
      <w:pPr>
        <w:tabs>
          <w:tab w:val="left" w:pos="7092"/>
        </w:tabs>
        <w:adjustRightInd w:val="0"/>
        <w:snapToGrid w:val="0"/>
        <w:spacing w:line="360" w:lineRule="auto"/>
        <w:ind w:firstLine="360" w:firstLineChars="150"/>
      </w:pPr>
      <w:r>
        <w:rPr>
          <w:rFonts w:hint="eastAsia"/>
        </w:rPr>
        <w:t>锅炉废气：锅炉燃气直接排放可满足《锅炉大气污染物排放标准》（GB 13271-2014）表二新建锅炉大气污染物排放浓度限值（</w:t>
      </w:r>
      <w:r>
        <w:t>烟尘、SO</w:t>
      </w:r>
      <w:r>
        <w:rPr>
          <w:vertAlign w:val="subscript"/>
        </w:rPr>
        <w:t>2</w:t>
      </w:r>
      <w:r>
        <w:t>和NO</w:t>
      </w:r>
      <w:r>
        <w:rPr>
          <w:rFonts w:hint="eastAsia"/>
          <w:vertAlign w:val="subscript"/>
        </w:rPr>
        <w:t>x</w:t>
      </w:r>
      <w:r>
        <w:t>排放浓度</w:t>
      </w:r>
      <w:r>
        <w:rPr>
          <w:rFonts w:hint="eastAsia"/>
        </w:rPr>
        <w:t>限值20</w:t>
      </w:r>
      <w:r>
        <w:t>mg/m</w:t>
      </w:r>
      <w:r>
        <w:rPr>
          <w:vertAlign w:val="superscript"/>
        </w:rPr>
        <w:t>3</w:t>
      </w:r>
      <w:r>
        <w:t>、</w:t>
      </w:r>
      <w:r>
        <w:rPr>
          <w:rFonts w:hint="eastAsia"/>
        </w:rPr>
        <w:t>50</w:t>
      </w:r>
      <w:r>
        <w:t>mg/m</w:t>
      </w:r>
      <w:r>
        <w:rPr>
          <w:vertAlign w:val="superscript"/>
        </w:rPr>
        <w:t>3</w:t>
      </w:r>
      <w:r>
        <w:t>和</w:t>
      </w:r>
      <w:r>
        <w:rPr>
          <w:rFonts w:hint="eastAsia"/>
        </w:rPr>
        <w:t>200</w:t>
      </w:r>
      <w:r>
        <w:t>mg/m</w:t>
      </w:r>
      <w:r>
        <w:rPr>
          <w:vertAlign w:val="superscript"/>
        </w:rPr>
        <w:t>3</w:t>
      </w:r>
      <w:r>
        <w:rPr>
          <w:rFonts w:hint="eastAsia"/>
        </w:rPr>
        <w:t>）要求</w:t>
      </w:r>
      <w:r>
        <w:t>。</w:t>
      </w:r>
    </w:p>
    <w:p>
      <w:pPr>
        <w:tabs>
          <w:tab w:val="left" w:pos="7092"/>
        </w:tabs>
        <w:adjustRightInd w:val="0"/>
        <w:snapToGrid w:val="0"/>
        <w:spacing w:line="360" w:lineRule="auto"/>
        <w:ind w:firstLine="360" w:firstLineChars="150"/>
      </w:pPr>
      <w:r>
        <w:rPr>
          <w:rFonts w:hint="eastAsia"/>
        </w:rPr>
        <w:t>发电机废气：</w:t>
      </w:r>
      <w:r>
        <w:t>发电机尾气由内置专用烟道引至发电机房所在构筑物楼顶排放</w:t>
      </w:r>
      <w:r>
        <w:rPr>
          <w:rFonts w:hint="eastAsia"/>
        </w:rPr>
        <w:t>,能够满足</w:t>
      </w:r>
      <w:r>
        <w:t>《</w:t>
      </w:r>
      <w:r>
        <w:rPr>
          <w:rFonts w:ascii="Tahoma" w:hAnsi="Tahoma" w:cs="Tahoma"/>
        </w:rPr>
        <w:t>非道路移动机械用柴油机排气污染物排放限值及测量方法(中国第三、四阶段）</w:t>
      </w:r>
      <w:r>
        <w:t>》(GB 20891—2014)中</w:t>
      </w:r>
      <w:r>
        <w:rPr>
          <w:rFonts w:hint="eastAsia"/>
        </w:rPr>
        <w:t>第三阶段标准要求</w:t>
      </w:r>
      <w:r>
        <w:rPr>
          <w:rFonts w:hint="eastAsia"/>
          <w:kern w:val="0"/>
        </w:rPr>
        <w:t>，措施可行。</w:t>
      </w:r>
    </w:p>
    <w:p>
      <w:pPr>
        <w:spacing w:line="360" w:lineRule="auto"/>
        <w:ind w:firstLine="480" w:firstLineChars="200"/>
      </w:pPr>
      <w:r>
        <w:rPr>
          <w:rFonts w:hint="eastAsia"/>
        </w:rPr>
        <w:t>污水处理站恶臭：</w:t>
      </w:r>
      <w:r>
        <w:rPr>
          <w:kern w:val="0"/>
        </w:rPr>
        <w:t>本项目医疗废物处理站建在密闭的建筑物内</w:t>
      </w:r>
      <w:r>
        <w:rPr>
          <w:rFonts w:hint="eastAsia"/>
          <w:kern w:val="0"/>
        </w:rPr>
        <w:t>，化粪池和隔油沉淀池均为地埋式的，</w:t>
      </w:r>
      <w:r>
        <w:rPr>
          <w:rFonts w:hint="eastAsia"/>
        </w:rPr>
        <w:t>同时对污水处理站喷洒除臭剂。通过以上措施，根据现状监测结果，项目厂界满足《医疗机构水污染物排放标准》（</w:t>
      </w:r>
      <w:r>
        <w:t>GB18466-2005</w:t>
      </w:r>
      <w:r>
        <w:rPr>
          <w:rFonts w:hint="eastAsia"/>
        </w:rPr>
        <w:t>）表</w:t>
      </w:r>
      <w:r>
        <w:t>3</w:t>
      </w:r>
      <w:r>
        <w:rPr>
          <w:rFonts w:hint="eastAsia"/>
        </w:rPr>
        <w:t>中标准要求。因此院本部污水处理站恶臭对周边敏感影响</w:t>
      </w:r>
      <w:r>
        <w:rPr>
          <w:rFonts w:hint="eastAsia" w:hAnsi="宋体"/>
        </w:rPr>
        <w:t>较小</w:t>
      </w:r>
      <w:r>
        <w:rPr>
          <w:rFonts w:hint="eastAsia"/>
        </w:rPr>
        <w:t>。</w:t>
      </w:r>
    </w:p>
    <w:p>
      <w:pPr>
        <w:autoSpaceDE w:val="0"/>
        <w:autoSpaceDN w:val="0"/>
        <w:adjustRightInd w:val="0"/>
        <w:spacing w:line="360" w:lineRule="auto"/>
        <w:ind w:firstLine="480" w:firstLineChars="200"/>
      </w:pPr>
      <w:r>
        <w:rPr>
          <w:rFonts w:hint="eastAsia"/>
        </w:rPr>
        <w:t>垃圾站</w:t>
      </w:r>
      <w:r>
        <w:t>臭气</w:t>
      </w:r>
      <w:r>
        <w:rPr>
          <w:rFonts w:hint="eastAsia"/>
          <w:bCs/>
        </w:rPr>
        <w:t>：医院内</w:t>
      </w:r>
      <w:r>
        <w:rPr>
          <w:bCs/>
        </w:rPr>
        <w:t>实现生活垃圾袋装化，在每个单元出入口</w:t>
      </w:r>
      <w:r>
        <w:t>设置垃圾收集桶，由保洁人员每天定时或不定时进行收集地埋式垃圾站，再由环卫部门定时清运至城市垃圾填埋场处置，做到日产日清。垃圾站周围需用乔灌木绿化隔离，减缓对邻近</w:t>
      </w:r>
      <w:r>
        <w:rPr>
          <w:rFonts w:hint="eastAsia"/>
        </w:rPr>
        <w:t>住院楼</w:t>
      </w:r>
      <w:r>
        <w:t>的影响。</w:t>
      </w:r>
    </w:p>
    <w:p>
      <w:pPr>
        <w:spacing w:line="360" w:lineRule="auto"/>
        <w:ind w:firstLine="480" w:firstLineChars="200"/>
      </w:pPr>
      <w:r>
        <w:rPr>
          <w:rFonts w:hint="eastAsia"/>
        </w:rPr>
        <w:t>（3）</w:t>
      </w:r>
      <w:r>
        <w:t>声环境影响分析</w:t>
      </w:r>
    </w:p>
    <w:p>
      <w:pPr>
        <w:spacing w:line="360" w:lineRule="auto"/>
        <w:ind w:firstLine="480" w:firstLineChars="200"/>
      </w:pPr>
      <w:r>
        <w:t xml:space="preserve">水泵、风机、发电机等动力设备设置在地下室专用设备房中，并选用低噪声型，采取减震隔吸声措施，对外界的影响较小。 </w:t>
      </w:r>
    </w:p>
    <w:p>
      <w:pPr>
        <w:spacing w:line="360" w:lineRule="auto"/>
        <w:ind w:firstLine="480" w:firstLineChars="200"/>
      </w:pPr>
      <w:r>
        <w:rPr>
          <w:rFonts w:hint="eastAsia"/>
        </w:rPr>
        <w:t>医院</w:t>
      </w:r>
      <w:r>
        <w:t>应加强管理，进出小区的汽车限速行驶、夜间禁鸣，</w:t>
      </w:r>
      <w:r>
        <w:rPr>
          <w:rFonts w:hint="eastAsia"/>
        </w:rPr>
        <w:t>医院</w:t>
      </w:r>
      <w:r>
        <w:t>在对靠近交通一侧拟采用夹层隔声玻璃，同时做好高大的绿化林带，进一步降低噪声值，通过建筑物本身所采取的合适技术措施和建筑材料的隔声作用后，可减少交通噪声对本项目的影响，从而确保拟建建筑室内环境符合相关要求。</w:t>
      </w:r>
    </w:p>
    <w:p>
      <w:pPr>
        <w:spacing w:line="360" w:lineRule="auto"/>
        <w:ind w:firstLine="480" w:firstLineChars="200"/>
      </w:pPr>
      <w:r>
        <w:rPr>
          <w:rFonts w:hint="eastAsia"/>
        </w:rPr>
        <w:t>（4）</w:t>
      </w:r>
      <w:r>
        <w:t>固体废物对环境的影响分析</w:t>
      </w:r>
    </w:p>
    <w:p>
      <w:pPr>
        <w:autoSpaceDE w:val="0"/>
        <w:autoSpaceDN w:val="0"/>
        <w:adjustRightInd w:val="0"/>
        <w:spacing w:line="360" w:lineRule="auto"/>
        <w:ind w:firstLine="480" w:firstLineChars="200"/>
        <w:jc w:val="left"/>
        <w:rPr>
          <w:color w:val="000000" w:themeColor="text1"/>
          <w:szCs w:val="24"/>
        </w:rPr>
      </w:pPr>
      <w:r>
        <w:t>项目</w:t>
      </w:r>
      <w:r>
        <w:rPr>
          <w:rFonts w:hint="eastAsia"/>
        </w:rPr>
        <w:t>产生的医疗垃圾集中收集在医院内暂存，定期交</w:t>
      </w:r>
      <w:r>
        <w:rPr>
          <w:rFonts w:hint="eastAsia" w:ascii="宋体" w:hAnsi="宋体"/>
        </w:rPr>
        <w:t>岳阳市方向固废安全处置有限公司</w:t>
      </w:r>
      <w:r>
        <w:rPr>
          <w:rFonts w:hint="eastAsia"/>
        </w:rPr>
        <w:t>无害化处置；污水处理站污泥经消毒脱水后委托有资质单位进行无害化处理；</w:t>
      </w:r>
      <w:r>
        <w:t>生活垃圾</w:t>
      </w:r>
      <w:r>
        <w:rPr>
          <w:rFonts w:hint="eastAsia"/>
        </w:rPr>
        <w:t>经</w:t>
      </w:r>
      <w:r>
        <w:t>集中收集后由</w:t>
      </w:r>
      <w:r>
        <w:rPr>
          <w:rFonts w:hint="eastAsia"/>
        </w:rPr>
        <w:t>岳阳市</w:t>
      </w:r>
      <w:r>
        <w:t>环卫部门统一</w:t>
      </w:r>
      <w:r>
        <w:rPr>
          <w:rFonts w:hint="eastAsia"/>
        </w:rPr>
        <w:t>送至岳阳市</w:t>
      </w:r>
      <w:r>
        <w:t>城市生活垃圾卫生填埋场，</w:t>
      </w:r>
      <w:r>
        <w:rPr>
          <w:rFonts w:hint="eastAsia"/>
        </w:rPr>
        <w:t>因此项目产生的固废均能得到合适的处置，对周边环境影响较小。</w:t>
      </w:r>
    </w:p>
    <w:p>
      <w:pPr>
        <w:pStyle w:val="4"/>
        <w:adjustRightInd w:val="0"/>
        <w:snapToGrid w:val="0"/>
        <w:rPr>
          <w:color w:val="000000" w:themeColor="text1"/>
        </w:rPr>
      </w:pPr>
      <w:bookmarkStart w:id="264" w:name="_Toc25826517"/>
      <w:bookmarkStart w:id="265" w:name="_Toc532497735"/>
      <w:bookmarkStart w:id="266" w:name="_Toc532376186"/>
      <w:bookmarkStart w:id="267" w:name="_Toc532763243"/>
      <w:bookmarkStart w:id="268" w:name="_Toc532498779"/>
      <w:r>
        <w:rPr>
          <w:rFonts w:hint="eastAsia"/>
          <w:color w:val="000000" w:themeColor="text1"/>
        </w:rPr>
        <w:t>项目政策符合性和选址合理性</w:t>
      </w:r>
      <w:bookmarkEnd w:id="264"/>
      <w:bookmarkEnd w:id="265"/>
      <w:bookmarkEnd w:id="266"/>
      <w:bookmarkEnd w:id="267"/>
      <w:bookmarkEnd w:id="268"/>
    </w:p>
    <w:p>
      <w:pPr>
        <w:pStyle w:val="5"/>
      </w:pPr>
      <w:r>
        <w:t>建设项目可行性分析</w:t>
      </w:r>
    </w:p>
    <w:p>
      <w:pPr>
        <w:autoSpaceDE w:val="0"/>
        <w:autoSpaceDN w:val="0"/>
        <w:adjustRightInd w:val="0"/>
        <w:snapToGrid w:val="0"/>
        <w:spacing w:line="360" w:lineRule="auto"/>
        <w:ind w:firstLine="480" w:firstLineChars="200"/>
        <w:jc w:val="left"/>
        <w:rPr>
          <w:kern w:val="0"/>
        </w:rPr>
      </w:pPr>
      <w:r>
        <w:rPr>
          <w:kern w:val="0"/>
        </w:rPr>
        <w:t>（1）产业政策符合性分析</w:t>
      </w:r>
    </w:p>
    <w:p>
      <w:pPr>
        <w:pStyle w:val="64"/>
        <w:adjustRightInd w:val="0"/>
        <w:snapToGrid w:val="0"/>
        <w:spacing w:line="360" w:lineRule="auto"/>
        <w:ind w:firstLine="480"/>
        <w:rPr>
          <w:rFonts w:cs="Times New Roman"/>
          <w:color w:val="000000" w:themeColor="text1"/>
          <w:szCs w:val="24"/>
        </w:rPr>
      </w:pPr>
      <w:r>
        <w:rPr>
          <w:rFonts w:cs="Times New Roman"/>
          <w:color w:val="000000" w:themeColor="text1"/>
          <w:szCs w:val="24"/>
        </w:rPr>
        <w:t>对照《产业结构调整指导目录》（2019年本）文件，本项目属于“鼓励类”</w:t>
      </w:r>
      <w:r>
        <w:rPr>
          <w:rFonts w:cs="Times New Roman"/>
        </w:rPr>
        <w:t>中的第三十七</w:t>
      </w:r>
      <w:r>
        <w:rPr>
          <w:rFonts w:hint="eastAsia" w:cs="Times New Roman"/>
        </w:rPr>
        <w:t>、</w:t>
      </w:r>
      <w:r>
        <w:rPr>
          <w:rFonts w:cs="Times New Roman"/>
        </w:rPr>
        <w:t>卫生健康</w:t>
      </w:r>
      <w:r>
        <w:rPr>
          <w:rFonts w:hint="eastAsia" w:cs="Times New Roman"/>
        </w:rPr>
        <w:t>，</w:t>
      </w:r>
      <w:r>
        <w:rPr>
          <w:rFonts w:cs="Times New Roman"/>
        </w:rPr>
        <w:t>第6项精神卫生专科医院和康复医院（中心）</w:t>
      </w:r>
      <w:r>
        <w:rPr>
          <w:rFonts w:cs="Times New Roman"/>
          <w:color w:val="000000" w:themeColor="text1"/>
          <w:szCs w:val="24"/>
        </w:rPr>
        <w:t>。因此，本项目符合国家相关产业政策。</w:t>
      </w:r>
    </w:p>
    <w:p>
      <w:pPr>
        <w:adjustRightInd w:val="0"/>
        <w:snapToGrid w:val="0"/>
        <w:spacing w:line="360" w:lineRule="auto"/>
        <w:ind w:firstLine="480" w:firstLineChars="200"/>
        <w:rPr>
          <w:snapToGrid w:val="0"/>
          <w:color w:val="000000" w:themeColor="text1"/>
          <w:kern w:val="0"/>
        </w:rPr>
      </w:pPr>
      <w:r>
        <w:rPr>
          <w:snapToGrid w:val="0"/>
          <w:color w:val="000000" w:themeColor="text1"/>
          <w:kern w:val="0"/>
        </w:rPr>
        <w:t>（</w:t>
      </w:r>
      <w:r>
        <w:rPr>
          <w:rFonts w:hint="eastAsia"/>
          <w:snapToGrid w:val="0"/>
          <w:color w:val="000000" w:themeColor="text1"/>
          <w:kern w:val="0"/>
        </w:rPr>
        <w:t>2</w:t>
      </w:r>
      <w:r>
        <w:rPr>
          <w:snapToGrid w:val="0"/>
          <w:color w:val="000000" w:themeColor="text1"/>
          <w:kern w:val="0"/>
        </w:rPr>
        <w:t>）项目选址合理性分析</w:t>
      </w:r>
    </w:p>
    <w:p>
      <w:pPr>
        <w:adjustRightInd w:val="0"/>
        <w:snapToGrid w:val="0"/>
        <w:spacing w:line="360" w:lineRule="auto"/>
        <w:ind w:firstLine="480" w:firstLineChars="200"/>
        <w:rPr>
          <w:rFonts w:hAnsi="宋体"/>
        </w:rPr>
      </w:pPr>
      <w:r>
        <w:rPr>
          <w:rFonts w:hint="eastAsia" w:hAnsi="宋体"/>
        </w:rPr>
        <w:t>本项目位于</w:t>
      </w:r>
      <w:r>
        <w:rPr>
          <w:rFonts w:cs="Times New Roman"/>
        </w:rPr>
        <w:t>岳阳市岳阳楼区福颐路48号</w:t>
      </w:r>
      <w:r>
        <w:rPr>
          <w:rFonts w:hint="eastAsia" w:cs="Times New Roman"/>
        </w:rPr>
        <w:t>，</w:t>
      </w:r>
      <w:r>
        <w:rPr>
          <w:rFonts w:cs="Times New Roman"/>
        </w:rPr>
        <w:t>南侧为福颐路</w:t>
      </w:r>
      <w:r>
        <w:rPr>
          <w:rFonts w:hint="eastAsia" w:cs="Times New Roman"/>
        </w:rPr>
        <w:t>，</w:t>
      </w:r>
      <w:r>
        <w:rPr>
          <w:rFonts w:cs="Times New Roman"/>
        </w:rPr>
        <w:t>东南面紧挨湖南省岳阳市看守所</w:t>
      </w:r>
      <w:r>
        <w:rPr>
          <w:rFonts w:hint="eastAsia" w:cs="Times New Roman"/>
        </w:rPr>
        <w:t>，</w:t>
      </w:r>
      <w:r>
        <w:rPr>
          <w:rFonts w:cs="Times New Roman"/>
        </w:rPr>
        <w:t>医院大门对面为居民住房</w:t>
      </w:r>
      <w:r>
        <w:rPr>
          <w:rFonts w:hint="eastAsia" w:cs="Times New Roman"/>
        </w:rPr>
        <w:t>，</w:t>
      </w:r>
      <w:r>
        <w:rPr>
          <w:rFonts w:hint="eastAsia" w:hAnsi="宋体"/>
        </w:rPr>
        <w:t xml:space="preserve"> 东边为金洛小区。项目主入口位于地块南侧，项目至南朝北设置主入口，项目选址属于公共建设用地性质。</w:t>
      </w:r>
      <w:r>
        <w:rPr>
          <w:rFonts w:hint="eastAsia" w:hAnsi="宋体" w:eastAsia="宋体" w:cs="Times New Roman"/>
        </w:rPr>
        <w:t>所在地交通方便</w:t>
      </w:r>
      <w:r>
        <w:rPr>
          <w:rFonts w:hAnsi="宋体" w:eastAsia="宋体" w:cs="Times New Roman"/>
          <w:spacing w:val="4"/>
        </w:rPr>
        <w:t>，</w:t>
      </w:r>
      <w:r>
        <w:rPr>
          <w:rFonts w:hAnsi="宋体" w:eastAsia="宋体" w:cs="Times New Roman"/>
          <w:kern w:val="0"/>
        </w:rPr>
        <w:t>各项城市配套设施完善，方便</w:t>
      </w:r>
      <w:r>
        <w:rPr>
          <w:rFonts w:hint="eastAsia" w:hAnsi="宋体" w:eastAsia="宋体" w:cs="Times New Roman"/>
          <w:kern w:val="0"/>
        </w:rPr>
        <w:t>岳阳</w:t>
      </w:r>
      <w:r>
        <w:rPr>
          <w:rFonts w:hAnsi="宋体" w:eastAsia="宋体" w:cs="Times New Roman"/>
          <w:kern w:val="0"/>
        </w:rPr>
        <w:t>市群众就医就诊。</w:t>
      </w:r>
      <w:r>
        <w:rPr>
          <w:rFonts w:hint="eastAsia" w:hAnsi="宋体" w:eastAsia="宋体" w:cs="Times New Roman"/>
          <w:kern w:val="0"/>
        </w:rPr>
        <w:t>本项目建设对周边环境影响较小，对周边环境相容性较好，在落实各项污染防治措施的前提下，从环保角度考虑，本项目选址可行。</w:t>
      </w:r>
    </w:p>
    <w:p>
      <w:pPr>
        <w:adjustRightInd w:val="0"/>
        <w:snapToGrid w:val="0"/>
        <w:spacing w:line="360" w:lineRule="auto"/>
        <w:ind w:firstLine="480" w:firstLineChars="200"/>
      </w:pPr>
      <w:r>
        <w:t>（</w:t>
      </w:r>
      <w:r>
        <w:rPr>
          <w:rFonts w:hint="eastAsia"/>
        </w:rPr>
        <w:t>3</w:t>
      </w:r>
      <w:r>
        <w:t>）平面布置的合理性</w:t>
      </w:r>
    </w:p>
    <w:p>
      <w:pPr>
        <w:adjustRightInd w:val="0"/>
        <w:snapToGrid w:val="0"/>
        <w:spacing w:line="360" w:lineRule="auto"/>
        <w:ind w:firstLine="600" w:firstLineChars="250"/>
        <w:rPr>
          <w:rFonts w:hAnsi="宋体"/>
          <w:color w:val="000000" w:themeColor="text1"/>
          <w:u w:val="single"/>
        </w:rPr>
      </w:pPr>
      <w:r>
        <w:rPr>
          <w:rFonts w:hint="eastAsia" w:hAnsi="宋体"/>
          <w:color w:val="000000" w:themeColor="text1"/>
          <w:u w:val="single"/>
        </w:rPr>
        <w:t>本项目位于</w:t>
      </w:r>
      <w:r>
        <w:rPr>
          <w:rFonts w:cs="Times New Roman"/>
          <w:color w:val="000000" w:themeColor="text1"/>
          <w:u w:val="single"/>
        </w:rPr>
        <w:t>岳阳市岳阳楼区福颐路48号</w:t>
      </w:r>
      <w:r>
        <w:rPr>
          <w:rFonts w:hint="eastAsia" w:cs="Times New Roman"/>
          <w:color w:val="000000" w:themeColor="text1"/>
          <w:u w:val="single"/>
        </w:rPr>
        <w:t>，</w:t>
      </w:r>
      <w:r>
        <w:rPr>
          <w:rFonts w:cs="Times New Roman"/>
          <w:color w:val="000000" w:themeColor="text1"/>
          <w:u w:val="single"/>
        </w:rPr>
        <w:t>南侧为福颐路</w:t>
      </w:r>
      <w:r>
        <w:rPr>
          <w:rFonts w:hint="eastAsia" w:cs="Times New Roman"/>
          <w:color w:val="000000" w:themeColor="text1"/>
          <w:u w:val="single"/>
        </w:rPr>
        <w:t>，</w:t>
      </w:r>
      <w:r>
        <w:rPr>
          <w:rFonts w:cs="Times New Roman"/>
          <w:color w:val="000000" w:themeColor="text1"/>
          <w:u w:val="single"/>
        </w:rPr>
        <w:t>东南面紧挨湖南省岳阳市看守所</w:t>
      </w:r>
      <w:r>
        <w:rPr>
          <w:rFonts w:hint="eastAsia" w:cs="Times New Roman"/>
          <w:color w:val="000000" w:themeColor="text1"/>
          <w:u w:val="single"/>
        </w:rPr>
        <w:t>，</w:t>
      </w:r>
      <w:r>
        <w:rPr>
          <w:rFonts w:cs="Times New Roman"/>
          <w:color w:val="000000" w:themeColor="text1"/>
          <w:u w:val="single"/>
        </w:rPr>
        <w:t>医院大门对面为居民住房</w:t>
      </w:r>
      <w:r>
        <w:rPr>
          <w:rFonts w:hint="eastAsia" w:cs="Times New Roman"/>
          <w:color w:val="000000" w:themeColor="text1"/>
          <w:u w:val="single"/>
        </w:rPr>
        <w:t>，</w:t>
      </w:r>
      <w:r>
        <w:rPr>
          <w:rFonts w:hint="eastAsia" w:hAnsi="宋体"/>
          <w:color w:val="000000" w:themeColor="text1"/>
          <w:u w:val="single"/>
        </w:rPr>
        <w:t>东边为金洛小区。项目至南朝北设置主入口，依次为</w:t>
      </w:r>
      <w:r>
        <w:rPr>
          <w:rFonts w:hAnsi="宋体"/>
          <w:color w:val="000000" w:themeColor="text1"/>
          <w:u w:val="single"/>
        </w:rPr>
        <w:t>岳阳市康复医院美沙酮维持治疗门诊</w:t>
      </w:r>
      <w:r>
        <w:rPr>
          <w:rFonts w:hint="eastAsia" w:hAnsi="宋体"/>
          <w:color w:val="000000" w:themeColor="text1"/>
          <w:u w:val="single"/>
        </w:rPr>
        <w:t>、流浪</w:t>
      </w:r>
      <w:r>
        <w:rPr>
          <w:rFonts w:hAnsi="宋体"/>
          <w:color w:val="000000" w:themeColor="text1"/>
          <w:u w:val="single"/>
        </w:rPr>
        <w:t>精神病人专用住院楼</w:t>
      </w:r>
      <w:r>
        <w:rPr>
          <w:rFonts w:hint="eastAsia" w:hAnsi="宋体"/>
          <w:color w:val="000000" w:themeColor="text1"/>
          <w:u w:val="single"/>
        </w:rPr>
        <w:t>、再往后为办公楼，办公楼西侧为职工公寓。办公楼往北为</w:t>
      </w:r>
      <w:r>
        <w:rPr>
          <w:rFonts w:hAnsi="宋体"/>
          <w:color w:val="000000" w:themeColor="text1"/>
          <w:u w:val="single"/>
        </w:rPr>
        <w:t>老年医疗呵护大楼</w:t>
      </w:r>
      <w:r>
        <w:rPr>
          <w:rFonts w:hint="eastAsia" w:hAnsi="宋体"/>
          <w:color w:val="000000" w:themeColor="text1"/>
          <w:u w:val="single"/>
        </w:rPr>
        <w:t>。</w:t>
      </w:r>
    </w:p>
    <w:p>
      <w:pPr>
        <w:adjustRightInd w:val="0"/>
        <w:snapToGrid w:val="0"/>
        <w:spacing w:line="360" w:lineRule="auto"/>
        <w:ind w:firstLine="600" w:firstLineChars="250"/>
        <w:rPr>
          <w:rFonts w:hAnsi="宋体"/>
          <w:color w:val="000000" w:themeColor="text1"/>
          <w:u w:val="single"/>
        </w:rPr>
      </w:pPr>
      <w:r>
        <w:rPr>
          <w:rFonts w:hAnsi="宋体"/>
          <w:color w:val="000000" w:themeColor="text1"/>
          <w:u w:val="single"/>
        </w:rPr>
        <w:t>本项目医疗固废暂存间位于项目的西北角</w:t>
      </w:r>
      <w:r>
        <w:rPr>
          <w:rFonts w:hint="eastAsia" w:hAnsi="宋体"/>
          <w:color w:val="000000" w:themeColor="text1"/>
          <w:u w:val="single"/>
        </w:rPr>
        <w:t>，</w:t>
      </w:r>
      <w:r>
        <w:rPr>
          <w:rFonts w:hAnsi="宋体"/>
          <w:color w:val="000000" w:themeColor="text1"/>
          <w:u w:val="single"/>
        </w:rPr>
        <w:t>远离医院办公区域和住院部</w:t>
      </w:r>
      <w:r>
        <w:rPr>
          <w:rFonts w:hint="eastAsia" w:hAnsi="宋体"/>
          <w:color w:val="000000" w:themeColor="text1"/>
          <w:u w:val="single"/>
        </w:rPr>
        <w:t>，废水处理站位于项目最北侧，为密闭式的房间并且采用喷洒除臭剂处理来降低恶臭的影响，远离办公区域和住院部。医院柴油发电机位于精神大楼的负一楼，为密闭的房间，在发电时可降低噪声对住院病人的影响。</w:t>
      </w:r>
    </w:p>
    <w:p>
      <w:pPr>
        <w:adjustRightInd w:val="0"/>
        <w:snapToGrid w:val="0"/>
        <w:spacing w:line="360" w:lineRule="auto"/>
        <w:ind w:firstLine="600" w:firstLineChars="250"/>
        <w:rPr>
          <w:color w:val="000000" w:themeColor="text1"/>
          <w:u w:val="single"/>
        </w:rPr>
      </w:pPr>
      <w:r>
        <w:rPr>
          <w:rFonts w:hAnsi="宋体"/>
          <w:color w:val="000000" w:themeColor="text1"/>
          <w:u w:val="single"/>
        </w:rPr>
        <w:t>本</w:t>
      </w:r>
      <w:r>
        <w:rPr>
          <w:rFonts w:hint="eastAsia"/>
          <w:color w:val="000000" w:themeColor="text1"/>
          <w:u w:val="single"/>
        </w:rPr>
        <w:t>项目主体建筑中医疗综合功能区、生活区、康复疗养中心分开布置。</w:t>
      </w:r>
      <w:r>
        <w:rPr>
          <w:rFonts w:hint="eastAsia"/>
          <w:bCs/>
          <w:color w:val="000000" w:themeColor="text1"/>
          <w:kern w:val="0"/>
          <w:u w:val="single"/>
        </w:rPr>
        <w:t>院区各入口均有较好的独立性和明确的可识别性，方便引导患者到达不同的目标区域。</w:t>
      </w:r>
    </w:p>
    <w:p>
      <w:pPr>
        <w:adjustRightInd w:val="0"/>
        <w:snapToGrid w:val="0"/>
        <w:spacing w:line="360" w:lineRule="auto"/>
        <w:ind w:firstLine="480" w:firstLineChars="200"/>
        <w:jc w:val="left"/>
        <w:rPr>
          <w:rFonts w:ascii="宋体" w:hAnsi="宋体"/>
          <w:color w:val="000000" w:themeColor="text1"/>
          <w:szCs w:val="24"/>
          <w:u w:val="single"/>
        </w:rPr>
      </w:pPr>
      <w:r>
        <w:rPr>
          <w:rFonts w:hint="eastAsia" w:ascii="宋体" w:hAnsi="宋体"/>
          <w:color w:val="000000" w:themeColor="text1"/>
          <w:szCs w:val="24"/>
          <w:u w:val="single"/>
        </w:rPr>
        <w:t>综上所述，本项目总平面布局从各个方面体现了以人为本，注重生态环境、人文环境、绿色环保的理念，创造适合患者的医院环境，除能满足就医功能要求的同事，也能满足环保的要求。因此，本项目平面布局合理可行。</w:t>
      </w:r>
    </w:p>
    <w:p>
      <w:pPr>
        <w:adjustRightInd w:val="0"/>
        <w:snapToGrid w:val="0"/>
        <w:spacing w:line="360" w:lineRule="auto"/>
        <w:ind w:firstLine="480" w:firstLineChars="200"/>
      </w:pPr>
    </w:p>
    <w:p>
      <w:pPr>
        <w:pStyle w:val="5"/>
      </w:pPr>
      <w:r>
        <w:t>污染物总量控制</w:t>
      </w:r>
    </w:p>
    <w:p>
      <w:pPr>
        <w:spacing w:line="360" w:lineRule="auto"/>
        <w:ind w:firstLine="504" w:firstLineChars="200"/>
        <w:rPr>
          <w:color w:val="000000" w:themeColor="text1"/>
          <w:highlight w:val="yellow"/>
        </w:rPr>
      </w:pPr>
      <w:r>
        <w:rPr>
          <w:color w:val="000000" w:themeColor="text1"/>
          <w:spacing w:val="6"/>
        </w:rPr>
        <w:t>环评建议</w:t>
      </w:r>
      <w:r>
        <w:rPr>
          <w:rFonts w:hint="eastAsia"/>
          <w:color w:val="000000" w:themeColor="text1"/>
        </w:rPr>
        <w:t>项目</w:t>
      </w:r>
      <w:r>
        <w:rPr>
          <w:color w:val="000000" w:themeColor="text1"/>
          <w:spacing w:val="6"/>
        </w:rPr>
        <w:t>主要污染物</w:t>
      </w:r>
      <w:r>
        <w:rPr>
          <w:color w:val="000000" w:themeColor="text1"/>
        </w:rPr>
        <w:t>的总量控制指标：COD：</w:t>
      </w:r>
      <w:r>
        <w:rPr>
          <w:rFonts w:hint="eastAsia"/>
          <w:color w:val="000000" w:themeColor="text1"/>
        </w:rPr>
        <w:t>21.531</w:t>
      </w:r>
      <w:r>
        <w:rPr>
          <w:color w:val="000000" w:themeColor="text1"/>
        </w:rPr>
        <w:t>t/a，NH</w:t>
      </w:r>
      <w:r>
        <w:rPr>
          <w:color w:val="000000" w:themeColor="text1"/>
          <w:vertAlign w:val="subscript"/>
        </w:rPr>
        <w:t>3</w:t>
      </w:r>
      <w:r>
        <w:rPr>
          <w:color w:val="000000" w:themeColor="text1"/>
        </w:rPr>
        <w:t>-N：</w:t>
      </w:r>
      <w:r>
        <w:rPr>
          <w:rFonts w:hint="eastAsia"/>
          <w:color w:val="000000" w:themeColor="text1"/>
        </w:rPr>
        <w:t>1.89</w:t>
      </w:r>
      <w:r>
        <w:rPr>
          <w:color w:val="000000" w:themeColor="text1"/>
        </w:rPr>
        <w:t>t/a</w:t>
      </w:r>
      <w:r>
        <w:rPr>
          <w:rFonts w:hint="eastAsia"/>
          <w:color w:val="000000" w:themeColor="text1"/>
        </w:rPr>
        <w:t>，TP的建议指标为：0.14t/a，TN的建议指标为：3.02t/a，二氧化硫：0.304t/a、氮氧化物：0.296t/a，总量指标由建设单位向岳阳市岳阳楼区环保分局申请。</w:t>
      </w:r>
    </w:p>
    <w:p>
      <w:pPr>
        <w:pStyle w:val="5"/>
      </w:pPr>
      <w:r>
        <w:t>公众参与</w:t>
      </w:r>
    </w:p>
    <w:p>
      <w:pPr>
        <w:adjustRightInd w:val="0"/>
        <w:snapToGrid w:val="0"/>
        <w:spacing w:line="360" w:lineRule="auto"/>
        <w:ind w:firstLine="480" w:firstLineChars="200"/>
        <w:rPr>
          <w:color w:val="000000" w:themeColor="text1"/>
        </w:rPr>
      </w:pPr>
      <w:r>
        <w:rPr>
          <w:bCs/>
        </w:rPr>
        <w:t>从环境信息公开及反馈的情况来看，周围公众对本项目的建设较了解，绝大多数人赞成本项目的建设，没有人反对项目建设。公众要求建设方在建设过程中做好环境管理和污染物防治工作，建设方对于公众的意见均表示采纳。</w:t>
      </w:r>
    </w:p>
    <w:p>
      <w:pPr>
        <w:pStyle w:val="4"/>
        <w:adjustRightInd w:val="0"/>
        <w:snapToGrid w:val="0"/>
        <w:rPr>
          <w:color w:val="000000" w:themeColor="text1"/>
        </w:rPr>
      </w:pPr>
      <w:bookmarkStart w:id="269" w:name="_Toc532763248"/>
      <w:bookmarkStart w:id="270" w:name="_Toc532376191"/>
      <w:bookmarkStart w:id="271" w:name="_Toc532497742"/>
      <w:bookmarkStart w:id="272" w:name="_Toc25826518"/>
      <w:bookmarkStart w:id="273" w:name="_Toc532498784"/>
      <w:r>
        <w:rPr>
          <w:rFonts w:hint="eastAsia"/>
          <w:color w:val="000000" w:themeColor="text1"/>
        </w:rPr>
        <w:t>总结论</w:t>
      </w:r>
      <w:bookmarkEnd w:id="269"/>
      <w:bookmarkEnd w:id="270"/>
      <w:bookmarkEnd w:id="271"/>
      <w:bookmarkEnd w:id="272"/>
      <w:bookmarkEnd w:id="273"/>
    </w:p>
    <w:p>
      <w:pPr>
        <w:adjustRightInd w:val="0"/>
        <w:snapToGrid w:val="0"/>
        <w:spacing w:line="360" w:lineRule="auto"/>
        <w:ind w:firstLine="496" w:firstLineChars="200"/>
        <w:rPr>
          <w:color w:val="000000" w:themeColor="text1"/>
        </w:rPr>
      </w:pPr>
      <w:r>
        <w:rPr>
          <w:spacing w:val="4"/>
        </w:rPr>
        <w:t>综上所述，本项目符合国家产业政策要求，选址符合岳阳市</w:t>
      </w:r>
      <w:r>
        <w:rPr>
          <w:rFonts w:hint="eastAsia"/>
          <w:spacing w:val="4"/>
        </w:rPr>
        <w:t>城市</w:t>
      </w:r>
      <w:r>
        <w:rPr>
          <w:spacing w:val="4"/>
        </w:rPr>
        <w:t>总体规划，建设项目所在区域环境现状功能良好，建设条件和设施较完善，可以满足建设需要</w:t>
      </w:r>
      <w:r>
        <w:rPr>
          <w:rFonts w:hint="eastAsia"/>
          <w:spacing w:val="4"/>
        </w:rPr>
        <w:t>，</w:t>
      </w:r>
      <w:r>
        <w:rPr>
          <w:spacing w:val="4"/>
        </w:rPr>
        <w:t>对周围环境的污染程度较轻，在采取相应的治理措施后，可达到相应的国家排放标准；项目实施后能满足区域环境质量与环境功能的要求；公众对本项目的实施持支持态度。项目在执行“三同时”原则的基础上，严格执行国家的环保法律法规，切实落实本环评中提出的各项污染防治和生态保护措施，将对周围环境的影响降低到可接受的程度。因此，从环保的角度分析，本项目的建设是可行的。</w:t>
      </w:r>
    </w:p>
    <w:p>
      <w:pPr>
        <w:adjustRightInd w:val="0"/>
        <w:snapToGrid w:val="0"/>
        <w:spacing w:line="360" w:lineRule="auto"/>
        <w:ind w:firstLine="480" w:firstLineChars="200"/>
        <w:rPr>
          <w:color w:val="000000" w:themeColor="text1"/>
        </w:rPr>
      </w:pPr>
    </w:p>
    <w:p>
      <w:pPr>
        <w:widowControl/>
        <w:jc w:val="left"/>
        <w:rPr>
          <w:color w:val="000000" w:themeColor="text1"/>
        </w:rPr>
      </w:pPr>
      <w:r>
        <w:rPr>
          <w:color w:val="000000" w:themeColor="text1"/>
        </w:rPr>
        <w:br w:type="page"/>
      </w:r>
    </w:p>
    <w:p>
      <w:pPr>
        <w:adjustRightInd w:val="0"/>
        <w:snapToGrid w:val="0"/>
        <w:spacing w:line="360" w:lineRule="auto"/>
        <w:ind w:firstLine="480" w:firstLineChars="200"/>
        <w:rPr>
          <w:color w:val="000000" w:themeColor="text1"/>
        </w:rPr>
      </w:pPr>
      <w:r>
        <w:rPr>
          <w:color w:val="000000" w:themeColor="text1"/>
        </w:rPr>
        <w:drawing>
          <wp:inline distT="0" distB="0" distL="0" distR="0">
            <wp:extent cx="5533390" cy="7620000"/>
            <wp:effectExtent l="19050" t="0" r="0" b="0"/>
            <wp:docPr id="3" name="图片 13" descr="C:\Users\123\AppData\Local\Temp\WeChat Files\f66f6d00b37d7b5a04cc0d1957856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descr="C:\Users\123\AppData\Local\Temp\WeChat Files\f66f6d00b37d7b5a04cc0d1957856a3.jpg"/>
                    <pic:cNvPicPr>
                      <a:picLocks noChangeAspect="1" noChangeArrowheads="1"/>
                    </pic:cNvPicPr>
                  </pic:nvPicPr>
                  <pic:blipFill>
                    <a:blip r:embed="rId31" cstate="print"/>
                    <a:srcRect/>
                    <a:stretch>
                      <a:fillRect/>
                    </a:stretch>
                  </pic:blipFill>
                  <pic:spPr>
                    <a:xfrm>
                      <a:off x="0" y="0"/>
                      <a:ext cx="5533390" cy="7620000"/>
                    </a:xfrm>
                    <a:prstGeom prst="rect">
                      <a:avLst/>
                    </a:prstGeom>
                    <a:noFill/>
                    <a:ln w="9525">
                      <a:noFill/>
                      <a:miter lim="800000"/>
                      <a:headEnd/>
                      <a:tailEnd/>
                    </a:ln>
                  </pic:spPr>
                </pic:pic>
              </a:graphicData>
            </a:graphic>
          </wp:inline>
        </w:drawing>
      </w:r>
    </w:p>
    <w:p>
      <w:pPr>
        <w:widowControl/>
        <w:jc w:val="left"/>
        <w:rPr>
          <w:color w:val="000000" w:themeColor="text1"/>
        </w:rPr>
      </w:pPr>
      <w:r>
        <w:rPr>
          <w:color w:val="000000" w:themeColor="text1"/>
        </w:rPr>
        <w:br w:type="page"/>
      </w:r>
    </w:p>
    <w:p>
      <w:pPr>
        <w:adjustRightInd w:val="0"/>
        <w:snapToGrid w:val="0"/>
        <w:spacing w:line="360" w:lineRule="auto"/>
        <w:ind w:firstLine="480" w:firstLineChars="200"/>
        <w:rPr>
          <w:color w:val="000000" w:themeColor="text1"/>
        </w:rPr>
      </w:pPr>
      <w:r>
        <w:rPr>
          <w:color w:val="000000" w:themeColor="text1"/>
        </w:rPr>
        <w:drawing>
          <wp:inline distT="0" distB="0" distL="0" distR="0">
            <wp:extent cx="5533390" cy="7620000"/>
            <wp:effectExtent l="19050" t="0" r="0" b="0"/>
            <wp:docPr id="4" name="图片 14" descr="C:\Users\123\AppData\Local\Temp\WeChat Files\ff03ff887edb8f09ddd485d4512e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descr="C:\Users\123\AppData\Local\Temp\WeChat Files\ff03ff887edb8f09ddd485d4512ea31.jpg"/>
                    <pic:cNvPicPr>
                      <a:picLocks noChangeAspect="1" noChangeArrowheads="1"/>
                    </pic:cNvPicPr>
                  </pic:nvPicPr>
                  <pic:blipFill>
                    <a:blip r:embed="rId32" cstate="print"/>
                    <a:srcRect/>
                    <a:stretch>
                      <a:fillRect/>
                    </a:stretch>
                  </pic:blipFill>
                  <pic:spPr>
                    <a:xfrm>
                      <a:off x="0" y="0"/>
                      <a:ext cx="5533390" cy="7620000"/>
                    </a:xfrm>
                    <a:prstGeom prst="rect">
                      <a:avLst/>
                    </a:prstGeom>
                    <a:noFill/>
                    <a:ln w="9525">
                      <a:noFill/>
                      <a:miter lim="800000"/>
                      <a:headEnd/>
                      <a:tailEnd/>
                    </a:ln>
                  </pic:spPr>
                </pic:pic>
              </a:graphicData>
            </a:graphic>
          </wp:inline>
        </w:drawing>
      </w:r>
    </w:p>
    <w:p>
      <w:pPr>
        <w:widowControl/>
        <w:jc w:val="left"/>
        <w:rPr>
          <w:color w:val="000000" w:themeColor="text1"/>
        </w:rPr>
      </w:pPr>
      <w:r>
        <w:rPr>
          <w:color w:val="000000" w:themeColor="text1"/>
        </w:rPr>
        <w:br w:type="page"/>
      </w:r>
    </w:p>
    <w:p>
      <w:pPr>
        <w:adjustRightInd w:val="0"/>
        <w:snapToGrid w:val="0"/>
        <w:spacing w:line="360" w:lineRule="auto"/>
        <w:ind w:firstLine="480" w:firstLineChars="200"/>
        <w:rPr>
          <w:color w:val="000000" w:themeColor="text1"/>
        </w:rPr>
        <w:sectPr>
          <w:pgSz w:w="11911" w:h="16838"/>
          <w:pgMar w:top="1060" w:right="958" w:bottom="1338" w:left="1519" w:header="720" w:footer="720" w:gutter="0"/>
          <w:cols w:space="0" w:num="1"/>
          <w:docGrid w:linePitch="326" w:charSpace="0"/>
        </w:sectPr>
      </w:pPr>
      <w:r>
        <w:rPr>
          <w:color w:val="000000" w:themeColor="text1"/>
        </w:rPr>
        <w:drawing>
          <wp:inline distT="0" distB="0" distL="0" distR="0">
            <wp:extent cx="5533390" cy="7620000"/>
            <wp:effectExtent l="19050" t="0" r="0" b="0"/>
            <wp:docPr id="5" name="图片 15" descr="C:\Users\123\AppData\Local\Temp\WeChat Files\acbf6d2cdf6facd4029ecfe41487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descr="C:\Users\123\AppData\Local\Temp\WeChat Files\acbf6d2cdf6facd4029ecfe41487961.jpg"/>
                    <pic:cNvPicPr>
                      <a:picLocks noChangeAspect="1" noChangeArrowheads="1"/>
                    </pic:cNvPicPr>
                  </pic:nvPicPr>
                  <pic:blipFill>
                    <a:blip r:embed="rId33" cstate="print"/>
                    <a:srcRect/>
                    <a:stretch>
                      <a:fillRect/>
                    </a:stretch>
                  </pic:blipFill>
                  <pic:spPr>
                    <a:xfrm>
                      <a:off x="0" y="0"/>
                      <a:ext cx="5533390" cy="7620000"/>
                    </a:xfrm>
                    <a:prstGeom prst="rect">
                      <a:avLst/>
                    </a:prstGeom>
                    <a:noFill/>
                    <a:ln w="9525">
                      <a:noFill/>
                      <a:miter lim="800000"/>
                      <a:headEnd/>
                      <a:tailEnd/>
                    </a:ln>
                  </pic:spPr>
                </pic:pic>
              </a:graphicData>
            </a:graphic>
          </wp:inline>
        </w:drawing>
      </w:r>
    </w:p>
    <w:p>
      <w:pPr>
        <w:adjustRightInd w:val="0"/>
        <w:snapToGrid w:val="0"/>
        <w:spacing w:line="360" w:lineRule="auto"/>
        <w:ind w:firstLine="480" w:firstLineChars="200"/>
        <w:rPr>
          <w:rFonts w:hint="eastAsia" w:eastAsiaTheme="minorEastAsia"/>
          <w:color w:val="000000" w:themeColor="text1"/>
          <w:lang w:eastAsia="zh-CN"/>
        </w:rPr>
      </w:pPr>
      <w:r>
        <w:rPr>
          <w:rFonts w:hint="eastAsia" w:eastAsiaTheme="minorEastAsia"/>
          <w:color w:val="000000" w:themeColor="text1"/>
          <w:lang w:eastAsia="zh-CN"/>
        </w:rPr>
        <w:drawing>
          <wp:inline distT="0" distB="0" distL="114300" distR="114300">
            <wp:extent cx="5986145" cy="8714105"/>
            <wp:effectExtent l="0" t="0" r="14605" b="10795"/>
            <wp:docPr id="7" name="图片 7" descr="c15a0defee01f23cfe89a135c3aa2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15a0defee01f23cfe89a135c3aa20f"/>
                    <pic:cNvPicPr>
                      <a:picLocks noChangeAspect="1"/>
                    </pic:cNvPicPr>
                  </pic:nvPicPr>
                  <pic:blipFill>
                    <a:blip r:embed="rId34"/>
                    <a:stretch>
                      <a:fillRect/>
                    </a:stretch>
                  </pic:blipFill>
                  <pic:spPr>
                    <a:xfrm>
                      <a:off x="0" y="0"/>
                      <a:ext cx="5986145" cy="8714105"/>
                    </a:xfrm>
                    <a:prstGeom prst="rect">
                      <a:avLst/>
                    </a:prstGeom>
                  </pic:spPr>
                </pic:pic>
              </a:graphicData>
            </a:graphic>
          </wp:inline>
        </w:drawing>
      </w:r>
      <w:bookmarkStart w:id="274" w:name="_GoBack"/>
      <w:bookmarkEnd w:id="274"/>
    </w:p>
    <w:sectPr>
      <w:pgSz w:w="11911" w:h="16838"/>
      <w:pgMar w:top="1060" w:right="958" w:bottom="1338" w:left="1519" w:header="720" w:footer="720" w:gutter="0"/>
      <w:cols w:space="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TimesNewRomanPSMT">
    <w:altName w:val="Times New Roman"/>
    <w:panose1 w:val="00000000000000000000"/>
    <w:charset w:val="00"/>
    <w:family w:val="roman"/>
    <w:pitch w:val="default"/>
    <w:sig w:usb0="00000000" w:usb1="00000000" w:usb2="00000010" w:usb3="00000000" w:csb0="00020001" w:csb1="00000000"/>
  </w:font>
  <w:font w:name="昆仑仿宋">
    <w:altName w:val="黑体"/>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Dutch801 Rm BT">
    <w:altName w:val="Times New Roman"/>
    <w:panose1 w:val="00000000000000000000"/>
    <w:charset w:val="00"/>
    <w:family w:val="roman"/>
    <w:pitch w:val="default"/>
    <w:sig w:usb0="00000000" w:usb1="00000000" w:usb2="00000000" w:usb3="00000000" w:csb0="0000001B" w:csb1="00000000"/>
  </w:font>
  <w:font w:name="Tahoma">
    <w:panose1 w:val="020B0604030504040204"/>
    <w:charset w:val="00"/>
    <w:family w:val="swiss"/>
    <w:pitch w:val="default"/>
    <w:sig w:usb0="E1002EFF" w:usb1="C000605B" w:usb2="00000029" w:usb3="00000000" w:csb0="200101FF" w:csb1="20280000"/>
  </w:font>
  <w:font w:name="方正宋三简体">
    <w:altName w:val="宋体"/>
    <w:panose1 w:val="00000000000000000000"/>
    <w:charset w:val="86"/>
    <w:family w:val="auto"/>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7128"/>
    </w:sdtPr>
    <w:sdtContent>
      <w:p>
        <w:pPr>
          <w:pStyle w:val="27"/>
          <w:jc w:val="center"/>
        </w:pPr>
        <w:r>
          <w:fldChar w:fldCharType="begin"/>
        </w:r>
        <w:r>
          <w:instrText xml:space="preserve"> PAGE   \* MERGEFORMAT </w:instrText>
        </w:r>
        <w:r>
          <w:fldChar w:fldCharType="separate"/>
        </w:r>
        <w:r>
          <w:rPr>
            <w:lang w:val="zh-CN"/>
          </w:rPr>
          <w:t>2</w:t>
        </w:r>
        <w:r>
          <w:rPr>
            <w:lang w:val="zh-CN"/>
          </w:rPr>
          <w:fldChar w:fldCharType="end"/>
        </w:r>
      </w:p>
    </w:sdtContent>
  </w:sdt>
  <w:p>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7127"/>
    </w:sdtPr>
    <w:sdtContent>
      <w:p>
        <w:pPr>
          <w:pStyle w:val="27"/>
          <w:jc w:val="center"/>
        </w:pPr>
        <w:r>
          <w:fldChar w:fldCharType="begin"/>
        </w:r>
        <w:r>
          <w:instrText xml:space="preserve"> PAGE   \* MERGEFORMAT </w:instrText>
        </w:r>
        <w:r>
          <w:fldChar w:fldCharType="separate"/>
        </w:r>
        <w:r>
          <w:rPr>
            <w:lang w:val="zh-CN"/>
          </w:rPr>
          <w:t>3</w:t>
        </w:r>
        <w:r>
          <w:rPr>
            <w:lang w:val="zh-CN"/>
          </w:rPr>
          <w:fldChar w:fldCharType="end"/>
        </w:r>
      </w:p>
    </w:sdtContent>
  </w:sdt>
  <w:p>
    <w:pPr>
      <w:pStyle w:val="2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rPr>
        <w:rFonts w:hint="eastAsia" w:cs="Times New Roman"/>
        <w:szCs w:val="24"/>
      </w:rPr>
      <w:t>岳阳市康复医院建设项目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rPr>
        <w:rFonts w:hint="eastAsia" w:cs="Times New Roman"/>
        <w:szCs w:val="24"/>
      </w:rPr>
      <w:t>岳阳市康复医院建设项目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4555B96"/>
    <w:multiLevelType w:val="singleLevel"/>
    <w:tmpl w:val="B4555B96"/>
    <w:lvl w:ilvl="0" w:tentative="0">
      <w:start w:val="1"/>
      <w:numFmt w:val="decimal"/>
      <w:suff w:val="nothing"/>
      <w:lvlText w:val="（%1）"/>
      <w:lvlJc w:val="left"/>
    </w:lvl>
  </w:abstractNum>
  <w:abstractNum w:abstractNumId="1">
    <w:nsid w:val="159764A0"/>
    <w:multiLevelType w:val="multilevel"/>
    <w:tmpl w:val="159764A0"/>
    <w:lvl w:ilvl="0" w:tentative="0">
      <w:start w:val="1"/>
      <w:numFmt w:val="decimal"/>
      <w:pStyle w:val="2"/>
      <w:suff w:val="space"/>
      <w:lvlText w:val="%1"/>
      <w:lvlJc w:val="left"/>
      <w:pPr>
        <w:ind w:left="432" w:hanging="432"/>
      </w:pPr>
      <w:rPr>
        <w:rFonts w:hint="eastAsia"/>
      </w:rPr>
    </w:lvl>
    <w:lvl w:ilvl="1" w:tentative="0">
      <w:start w:val="1"/>
      <w:numFmt w:val="decimal"/>
      <w:pStyle w:val="4"/>
      <w:suff w:val="space"/>
      <w:lvlText w:val="%1.%2"/>
      <w:lvlJc w:val="left"/>
      <w:pPr>
        <w:ind w:left="576" w:hanging="576"/>
      </w:pPr>
      <w:rPr>
        <w:rFonts w:hint="eastAsia"/>
      </w:rPr>
    </w:lvl>
    <w:lvl w:ilvl="2" w:tentative="0">
      <w:start w:val="1"/>
      <w:numFmt w:val="decimal"/>
      <w:pStyle w:val="5"/>
      <w:suff w:val="space"/>
      <w:lvlText w:val="%1.%2.%3"/>
      <w:lvlJc w:val="left"/>
      <w:pPr>
        <w:ind w:left="720" w:hanging="720"/>
      </w:pPr>
      <w:rPr>
        <w:rFonts w:hint="eastAsia"/>
      </w:rPr>
    </w:lvl>
    <w:lvl w:ilvl="3" w:tentative="0">
      <w:start w:val="1"/>
      <w:numFmt w:val="decimal"/>
      <w:pStyle w:val="6"/>
      <w:suff w:val="space"/>
      <w:lvlText w:val="%1.%2.%3.%4"/>
      <w:lvlJc w:val="left"/>
      <w:pPr>
        <w:ind w:left="1573" w:hanging="864"/>
      </w:pPr>
      <w:rPr>
        <w:rFonts w:hint="eastAsia" w:ascii="Times New Roman" w:hAnsi="Times New Roman" w:cs="Times New Roman"/>
        <w:b/>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4" w:tentative="0">
      <w:start w:val="1"/>
      <w:numFmt w:val="decimal"/>
      <w:pStyle w:val="7"/>
      <w:lvlText w:val="%1.%2.%3.%4.%5"/>
      <w:lvlJc w:val="left"/>
      <w:pPr>
        <w:ind w:left="1008" w:hanging="1008"/>
      </w:pPr>
      <w:rPr>
        <w:rFonts w:hint="eastAsia"/>
      </w:rPr>
    </w:lvl>
    <w:lvl w:ilvl="5" w:tentative="0">
      <w:start w:val="1"/>
      <w:numFmt w:val="decimal"/>
      <w:pStyle w:val="8"/>
      <w:lvlText w:val="%1.%2.%3.%4.%5.%6"/>
      <w:lvlJc w:val="left"/>
      <w:pPr>
        <w:ind w:left="1152" w:hanging="1152"/>
      </w:pPr>
      <w:rPr>
        <w:rFonts w:hint="eastAsia"/>
      </w:rPr>
    </w:lvl>
    <w:lvl w:ilvl="6" w:tentative="0">
      <w:start w:val="1"/>
      <w:numFmt w:val="decimal"/>
      <w:pStyle w:val="9"/>
      <w:lvlText w:val="%1.%2.%3.%4.%5.%6.%7"/>
      <w:lvlJc w:val="left"/>
      <w:pPr>
        <w:ind w:left="1296" w:hanging="1296"/>
      </w:pPr>
      <w:rPr>
        <w:rFonts w:hint="eastAsia"/>
      </w:rPr>
    </w:lvl>
    <w:lvl w:ilvl="7" w:tentative="0">
      <w:start w:val="1"/>
      <w:numFmt w:val="decimal"/>
      <w:pStyle w:val="10"/>
      <w:lvlText w:val="%1.%2.%3.%4.%5.%6.%7.%8"/>
      <w:lvlJc w:val="left"/>
      <w:pPr>
        <w:ind w:left="1440" w:hanging="1440"/>
      </w:pPr>
      <w:rPr>
        <w:rFonts w:hint="eastAsia"/>
      </w:rPr>
    </w:lvl>
    <w:lvl w:ilvl="8" w:tentative="0">
      <w:start w:val="1"/>
      <w:numFmt w:val="decimal"/>
      <w:pStyle w:val="11"/>
      <w:lvlText w:val="%1.%2.%3.%4.%5.%6.%7.%8.%9"/>
      <w:lvlJc w:val="left"/>
      <w:pPr>
        <w:ind w:left="1584" w:hanging="1584"/>
      </w:pPr>
      <w:rPr>
        <w:rFonts w:hint="eastAsia"/>
      </w:rPr>
    </w:lvl>
  </w:abstractNum>
  <w:abstractNum w:abstractNumId="2">
    <w:nsid w:val="1D337673"/>
    <w:multiLevelType w:val="multilevel"/>
    <w:tmpl w:val="1D337673"/>
    <w:lvl w:ilvl="0" w:tentative="0">
      <w:start w:val="1"/>
      <w:numFmt w:val="decimal"/>
      <w:suff w:val="nothing"/>
      <w:lvlText w:val="（%1）"/>
      <w:lvlJc w:val="left"/>
      <w:pPr>
        <w:ind w:left="85" w:firstLine="482"/>
      </w:pPr>
      <w:rPr>
        <w:rFonts w:hint="eastAsia"/>
        <w:b w:val="0"/>
        <w:sz w:val="24"/>
        <w:szCs w:val="24"/>
      </w:rPr>
    </w:lvl>
    <w:lvl w:ilvl="1" w:tentative="0">
      <w:start w:val="1"/>
      <w:numFmt w:val="decimalEnclosedParen"/>
      <w:lvlText w:val="%2、"/>
      <w:lvlJc w:val="left"/>
      <w:pPr>
        <w:ind w:left="1690" w:hanging="465"/>
      </w:pPr>
      <w:rPr>
        <w:rFonts w:hint="default" w:ascii="宋体" w:hAnsi="宋体" w:cs="宋体"/>
      </w:rPr>
    </w:lvl>
    <w:lvl w:ilvl="2" w:tentative="0">
      <w:start w:val="1"/>
      <w:numFmt w:val="lowerRoman"/>
      <w:lvlText w:val="%3."/>
      <w:lvlJc w:val="right"/>
      <w:pPr>
        <w:ind w:left="2065" w:hanging="420"/>
      </w:pPr>
    </w:lvl>
    <w:lvl w:ilvl="3" w:tentative="0">
      <w:start w:val="1"/>
      <w:numFmt w:val="decimal"/>
      <w:lvlText w:val="%4."/>
      <w:lvlJc w:val="left"/>
      <w:pPr>
        <w:ind w:left="2485" w:hanging="420"/>
      </w:pPr>
    </w:lvl>
    <w:lvl w:ilvl="4" w:tentative="0">
      <w:start w:val="1"/>
      <w:numFmt w:val="lowerLetter"/>
      <w:lvlText w:val="%5)"/>
      <w:lvlJc w:val="left"/>
      <w:pPr>
        <w:ind w:left="2905" w:hanging="420"/>
      </w:pPr>
    </w:lvl>
    <w:lvl w:ilvl="5" w:tentative="0">
      <w:start w:val="1"/>
      <w:numFmt w:val="lowerRoman"/>
      <w:lvlText w:val="%6."/>
      <w:lvlJc w:val="right"/>
      <w:pPr>
        <w:ind w:left="3325" w:hanging="420"/>
      </w:pPr>
    </w:lvl>
    <w:lvl w:ilvl="6" w:tentative="0">
      <w:start w:val="1"/>
      <w:numFmt w:val="decimal"/>
      <w:lvlText w:val="%7."/>
      <w:lvlJc w:val="left"/>
      <w:pPr>
        <w:ind w:left="3745" w:hanging="420"/>
      </w:pPr>
    </w:lvl>
    <w:lvl w:ilvl="7" w:tentative="0">
      <w:start w:val="1"/>
      <w:numFmt w:val="lowerLetter"/>
      <w:lvlText w:val="%8)"/>
      <w:lvlJc w:val="left"/>
      <w:pPr>
        <w:ind w:left="4165" w:hanging="420"/>
      </w:pPr>
    </w:lvl>
    <w:lvl w:ilvl="8" w:tentative="0">
      <w:start w:val="1"/>
      <w:numFmt w:val="lowerRoman"/>
      <w:lvlText w:val="%9."/>
      <w:lvlJc w:val="right"/>
      <w:pPr>
        <w:ind w:left="4585" w:hanging="420"/>
      </w:pPr>
    </w:lvl>
  </w:abstractNum>
  <w:abstractNum w:abstractNumId="3">
    <w:nsid w:val="1DA44EB4"/>
    <w:multiLevelType w:val="multilevel"/>
    <w:tmpl w:val="1DA44EB4"/>
    <w:lvl w:ilvl="0" w:tentative="0">
      <w:start w:val="1"/>
      <w:numFmt w:val="decimal"/>
      <w:suff w:val="nothing"/>
      <w:lvlText w:val="（%1）"/>
      <w:lvlJc w:val="left"/>
      <w:pPr>
        <w:ind w:left="85" w:firstLine="482"/>
      </w:pPr>
      <w:rPr>
        <w:rFonts w:hint="eastAsia"/>
        <w:b w:val="0"/>
        <w:sz w:val="24"/>
        <w:szCs w:val="24"/>
      </w:rPr>
    </w:lvl>
    <w:lvl w:ilvl="1" w:tentative="0">
      <w:start w:val="1"/>
      <w:numFmt w:val="decimalEnclosedParen"/>
      <w:lvlText w:val="%2、"/>
      <w:lvlJc w:val="left"/>
      <w:pPr>
        <w:ind w:left="1690" w:hanging="465"/>
      </w:pPr>
      <w:rPr>
        <w:rFonts w:hint="default" w:ascii="宋体" w:hAnsi="宋体" w:cs="宋体"/>
      </w:rPr>
    </w:lvl>
    <w:lvl w:ilvl="2" w:tentative="0">
      <w:start w:val="1"/>
      <w:numFmt w:val="lowerRoman"/>
      <w:lvlText w:val="%3."/>
      <w:lvlJc w:val="right"/>
      <w:pPr>
        <w:ind w:left="2065" w:hanging="420"/>
      </w:pPr>
    </w:lvl>
    <w:lvl w:ilvl="3" w:tentative="0">
      <w:start w:val="1"/>
      <w:numFmt w:val="decimal"/>
      <w:lvlText w:val="%4."/>
      <w:lvlJc w:val="left"/>
      <w:pPr>
        <w:ind w:left="2485" w:hanging="420"/>
      </w:pPr>
    </w:lvl>
    <w:lvl w:ilvl="4" w:tentative="0">
      <w:start w:val="1"/>
      <w:numFmt w:val="lowerLetter"/>
      <w:lvlText w:val="%5)"/>
      <w:lvlJc w:val="left"/>
      <w:pPr>
        <w:ind w:left="2905" w:hanging="420"/>
      </w:pPr>
    </w:lvl>
    <w:lvl w:ilvl="5" w:tentative="0">
      <w:start w:val="1"/>
      <w:numFmt w:val="lowerRoman"/>
      <w:lvlText w:val="%6."/>
      <w:lvlJc w:val="right"/>
      <w:pPr>
        <w:ind w:left="3325" w:hanging="420"/>
      </w:pPr>
    </w:lvl>
    <w:lvl w:ilvl="6" w:tentative="0">
      <w:start w:val="1"/>
      <w:numFmt w:val="decimal"/>
      <w:lvlText w:val="%7."/>
      <w:lvlJc w:val="left"/>
      <w:pPr>
        <w:ind w:left="3745" w:hanging="420"/>
      </w:pPr>
    </w:lvl>
    <w:lvl w:ilvl="7" w:tentative="0">
      <w:start w:val="1"/>
      <w:numFmt w:val="lowerLetter"/>
      <w:lvlText w:val="%8)"/>
      <w:lvlJc w:val="left"/>
      <w:pPr>
        <w:ind w:left="4165" w:hanging="420"/>
      </w:pPr>
    </w:lvl>
    <w:lvl w:ilvl="8" w:tentative="0">
      <w:start w:val="1"/>
      <w:numFmt w:val="lowerRoman"/>
      <w:lvlText w:val="%9."/>
      <w:lvlJc w:val="right"/>
      <w:pPr>
        <w:ind w:left="4585" w:hanging="420"/>
      </w:pPr>
    </w:lvl>
  </w:abstractNum>
  <w:abstractNum w:abstractNumId="4">
    <w:nsid w:val="3DA81F06"/>
    <w:multiLevelType w:val="multilevel"/>
    <w:tmpl w:val="3DA81F06"/>
    <w:lvl w:ilvl="0" w:tentative="0">
      <w:start w:val="1"/>
      <w:numFmt w:val="decimal"/>
      <w:suff w:val="nothing"/>
      <w:lvlText w:val="（%1）"/>
      <w:lvlJc w:val="left"/>
      <w:pPr>
        <w:ind w:left="0" w:firstLine="482"/>
      </w:pPr>
      <w:rPr>
        <w:rFonts w:hint="eastAsia"/>
        <w:b w:val="0"/>
        <w:sz w:val="24"/>
        <w:szCs w:val="24"/>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5">
    <w:nsid w:val="63B979EC"/>
    <w:multiLevelType w:val="multilevel"/>
    <w:tmpl w:val="63B979EC"/>
    <w:lvl w:ilvl="0" w:tentative="0">
      <w:start w:val="1"/>
      <w:numFmt w:val="decimal"/>
      <w:lvlText w:val="（%1）"/>
      <w:lvlJc w:val="left"/>
      <w:pPr>
        <w:ind w:left="1200" w:hanging="720"/>
      </w:pPr>
      <w:rPr>
        <w:rFonts w:hint="default"/>
      </w:rPr>
    </w:lvl>
    <w:lvl w:ilvl="1" w:tentative="0">
      <w:start w:val="1"/>
      <w:numFmt w:val="decimalEnclosedCircle"/>
      <w:lvlText w:val="%2"/>
      <w:lvlJc w:val="left"/>
      <w:pPr>
        <w:ind w:left="1260" w:hanging="36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65E9632E"/>
    <w:multiLevelType w:val="multilevel"/>
    <w:tmpl w:val="65E9632E"/>
    <w:lvl w:ilvl="0" w:tentative="0">
      <w:start w:val="1"/>
      <w:numFmt w:val="decimal"/>
      <w:suff w:val="nothing"/>
      <w:lvlText w:val="（%1）"/>
      <w:lvlJc w:val="left"/>
      <w:pPr>
        <w:ind w:left="227" w:firstLine="482"/>
      </w:pPr>
      <w:rPr>
        <w:rFonts w:hint="eastAsia"/>
        <w:sz w:val="24"/>
        <w:szCs w:val="24"/>
      </w:rPr>
    </w:lvl>
    <w:lvl w:ilvl="1" w:tentative="0">
      <w:start w:val="1"/>
      <w:numFmt w:val="lowerLetter"/>
      <w:lvlText w:val="%2)"/>
      <w:lvlJc w:val="left"/>
      <w:pPr>
        <w:ind w:left="1504" w:hanging="420"/>
      </w:pPr>
    </w:lvl>
    <w:lvl w:ilvl="2" w:tentative="0">
      <w:start w:val="1"/>
      <w:numFmt w:val="lowerRoman"/>
      <w:lvlText w:val="%3."/>
      <w:lvlJc w:val="right"/>
      <w:pPr>
        <w:ind w:left="1924" w:hanging="420"/>
      </w:pPr>
    </w:lvl>
    <w:lvl w:ilvl="3" w:tentative="0">
      <w:start w:val="1"/>
      <w:numFmt w:val="decimal"/>
      <w:lvlText w:val="%4."/>
      <w:lvlJc w:val="left"/>
      <w:pPr>
        <w:ind w:left="2344" w:hanging="420"/>
      </w:pPr>
    </w:lvl>
    <w:lvl w:ilvl="4" w:tentative="0">
      <w:start w:val="1"/>
      <w:numFmt w:val="lowerLetter"/>
      <w:lvlText w:val="%5)"/>
      <w:lvlJc w:val="left"/>
      <w:pPr>
        <w:ind w:left="2764" w:hanging="420"/>
      </w:pPr>
    </w:lvl>
    <w:lvl w:ilvl="5" w:tentative="0">
      <w:start w:val="1"/>
      <w:numFmt w:val="lowerRoman"/>
      <w:lvlText w:val="%6."/>
      <w:lvlJc w:val="right"/>
      <w:pPr>
        <w:ind w:left="3184" w:hanging="420"/>
      </w:pPr>
    </w:lvl>
    <w:lvl w:ilvl="6" w:tentative="0">
      <w:start w:val="1"/>
      <w:numFmt w:val="decimal"/>
      <w:lvlText w:val="%7."/>
      <w:lvlJc w:val="left"/>
      <w:pPr>
        <w:ind w:left="3604" w:hanging="420"/>
      </w:pPr>
    </w:lvl>
    <w:lvl w:ilvl="7" w:tentative="0">
      <w:start w:val="1"/>
      <w:numFmt w:val="lowerLetter"/>
      <w:lvlText w:val="%8)"/>
      <w:lvlJc w:val="left"/>
      <w:pPr>
        <w:ind w:left="4024" w:hanging="420"/>
      </w:pPr>
    </w:lvl>
    <w:lvl w:ilvl="8" w:tentative="0">
      <w:start w:val="1"/>
      <w:numFmt w:val="lowerRoman"/>
      <w:lvlText w:val="%9."/>
      <w:lvlJc w:val="right"/>
      <w:pPr>
        <w:ind w:left="4444" w:hanging="420"/>
      </w:pPr>
    </w:lvl>
  </w:abstractNum>
  <w:abstractNum w:abstractNumId="7">
    <w:nsid w:val="77DC7379"/>
    <w:multiLevelType w:val="multilevel"/>
    <w:tmpl w:val="77DC7379"/>
    <w:lvl w:ilvl="0" w:tentative="0">
      <w:start w:val="1"/>
      <w:numFmt w:val="lowerLetter"/>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
  </w:num>
  <w:num w:numId="2">
    <w:abstractNumId w:val="6"/>
  </w:num>
  <w:num w:numId="3">
    <w:abstractNumId w:val="3"/>
  </w:num>
  <w:num w:numId="4">
    <w:abstractNumId w:val="2"/>
  </w:num>
  <w:num w:numId="5">
    <w:abstractNumId w:val="4"/>
  </w:num>
  <w:num w:numId="6">
    <w:abstractNumId w:val="0"/>
  </w:num>
  <w:num w:numId="7">
    <w:abstractNumId w:val="5"/>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val="1"/>
  <w:bordersDoNotSurroundHeader w:val="1"/>
  <w:bordersDoNotSurroundFooter w:val="1"/>
  <w:hideSpellingErrors/>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2"/>
  </w:compat>
  <w:rsids>
    <w:rsidRoot w:val="004067C4"/>
    <w:rsid w:val="0000012F"/>
    <w:rsid w:val="00001493"/>
    <w:rsid w:val="00001770"/>
    <w:rsid w:val="00001870"/>
    <w:rsid w:val="000019EA"/>
    <w:rsid w:val="00001A02"/>
    <w:rsid w:val="00001BE6"/>
    <w:rsid w:val="00002122"/>
    <w:rsid w:val="00002369"/>
    <w:rsid w:val="00002C28"/>
    <w:rsid w:val="00003260"/>
    <w:rsid w:val="000034C6"/>
    <w:rsid w:val="00003741"/>
    <w:rsid w:val="00004080"/>
    <w:rsid w:val="00004146"/>
    <w:rsid w:val="0000488D"/>
    <w:rsid w:val="000049AB"/>
    <w:rsid w:val="00004F30"/>
    <w:rsid w:val="0000509D"/>
    <w:rsid w:val="00005176"/>
    <w:rsid w:val="00005580"/>
    <w:rsid w:val="0000585B"/>
    <w:rsid w:val="000066B2"/>
    <w:rsid w:val="00006F10"/>
    <w:rsid w:val="0000756E"/>
    <w:rsid w:val="000077EB"/>
    <w:rsid w:val="00007927"/>
    <w:rsid w:val="00007B3F"/>
    <w:rsid w:val="00007DE5"/>
    <w:rsid w:val="000105A3"/>
    <w:rsid w:val="000109A6"/>
    <w:rsid w:val="000117E1"/>
    <w:rsid w:val="0001192D"/>
    <w:rsid w:val="00011C01"/>
    <w:rsid w:val="00013121"/>
    <w:rsid w:val="00013468"/>
    <w:rsid w:val="000136FF"/>
    <w:rsid w:val="00013987"/>
    <w:rsid w:val="00013A93"/>
    <w:rsid w:val="0001440E"/>
    <w:rsid w:val="00014891"/>
    <w:rsid w:val="00014A4F"/>
    <w:rsid w:val="00015DFD"/>
    <w:rsid w:val="00016185"/>
    <w:rsid w:val="000162F9"/>
    <w:rsid w:val="000167BC"/>
    <w:rsid w:val="00016FBB"/>
    <w:rsid w:val="00016FF9"/>
    <w:rsid w:val="00017926"/>
    <w:rsid w:val="00017FD2"/>
    <w:rsid w:val="000202F8"/>
    <w:rsid w:val="00020C13"/>
    <w:rsid w:val="00021606"/>
    <w:rsid w:val="000218B5"/>
    <w:rsid w:val="00022BA5"/>
    <w:rsid w:val="000234FC"/>
    <w:rsid w:val="000253BF"/>
    <w:rsid w:val="000257B9"/>
    <w:rsid w:val="0002597E"/>
    <w:rsid w:val="00025BBD"/>
    <w:rsid w:val="000260F8"/>
    <w:rsid w:val="00026262"/>
    <w:rsid w:val="00026446"/>
    <w:rsid w:val="00026714"/>
    <w:rsid w:val="000267A1"/>
    <w:rsid w:val="00026CBA"/>
    <w:rsid w:val="00027431"/>
    <w:rsid w:val="000305FA"/>
    <w:rsid w:val="00030E26"/>
    <w:rsid w:val="0003161C"/>
    <w:rsid w:val="000318F1"/>
    <w:rsid w:val="00031AA4"/>
    <w:rsid w:val="0003272A"/>
    <w:rsid w:val="00032CF4"/>
    <w:rsid w:val="00032DF3"/>
    <w:rsid w:val="00033758"/>
    <w:rsid w:val="00033858"/>
    <w:rsid w:val="00034483"/>
    <w:rsid w:val="00034B70"/>
    <w:rsid w:val="00034D74"/>
    <w:rsid w:val="00034E20"/>
    <w:rsid w:val="000350BF"/>
    <w:rsid w:val="0003542C"/>
    <w:rsid w:val="000358A3"/>
    <w:rsid w:val="000366BE"/>
    <w:rsid w:val="000367A6"/>
    <w:rsid w:val="00036880"/>
    <w:rsid w:val="00036CC2"/>
    <w:rsid w:val="00036F37"/>
    <w:rsid w:val="000373BC"/>
    <w:rsid w:val="00037D14"/>
    <w:rsid w:val="000415CA"/>
    <w:rsid w:val="00042949"/>
    <w:rsid w:val="00043A5F"/>
    <w:rsid w:val="000447A6"/>
    <w:rsid w:val="00044B45"/>
    <w:rsid w:val="0004587E"/>
    <w:rsid w:val="0004619A"/>
    <w:rsid w:val="00046742"/>
    <w:rsid w:val="00046854"/>
    <w:rsid w:val="00046865"/>
    <w:rsid w:val="00046998"/>
    <w:rsid w:val="00046CC4"/>
    <w:rsid w:val="00046FAF"/>
    <w:rsid w:val="00046FFB"/>
    <w:rsid w:val="00047A38"/>
    <w:rsid w:val="00047C0D"/>
    <w:rsid w:val="00047E44"/>
    <w:rsid w:val="0005012C"/>
    <w:rsid w:val="00050777"/>
    <w:rsid w:val="000510A1"/>
    <w:rsid w:val="00051F4B"/>
    <w:rsid w:val="000531DB"/>
    <w:rsid w:val="000533E3"/>
    <w:rsid w:val="00053D20"/>
    <w:rsid w:val="00054069"/>
    <w:rsid w:val="000543BE"/>
    <w:rsid w:val="00054551"/>
    <w:rsid w:val="0005625D"/>
    <w:rsid w:val="000564E7"/>
    <w:rsid w:val="0005712B"/>
    <w:rsid w:val="000575F5"/>
    <w:rsid w:val="00057DD9"/>
    <w:rsid w:val="000605F9"/>
    <w:rsid w:val="0006090E"/>
    <w:rsid w:val="00060AD3"/>
    <w:rsid w:val="00061708"/>
    <w:rsid w:val="00061B5A"/>
    <w:rsid w:val="000621B8"/>
    <w:rsid w:val="00062734"/>
    <w:rsid w:val="0006335B"/>
    <w:rsid w:val="000637A6"/>
    <w:rsid w:val="00063E69"/>
    <w:rsid w:val="00063EFD"/>
    <w:rsid w:val="0006415C"/>
    <w:rsid w:val="00065E41"/>
    <w:rsid w:val="000660A6"/>
    <w:rsid w:val="00066287"/>
    <w:rsid w:val="00066E2F"/>
    <w:rsid w:val="000701C0"/>
    <w:rsid w:val="0007074E"/>
    <w:rsid w:val="000708A9"/>
    <w:rsid w:val="0007099A"/>
    <w:rsid w:val="000717D3"/>
    <w:rsid w:val="00071C85"/>
    <w:rsid w:val="00073C49"/>
    <w:rsid w:val="00073C92"/>
    <w:rsid w:val="0007441F"/>
    <w:rsid w:val="000745A6"/>
    <w:rsid w:val="00074B96"/>
    <w:rsid w:val="00074E72"/>
    <w:rsid w:val="0007564C"/>
    <w:rsid w:val="0007566D"/>
    <w:rsid w:val="00075820"/>
    <w:rsid w:val="00075AD6"/>
    <w:rsid w:val="0007605D"/>
    <w:rsid w:val="000762E6"/>
    <w:rsid w:val="00076798"/>
    <w:rsid w:val="00076E4D"/>
    <w:rsid w:val="00077934"/>
    <w:rsid w:val="0008109D"/>
    <w:rsid w:val="00081B22"/>
    <w:rsid w:val="00081F96"/>
    <w:rsid w:val="000825C4"/>
    <w:rsid w:val="00082D08"/>
    <w:rsid w:val="0008396B"/>
    <w:rsid w:val="00083A14"/>
    <w:rsid w:val="00083EC4"/>
    <w:rsid w:val="00085AA3"/>
    <w:rsid w:val="00086248"/>
    <w:rsid w:val="000862FF"/>
    <w:rsid w:val="0008687D"/>
    <w:rsid w:val="000868C3"/>
    <w:rsid w:val="0008695C"/>
    <w:rsid w:val="00087E22"/>
    <w:rsid w:val="00087E88"/>
    <w:rsid w:val="00090FDA"/>
    <w:rsid w:val="00091002"/>
    <w:rsid w:val="0009131C"/>
    <w:rsid w:val="000916F9"/>
    <w:rsid w:val="00091B16"/>
    <w:rsid w:val="00091E96"/>
    <w:rsid w:val="00092076"/>
    <w:rsid w:val="00092E80"/>
    <w:rsid w:val="00092F2B"/>
    <w:rsid w:val="000934A5"/>
    <w:rsid w:val="000940BF"/>
    <w:rsid w:val="000943C9"/>
    <w:rsid w:val="000946EA"/>
    <w:rsid w:val="00094F4F"/>
    <w:rsid w:val="00097818"/>
    <w:rsid w:val="00097C96"/>
    <w:rsid w:val="00097E93"/>
    <w:rsid w:val="00097F98"/>
    <w:rsid w:val="000A0343"/>
    <w:rsid w:val="000A0BAA"/>
    <w:rsid w:val="000A12BA"/>
    <w:rsid w:val="000A1491"/>
    <w:rsid w:val="000A16AD"/>
    <w:rsid w:val="000A1DEC"/>
    <w:rsid w:val="000A3DB8"/>
    <w:rsid w:val="000A3FB7"/>
    <w:rsid w:val="000A4136"/>
    <w:rsid w:val="000A446C"/>
    <w:rsid w:val="000A4F34"/>
    <w:rsid w:val="000A5610"/>
    <w:rsid w:val="000A5717"/>
    <w:rsid w:val="000A5752"/>
    <w:rsid w:val="000A6077"/>
    <w:rsid w:val="000B02EA"/>
    <w:rsid w:val="000B0A42"/>
    <w:rsid w:val="000B1708"/>
    <w:rsid w:val="000B1F54"/>
    <w:rsid w:val="000B21E7"/>
    <w:rsid w:val="000B24A9"/>
    <w:rsid w:val="000B2A9E"/>
    <w:rsid w:val="000B3231"/>
    <w:rsid w:val="000B35E5"/>
    <w:rsid w:val="000B3CF2"/>
    <w:rsid w:val="000B3E44"/>
    <w:rsid w:val="000B40D1"/>
    <w:rsid w:val="000B4685"/>
    <w:rsid w:val="000B4E29"/>
    <w:rsid w:val="000B54D2"/>
    <w:rsid w:val="000B58CF"/>
    <w:rsid w:val="000B5D06"/>
    <w:rsid w:val="000B5F73"/>
    <w:rsid w:val="000B70DC"/>
    <w:rsid w:val="000B7141"/>
    <w:rsid w:val="000B7166"/>
    <w:rsid w:val="000B716D"/>
    <w:rsid w:val="000B76C0"/>
    <w:rsid w:val="000B7950"/>
    <w:rsid w:val="000B7A50"/>
    <w:rsid w:val="000B7F54"/>
    <w:rsid w:val="000C014A"/>
    <w:rsid w:val="000C0D6B"/>
    <w:rsid w:val="000C143E"/>
    <w:rsid w:val="000C1519"/>
    <w:rsid w:val="000C2911"/>
    <w:rsid w:val="000C296B"/>
    <w:rsid w:val="000C33EE"/>
    <w:rsid w:val="000C3AC6"/>
    <w:rsid w:val="000C3D8E"/>
    <w:rsid w:val="000C43F5"/>
    <w:rsid w:val="000C45F7"/>
    <w:rsid w:val="000C4D2B"/>
    <w:rsid w:val="000C4E3E"/>
    <w:rsid w:val="000C5248"/>
    <w:rsid w:val="000C52A7"/>
    <w:rsid w:val="000C5949"/>
    <w:rsid w:val="000C5E79"/>
    <w:rsid w:val="000D01BC"/>
    <w:rsid w:val="000D01BF"/>
    <w:rsid w:val="000D0757"/>
    <w:rsid w:val="000D0ABC"/>
    <w:rsid w:val="000D0FDA"/>
    <w:rsid w:val="000D1A6E"/>
    <w:rsid w:val="000D216A"/>
    <w:rsid w:val="000D218D"/>
    <w:rsid w:val="000D21E4"/>
    <w:rsid w:val="000D221D"/>
    <w:rsid w:val="000D2236"/>
    <w:rsid w:val="000D2B62"/>
    <w:rsid w:val="000D2CD2"/>
    <w:rsid w:val="000D320D"/>
    <w:rsid w:val="000D3540"/>
    <w:rsid w:val="000D3E8A"/>
    <w:rsid w:val="000D3FD5"/>
    <w:rsid w:val="000D41B7"/>
    <w:rsid w:val="000D449F"/>
    <w:rsid w:val="000D488C"/>
    <w:rsid w:val="000D51AA"/>
    <w:rsid w:val="000D57EB"/>
    <w:rsid w:val="000D5B58"/>
    <w:rsid w:val="000D5BA9"/>
    <w:rsid w:val="000D5E06"/>
    <w:rsid w:val="000D631C"/>
    <w:rsid w:val="000D6A86"/>
    <w:rsid w:val="000D7609"/>
    <w:rsid w:val="000D7F7F"/>
    <w:rsid w:val="000E0214"/>
    <w:rsid w:val="000E0269"/>
    <w:rsid w:val="000E03E6"/>
    <w:rsid w:val="000E04BC"/>
    <w:rsid w:val="000E110A"/>
    <w:rsid w:val="000E1ABD"/>
    <w:rsid w:val="000E1AE0"/>
    <w:rsid w:val="000E2E88"/>
    <w:rsid w:val="000E44CD"/>
    <w:rsid w:val="000E4A24"/>
    <w:rsid w:val="000E5192"/>
    <w:rsid w:val="000E6692"/>
    <w:rsid w:val="000E6EE2"/>
    <w:rsid w:val="000E7ABA"/>
    <w:rsid w:val="000E7B55"/>
    <w:rsid w:val="000F0327"/>
    <w:rsid w:val="000F03DB"/>
    <w:rsid w:val="000F06DD"/>
    <w:rsid w:val="000F12FB"/>
    <w:rsid w:val="000F139F"/>
    <w:rsid w:val="000F1A71"/>
    <w:rsid w:val="000F1CB0"/>
    <w:rsid w:val="000F1CB1"/>
    <w:rsid w:val="000F2986"/>
    <w:rsid w:val="000F30CA"/>
    <w:rsid w:val="000F325A"/>
    <w:rsid w:val="000F3378"/>
    <w:rsid w:val="000F3A41"/>
    <w:rsid w:val="000F3BB8"/>
    <w:rsid w:val="000F45CA"/>
    <w:rsid w:val="000F494F"/>
    <w:rsid w:val="000F5004"/>
    <w:rsid w:val="000F592A"/>
    <w:rsid w:val="000F5DFE"/>
    <w:rsid w:val="000F620E"/>
    <w:rsid w:val="000F684C"/>
    <w:rsid w:val="000F6FFA"/>
    <w:rsid w:val="000F7767"/>
    <w:rsid w:val="00100008"/>
    <w:rsid w:val="001007B0"/>
    <w:rsid w:val="00100BE7"/>
    <w:rsid w:val="00101217"/>
    <w:rsid w:val="00101765"/>
    <w:rsid w:val="00102355"/>
    <w:rsid w:val="00102B96"/>
    <w:rsid w:val="00102E65"/>
    <w:rsid w:val="0010323C"/>
    <w:rsid w:val="001038B4"/>
    <w:rsid w:val="001038C8"/>
    <w:rsid w:val="001044A3"/>
    <w:rsid w:val="001050C8"/>
    <w:rsid w:val="00106277"/>
    <w:rsid w:val="001062F1"/>
    <w:rsid w:val="00106530"/>
    <w:rsid w:val="00106ADF"/>
    <w:rsid w:val="00106B11"/>
    <w:rsid w:val="00106B71"/>
    <w:rsid w:val="00106E4F"/>
    <w:rsid w:val="00107116"/>
    <w:rsid w:val="0011006B"/>
    <w:rsid w:val="0011094C"/>
    <w:rsid w:val="001112FF"/>
    <w:rsid w:val="001113EF"/>
    <w:rsid w:val="00111E1D"/>
    <w:rsid w:val="00111EC9"/>
    <w:rsid w:val="00112918"/>
    <w:rsid w:val="0011318E"/>
    <w:rsid w:val="001135FD"/>
    <w:rsid w:val="0011549A"/>
    <w:rsid w:val="00115FE1"/>
    <w:rsid w:val="001171BA"/>
    <w:rsid w:val="00117408"/>
    <w:rsid w:val="001174CB"/>
    <w:rsid w:val="00117578"/>
    <w:rsid w:val="0012079B"/>
    <w:rsid w:val="00120974"/>
    <w:rsid w:val="001212B8"/>
    <w:rsid w:val="001214B4"/>
    <w:rsid w:val="00121D4F"/>
    <w:rsid w:val="00121D5A"/>
    <w:rsid w:val="001224AB"/>
    <w:rsid w:val="00122BB6"/>
    <w:rsid w:val="00123652"/>
    <w:rsid w:val="00124034"/>
    <w:rsid w:val="00124042"/>
    <w:rsid w:val="001242C8"/>
    <w:rsid w:val="001245DD"/>
    <w:rsid w:val="00124847"/>
    <w:rsid w:val="00124A87"/>
    <w:rsid w:val="00124B36"/>
    <w:rsid w:val="00125126"/>
    <w:rsid w:val="001258EA"/>
    <w:rsid w:val="001259CF"/>
    <w:rsid w:val="00125DDC"/>
    <w:rsid w:val="00125DDF"/>
    <w:rsid w:val="00126738"/>
    <w:rsid w:val="0012689C"/>
    <w:rsid w:val="00126E24"/>
    <w:rsid w:val="0012735E"/>
    <w:rsid w:val="00127407"/>
    <w:rsid w:val="001275E0"/>
    <w:rsid w:val="00127A17"/>
    <w:rsid w:val="00127A44"/>
    <w:rsid w:val="00127B41"/>
    <w:rsid w:val="001304F1"/>
    <w:rsid w:val="00130C38"/>
    <w:rsid w:val="00131326"/>
    <w:rsid w:val="001320D1"/>
    <w:rsid w:val="00132A59"/>
    <w:rsid w:val="00133048"/>
    <w:rsid w:val="00133446"/>
    <w:rsid w:val="001342BA"/>
    <w:rsid w:val="00134596"/>
    <w:rsid w:val="001347B4"/>
    <w:rsid w:val="0013485D"/>
    <w:rsid w:val="00135291"/>
    <w:rsid w:val="00135977"/>
    <w:rsid w:val="001365E2"/>
    <w:rsid w:val="001365FC"/>
    <w:rsid w:val="00136DC6"/>
    <w:rsid w:val="00136DED"/>
    <w:rsid w:val="00137E64"/>
    <w:rsid w:val="00137FDC"/>
    <w:rsid w:val="00140CFA"/>
    <w:rsid w:val="00140E05"/>
    <w:rsid w:val="00140F07"/>
    <w:rsid w:val="0014157E"/>
    <w:rsid w:val="0014195C"/>
    <w:rsid w:val="00141CAC"/>
    <w:rsid w:val="00142998"/>
    <w:rsid w:val="00143625"/>
    <w:rsid w:val="001437E5"/>
    <w:rsid w:val="001439D4"/>
    <w:rsid w:val="001442AE"/>
    <w:rsid w:val="00144887"/>
    <w:rsid w:val="00144C4C"/>
    <w:rsid w:val="0014516A"/>
    <w:rsid w:val="00145213"/>
    <w:rsid w:val="001456EC"/>
    <w:rsid w:val="00145BD5"/>
    <w:rsid w:val="001464F1"/>
    <w:rsid w:val="00146C0B"/>
    <w:rsid w:val="0014787B"/>
    <w:rsid w:val="001478E3"/>
    <w:rsid w:val="00150777"/>
    <w:rsid w:val="00151378"/>
    <w:rsid w:val="00151559"/>
    <w:rsid w:val="001532AC"/>
    <w:rsid w:val="001539BB"/>
    <w:rsid w:val="00153BA8"/>
    <w:rsid w:val="00153CD0"/>
    <w:rsid w:val="00153EF7"/>
    <w:rsid w:val="0015402C"/>
    <w:rsid w:val="001540DD"/>
    <w:rsid w:val="001549CD"/>
    <w:rsid w:val="0015534E"/>
    <w:rsid w:val="00155AFC"/>
    <w:rsid w:val="00155EDF"/>
    <w:rsid w:val="001568B8"/>
    <w:rsid w:val="001601B4"/>
    <w:rsid w:val="00160394"/>
    <w:rsid w:val="001604D1"/>
    <w:rsid w:val="001604F4"/>
    <w:rsid w:val="00160913"/>
    <w:rsid w:val="001613F4"/>
    <w:rsid w:val="001615F2"/>
    <w:rsid w:val="00161FB8"/>
    <w:rsid w:val="00162240"/>
    <w:rsid w:val="001629AE"/>
    <w:rsid w:val="00162E94"/>
    <w:rsid w:val="001630B1"/>
    <w:rsid w:val="00164413"/>
    <w:rsid w:val="00164D7B"/>
    <w:rsid w:val="001661D6"/>
    <w:rsid w:val="00166AFE"/>
    <w:rsid w:val="00166E8E"/>
    <w:rsid w:val="00166F52"/>
    <w:rsid w:val="00167B19"/>
    <w:rsid w:val="00167F4B"/>
    <w:rsid w:val="0017011E"/>
    <w:rsid w:val="00170122"/>
    <w:rsid w:val="001716F2"/>
    <w:rsid w:val="00171880"/>
    <w:rsid w:val="00171A12"/>
    <w:rsid w:val="00172661"/>
    <w:rsid w:val="00172D28"/>
    <w:rsid w:val="001738FA"/>
    <w:rsid w:val="00173D2D"/>
    <w:rsid w:val="00174070"/>
    <w:rsid w:val="001745EB"/>
    <w:rsid w:val="00174FD5"/>
    <w:rsid w:val="00175135"/>
    <w:rsid w:val="001751F4"/>
    <w:rsid w:val="001754CF"/>
    <w:rsid w:val="001754F6"/>
    <w:rsid w:val="001755AC"/>
    <w:rsid w:val="00175688"/>
    <w:rsid w:val="0017686C"/>
    <w:rsid w:val="00176C5F"/>
    <w:rsid w:val="00177223"/>
    <w:rsid w:val="0018062D"/>
    <w:rsid w:val="00181048"/>
    <w:rsid w:val="00181C9F"/>
    <w:rsid w:val="00181DD4"/>
    <w:rsid w:val="00182567"/>
    <w:rsid w:val="00182D97"/>
    <w:rsid w:val="001843EF"/>
    <w:rsid w:val="001847DB"/>
    <w:rsid w:val="00186136"/>
    <w:rsid w:val="0018631A"/>
    <w:rsid w:val="001865A7"/>
    <w:rsid w:val="00186758"/>
    <w:rsid w:val="00187007"/>
    <w:rsid w:val="0018704D"/>
    <w:rsid w:val="0018746F"/>
    <w:rsid w:val="0018786D"/>
    <w:rsid w:val="001904CC"/>
    <w:rsid w:val="00190CFE"/>
    <w:rsid w:val="001913AB"/>
    <w:rsid w:val="001914A3"/>
    <w:rsid w:val="00191947"/>
    <w:rsid w:val="00192D25"/>
    <w:rsid w:val="00193C6C"/>
    <w:rsid w:val="00193FC2"/>
    <w:rsid w:val="00194523"/>
    <w:rsid w:val="00194ACA"/>
    <w:rsid w:val="0019529B"/>
    <w:rsid w:val="00195D80"/>
    <w:rsid w:val="0019600B"/>
    <w:rsid w:val="00196171"/>
    <w:rsid w:val="00197049"/>
    <w:rsid w:val="00197865"/>
    <w:rsid w:val="001979C5"/>
    <w:rsid w:val="00197C6A"/>
    <w:rsid w:val="001A03C7"/>
    <w:rsid w:val="001A03D3"/>
    <w:rsid w:val="001A0879"/>
    <w:rsid w:val="001A0C26"/>
    <w:rsid w:val="001A1EC1"/>
    <w:rsid w:val="001A22A7"/>
    <w:rsid w:val="001A24C1"/>
    <w:rsid w:val="001A2937"/>
    <w:rsid w:val="001A31F6"/>
    <w:rsid w:val="001A3D89"/>
    <w:rsid w:val="001A3E7E"/>
    <w:rsid w:val="001A3F45"/>
    <w:rsid w:val="001A47DD"/>
    <w:rsid w:val="001A50DC"/>
    <w:rsid w:val="001A56A6"/>
    <w:rsid w:val="001A5BB2"/>
    <w:rsid w:val="001A5ECD"/>
    <w:rsid w:val="001A647A"/>
    <w:rsid w:val="001A7473"/>
    <w:rsid w:val="001A75D8"/>
    <w:rsid w:val="001B06AE"/>
    <w:rsid w:val="001B212A"/>
    <w:rsid w:val="001B2966"/>
    <w:rsid w:val="001B2C48"/>
    <w:rsid w:val="001B2E4E"/>
    <w:rsid w:val="001B3EED"/>
    <w:rsid w:val="001B4911"/>
    <w:rsid w:val="001B4BA7"/>
    <w:rsid w:val="001B50FF"/>
    <w:rsid w:val="001B5D15"/>
    <w:rsid w:val="001B5E34"/>
    <w:rsid w:val="001B62C6"/>
    <w:rsid w:val="001B62D5"/>
    <w:rsid w:val="001B6504"/>
    <w:rsid w:val="001B66E0"/>
    <w:rsid w:val="001B6C38"/>
    <w:rsid w:val="001B6E58"/>
    <w:rsid w:val="001C0036"/>
    <w:rsid w:val="001C021D"/>
    <w:rsid w:val="001C08B6"/>
    <w:rsid w:val="001C1183"/>
    <w:rsid w:val="001C11F1"/>
    <w:rsid w:val="001C131F"/>
    <w:rsid w:val="001C181E"/>
    <w:rsid w:val="001C1BD9"/>
    <w:rsid w:val="001C20C9"/>
    <w:rsid w:val="001C210E"/>
    <w:rsid w:val="001C3994"/>
    <w:rsid w:val="001C3DD9"/>
    <w:rsid w:val="001C3F35"/>
    <w:rsid w:val="001C4222"/>
    <w:rsid w:val="001C451E"/>
    <w:rsid w:val="001C4E6F"/>
    <w:rsid w:val="001C559D"/>
    <w:rsid w:val="001C5BE5"/>
    <w:rsid w:val="001C5EE7"/>
    <w:rsid w:val="001C667E"/>
    <w:rsid w:val="001C6F2F"/>
    <w:rsid w:val="001C79C3"/>
    <w:rsid w:val="001D06B3"/>
    <w:rsid w:val="001D0DD8"/>
    <w:rsid w:val="001D0F1A"/>
    <w:rsid w:val="001D0F2A"/>
    <w:rsid w:val="001D1086"/>
    <w:rsid w:val="001D2237"/>
    <w:rsid w:val="001D238E"/>
    <w:rsid w:val="001D271C"/>
    <w:rsid w:val="001D29A5"/>
    <w:rsid w:val="001D384D"/>
    <w:rsid w:val="001D38A2"/>
    <w:rsid w:val="001D38FF"/>
    <w:rsid w:val="001D3A93"/>
    <w:rsid w:val="001D3C6E"/>
    <w:rsid w:val="001D43EC"/>
    <w:rsid w:val="001D4BD9"/>
    <w:rsid w:val="001D56BB"/>
    <w:rsid w:val="001D5F5C"/>
    <w:rsid w:val="001D6507"/>
    <w:rsid w:val="001D6D5E"/>
    <w:rsid w:val="001D6DEF"/>
    <w:rsid w:val="001D7092"/>
    <w:rsid w:val="001D7516"/>
    <w:rsid w:val="001D7C63"/>
    <w:rsid w:val="001E018C"/>
    <w:rsid w:val="001E0591"/>
    <w:rsid w:val="001E06A1"/>
    <w:rsid w:val="001E07C4"/>
    <w:rsid w:val="001E0BF2"/>
    <w:rsid w:val="001E0DAB"/>
    <w:rsid w:val="001E14A4"/>
    <w:rsid w:val="001E155D"/>
    <w:rsid w:val="001E17BE"/>
    <w:rsid w:val="001E269B"/>
    <w:rsid w:val="001E2AF4"/>
    <w:rsid w:val="001E2C54"/>
    <w:rsid w:val="001E37A0"/>
    <w:rsid w:val="001E38DE"/>
    <w:rsid w:val="001E3C47"/>
    <w:rsid w:val="001E3E40"/>
    <w:rsid w:val="001E4842"/>
    <w:rsid w:val="001E4889"/>
    <w:rsid w:val="001E4BD3"/>
    <w:rsid w:val="001E5B6B"/>
    <w:rsid w:val="001E5E09"/>
    <w:rsid w:val="001E60C1"/>
    <w:rsid w:val="001E6676"/>
    <w:rsid w:val="001E6B3C"/>
    <w:rsid w:val="001F08FF"/>
    <w:rsid w:val="001F0BC5"/>
    <w:rsid w:val="001F10FA"/>
    <w:rsid w:val="001F1917"/>
    <w:rsid w:val="001F265F"/>
    <w:rsid w:val="001F279B"/>
    <w:rsid w:val="001F2951"/>
    <w:rsid w:val="001F2BE7"/>
    <w:rsid w:val="001F2FFE"/>
    <w:rsid w:val="001F34D3"/>
    <w:rsid w:val="001F3779"/>
    <w:rsid w:val="001F37C3"/>
    <w:rsid w:val="001F388D"/>
    <w:rsid w:val="001F3BBB"/>
    <w:rsid w:val="001F3DF4"/>
    <w:rsid w:val="001F481B"/>
    <w:rsid w:val="001F481F"/>
    <w:rsid w:val="001F4CA4"/>
    <w:rsid w:val="001F531C"/>
    <w:rsid w:val="001F53F7"/>
    <w:rsid w:val="001F55BD"/>
    <w:rsid w:val="001F66C0"/>
    <w:rsid w:val="001F705B"/>
    <w:rsid w:val="001F729E"/>
    <w:rsid w:val="001F75F4"/>
    <w:rsid w:val="001F781B"/>
    <w:rsid w:val="001F7951"/>
    <w:rsid w:val="00200C2B"/>
    <w:rsid w:val="00201451"/>
    <w:rsid w:val="00201662"/>
    <w:rsid w:val="00201676"/>
    <w:rsid w:val="002016AD"/>
    <w:rsid w:val="00202B6B"/>
    <w:rsid w:val="00203193"/>
    <w:rsid w:val="00204B0F"/>
    <w:rsid w:val="00204B3B"/>
    <w:rsid w:val="00205163"/>
    <w:rsid w:val="00205200"/>
    <w:rsid w:val="0020555B"/>
    <w:rsid w:val="00205926"/>
    <w:rsid w:val="00205F9C"/>
    <w:rsid w:val="0020657B"/>
    <w:rsid w:val="002068EA"/>
    <w:rsid w:val="00206977"/>
    <w:rsid w:val="00206B14"/>
    <w:rsid w:val="00206DF8"/>
    <w:rsid w:val="0020725F"/>
    <w:rsid w:val="00207296"/>
    <w:rsid w:val="0021002B"/>
    <w:rsid w:val="002100DD"/>
    <w:rsid w:val="00210364"/>
    <w:rsid w:val="00210A79"/>
    <w:rsid w:val="00211373"/>
    <w:rsid w:val="00211477"/>
    <w:rsid w:val="00211839"/>
    <w:rsid w:val="0021401F"/>
    <w:rsid w:val="0021405F"/>
    <w:rsid w:val="0021531D"/>
    <w:rsid w:val="00215821"/>
    <w:rsid w:val="00216102"/>
    <w:rsid w:val="0021621E"/>
    <w:rsid w:val="0021659E"/>
    <w:rsid w:val="00216CAA"/>
    <w:rsid w:val="00216D08"/>
    <w:rsid w:val="00216F47"/>
    <w:rsid w:val="0021729A"/>
    <w:rsid w:val="00217E0B"/>
    <w:rsid w:val="00220510"/>
    <w:rsid w:val="00220C4E"/>
    <w:rsid w:val="0022123D"/>
    <w:rsid w:val="00222635"/>
    <w:rsid w:val="00222B8C"/>
    <w:rsid w:val="002233B8"/>
    <w:rsid w:val="00223620"/>
    <w:rsid w:val="0022366D"/>
    <w:rsid w:val="00223682"/>
    <w:rsid w:val="00223F89"/>
    <w:rsid w:val="00224979"/>
    <w:rsid w:val="00224B03"/>
    <w:rsid w:val="002263AD"/>
    <w:rsid w:val="002265CB"/>
    <w:rsid w:val="00227080"/>
    <w:rsid w:val="00227463"/>
    <w:rsid w:val="002307A0"/>
    <w:rsid w:val="002307E3"/>
    <w:rsid w:val="00230EAE"/>
    <w:rsid w:val="00231064"/>
    <w:rsid w:val="0023191C"/>
    <w:rsid w:val="00232421"/>
    <w:rsid w:val="002331A3"/>
    <w:rsid w:val="00233260"/>
    <w:rsid w:val="002336DB"/>
    <w:rsid w:val="002339D4"/>
    <w:rsid w:val="002340DD"/>
    <w:rsid w:val="002342C5"/>
    <w:rsid w:val="00234BB6"/>
    <w:rsid w:val="002354F9"/>
    <w:rsid w:val="002357C9"/>
    <w:rsid w:val="00235F96"/>
    <w:rsid w:val="00236B0B"/>
    <w:rsid w:val="00237570"/>
    <w:rsid w:val="00237858"/>
    <w:rsid w:val="00237AFE"/>
    <w:rsid w:val="002400D4"/>
    <w:rsid w:val="002407D1"/>
    <w:rsid w:val="00240CD6"/>
    <w:rsid w:val="002410D5"/>
    <w:rsid w:val="00241447"/>
    <w:rsid w:val="00241B41"/>
    <w:rsid w:val="00242AD4"/>
    <w:rsid w:val="00242AF7"/>
    <w:rsid w:val="00242E18"/>
    <w:rsid w:val="0024367C"/>
    <w:rsid w:val="00243A26"/>
    <w:rsid w:val="00243FBE"/>
    <w:rsid w:val="00244C9C"/>
    <w:rsid w:val="0024554B"/>
    <w:rsid w:val="002463F3"/>
    <w:rsid w:val="0024654F"/>
    <w:rsid w:val="002465B0"/>
    <w:rsid w:val="0024697D"/>
    <w:rsid w:val="00247086"/>
    <w:rsid w:val="00247E4D"/>
    <w:rsid w:val="00250C71"/>
    <w:rsid w:val="002511DD"/>
    <w:rsid w:val="0025197F"/>
    <w:rsid w:val="00251F84"/>
    <w:rsid w:val="00252278"/>
    <w:rsid w:val="0025282E"/>
    <w:rsid w:val="00253503"/>
    <w:rsid w:val="002539B6"/>
    <w:rsid w:val="00253A4C"/>
    <w:rsid w:val="00253F84"/>
    <w:rsid w:val="00254097"/>
    <w:rsid w:val="002542B1"/>
    <w:rsid w:val="00255D24"/>
    <w:rsid w:val="0025628A"/>
    <w:rsid w:val="00256B42"/>
    <w:rsid w:val="002571DE"/>
    <w:rsid w:val="00257543"/>
    <w:rsid w:val="00257634"/>
    <w:rsid w:val="002609C2"/>
    <w:rsid w:val="0026277F"/>
    <w:rsid w:val="00262F8E"/>
    <w:rsid w:val="0026379A"/>
    <w:rsid w:val="00263B14"/>
    <w:rsid w:val="0026471C"/>
    <w:rsid w:val="002654AE"/>
    <w:rsid w:val="002654BB"/>
    <w:rsid w:val="00266277"/>
    <w:rsid w:val="00266487"/>
    <w:rsid w:val="0026690B"/>
    <w:rsid w:val="00266A50"/>
    <w:rsid w:val="00266B39"/>
    <w:rsid w:val="00266C27"/>
    <w:rsid w:val="00266D92"/>
    <w:rsid w:val="00266F58"/>
    <w:rsid w:val="00267494"/>
    <w:rsid w:val="00267840"/>
    <w:rsid w:val="00267F72"/>
    <w:rsid w:val="00270096"/>
    <w:rsid w:val="00270945"/>
    <w:rsid w:val="00270D54"/>
    <w:rsid w:val="00270E07"/>
    <w:rsid w:val="00271833"/>
    <w:rsid w:val="00271A3A"/>
    <w:rsid w:val="00271E94"/>
    <w:rsid w:val="00272161"/>
    <w:rsid w:val="002723BB"/>
    <w:rsid w:val="00272A09"/>
    <w:rsid w:val="00272D3F"/>
    <w:rsid w:val="00272DEF"/>
    <w:rsid w:val="0027354F"/>
    <w:rsid w:val="002739FF"/>
    <w:rsid w:val="00274684"/>
    <w:rsid w:val="002746FE"/>
    <w:rsid w:val="002750A1"/>
    <w:rsid w:val="00275750"/>
    <w:rsid w:val="002765CD"/>
    <w:rsid w:val="00276DD8"/>
    <w:rsid w:val="002773A7"/>
    <w:rsid w:val="002777C2"/>
    <w:rsid w:val="00281002"/>
    <w:rsid w:val="002817E2"/>
    <w:rsid w:val="002821E9"/>
    <w:rsid w:val="00282B6C"/>
    <w:rsid w:val="002832B1"/>
    <w:rsid w:val="00283F86"/>
    <w:rsid w:val="00284143"/>
    <w:rsid w:val="00284650"/>
    <w:rsid w:val="00284F51"/>
    <w:rsid w:val="0028505F"/>
    <w:rsid w:val="00285554"/>
    <w:rsid w:val="00285C1F"/>
    <w:rsid w:val="0028659E"/>
    <w:rsid w:val="002866B0"/>
    <w:rsid w:val="00286CE8"/>
    <w:rsid w:val="00287203"/>
    <w:rsid w:val="002873A7"/>
    <w:rsid w:val="002875D8"/>
    <w:rsid w:val="00287C6E"/>
    <w:rsid w:val="00287DFD"/>
    <w:rsid w:val="00287F7F"/>
    <w:rsid w:val="002903E3"/>
    <w:rsid w:val="00290D15"/>
    <w:rsid w:val="00290D48"/>
    <w:rsid w:val="0029124D"/>
    <w:rsid w:val="00291656"/>
    <w:rsid w:val="00291CB0"/>
    <w:rsid w:val="00292039"/>
    <w:rsid w:val="002929C7"/>
    <w:rsid w:val="00293897"/>
    <w:rsid w:val="0029401B"/>
    <w:rsid w:val="0029480A"/>
    <w:rsid w:val="00294A15"/>
    <w:rsid w:val="00294BF4"/>
    <w:rsid w:val="00294C1B"/>
    <w:rsid w:val="00295839"/>
    <w:rsid w:val="00296172"/>
    <w:rsid w:val="00296571"/>
    <w:rsid w:val="00296EBB"/>
    <w:rsid w:val="002974A8"/>
    <w:rsid w:val="002A0820"/>
    <w:rsid w:val="002A160B"/>
    <w:rsid w:val="002A17FC"/>
    <w:rsid w:val="002A200B"/>
    <w:rsid w:val="002A21C8"/>
    <w:rsid w:val="002A222C"/>
    <w:rsid w:val="002A2309"/>
    <w:rsid w:val="002A25E7"/>
    <w:rsid w:val="002A27FF"/>
    <w:rsid w:val="002A2919"/>
    <w:rsid w:val="002A36CE"/>
    <w:rsid w:val="002A456D"/>
    <w:rsid w:val="002A61A3"/>
    <w:rsid w:val="002A675C"/>
    <w:rsid w:val="002A6FB4"/>
    <w:rsid w:val="002A7066"/>
    <w:rsid w:val="002A7247"/>
    <w:rsid w:val="002A7C09"/>
    <w:rsid w:val="002A7FAB"/>
    <w:rsid w:val="002B0678"/>
    <w:rsid w:val="002B0CD4"/>
    <w:rsid w:val="002B0D12"/>
    <w:rsid w:val="002B11C2"/>
    <w:rsid w:val="002B1233"/>
    <w:rsid w:val="002B1C6F"/>
    <w:rsid w:val="002B2433"/>
    <w:rsid w:val="002B25E7"/>
    <w:rsid w:val="002B2968"/>
    <w:rsid w:val="002B327E"/>
    <w:rsid w:val="002B3C97"/>
    <w:rsid w:val="002B4410"/>
    <w:rsid w:val="002B4EBF"/>
    <w:rsid w:val="002B5A5E"/>
    <w:rsid w:val="002B5F66"/>
    <w:rsid w:val="002B61E0"/>
    <w:rsid w:val="002B638F"/>
    <w:rsid w:val="002B6ADA"/>
    <w:rsid w:val="002B772D"/>
    <w:rsid w:val="002B7785"/>
    <w:rsid w:val="002B7ACF"/>
    <w:rsid w:val="002C0B25"/>
    <w:rsid w:val="002C127B"/>
    <w:rsid w:val="002C195E"/>
    <w:rsid w:val="002C1A3C"/>
    <w:rsid w:val="002C2365"/>
    <w:rsid w:val="002C250B"/>
    <w:rsid w:val="002C2773"/>
    <w:rsid w:val="002C33B7"/>
    <w:rsid w:val="002C3551"/>
    <w:rsid w:val="002C3691"/>
    <w:rsid w:val="002C3CFD"/>
    <w:rsid w:val="002C4BAE"/>
    <w:rsid w:val="002C5C47"/>
    <w:rsid w:val="002C62D8"/>
    <w:rsid w:val="002C6459"/>
    <w:rsid w:val="002C65A2"/>
    <w:rsid w:val="002C6A8A"/>
    <w:rsid w:val="002C6BB6"/>
    <w:rsid w:val="002C74D3"/>
    <w:rsid w:val="002C7AC4"/>
    <w:rsid w:val="002D0079"/>
    <w:rsid w:val="002D0100"/>
    <w:rsid w:val="002D0642"/>
    <w:rsid w:val="002D0B4F"/>
    <w:rsid w:val="002D0C1B"/>
    <w:rsid w:val="002D11F7"/>
    <w:rsid w:val="002D288A"/>
    <w:rsid w:val="002D28D7"/>
    <w:rsid w:val="002D2E06"/>
    <w:rsid w:val="002D372C"/>
    <w:rsid w:val="002D397C"/>
    <w:rsid w:val="002D3CD8"/>
    <w:rsid w:val="002D3E50"/>
    <w:rsid w:val="002D3F4A"/>
    <w:rsid w:val="002D494F"/>
    <w:rsid w:val="002D4B20"/>
    <w:rsid w:val="002D5589"/>
    <w:rsid w:val="002D574A"/>
    <w:rsid w:val="002D6313"/>
    <w:rsid w:val="002D7B52"/>
    <w:rsid w:val="002D7EC5"/>
    <w:rsid w:val="002E0238"/>
    <w:rsid w:val="002E046D"/>
    <w:rsid w:val="002E1314"/>
    <w:rsid w:val="002E1BC8"/>
    <w:rsid w:val="002E1C1A"/>
    <w:rsid w:val="002E29AC"/>
    <w:rsid w:val="002E31AD"/>
    <w:rsid w:val="002E324B"/>
    <w:rsid w:val="002E339D"/>
    <w:rsid w:val="002E39BB"/>
    <w:rsid w:val="002E3DDA"/>
    <w:rsid w:val="002E4CE3"/>
    <w:rsid w:val="002E4E55"/>
    <w:rsid w:val="002E5607"/>
    <w:rsid w:val="002E57C7"/>
    <w:rsid w:val="002E5BA0"/>
    <w:rsid w:val="002E5E2A"/>
    <w:rsid w:val="002E677D"/>
    <w:rsid w:val="002E67AD"/>
    <w:rsid w:val="002E6E57"/>
    <w:rsid w:val="002E74E2"/>
    <w:rsid w:val="002F05ED"/>
    <w:rsid w:val="002F0A00"/>
    <w:rsid w:val="002F1D2C"/>
    <w:rsid w:val="002F28EC"/>
    <w:rsid w:val="002F369C"/>
    <w:rsid w:val="002F4401"/>
    <w:rsid w:val="002F6033"/>
    <w:rsid w:val="002F7EED"/>
    <w:rsid w:val="002F7FDA"/>
    <w:rsid w:val="003000BA"/>
    <w:rsid w:val="00301327"/>
    <w:rsid w:val="00301BD9"/>
    <w:rsid w:val="0030219C"/>
    <w:rsid w:val="003030EB"/>
    <w:rsid w:val="00303116"/>
    <w:rsid w:val="00303E9D"/>
    <w:rsid w:val="003040AA"/>
    <w:rsid w:val="003042E8"/>
    <w:rsid w:val="00304F3E"/>
    <w:rsid w:val="003050DE"/>
    <w:rsid w:val="00305406"/>
    <w:rsid w:val="003061DA"/>
    <w:rsid w:val="0030665B"/>
    <w:rsid w:val="00306F6F"/>
    <w:rsid w:val="00307846"/>
    <w:rsid w:val="00307C7E"/>
    <w:rsid w:val="00310394"/>
    <w:rsid w:val="00311297"/>
    <w:rsid w:val="00311643"/>
    <w:rsid w:val="003116D7"/>
    <w:rsid w:val="003122D0"/>
    <w:rsid w:val="00312617"/>
    <w:rsid w:val="0031271B"/>
    <w:rsid w:val="00312BC4"/>
    <w:rsid w:val="00313127"/>
    <w:rsid w:val="00313BED"/>
    <w:rsid w:val="00314C31"/>
    <w:rsid w:val="003150ED"/>
    <w:rsid w:val="003156E6"/>
    <w:rsid w:val="00315856"/>
    <w:rsid w:val="00315D67"/>
    <w:rsid w:val="00317147"/>
    <w:rsid w:val="00317BDE"/>
    <w:rsid w:val="0032031C"/>
    <w:rsid w:val="00321714"/>
    <w:rsid w:val="0032205B"/>
    <w:rsid w:val="0032242E"/>
    <w:rsid w:val="003224C2"/>
    <w:rsid w:val="00323301"/>
    <w:rsid w:val="00324F9D"/>
    <w:rsid w:val="00324FDE"/>
    <w:rsid w:val="003256B3"/>
    <w:rsid w:val="00326688"/>
    <w:rsid w:val="00326FE0"/>
    <w:rsid w:val="003274D7"/>
    <w:rsid w:val="00330105"/>
    <w:rsid w:val="003309C0"/>
    <w:rsid w:val="0033142C"/>
    <w:rsid w:val="00331763"/>
    <w:rsid w:val="00331D94"/>
    <w:rsid w:val="0033355E"/>
    <w:rsid w:val="00333F85"/>
    <w:rsid w:val="00334923"/>
    <w:rsid w:val="00334B2B"/>
    <w:rsid w:val="00335356"/>
    <w:rsid w:val="003356F5"/>
    <w:rsid w:val="00335E44"/>
    <w:rsid w:val="00336724"/>
    <w:rsid w:val="00336FCB"/>
    <w:rsid w:val="003370F1"/>
    <w:rsid w:val="0033763D"/>
    <w:rsid w:val="00340278"/>
    <w:rsid w:val="00340749"/>
    <w:rsid w:val="00341570"/>
    <w:rsid w:val="003417AB"/>
    <w:rsid w:val="00342641"/>
    <w:rsid w:val="003427FC"/>
    <w:rsid w:val="00344417"/>
    <w:rsid w:val="003459AF"/>
    <w:rsid w:val="00345A0C"/>
    <w:rsid w:val="00346434"/>
    <w:rsid w:val="00346BD3"/>
    <w:rsid w:val="00346C83"/>
    <w:rsid w:val="003472AE"/>
    <w:rsid w:val="00347519"/>
    <w:rsid w:val="003475B0"/>
    <w:rsid w:val="003478C2"/>
    <w:rsid w:val="00350880"/>
    <w:rsid w:val="003516BB"/>
    <w:rsid w:val="0035180E"/>
    <w:rsid w:val="00351BA5"/>
    <w:rsid w:val="00351EA2"/>
    <w:rsid w:val="0035253E"/>
    <w:rsid w:val="00352EB5"/>
    <w:rsid w:val="003536CA"/>
    <w:rsid w:val="00353DB3"/>
    <w:rsid w:val="00353EC6"/>
    <w:rsid w:val="00354208"/>
    <w:rsid w:val="00354918"/>
    <w:rsid w:val="00354C4C"/>
    <w:rsid w:val="003552EA"/>
    <w:rsid w:val="00355695"/>
    <w:rsid w:val="003559F5"/>
    <w:rsid w:val="00356E7C"/>
    <w:rsid w:val="003573C9"/>
    <w:rsid w:val="003577CF"/>
    <w:rsid w:val="00357A4B"/>
    <w:rsid w:val="00361FE6"/>
    <w:rsid w:val="003624F3"/>
    <w:rsid w:val="00362643"/>
    <w:rsid w:val="00362EF1"/>
    <w:rsid w:val="003635CE"/>
    <w:rsid w:val="00363F25"/>
    <w:rsid w:val="003643E3"/>
    <w:rsid w:val="0036464B"/>
    <w:rsid w:val="003647E4"/>
    <w:rsid w:val="003655AF"/>
    <w:rsid w:val="0036571F"/>
    <w:rsid w:val="00365A0B"/>
    <w:rsid w:val="00365AD4"/>
    <w:rsid w:val="00365E75"/>
    <w:rsid w:val="0036634A"/>
    <w:rsid w:val="0036658A"/>
    <w:rsid w:val="003669A8"/>
    <w:rsid w:val="00366E46"/>
    <w:rsid w:val="00366F4B"/>
    <w:rsid w:val="0036705A"/>
    <w:rsid w:val="00367657"/>
    <w:rsid w:val="003700DA"/>
    <w:rsid w:val="0037048E"/>
    <w:rsid w:val="003708FF"/>
    <w:rsid w:val="00370D3D"/>
    <w:rsid w:val="003718DD"/>
    <w:rsid w:val="00371EF9"/>
    <w:rsid w:val="00372B24"/>
    <w:rsid w:val="003739A0"/>
    <w:rsid w:val="00374D40"/>
    <w:rsid w:val="0037557F"/>
    <w:rsid w:val="00376698"/>
    <w:rsid w:val="00376B8C"/>
    <w:rsid w:val="00377565"/>
    <w:rsid w:val="003801B7"/>
    <w:rsid w:val="0038069D"/>
    <w:rsid w:val="00380ACD"/>
    <w:rsid w:val="003814BF"/>
    <w:rsid w:val="00381938"/>
    <w:rsid w:val="00381C1B"/>
    <w:rsid w:val="00381EDF"/>
    <w:rsid w:val="00382A9D"/>
    <w:rsid w:val="00382EA4"/>
    <w:rsid w:val="00383267"/>
    <w:rsid w:val="0038331C"/>
    <w:rsid w:val="003834F8"/>
    <w:rsid w:val="00383DB0"/>
    <w:rsid w:val="003843DE"/>
    <w:rsid w:val="003844F3"/>
    <w:rsid w:val="003848A5"/>
    <w:rsid w:val="0038594E"/>
    <w:rsid w:val="00385DA8"/>
    <w:rsid w:val="00386311"/>
    <w:rsid w:val="003864DB"/>
    <w:rsid w:val="00386839"/>
    <w:rsid w:val="0038698F"/>
    <w:rsid w:val="00386AE9"/>
    <w:rsid w:val="003870AE"/>
    <w:rsid w:val="00387518"/>
    <w:rsid w:val="003876C0"/>
    <w:rsid w:val="00387CAC"/>
    <w:rsid w:val="00387FB3"/>
    <w:rsid w:val="003901E3"/>
    <w:rsid w:val="003904FC"/>
    <w:rsid w:val="0039055D"/>
    <w:rsid w:val="0039081D"/>
    <w:rsid w:val="003909E6"/>
    <w:rsid w:val="00391A53"/>
    <w:rsid w:val="003922E7"/>
    <w:rsid w:val="003923F2"/>
    <w:rsid w:val="003925B8"/>
    <w:rsid w:val="00392C63"/>
    <w:rsid w:val="00392E4A"/>
    <w:rsid w:val="00393E26"/>
    <w:rsid w:val="00393FC6"/>
    <w:rsid w:val="00394FB9"/>
    <w:rsid w:val="00395945"/>
    <w:rsid w:val="003964B2"/>
    <w:rsid w:val="003966E9"/>
    <w:rsid w:val="003977FF"/>
    <w:rsid w:val="00397AD4"/>
    <w:rsid w:val="00397C83"/>
    <w:rsid w:val="003A0BDA"/>
    <w:rsid w:val="003A11EA"/>
    <w:rsid w:val="003A120D"/>
    <w:rsid w:val="003A217C"/>
    <w:rsid w:val="003A24BC"/>
    <w:rsid w:val="003A26A1"/>
    <w:rsid w:val="003A2C00"/>
    <w:rsid w:val="003A3060"/>
    <w:rsid w:val="003A312E"/>
    <w:rsid w:val="003A3D97"/>
    <w:rsid w:val="003A4532"/>
    <w:rsid w:val="003A46FB"/>
    <w:rsid w:val="003A4DFE"/>
    <w:rsid w:val="003A527B"/>
    <w:rsid w:val="003A60AE"/>
    <w:rsid w:val="003A6B4C"/>
    <w:rsid w:val="003A7AD9"/>
    <w:rsid w:val="003B08B3"/>
    <w:rsid w:val="003B0973"/>
    <w:rsid w:val="003B0D57"/>
    <w:rsid w:val="003B1984"/>
    <w:rsid w:val="003B1B2D"/>
    <w:rsid w:val="003B1DA7"/>
    <w:rsid w:val="003B213D"/>
    <w:rsid w:val="003B257B"/>
    <w:rsid w:val="003B26FA"/>
    <w:rsid w:val="003B2A82"/>
    <w:rsid w:val="003B31E0"/>
    <w:rsid w:val="003B376C"/>
    <w:rsid w:val="003B3E7C"/>
    <w:rsid w:val="003B4755"/>
    <w:rsid w:val="003B487C"/>
    <w:rsid w:val="003B4942"/>
    <w:rsid w:val="003B4A7C"/>
    <w:rsid w:val="003B4B88"/>
    <w:rsid w:val="003B4DF2"/>
    <w:rsid w:val="003B527D"/>
    <w:rsid w:val="003B5DC1"/>
    <w:rsid w:val="003B5F1F"/>
    <w:rsid w:val="003B7617"/>
    <w:rsid w:val="003B772F"/>
    <w:rsid w:val="003B77F7"/>
    <w:rsid w:val="003B7846"/>
    <w:rsid w:val="003B788A"/>
    <w:rsid w:val="003B7A14"/>
    <w:rsid w:val="003B7CA1"/>
    <w:rsid w:val="003C05FE"/>
    <w:rsid w:val="003C0624"/>
    <w:rsid w:val="003C0892"/>
    <w:rsid w:val="003C0C6A"/>
    <w:rsid w:val="003C0CA8"/>
    <w:rsid w:val="003C1C8D"/>
    <w:rsid w:val="003C2A65"/>
    <w:rsid w:val="003C31B4"/>
    <w:rsid w:val="003C3C8B"/>
    <w:rsid w:val="003C3F1C"/>
    <w:rsid w:val="003C4B19"/>
    <w:rsid w:val="003C4FD0"/>
    <w:rsid w:val="003C5806"/>
    <w:rsid w:val="003C5BC4"/>
    <w:rsid w:val="003C5FA4"/>
    <w:rsid w:val="003C64EA"/>
    <w:rsid w:val="003C6E8C"/>
    <w:rsid w:val="003C72A0"/>
    <w:rsid w:val="003D0197"/>
    <w:rsid w:val="003D0278"/>
    <w:rsid w:val="003D1459"/>
    <w:rsid w:val="003D17AE"/>
    <w:rsid w:val="003D17F6"/>
    <w:rsid w:val="003D2567"/>
    <w:rsid w:val="003D2577"/>
    <w:rsid w:val="003D37FD"/>
    <w:rsid w:val="003D4163"/>
    <w:rsid w:val="003D44A9"/>
    <w:rsid w:val="003D4F97"/>
    <w:rsid w:val="003D5983"/>
    <w:rsid w:val="003D5D5F"/>
    <w:rsid w:val="003D6A61"/>
    <w:rsid w:val="003D6B5F"/>
    <w:rsid w:val="003D74CA"/>
    <w:rsid w:val="003D7F28"/>
    <w:rsid w:val="003E0522"/>
    <w:rsid w:val="003E0634"/>
    <w:rsid w:val="003E0D1B"/>
    <w:rsid w:val="003E1E8F"/>
    <w:rsid w:val="003E2118"/>
    <w:rsid w:val="003E2E80"/>
    <w:rsid w:val="003E4C06"/>
    <w:rsid w:val="003E5934"/>
    <w:rsid w:val="003E5A11"/>
    <w:rsid w:val="003E5AB2"/>
    <w:rsid w:val="003E611D"/>
    <w:rsid w:val="003E62DD"/>
    <w:rsid w:val="003E686E"/>
    <w:rsid w:val="003E727B"/>
    <w:rsid w:val="003E7A73"/>
    <w:rsid w:val="003E7E8F"/>
    <w:rsid w:val="003E7EAD"/>
    <w:rsid w:val="003F03C1"/>
    <w:rsid w:val="003F0598"/>
    <w:rsid w:val="003F13FD"/>
    <w:rsid w:val="003F142C"/>
    <w:rsid w:val="003F20E8"/>
    <w:rsid w:val="003F2135"/>
    <w:rsid w:val="003F238B"/>
    <w:rsid w:val="003F2841"/>
    <w:rsid w:val="003F2F7D"/>
    <w:rsid w:val="003F30CB"/>
    <w:rsid w:val="003F3810"/>
    <w:rsid w:val="003F3F15"/>
    <w:rsid w:val="003F3F7A"/>
    <w:rsid w:val="003F4FC4"/>
    <w:rsid w:val="003F5721"/>
    <w:rsid w:val="003F574C"/>
    <w:rsid w:val="003F5F77"/>
    <w:rsid w:val="003F6E3D"/>
    <w:rsid w:val="003F723C"/>
    <w:rsid w:val="004009C5"/>
    <w:rsid w:val="00400C35"/>
    <w:rsid w:val="00400F36"/>
    <w:rsid w:val="0040124F"/>
    <w:rsid w:val="004012B9"/>
    <w:rsid w:val="00403363"/>
    <w:rsid w:val="0040381B"/>
    <w:rsid w:val="004038C1"/>
    <w:rsid w:val="00403E93"/>
    <w:rsid w:val="00404C3D"/>
    <w:rsid w:val="00404CDF"/>
    <w:rsid w:val="00404CEB"/>
    <w:rsid w:val="004055C7"/>
    <w:rsid w:val="004055D4"/>
    <w:rsid w:val="004067C4"/>
    <w:rsid w:val="00406B11"/>
    <w:rsid w:val="00406FDA"/>
    <w:rsid w:val="00407E02"/>
    <w:rsid w:val="0041024F"/>
    <w:rsid w:val="0041138D"/>
    <w:rsid w:val="00411C65"/>
    <w:rsid w:val="00411C83"/>
    <w:rsid w:val="00412983"/>
    <w:rsid w:val="00413364"/>
    <w:rsid w:val="004137CF"/>
    <w:rsid w:val="00413C7A"/>
    <w:rsid w:val="00413E1F"/>
    <w:rsid w:val="00413F95"/>
    <w:rsid w:val="00414A97"/>
    <w:rsid w:val="00414C2B"/>
    <w:rsid w:val="00414D94"/>
    <w:rsid w:val="00415861"/>
    <w:rsid w:val="00415BF6"/>
    <w:rsid w:val="00420416"/>
    <w:rsid w:val="004206D1"/>
    <w:rsid w:val="0042119A"/>
    <w:rsid w:val="004212AA"/>
    <w:rsid w:val="00421B97"/>
    <w:rsid w:val="00421F7C"/>
    <w:rsid w:val="00422E16"/>
    <w:rsid w:val="00424270"/>
    <w:rsid w:val="00424874"/>
    <w:rsid w:val="00424D91"/>
    <w:rsid w:val="004251AD"/>
    <w:rsid w:val="0042536A"/>
    <w:rsid w:val="0042540B"/>
    <w:rsid w:val="00425C94"/>
    <w:rsid w:val="0042608E"/>
    <w:rsid w:val="004265A2"/>
    <w:rsid w:val="00426AAF"/>
    <w:rsid w:val="00427400"/>
    <w:rsid w:val="00427A5F"/>
    <w:rsid w:val="0043043B"/>
    <w:rsid w:val="0043046C"/>
    <w:rsid w:val="0043110A"/>
    <w:rsid w:val="00431587"/>
    <w:rsid w:val="004317B1"/>
    <w:rsid w:val="004317C3"/>
    <w:rsid w:val="00431DBB"/>
    <w:rsid w:val="00431F2B"/>
    <w:rsid w:val="00431F9B"/>
    <w:rsid w:val="00432632"/>
    <w:rsid w:val="00433090"/>
    <w:rsid w:val="00434671"/>
    <w:rsid w:val="00434DE6"/>
    <w:rsid w:val="00434EFE"/>
    <w:rsid w:val="004352F0"/>
    <w:rsid w:val="00435701"/>
    <w:rsid w:val="00436212"/>
    <w:rsid w:val="004370B5"/>
    <w:rsid w:val="00437251"/>
    <w:rsid w:val="00440551"/>
    <w:rsid w:val="004405B0"/>
    <w:rsid w:val="00440A9E"/>
    <w:rsid w:val="00440DED"/>
    <w:rsid w:val="00442820"/>
    <w:rsid w:val="00442861"/>
    <w:rsid w:val="004428AF"/>
    <w:rsid w:val="004428D1"/>
    <w:rsid w:val="00443BB4"/>
    <w:rsid w:val="00443F91"/>
    <w:rsid w:val="004441ED"/>
    <w:rsid w:val="004442CA"/>
    <w:rsid w:val="004449D8"/>
    <w:rsid w:val="00444BB2"/>
    <w:rsid w:val="0044591B"/>
    <w:rsid w:val="00446B11"/>
    <w:rsid w:val="00446F93"/>
    <w:rsid w:val="004470B6"/>
    <w:rsid w:val="0044740E"/>
    <w:rsid w:val="0044762E"/>
    <w:rsid w:val="004479F4"/>
    <w:rsid w:val="00450769"/>
    <w:rsid w:val="00450F17"/>
    <w:rsid w:val="00451206"/>
    <w:rsid w:val="00451218"/>
    <w:rsid w:val="004514C3"/>
    <w:rsid w:val="00451F4B"/>
    <w:rsid w:val="004522DD"/>
    <w:rsid w:val="004528F3"/>
    <w:rsid w:val="0045312E"/>
    <w:rsid w:val="004539FB"/>
    <w:rsid w:val="004540CD"/>
    <w:rsid w:val="00455204"/>
    <w:rsid w:val="004559E2"/>
    <w:rsid w:val="00455D97"/>
    <w:rsid w:val="00455E9C"/>
    <w:rsid w:val="004560D3"/>
    <w:rsid w:val="004575B1"/>
    <w:rsid w:val="0046011B"/>
    <w:rsid w:val="00460372"/>
    <w:rsid w:val="00460ADC"/>
    <w:rsid w:val="00461061"/>
    <w:rsid w:val="004612FA"/>
    <w:rsid w:val="00462507"/>
    <w:rsid w:val="00463501"/>
    <w:rsid w:val="00463556"/>
    <w:rsid w:val="00463B25"/>
    <w:rsid w:val="00463B53"/>
    <w:rsid w:val="00463CA3"/>
    <w:rsid w:val="00464597"/>
    <w:rsid w:val="004649F4"/>
    <w:rsid w:val="00464CC3"/>
    <w:rsid w:val="004659FF"/>
    <w:rsid w:val="00465E79"/>
    <w:rsid w:val="00466978"/>
    <w:rsid w:val="00467430"/>
    <w:rsid w:val="00467C9A"/>
    <w:rsid w:val="004706CA"/>
    <w:rsid w:val="004706FB"/>
    <w:rsid w:val="00470887"/>
    <w:rsid w:val="00470A9F"/>
    <w:rsid w:val="00470C17"/>
    <w:rsid w:val="004712E2"/>
    <w:rsid w:val="0047192A"/>
    <w:rsid w:val="00471997"/>
    <w:rsid w:val="00471AAD"/>
    <w:rsid w:val="004724A8"/>
    <w:rsid w:val="00472EAD"/>
    <w:rsid w:val="0047305F"/>
    <w:rsid w:val="00473EE5"/>
    <w:rsid w:val="00474113"/>
    <w:rsid w:val="0047419C"/>
    <w:rsid w:val="00474D29"/>
    <w:rsid w:val="00474F72"/>
    <w:rsid w:val="0047502C"/>
    <w:rsid w:val="004753F1"/>
    <w:rsid w:val="00476070"/>
    <w:rsid w:val="00476497"/>
    <w:rsid w:val="00476FE5"/>
    <w:rsid w:val="0047719B"/>
    <w:rsid w:val="004776F3"/>
    <w:rsid w:val="0047795A"/>
    <w:rsid w:val="00480758"/>
    <w:rsid w:val="00481455"/>
    <w:rsid w:val="00481A93"/>
    <w:rsid w:val="0048232C"/>
    <w:rsid w:val="00482AFC"/>
    <w:rsid w:val="00482B46"/>
    <w:rsid w:val="00482ED7"/>
    <w:rsid w:val="00483944"/>
    <w:rsid w:val="00483A3D"/>
    <w:rsid w:val="00483B24"/>
    <w:rsid w:val="0048426C"/>
    <w:rsid w:val="00484F42"/>
    <w:rsid w:val="0048599D"/>
    <w:rsid w:val="00485A73"/>
    <w:rsid w:val="0048639C"/>
    <w:rsid w:val="0048729E"/>
    <w:rsid w:val="004872FD"/>
    <w:rsid w:val="00487F84"/>
    <w:rsid w:val="0049020A"/>
    <w:rsid w:val="00490BCD"/>
    <w:rsid w:val="00491BBB"/>
    <w:rsid w:val="0049207C"/>
    <w:rsid w:val="0049219F"/>
    <w:rsid w:val="00492456"/>
    <w:rsid w:val="0049289C"/>
    <w:rsid w:val="004939C8"/>
    <w:rsid w:val="00493AB6"/>
    <w:rsid w:val="004940B3"/>
    <w:rsid w:val="004952AC"/>
    <w:rsid w:val="00495560"/>
    <w:rsid w:val="0049576E"/>
    <w:rsid w:val="00495FDD"/>
    <w:rsid w:val="004961FF"/>
    <w:rsid w:val="00496AC6"/>
    <w:rsid w:val="00496DA4"/>
    <w:rsid w:val="004A01FF"/>
    <w:rsid w:val="004A06A4"/>
    <w:rsid w:val="004A0AEF"/>
    <w:rsid w:val="004A0ED1"/>
    <w:rsid w:val="004A2309"/>
    <w:rsid w:val="004A2643"/>
    <w:rsid w:val="004A2AF6"/>
    <w:rsid w:val="004A2F26"/>
    <w:rsid w:val="004A319B"/>
    <w:rsid w:val="004A338D"/>
    <w:rsid w:val="004A3650"/>
    <w:rsid w:val="004A3890"/>
    <w:rsid w:val="004A3D11"/>
    <w:rsid w:val="004A423C"/>
    <w:rsid w:val="004A4258"/>
    <w:rsid w:val="004A453E"/>
    <w:rsid w:val="004A54EE"/>
    <w:rsid w:val="004A634D"/>
    <w:rsid w:val="004A63CF"/>
    <w:rsid w:val="004A6636"/>
    <w:rsid w:val="004A71AB"/>
    <w:rsid w:val="004A763E"/>
    <w:rsid w:val="004A775E"/>
    <w:rsid w:val="004A77DC"/>
    <w:rsid w:val="004B0062"/>
    <w:rsid w:val="004B035A"/>
    <w:rsid w:val="004B0776"/>
    <w:rsid w:val="004B1439"/>
    <w:rsid w:val="004B1BA6"/>
    <w:rsid w:val="004B1F41"/>
    <w:rsid w:val="004B21E6"/>
    <w:rsid w:val="004B27F2"/>
    <w:rsid w:val="004B3ADB"/>
    <w:rsid w:val="004B3DDA"/>
    <w:rsid w:val="004B47A2"/>
    <w:rsid w:val="004B4CF8"/>
    <w:rsid w:val="004B4D94"/>
    <w:rsid w:val="004B4E37"/>
    <w:rsid w:val="004B68D3"/>
    <w:rsid w:val="004B7F74"/>
    <w:rsid w:val="004C10FA"/>
    <w:rsid w:val="004C133A"/>
    <w:rsid w:val="004C1703"/>
    <w:rsid w:val="004C1A5F"/>
    <w:rsid w:val="004C1B2D"/>
    <w:rsid w:val="004C228F"/>
    <w:rsid w:val="004C2E49"/>
    <w:rsid w:val="004C33F2"/>
    <w:rsid w:val="004C341D"/>
    <w:rsid w:val="004C4338"/>
    <w:rsid w:val="004C46F8"/>
    <w:rsid w:val="004C48CB"/>
    <w:rsid w:val="004C49F4"/>
    <w:rsid w:val="004C4E81"/>
    <w:rsid w:val="004C4F97"/>
    <w:rsid w:val="004C50D3"/>
    <w:rsid w:val="004C50F1"/>
    <w:rsid w:val="004C58A2"/>
    <w:rsid w:val="004C603D"/>
    <w:rsid w:val="004C679D"/>
    <w:rsid w:val="004C75EF"/>
    <w:rsid w:val="004C7D00"/>
    <w:rsid w:val="004C7DE6"/>
    <w:rsid w:val="004D0713"/>
    <w:rsid w:val="004D1AB4"/>
    <w:rsid w:val="004D1B2D"/>
    <w:rsid w:val="004D2D86"/>
    <w:rsid w:val="004D2FE4"/>
    <w:rsid w:val="004D358C"/>
    <w:rsid w:val="004D37C4"/>
    <w:rsid w:val="004D3E82"/>
    <w:rsid w:val="004D4836"/>
    <w:rsid w:val="004D4CA1"/>
    <w:rsid w:val="004D5995"/>
    <w:rsid w:val="004D5A56"/>
    <w:rsid w:val="004D5D6B"/>
    <w:rsid w:val="004D63EC"/>
    <w:rsid w:val="004D64DF"/>
    <w:rsid w:val="004D6856"/>
    <w:rsid w:val="004D6B93"/>
    <w:rsid w:val="004D70F5"/>
    <w:rsid w:val="004D782A"/>
    <w:rsid w:val="004D797E"/>
    <w:rsid w:val="004D7FA9"/>
    <w:rsid w:val="004E0916"/>
    <w:rsid w:val="004E10EA"/>
    <w:rsid w:val="004E17B0"/>
    <w:rsid w:val="004E19D7"/>
    <w:rsid w:val="004E227C"/>
    <w:rsid w:val="004E2432"/>
    <w:rsid w:val="004E28BE"/>
    <w:rsid w:val="004E2D23"/>
    <w:rsid w:val="004E3E92"/>
    <w:rsid w:val="004E42ED"/>
    <w:rsid w:val="004E432F"/>
    <w:rsid w:val="004E60E7"/>
    <w:rsid w:val="004E6588"/>
    <w:rsid w:val="004E68DE"/>
    <w:rsid w:val="004E6CC2"/>
    <w:rsid w:val="004E7330"/>
    <w:rsid w:val="004E7AD0"/>
    <w:rsid w:val="004E7D8A"/>
    <w:rsid w:val="004F148B"/>
    <w:rsid w:val="004F2111"/>
    <w:rsid w:val="004F30F7"/>
    <w:rsid w:val="004F4863"/>
    <w:rsid w:val="004F49DE"/>
    <w:rsid w:val="004F4A14"/>
    <w:rsid w:val="004F52CC"/>
    <w:rsid w:val="004F5595"/>
    <w:rsid w:val="004F56D8"/>
    <w:rsid w:val="004F5763"/>
    <w:rsid w:val="004F5B8E"/>
    <w:rsid w:val="004F6765"/>
    <w:rsid w:val="004F6C3A"/>
    <w:rsid w:val="004F6FA0"/>
    <w:rsid w:val="004F70CD"/>
    <w:rsid w:val="004F7402"/>
    <w:rsid w:val="004F7FAD"/>
    <w:rsid w:val="004F7FE3"/>
    <w:rsid w:val="00500012"/>
    <w:rsid w:val="005009B8"/>
    <w:rsid w:val="00500A34"/>
    <w:rsid w:val="00500A85"/>
    <w:rsid w:val="00500FEC"/>
    <w:rsid w:val="00501956"/>
    <w:rsid w:val="00501BF6"/>
    <w:rsid w:val="00502E68"/>
    <w:rsid w:val="00503015"/>
    <w:rsid w:val="00503ECA"/>
    <w:rsid w:val="0050580C"/>
    <w:rsid w:val="00505918"/>
    <w:rsid w:val="00505DFF"/>
    <w:rsid w:val="005064CD"/>
    <w:rsid w:val="0050730C"/>
    <w:rsid w:val="00507C87"/>
    <w:rsid w:val="005101BC"/>
    <w:rsid w:val="005102FB"/>
    <w:rsid w:val="005108A1"/>
    <w:rsid w:val="00511386"/>
    <w:rsid w:val="005113DF"/>
    <w:rsid w:val="00511643"/>
    <w:rsid w:val="0051189A"/>
    <w:rsid w:val="00511E5E"/>
    <w:rsid w:val="00511EB7"/>
    <w:rsid w:val="0051216F"/>
    <w:rsid w:val="00512890"/>
    <w:rsid w:val="00512B7C"/>
    <w:rsid w:val="00512BD4"/>
    <w:rsid w:val="005135B2"/>
    <w:rsid w:val="0051362E"/>
    <w:rsid w:val="00513BEF"/>
    <w:rsid w:val="00514106"/>
    <w:rsid w:val="00514776"/>
    <w:rsid w:val="0051585B"/>
    <w:rsid w:val="00516D6A"/>
    <w:rsid w:val="005172E5"/>
    <w:rsid w:val="0051797B"/>
    <w:rsid w:val="00517B48"/>
    <w:rsid w:val="005205B6"/>
    <w:rsid w:val="0052060C"/>
    <w:rsid w:val="00521D8D"/>
    <w:rsid w:val="0052222B"/>
    <w:rsid w:val="00522FD2"/>
    <w:rsid w:val="0052463F"/>
    <w:rsid w:val="00524CF3"/>
    <w:rsid w:val="00524D25"/>
    <w:rsid w:val="00524F19"/>
    <w:rsid w:val="00526459"/>
    <w:rsid w:val="00526515"/>
    <w:rsid w:val="005265C6"/>
    <w:rsid w:val="00526704"/>
    <w:rsid w:val="00526D3B"/>
    <w:rsid w:val="005272F7"/>
    <w:rsid w:val="005275A2"/>
    <w:rsid w:val="0052760F"/>
    <w:rsid w:val="005300F1"/>
    <w:rsid w:val="0053154D"/>
    <w:rsid w:val="005316CF"/>
    <w:rsid w:val="005318F4"/>
    <w:rsid w:val="005319BD"/>
    <w:rsid w:val="00532EEC"/>
    <w:rsid w:val="00534206"/>
    <w:rsid w:val="0053436B"/>
    <w:rsid w:val="005356EA"/>
    <w:rsid w:val="0053611E"/>
    <w:rsid w:val="00536B05"/>
    <w:rsid w:val="00537CF0"/>
    <w:rsid w:val="00540A6E"/>
    <w:rsid w:val="005410EE"/>
    <w:rsid w:val="005419E4"/>
    <w:rsid w:val="00541F35"/>
    <w:rsid w:val="00542184"/>
    <w:rsid w:val="0054286D"/>
    <w:rsid w:val="00542A22"/>
    <w:rsid w:val="00543401"/>
    <w:rsid w:val="00544860"/>
    <w:rsid w:val="00544B41"/>
    <w:rsid w:val="00544E2E"/>
    <w:rsid w:val="00545264"/>
    <w:rsid w:val="00545DA2"/>
    <w:rsid w:val="00545E02"/>
    <w:rsid w:val="00545E34"/>
    <w:rsid w:val="005463AB"/>
    <w:rsid w:val="0054640F"/>
    <w:rsid w:val="00546D49"/>
    <w:rsid w:val="00547170"/>
    <w:rsid w:val="00547598"/>
    <w:rsid w:val="00547C51"/>
    <w:rsid w:val="00547C86"/>
    <w:rsid w:val="00550050"/>
    <w:rsid w:val="005506EF"/>
    <w:rsid w:val="00550BFE"/>
    <w:rsid w:val="00550FB3"/>
    <w:rsid w:val="0055117E"/>
    <w:rsid w:val="005511CC"/>
    <w:rsid w:val="0055180A"/>
    <w:rsid w:val="00551B8E"/>
    <w:rsid w:val="005523B2"/>
    <w:rsid w:val="00552E44"/>
    <w:rsid w:val="00552EF7"/>
    <w:rsid w:val="005536B2"/>
    <w:rsid w:val="00553F3F"/>
    <w:rsid w:val="0055406B"/>
    <w:rsid w:val="00554254"/>
    <w:rsid w:val="00554CE8"/>
    <w:rsid w:val="00556B3A"/>
    <w:rsid w:val="005570DA"/>
    <w:rsid w:val="00557317"/>
    <w:rsid w:val="00557B59"/>
    <w:rsid w:val="00557BCA"/>
    <w:rsid w:val="00557C4F"/>
    <w:rsid w:val="00560018"/>
    <w:rsid w:val="005604BB"/>
    <w:rsid w:val="0056201E"/>
    <w:rsid w:val="0056398B"/>
    <w:rsid w:val="0056467A"/>
    <w:rsid w:val="00564C20"/>
    <w:rsid w:val="00564DE7"/>
    <w:rsid w:val="00564E21"/>
    <w:rsid w:val="005652F4"/>
    <w:rsid w:val="00565699"/>
    <w:rsid w:val="00565FCE"/>
    <w:rsid w:val="0056641D"/>
    <w:rsid w:val="005664CB"/>
    <w:rsid w:val="00566C04"/>
    <w:rsid w:val="0056728F"/>
    <w:rsid w:val="00567BB0"/>
    <w:rsid w:val="00570FD5"/>
    <w:rsid w:val="00570FF4"/>
    <w:rsid w:val="00571979"/>
    <w:rsid w:val="005735DF"/>
    <w:rsid w:val="00573912"/>
    <w:rsid w:val="00573AD3"/>
    <w:rsid w:val="00573BCB"/>
    <w:rsid w:val="00574372"/>
    <w:rsid w:val="00574658"/>
    <w:rsid w:val="00574798"/>
    <w:rsid w:val="005748C4"/>
    <w:rsid w:val="005751AA"/>
    <w:rsid w:val="0057578A"/>
    <w:rsid w:val="0057657A"/>
    <w:rsid w:val="005800EE"/>
    <w:rsid w:val="00580362"/>
    <w:rsid w:val="00580B6B"/>
    <w:rsid w:val="00580B75"/>
    <w:rsid w:val="00580CEF"/>
    <w:rsid w:val="0058185B"/>
    <w:rsid w:val="00581B4F"/>
    <w:rsid w:val="00581EA6"/>
    <w:rsid w:val="0058214D"/>
    <w:rsid w:val="0058299F"/>
    <w:rsid w:val="00582B38"/>
    <w:rsid w:val="00583DA7"/>
    <w:rsid w:val="0058413E"/>
    <w:rsid w:val="00584659"/>
    <w:rsid w:val="00584F45"/>
    <w:rsid w:val="00585FA9"/>
    <w:rsid w:val="00586A41"/>
    <w:rsid w:val="00587B72"/>
    <w:rsid w:val="00587E93"/>
    <w:rsid w:val="00590391"/>
    <w:rsid w:val="005905D4"/>
    <w:rsid w:val="00590696"/>
    <w:rsid w:val="005909DD"/>
    <w:rsid w:val="00590D14"/>
    <w:rsid w:val="00591892"/>
    <w:rsid w:val="00591C1C"/>
    <w:rsid w:val="005923E1"/>
    <w:rsid w:val="00592A06"/>
    <w:rsid w:val="00592D35"/>
    <w:rsid w:val="00593107"/>
    <w:rsid w:val="005933C7"/>
    <w:rsid w:val="00593A6B"/>
    <w:rsid w:val="0059464D"/>
    <w:rsid w:val="005951DA"/>
    <w:rsid w:val="005957B9"/>
    <w:rsid w:val="005958BB"/>
    <w:rsid w:val="005963DF"/>
    <w:rsid w:val="005964E1"/>
    <w:rsid w:val="00596913"/>
    <w:rsid w:val="00597C73"/>
    <w:rsid w:val="005A0244"/>
    <w:rsid w:val="005A16E9"/>
    <w:rsid w:val="005A1BE0"/>
    <w:rsid w:val="005A3192"/>
    <w:rsid w:val="005A38EF"/>
    <w:rsid w:val="005A3A5A"/>
    <w:rsid w:val="005A3A7D"/>
    <w:rsid w:val="005A4425"/>
    <w:rsid w:val="005A49AD"/>
    <w:rsid w:val="005A5963"/>
    <w:rsid w:val="005A5D54"/>
    <w:rsid w:val="005A5D94"/>
    <w:rsid w:val="005A66B8"/>
    <w:rsid w:val="005A680C"/>
    <w:rsid w:val="005A7150"/>
    <w:rsid w:val="005B00B1"/>
    <w:rsid w:val="005B0457"/>
    <w:rsid w:val="005B0A98"/>
    <w:rsid w:val="005B0E22"/>
    <w:rsid w:val="005B10F3"/>
    <w:rsid w:val="005B148A"/>
    <w:rsid w:val="005B1883"/>
    <w:rsid w:val="005B3553"/>
    <w:rsid w:val="005B3937"/>
    <w:rsid w:val="005B4CBC"/>
    <w:rsid w:val="005B5010"/>
    <w:rsid w:val="005B5207"/>
    <w:rsid w:val="005B5C55"/>
    <w:rsid w:val="005B5DDC"/>
    <w:rsid w:val="005B65E7"/>
    <w:rsid w:val="005B6D96"/>
    <w:rsid w:val="005B6E3B"/>
    <w:rsid w:val="005B7EB6"/>
    <w:rsid w:val="005C0E9B"/>
    <w:rsid w:val="005C16E9"/>
    <w:rsid w:val="005C1AD4"/>
    <w:rsid w:val="005C1D55"/>
    <w:rsid w:val="005C2056"/>
    <w:rsid w:val="005C3999"/>
    <w:rsid w:val="005C3ACB"/>
    <w:rsid w:val="005C4B32"/>
    <w:rsid w:val="005C4B9B"/>
    <w:rsid w:val="005C4BC4"/>
    <w:rsid w:val="005C4BD5"/>
    <w:rsid w:val="005C5042"/>
    <w:rsid w:val="005C5A4C"/>
    <w:rsid w:val="005C6078"/>
    <w:rsid w:val="005C6268"/>
    <w:rsid w:val="005C6748"/>
    <w:rsid w:val="005C69BA"/>
    <w:rsid w:val="005C6C5B"/>
    <w:rsid w:val="005C7C83"/>
    <w:rsid w:val="005D0BBF"/>
    <w:rsid w:val="005D0FDF"/>
    <w:rsid w:val="005D141B"/>
    <w:rsid w:val="005D1A0B"/>
    <w:rsid w:val="005D2A7C"/>
    <w:rsid w:val="005D3416"/>
    <w:rsid w:val="005D381C"/>
    <w:rsid w:val="005D5E26"/>
    <w:rsid w:val="005D6BBF"/>
    <w:rsid w:val="005D73F4"/>
    <w:rsid w:val="005D7445"/>
    <w:rsid w:val="005D7791"/>
    <w:rsid w:val="005D7841"/>
    <w:rsid w:val="005D7B00"/>
    <w:rsid w:val="005E06DF"/>
    <w:rsid w:val="005E1351"/>
    <w:rsid w:val="005E190C"/>
    <w:rsid w:val="005E229A"/>
    <w:rsid w:val="005E259A"/>
    <w:rsid w:val="005E286C"/>
    <w:rsid w:val="005E29E3"/>
    <w:rsid w:val="005E34D0"/>
    <w:rsid w:val="005E41E7"/>
    <w:rsid w:val="005E4629"/>
    <w:rsid w:val="005E47B1"/>
    <w:rsid w:val="005E48D2"/>
    <w:rsid w:val="005E4B9E"/>
    <w:rsid w:val="005E504D"/>
    <w:rsid w:val="005E66A7"/>
    <w:rsid w:val="005E6D17"/>
    <w:rsid w:val="005E72E0"/>
    <w:rsid w:val="005E7529"/>
    <w:rsid w:val="005E7FC3"/>
    <w:rsid w:val="005F059C"/>
    <w:rsid w:val="005F0B10"/>
    <w:rsid w:val="005F0D58"/>
    <w:rsid w:val="005F14D3"/>
    <w:rsid w:val="005F1AA2"/>
    <w:rsid w:val="005F1F65"/>
    <w:rsid w:val="005F2F2F"/>
    <w:rsid w:val="005F32C2"/>
    <w:rsid w:val="005F355A"/>
    <w:rsid w:val="005F401B"/>
    <w:rsid w:val="005F4372"/>
    <w:rsid w:val="005F4619"/>
    <w:rsid w:val="005F4648"/>
    <w:rsid w:val="005F4848"/>
    <w:rsid w:val="005F49D5"/>
    <w:rsid w:val="005F4A8A"/>
    <w:rsid w:val="005F575D"/>
    <w:rsid w:val="005F57C2"/>
    <w:rsid w:val="005F64F5"/>
    <w:rsid w:val="005F65C1"/>
    <w:rsid w:val="005F6741"/>
    <w:rsid w:val="005F6C54"/>
    <w:rsid w:val="005F6C58"/>
    <w:rsid w:val="005F740D"/>
    <w:rsid w:val="006002D6"/>
    <w:rsid w:val="00601B19"/>
    <w:rsid w:val="00602410"/>
    <w:rsid w:val="00602EEE"/>
    <w:rsid w:val="006034EC"/>
    <w:rsid w:val="00603D13"/>
    <w:rsid w:val="00604423"/>
    <w:rsid w:val="006050E2"/>
    <w:rsid w:val="00605D1D"/>
    <w:rsid w:val="00605E1C"/>
    <w:rsid w:val="00606058"/>
    <w:rsid w:val="006068A4"/>
    <w:rsid w:val="00610509"/>
    <w:rsid w:val="0061067F"/>
    <w:rsid w:val="00610A0A"/>
    <w:rsid w:val="006112E0"/>
    <w:rsid w:val="00611801"/>
    <w:rsid w:val="0061307C"/>
    <w:rsid w:val="0061364E"/>
    <w:rsid w:val="00614A0D"/>
    <w:rsid w:val="00614D6C"/>
    <w:rsid w:val="00615181"/>
    <w:rsid w:val="00615B31"/>
    <w:rsid w:val="006204F7"/>
    <w:rsid w:val="00621D98"/>
    <w:rsid w:val="006220F9"/>
    <w:rsid w:val="00622E1A"/>
    <w:rsid w:val="00622F66"/>
    <w:rsid w:val="0062300A"/>
    <w:rsid w:val="0062308E"/>
    <w:rsid w:val="00623760"/>
    <w:rsid w:val="006245E8"/>
    <w:rsid w:val="00624AC3"/>
    <w:rsid w:val="00625200"/>
    <w:rsid w:val="00625CA9"/>
    <w:rsid w:val="00626244"/>
    <w:rsid w:val="006262B0"/>
    <w:rsid w:val="0062651C"/>
    <w:rsid w:val="0062658E"/>
    <w:rsid w:val="00630378"/>
    <w:rsid w:val="006307CC"/>
    <w:rsid w:val="00630994"/>
    <w:rsid w:val="00630EE0"/>
    <w:rsid w:val="0063104F"/>
    <w:rsid w:val="00633901"/>
    <w:rsid w:val="00633C2F"/>
    <w:rsid w:val="00634B95"/>
    <w:rsid w:val="00635608"/>
    <w:rsid w:val="00635FC0"/>
    <w:rsid w:val="00636D60"/>
    <w:rsid w:val="00636DE7"/>
    <w:rsid w:val="00636F8E"/>
    <w:rsid w:val="006375F3"/>
    <w:rsid w:val="00640020"/>
    <w:rsid w:val="00640243"/>
    <w:rsid w:val="006403E7"/>
    <w:rsid w:val="0064066D"/>
    <w:rsid w:val="00641030"/>
    <w:rsid w:val="00641999"/>
    <w:rsid w:val="00641A4D"/>
    <w:rsid w:val="00641D88"/>
    <w:rsid w:val="00641EBA"/>
    <w:rsid w:val="00642042"/>
    <w:rsid w:val="00642239"/>
    <w:rsid w:val="0064278E"/>
    <w:rsid w:val="00642B9C"/>
    <w:rsid w:val="006433F8"/>
    <w:rsid w:val="006438EA"/>
    <w:rsid w:val="00644437"/>
    <w:rsid w:val="00644443"/>
    <w:rsid w:val="0064484E"/>
    <w:rsid w:val="00644D8C"/>
    <w:rsid w:val="0064514E"/>
    <w:rsid w:val="00646634"/>
    <w:rsid w:val="00646A0A"/>
    <w:rsid w:val="00646BFD"/>
    <w:rsid w:val="006477A0"/>
    <w:rsid w:val="006478B0"/>
    <w:rsid w:val="00647CF7"/>
    <w:rsid w:val="00650E40"/>
    <w:rsid w:val="00650F47"/>
    <w:rsid w:val="006513E5"/>
    <w:rsid w:val="00651452"/>
    <w:rsid w:val="00651516"/>
    <w:rsid w:val="0065185D"/>
    <w:rsid w:val="00651BF9"/>
    <w:rsid w:val="00651D97"/>
    <w:rsid w:val="00651FB5"/>
    <w:rsid w:val="0065204C"/>
    <w:rsid w:val="006520AF"/>
    <w:rsid w:val="00652FF0"/>
    <w:rsid w:val="00653A0F"/>
    <w:rsid w:val="00653E83"/>
    <w:rsid w:val="00653EF2"/>
    <w:rsid w:val="00654B9A"/>
    <w:rsid w:val="00654E94"/>
    <w:rsid w:val="006550AC"/>
    <w:rsid w:val="0065551E"/>
    <w:rsid w:val="006558F9"/>
    <w:rsid w:val="00655993"/>
    <w:rsid w:val="006570A7"/>
    <w:rsid w:val="006572A5"/>
    <w:rsid w:val="006578EA"/>
    <w:rsid w:val="006579C6"/>
    <w:rsid w:val="00657A6F"/>
    <w:rsid w:val="00657B43"/>
    <w:rsid w:val="00657FA5"/>
    <w:rsid w:val="006601EA"/>
    <w:rsid w:val="0066071C"/>
    <w:rsid w:val="0066176A"/>
    <w:rsid w:val="00661CE7"/>
    <w:rsid w:val="00662FEC"/>
    <w:rsid w:val="006639C6"/>
    <w:rsid w:val="00663BC3"/>
    <w:rsid w:val="00664C3B"/>
    <w:rsid w:val="00665AFD"/>
    <w:rsid w:val="00665B4A"/>
    <w:rsid w:val="00670565"/>
    <w:rsid w:val="0067143E"/>
    <w:rsid w:val="0067166F"/>
    <w:rsid w:val="006717A4"/>
    <w:rsid w:val="00671A22"/>
    <w:rsid w:val="00672528"/>
    <w:rsid w:val="00673322"/>
    <w:rsid w:val="00673BE1"/>
    <w:rsid w:val="006746F2"/>
    <w:rsid w:val="00674885"/>
    <w:rsid w:val="00676700"/>
    <w:rsid w:val="0067670E"/>
    <w:rsid w:val="006767BA"/>
    <w:rsid w:val="00676AEC"/>
    <w:rsid w:val="00676B1A"/>
    <w:rsid w:val="00676E9A"/>
    <w:rsid w:val="006773A8"/>
    <w:rsid w:val="00677929"/>
    <w:rsid w:val="00677E37"/>
    <w:rsid w:val="00677FC9"/>
    <w:rsid w:val="00680EF1"/>
    <w:rsid w:val="00680F4F"/>
    <w:rsid w:val="00681A62"/>
    <w:rsid w:val="006822F0"/>
    <w:rsid w:val="0068331B"/>
    <w:rsid w:val="00684843"/>
    <w:rsid w:val="00684850"/>
    <w:rsid w:val="00684A22"/>
    <w:rsid w:val="00684A9D"/>
    <w:rsid w:val="0068502F"/>
    <w:rsid w:val="00685307"/>
    <w:rsid w:val="00686C14"/>
    <w:rsid w:val="00686E1C"/>
    <w:rsid w:val="00686EC1"/>
    <w:rsid w:val="00686ECF"/>
    <w:rsid w:val="00686EF9"/>
    <w:rsid w:val="00687384"/>
    <w:rsid w:val="006873B5"/>
    <w:rsid w:val="006903F1"/>
    <w:rsid w:val="00690984"/>
    <w:rsid w:val="0069194F"/>
    <w:rsid w:val="00691A16"/>
    <w:rsid w:val="00691D05"/>
    <w:rsid w:val="00692DD7"/>
    <w:rsid w:val="0069416B"/>
    <w:rsid w:val="006944D7"/>
    <w:rsid w:val="0069484B"/>
    <w:rsid w:val="00695142"/>
    <w:rsid w:val="006952CC"/>
    <w:rsid w:val="00695449"/>
    <w:rsid w:val="00695670"/>
    <w:rsid w:val="0069569A"/>
    <w:rsid w:val="00695877"/>
    <w:rsid w:val="00696252"/>
    <w:rsid w:val="006962B3"/>
    <w:rsid w:val="006975E5"/>
    <w:rsid w:val="00697633"/>
    <w:rsid w:val="006979FF"/>
    <w:rsid w:val="006A10D2"/>
    <w:rsid w:val="006A16C7"/>
    <w:rsid w:val="006A22A7"/>
    <w:rsid w:val="006A2F22"/>
    <w:rsid w:val="006A32EC"/>
    <w:rsid w:val="006A4684"/>
    <w:rsid w:val="006A6D52"/>
    <w:rsid w:val="006A6E53"/>
    <w:rsid w:val="006A7623"/>
    <w:rsid w:val="006A7918"/>
    <w:rsid w:val="006A7F6F"/>
    <w:rsid w:val="006B03A4"/>
    <w:rsid w:val="006B03F9"/>
    <w:rsid w:val="006B0516"/>
    <w:rsid w:val="006B258D"/>
    <w:rsid w:val="006B2949"/>
    <w:rsid w:val="006B2C1C"/>
    <w:rsid w:val="006B2D87"/>
    <w:rsid w:val="006B2DAD"/>
    <w:rsid w:val="006B3857"/>
    <w:rsid w:val="006B4507"/>
    <w:rsid w:val="006B5256"/>
    <w:rsid w:val="006B6DEF"/>
    <w:rsid w:val="006B6F56"/>
    <w:rsid w:val="006B744E"/>
    <w:rsid w:val="006C043E"/>
    <w:rsid w:val="006C04B0"/>
    <w:rsid w:val="006C0F4D"/>
    <w:rsid w:val="006C1564"/>
    <w:rsid w:val="006C1768"/>
    <w:rsid w:val="006C202A"/>
    <w:rsid w:val="006C2081"/>
    <w:rsid w:val="006C250D"/>
    <w:rsid w:val="006C4E90"/>
    <w:rsid w:val="006C50E6"/>
    <w:rsid w:val="006C53C0"/>
    <w:rsid w:val="006C650B"/>
    <w:rsid w:val="006C650C"/>
    <w:rsid w:val="006C660F"/>
    <w:rsid w:val="006C6780"/>
    <w:rsid w:val="006C692C"/>
    <w:rsid w:val="006D069C"/>
    <w:rsid w:val="006D0B6B"/>
    <w:rsid w:val="006D1A05"/>
    <w:rsid w:val="006D1E1B"/>
    <w:rsid w:val="006D2020"/>
    <w:rsid w:val="006D2503"/>
    <w:rsid w:val="006D260A"/>
    <w:rsid w:val="006D2B35"/>
    <w:rsid w:val="006D4065"/>
    <w:rsid w:val="006D424B"/>
    <w:rsid w:val="006D4446"/>
    <w:rsid w:val="006D44B9"/>
    <w:rsid w:val="006D4A6C"/>
    <w:rsid w:val="006D566F"/>
    <w:rsid w:val="006D58D5"/>
    <w:rsid w:val="006D5DDA"/>
    <w:rsid w:val="006D5F28"/>
    <w:rsid w:val="006D6AD2"/>
    <w:rsid w:val="006D6CC0"/>
    <w:rsid w:val="006D6DAF"/>
    <w:rsid w:val="006D6F8B"/>
    <w:rsid w:val="006E009C"/>
    <w:rsid w:val="006E02C0"/>
    <w:rsid w:val="006E13AA"/>
    <w:rsid w:val="006E17AA"/>
    <w:rsid w:val="006E19C0"/>
    <w:rsid w:val="006E1A5A"/>
    <w:rsid w:val="006E2142"/>
    <w:rsid w:val="006E32DE"/>
    <w:rsid w:val="006E3706"/>
    <w:rsid w:val="006E3A50"/>
    <w:rsid w:val="006E4890"/>
    <w:rsid w:val="006E4E28"/>
    <w:rsid w:val="006E53B4"/>
    <w:rsid w:val="006E5CDC"/>
    <w:rsid w:val="006E60AE"/>
    <w:rsid w:val="006E6160"/>
    <w:rsid w:val="006E7715"/>
    <w:rsid w:val="006E7AA2"/>
    <w:rsid w:val="006E7EFF"/>
    <w:rsid w:val="006F0F3F"/>
    <w:rsid w:val="006F1712"/>
    <w:rsid w:val="006F1D5C"/>
    <w:rsid w:val="006F1DF9"/>
    <w:rsid w:val="006F1FA8"/>
    <w:rsid w:val="006F222A"/>
    <w:rsid w:val="006F43A4"/>
    <w:rsid w:val="006F4FEF"/>
    <w:rsid w:val="006F50AC"/>
    <w:rsid w:val="006F5334"/>
    <w:rsid w:val="006F589E"/>
    <w:rsid w:val="006F5A50"/>
    <w:rsid w:val="006F6E65"/>
    <w:rsid w:val="006F7DF9"/>
    <w:rsid w:val="0070009A"/>
    <w:rsid w:val="007001E0"/>
    <w:rsid w:val="00700859"/>
    <w:rsid w:val="0070085A"/>
    <w:rsid w:val="007008D2"/>
    <w:rsid w:val="0070175B"/>
    <w:rsid w:val="0070184C"/>
    <w:rsid w:val="00702787"/>
    <w:rsid w:val="007035A4"/>
    <w:rsid w:val="00703B08"/>
    <w:rsid w:val="00703B3E"/>
    <w:rsid w:val="007045E8"/>
    <w:rsid w:val="00704B90"/>
    <w:rsid w:val="0070505E"/>
    <w:rsid w:val="00705250"/>
    <w:rsid w:val="007058DB"/>
    <w:rsid w:val="00705F45"/>
    <w:rsid w:val="00706C3A"/>
    <w:rsid w:val="00706CFC"/>
    <w:rsid w:val="00706D7C"/>
    <w:rsid w:val="007075F2"/>
    <w:rsid w:val="007106A1"/>
    <w:rsid w:val="00711E73"/>
    <w:rsid w:val="00712543"/>
    <w:rsid w:val="00712781"/>
    <w:rsid w:val="00712C2F"/>
    <w:rsid w:val="00712C6D"/>
    <w:rsid w:val="00712D6F"/>
    <w:rsid w:val="00712FE2"/>
    <w:rsid w:val="00713CF8"/>
    <w:rsid w:val="007145F8"/>
    <w:rsid w:val="00714FF7"/>
    <w:rsid w:val="00715017"/>
    <w:rsid w:val="007152D6"/>
    <w:rsid w:val="007178A2"/>
    <w:rsid w:val="00717D3B"/>
    <w:rsid w:val="00717ECE"/>
    <w:rsid w:val="00720735"/>
    <w:rsid w:val="0072160E"/>
    <w:rsid w:val="00721833"/>
    <w:rsid w:val="007222E9"/>
    <w:rsid w:val="00722A3A"/>
    <w:rsid w:val="00722A5F"/>
    <w:rsid w:val="00722BB2"/>
    <w:rsid w:val="00722BB9"/>
    <w:rsid w:val="00723045"/>
    <w:rsid w:val="00723510"/>
    <w:rsid w:val="007238F0"/>
    <w:rsid w:val="00724132"/>
    <w:rsid w:val="007241D2"/>
    <w:rsid w:val="007246FE"/>
    <w:rsid w:val="0072475D"/>
    <w:rsid w:val="00724B80"/>
    <w:rsid w:val="00725750"/>
    <w:rsid w:val="0072731C"/>
    <w:rsid w:val="0072737D"/>
    <w:rsid w:val="007278BF"/>
    <w:rsid w:val="00727E00"/>
    <w:rsid w:val="0073011B"/>
    <w:rsid w:val="00730AC0"/>
    <w:rsid w:val="00730E12"/>
    <w:rsid w:val="0073127C"/>
    <w:rsid w:val="00731AC1"/>
    <w:rsid w:val="00732918"/>
    <w:rsid w:val="00732BD9"/>
    <w:rsid w:val="00732C87"/>
    <w:rsid w:val="00733268"/>
    <w:rsid w:val="007333E3"/>
    <w:rsid w:val="007336B5"/>
    <w:rsid w:val="0073433C"/>
    <w:rsid w:val="0073441A"/>
    <w:rsid w:val="0073444D"/>
    <w:rsid w:val="0073463A"/>
    <w:rsid w:val="007349EF"/>
    <w:rsid w:val="00735901"/>
    <w:rsid w:val="0073629E"/>
    <w:rsid w:val="0073697D"/>
    <w:rsid w:val="00736CB5"/>
    <w:rsid w:val="00736D7A"/>
    <w:rsid w:val="0073749F"/>
    <w:rsid w:val="0073799A"/>
    <w:rsid w:val="00740869"/>
    <w:rsid w:val="00741F98"/>
    <w:rsid w:val="007430A1"/>
    <w:rsid w:val="0074313D"/>
    <w:rsid w:val="0074361E"/>
    <w:rsid w:val="00743A42"/>
    <w:rsid w:val="00743C90"/>
    <w:rsid w:val="00743DCF"/>
    <w:rsid w:val="0074451D"/>
    <w:rsid w:val="007446D6"/>
    <w:rsid w:val="00744B92"/>
    <w:rsid w:val="007452F9"/>
    <w:rsid w:val="007455BF"/>
    <w:rsid w:val="007455C6"/>
    <w:rsid w:val="007474E8"/>
    <w:rsid w:val="0074791E"/>
    <w:rsid w:val="00747BFD"/>
    <w:rsid w:val="00750967"/>
    <w:rsid w:val="00750D31"/>
    <w:rsid w:val="00751217"/>
    <w:rsid w:val="0075133A"/>
    <w:rsid w:val="0075146B"/>
    <w:rsid w:val="00752B2C"/>
    <w:rsid w:val="00752B90"/>
    <w:rsid w:val="00752C50"/>
    <w:rsid w:val="00752F86"/>
    <w:rsid w:val="0075339F"/>
    <w:rsid w:val="00753FEB"/>
    <w:rsid w:val="007543B6"/>
    <w:rsid w:val="0075441D"/>
    <w:rsid w:val="007551E2"/>
    <w:rsid w:val="0075544D"/>
    <w:rsid w:val="0075586C"/>
    <w:rsid w:val="00755AFB"/>
    <w:rsid w:val="00756FFE"/>
    <w:rsid w:val="00760801"/>
    <w:rsid w:val="00760D9C"/>
    <w:rsid w:val="00761093"/>
    <w:rsid w:val="0076113F"/>
    <w:rsid w:val="00761576"/>
    <w:rsid w:val="0076159C"/>
    <w:rsid w:val="00762052"/>
    <w:rsid w:val="00762122"/>
    <w:rsid w:val="007627A0"/>
    <w:rsid w:val="007627FB"/>
    <w:rsid w:val="00762AF0"/>
    <w:rsid w:val="00763E1F"/>
    <w:rsid w:val="00763F96"/>
    <w:rsid w:val="00764217"/>
    <w:rsid w:val="007647CF"/>
    <w:rsid w:val="00764CF2"/>
    <w:rsid w:val="00764FF4"/>
    <w:rsid w:val="0076519E"/>
    <w:rsid w:val="0076636C"/>
    <w:rsid w:val="00766515"/>
    <w:rsid w:val="00766F24"/>
    <w:rsid w:val="00767C6D"/>
    <w:rsid w:val="00767DB8"/>
    <w:rsid w:val="0077066A"/>
    <w:rsid w:val="00770D25"/>
    <w:rsid w:val="007716CD"/>
    <w:rsid w:val="0077188F"/>
    <w:rsid w:val="00772E38"/>
    <w:rsid w:val="007737B6"/>
    <w:rsid w:val="00773927"/>
    <w:rsid w:val="00773A55"/>
    <w:rsid w:val="00773D10"/>
    <w:rsid w:val="0077441F"/>
    <w:rsid w:val="007744CE"/>
    <w:rsid w:val="00774973"/>
    <w:rsid w:val="00775E84"/>
    <w:rsid w:val="00775FBD"/>
    <w:rsid w:val="00776A1C"/>
    <w:rsid w:val="00776F09"/>
    <w:rsid w:val="00777519"/>
    <w:rsid w:val="00777DE4"/>
    <w:rsid w:val="007801FA"/>
    <w:rsid w:val="00780C17"/>
    <w:rsid w:val="00781239"/>
    <w:rsid w:val="007815C8"/>
    <w:rsid w:val="00781929"/>
    <w:rsid w:val="00781AC4"/>
    <w:rsid w:val="00781CE4"/>
    <w:rsid w:val="00782289"/>
    <w:rsid w:val="00782435"/>
    <w:rsid w:val="0078261C"/>
    <w:rsid w:val="007827EB"/>
    <w:rsid w:val="007830FC"/>
    <w:rsid w:val="007837CF"/>
    <w:rsid w:val="007839B4"/>
    <w:rsid w:val="007839E8"/>
    <w:rsid w:val="00783FBB"/>
    <w:rsid w:val="0078492C"/>
    <w:rsid w:val="00785A18"/>
    <w:rsid w:val="007860A5"/>
    <w:rsid w:val="007864ED"/>
    <w:rsid w:val="00786F7E"/>
    <w:rsid w:val="00787377"/>
    <w:rsid w:val="0078745A"/>
    <w:rsid w:val="0078768B"/>
    <w:rsid w:val="0079038E"/>
    <w:rsid w:val="0079083C"/>
    <w:rsid w:val="00790862"/>
    <w:rsid w:val="00790A3C"/>
    <w:rsid w:val="00790B62"/>
    <w:rsid w:val="00790BD8"/>
    <w:rsid w:val="007915FA"/>
    <w:rsid w:val="00792809"/>
    <w:rsid w:val="007928BB"/>
    <w:rsid w:val="00792A4A"/>
    <w:rsid w:val="00792B8B"/>
    <w:rsid w:val="007930D7"/>
    <w:rsid w:val="007932CD"/>
    <w:rsid w:val="00793935"/>
    <w:rsid w:val="00793D2A"/>
    <w:rsid w:val="00793D35"/>
    <w:rsid w:val="00793D47"/>
    <w:rsid w:val="007944BC"/>
    <w:rsid w:val="0079492D"/>
    <w:rsid w:val="0079540F"/>
    <w:rsid w:val="00795869"/>
    <w:rsid w:val="00797689"/>
    <w:rsid w:val="00797735"/>
    <w:rsid w:val="007A021C"/>
    <w:rsid w:val="007A05C2"/>
    <w:rsid w:val="007A0DC2"/>
    <w:rsid w:val="007A12B7"/>
    <w:rsid w:val="007A21DA"/>
    <w:rsid w:val="007A2B11"/>
    <w:rsid w:val="007A371D"/>
    <w:rsid w:val="007A45BE"/>
    <w:rsid w:val="007A46A9"/>
    <w:rsid w:val="007A46C5"/>
    <w:rsid w:val="007A4BD5"/>
    <w:rsid w:val="007A4BE2"/>
    <w:rsid w:val="007A572C"/>
    <w:rsid w:val="007A5F9A"/>
    <w:rsid w:val="007A679F"/>
    <w:rsid w:val="007A76AA"/>
    <w:rsid w:val="007A7B7A"/>
    <w:rsid w:val="007A7DC5"/>
    <w:rsid w:val="007A7DC9"/>
    <w:rsid w:val="007B0146"/>
    <w:rsid w:val="007B0C5D"/>
    <w:rsid w:val="007B0D73"/>
    <w:rsid w:val="007B0EA5"/>
    <w:rsid w:val="007B102B"/>
    <w:rsid w:val="007B1D2F"/>
    <w:rsid w:val="007B3256"/>
    <w:rsid w:val="007B34F2"/>
    <w:rsid w:val="007B37F5"/>
    <w:rsid w:val="007B3BB0"/>
    <w:rsid w:val="007B3C2D"/>
    <w:rsid w:val="007B42BB"/>
    <w:rsid w:val="007B4748"/>
    <w:rsid w:val="007B48AE"/>
    <w:rsid w:val="007B5290"/>
    <w:rsid w:val="007B52F4"/>
    <w:rsid w:val="007B59E4"/>
    <w:rsid w:val="007B5A81"/>
    <w:rsid w:val="007B5BEF"/>
    <w:rsid w:val="007B5C15"/>
    <w:rsid w:val="007B70A6"/>
    <w:rsid w:val="007C04FF"/>
    <w:rsid w:val="007C06ED"/>
    <w:rsid w:val="007C08BD"/>
    <w:rsid w:val="007C097B"/>
    <w:rsid w:val="007C0B55"/>
    <w:rsid w:val="007C0CDC"/>
    <w:rsid w:val="007C1258"/>
    <w:rsid w:val="007C1FAA"/>
    <w:rsid w:val="007C2FBF"/>
    <w:rsid w:val="007C30FC"/>
    <w:rsid w:val="007C3697"/>
    <w:rsid w:val="007C3862"/>
    <w:rsid w:val="007C3978"/>
    <w:rsid w:val="007C3D76"/>
    <w:rsid w:val="007C4318"/>
    <w:rsid w:val="007C5C23"/>
    <w:rsid w:val="007C5EF3"/>
    <w:rsid w:val="007C6C80"/>
    <w:rsid w:val="007C7432"/>
    <w:rsid w:val="007D020C"/>
    <w:rsid w:val="007D07FB"/>
    <w:rsid w:val="007D0835"/>
    <w:rsid w:val="007D0F88"/>
    <w:rsid w:val="007D138C"/>
    <w:rsid w:val="007D16BF"/>
    <w:rsid w:val="007D1E71"/>
    <w:rsid w:val="007D31D0"/>
    <w:rsid w:val="007D435B"/>
    <w:rsid w:val="007D441F"/>
    <w:rsid w:val="007D44BC"/>
    <w:rsid w:val="007D4756"/>
    <w:rsid w:val="007D4C22"/>
    <w:rsid w:val="007D4F8D"/>
    <w:rsid w:val="007D4FCD"/>
    <w:rsid w:val="007D5D6B"/>
    <w:rsid w:val="007D5DF9"/>
    <w:rsid w:val="007D5E88"/>
    <w:rsid w:val="007D5EB7"/>
    <w:rsid w:val="007D65CB"/>
    <w:rsid w:val="007D6993"/>
    <w:rsid w:val="007D6F3F"/>
    <w:rsid w:val="007D7069"/>
    <w:rsid w:val="007D7206"/>
    <w:rsid w:val="007D7EFA"/>
    <w:rsid w:val="007E0DFA"/>
    <w:rsid w:val="007E10A5"/>
    <w:rsid w:val="007E1592"/>
    <w:rsid w:val="007E15C3"/>
    <w:rsid w:val="007E1747"/>
    <w:rsid w:val="007E1C8F"/>
    <w:rsid w:val="007E2698"/>
    <w:rsid w:val="007E3487"/>
    <w:rsid w:val="007E3BAA"/>
    <w:rsid w:val="007E3C8D"/>
    <w:rsid w:val="007E41B5"/>
    <w:rsid w:val="007E4283"/>
    <w:rsid w:val="007E48EC"/>
    <w:rsid w:val="007E4A21"/>
    <w:rsid w:val="007E51D0"/>
    <w:rsid w:val="007E5B85"/>
    <w:rsid w:val="007E5E09"/>
    <w:rsid w:val="007E7057"/>
    <w:rsid w:val="007E727B"/>
    <w:rsid w:val="007E73B6"/>
    <w:rsid w:val="007F08A6"/>
    <w:rsid w:val="007F14D7"/>
    <w:rsid w:val="007F2946"/>
    <w:rsid w:val="007F2FD4"/>
    <w:rsid w:val="007F34BC"/>
    <w:rsid w:val="007F3FD3"/>
    <w:rsid w:val="007F4394"/>
    <w:rsid w:val="007F45DE"/>
    <w:rsid w:val="007F4C6E"/>
    <w:rsid w:val="007F5000"/>
    <w:rsid w:val="007F50C9"/>
    <w:rsid w:val="007F51B8"/>
    <w:rsid w:val="007F5673"/>
    <w:rsid w:val="007F58D6"/>
    <w:rsid w:val="007F5D8D"/>
    <w:rsid w:val="007F5DC1"/>
    <w:rsid w:val="007F5E28"/>
    <w:rsid w:val="007F6FFC"/>
    <w:rsid w:val="007F7B1B"/>
    <w:rsid w:val="007F7BF0"/>
    <w:rsid w:val="007F7CB3"/>
    <w:rsid w:val="007F7D82"/>
    <w:rsid w:val="007F7DDD"/>
    <w:rsid w:val="007F7E34"/>
    <w:rsid w:val="007F7E67"/>
    <w:rsid w:val="00800FC1"/>
    <w:rsid w:val="0080105B"/>
    <w:rsid w:val="00801355"/>
    <w:rsid w:val="008013D1"/>
    <w:rsid w:val="00801D40"/>
    <w:rsid w:val="00802117"/>
    <w:rsid w:val="00802653"/>
    <w:rsid w:val="00802951"/>
    <w:rsid w:val="00802A7F"/>
    <w:rsid w:val="00802BF2"/>
    <w:rsid w:val="00802DB1"/>
    <w:rsid w:val="008043AB"/>
    <w:rsid w:val="008043E7"/>
    <w:rsid w:val="0080444E"/>
    <w:rsid w:val="00804529"/>
    <w:rsid w:val="00805C09"/>
    <w:rsid w:val="00806368"/>
    <w:rsid w:val="00806B14"/>
    <w:rsid w:val="00807A88"/>
    <w:rsid w:val="00810207"/>
    <w:rsid w:val="0081041D"/>
    <w:rsid w:val="00810DED"/>
    <w:rsid w:val="0081148F"/>
    <w:rsid w:val="00811A26"/>
    <w:rsid w:val="00812BBE"/>
    <w:rsid w:val="00812D2A"/>
    <w:rsid w:val="00813E1B"/>
    <w:rsid w:val="00813FAB"/>
    <w:rsid w:val="0081425A"/>
    <w:rsid w:val="00814597"/>
    <w:rsid w:val="00814771"/>
    <w:rsid w:val="008153DF"/>
    <w:rsid w:val="00815EDD"/>
    <w:rsid w:val="008174B1"/>
    <w:rsid w:val="008176C3"/>
    <w:rsid w:val="008177ED"/>
    <w:rsid w:val="00817B13"/>
    <w:rsid w:val="00817EA5"/>
    <w:rsid w:val="0082102E"/>
    <w:rsid w:val="00821B77"/>
    <w:rsid w:val="008220BF"/>
    <w:rsid w:val="00822DAA"/>
    <w:rsid w:val="00822DC5"/>
    <w:rsid w:val="008235E3"/>
    <w:rsid w:val="008236CA"/>
    <w:rsid w:val="00823F58"/>
    <w:rsid w:val="008240AA"/>
    <w:rsid w:val="00824C13"/>
    <w:rsid w:val="00824C73"/>
    <w:rsid w:val="008253C5"/>
    <w:rsid w:val="00825BB3"/>
    <w:rsid w:val="00826180"/>
    <w:rsid w:val="0082659C"/>
    <w:rsid w:val="00826F43"/>
    <w:rsid w:val="00830753"/>
    <w:rsid w:val="00830EF8"/>
    <w:rsid w:val="008312EF"/>
    <w:rsid w:val="0083154A"/>
    <w:rsid w:val="0083190D"/>
    <w:rsid w:val="00831D02"/>
    <w:rsid w:val="00831EA8"/>
    <w:rsid w:val="008320DF"/>
    <w:rsid w:val="008327C2"/>
    <w:rsid w:val="00832838"/>
    <w:rsid w:val="0083307F"/>
    <w:rsid w:val="0083308C"/>
    <w:rsid w:val="00833C11"/>
    <w:rsid w:val="00834761"/>
    <w:rsid w:val="00834CD5"/>
    <w:rsid w:val="00834F92"/>
    <w:rsid w:val="008350D8"/>
    <w:rsid w:val="0083516C"/>
    <w:rsid w:val="00836166"/>
    <w:rsid w:val="0083643C"/>
    <w:rsid w:val="0083645E"/>
    <w:rsid w:val="00836B49"/>
    <w:rsid w:val="00837A70"/>
    <w:rsid w:val="008406E7"/>
    <w:rsid w:val="00840757"/>
    <w:rsid w:val="008412AC"/>
    <w:rsid w:val="00842771"/>
    <w:rsid w:val="00842815"/>
    <w:rsid w:val="0084287B"/>
    <w:rsid w:val="00842C98"/>
    <w:rsid w:val="0084321F"/>
    <w:rsid w:val="008433FE"/>
    <w:rsid w:val="00843789"/>
    <w:rsid w:val="00843B6B"/>
    <w:rsid w:val="00843DFB"/>
    <w:rsid w:val="00845016"/>
    <w:rsid w:val="008454D1"/>
    <w:rsid w:val="00845B44"/>
    <w:rsid w:val="00845F3F"/>
    <w:rsid w:val="00846074"/>
    <w:rsid w:val="008466B4"/>
    <w:rsid w:val="008469FE"/>
    <w:rsid w:val="00846E34"/>
    <w:rsid w:val="0084745B"/>
    <w:rsid w:val="008474F3"/>
    <w:rsid w:val="00847C5C"/>
    <w:rsid w:val="00847D1F"/>
    <w:rsid w:val="008505B8"/>
    <w:rsid w:val="0085198A"/>
    <w:rsid w:val="008526A8"/>
    <w:rsid w:val="00852C6C"/>
    <w:rsid w:val="00852E29"/>
    <w:rsid w:val="00853015"/>
    <w:rsid w:val="00853B24"/>
    <w:rsid w:val="00853B69"/>
    <w:rsid w:val="00853BE4"/>
    <w:rsid w:val="00853CD3"/>
    <w:rsid w:val="0085405A"/>
    <w:rsid w:val="008540AE"/>
    <w:rsid w:val="00854B47"/>
    <w:rsid w:val="00854E25"/>
    <w:rsid w:val="00856248"/>
    <w:rsid w:val="008564A2"/>
    <w:rsid w:val="008567A4"/>
    <w:rsid w:val="008569C2"/>
    <w:rsid w:val="00857561"/>
    <w:rsid w:val="00857C57"/>
    <w:rsid w:val="00860680"/>
    <w:rsid w:val="00860A95"/>
    <w:rsid w:val="00861BE7"/>
    <w:rsid w:val="00862086"/>
    <w:rsid w:val="00862D4F"/>
    <w:rsid w:val="008634F2"/>
    <w:rsid w:val="008646D5"/>
    <w:rsid w:val="00864A27"/>
    <w:rsid w:val="00864D92"/>
    <w:rsid w:val="008654BE"/>
    <w:rsid w:val="008661F3"/>
    <w:rsid w:val="0086638F"/>
    <w:rsid w:val="0086754E"/>
    <w:rsid w:val="008709F4"/>
    <w:rsid w:val="00870F99"/>
    <w:rsid w:val="00870FA1"/>
    <w:rsid w:val="008712FE"/>
    <w:rsid w:val="00872498"/>
    <w:rsid w:val="00872ECE"/>
    <w:rsid w:val="0087355B"/>
    <w:rsid w:val="00873D62"/>
    <w:rsid w:val="00874995"/>
    <w:rsid w:val="00875798"/>
    <w:rsid w:val="00875AB0"/>
    <w:rsid w:val="0087656C"/>
    <w:rsid w:val="008768C2"/>
    <w:rsid w:val="00876CDC"/>
    <w:rsid w:val="00876EED"/>
    <w:rsid w:val="0087712B"/>
    <w:rsid w:val="00877C1C"/>
    <w:rsid w:val="00877E6E"/>
    <w:rsid w:val="0088018F"/>
    <w:rsid w:val="00880239"/>
    <w:rsid w:val="008804E6"/>
    <w:rsid w:val="0088147C"/>
    <w:rsid w:val="008817B3"/>
    <w:rsid w:val="00881CF3"/>
    <w:rsid w:val="00882090"/>
    <w:rsid w:val="00882A6C"/>
    <w:rsid w:val="0088362F"/>
    <w:rsid w:val="008840A9"/>
    <w:rsid w:val="008840D6"/>
    <w:rsid w:val="008845CE"/>
    <w:rsid w:val="00884B31"/>
    <w:rsid w:val="00884B79"/>
    <w:rsid w:val="00885203"/>
    <w:rsid w:val="00885A91"/>
    <w:rsid w:val="00886753"/>
    <w:rsid w:val="008872F0"/>
    <w:rsid w:val="008874ED"/>
    <w:rsid w:val="008876DC"/>
    <w:rsid w:val="00887A10"/>
    <w:rsid w:val="00890C05"/>
    <w:rsid w:val="00890F98"/>
    <w:rsid w:val="0089142D"/>
    <w:rsid w:val="008916A7"/>
    <w:rsid w:val="00891DBC"/>
    <w:rsid w:val="008924A8"/>
    <w:rsid w:val="0089254F"/>
    <w:rsid w:val="008928F0"/>
    <w:rsid w:val="00893C32"/>
    <w:rsid w:val="00894669"/>
    <w:rsid w:val="008950E0"/>
    <w:rsid w:val="008951D8"/>
    <w:rsid w:val="00895390"/>
    <w:rsid w:val="00895676"/>
    <w:rsid w:val="008970DA"/>
    <w:rsid w:val="00897240"/>
    <w:rsid w:val="0089735C"/>
    <w:rsid w:val="00897A90"/>
    <w:rsid w:val="008A1659"/>
    <w:rsid w:val="008A17E0"/>
    <w:rsid w:val="008A1F72"/>
    <w:rsid w:val="008A24B7"/>
    <w:rsid w:val="008A265F"/>
    <w:rsid w:val="008A2DC5"/>
    <w:rsid w:val="008A2E89"/>
    <w:rsid w:val="008A317E"/>
    <w:rsid w:val="008A39B8"/>
    <w:rsid w:val="008A3D5F"/>
    <w:rsid w:val="008A3FDE"/>
    <w:rsid w:val="008A4522"/>
    <w:rsid w:val="008A495E"/>
    <w:rsid w:val="008A4A3C"/>
    <w:rsid w:val="008A4EE1"/>
    <w:rsid w:val="008A5371"/>
    <w:rsid w:val="008A53FA"/>
    <w:rsid w:val="008A5546"/>
    <w:rsid w:val="008A5995"/>
    <w:rsid w:val="008A64D8"/>
    <w:rsid w:val="008A6515"/>
    <w:rsid w:val="008A6673"/>
    <w:rsid w:val="008A72BF"/>
    <w:rsid w:val="008A73B5"/>
    <w:rsid w:val="008A7879"/>
    <w:rsid w:val="008A7F29"/>
    <w:rsid w:val="008B01F8"/>
    <w:rsid w:val="008B0396"/>
    <w:rsid w:val="008B077C"/>
    <w:rsid w:val="008B0A2F"/>
    <w:rsid w:val="008B0EC8"/>
    <w:rsid w:val="008B1985"/>
    <w:rsid w:val="008B1DE5"/>
    <w:rsid w:val="008B22CC"/>
    <w:rsid w:val="008B247E"/>
    <w:rsid w:val="008B2670"/>
    <w:rsid w:val="008B3147"/>
    <w:rsid w:val="008B3436"/>
    <w:rsid w:val="008B464A"/>
    <w:rsid w:val="008B50CE"/>
    <w:rsid w:val="008B5B6B"/>
    <w:rsid w:val="008B60F5"/>
    <w:rsid w:val="008B65DA"/>
    <w:rsid w:val="008B671D"/>
    <w:rsid w:val="008B67CB"/>
    <w:rsid w:val="008B760D"/>
    <w:rsid w:val="008B7F0B"/>
    <w:rsid w:val="008B7FF4"/>
    <w:rsid w:val="008C08A1"/>
    <w:rsid w:val="008C0EE5"/>
    <w:rsid w:val="008C1F0C"/>
    <w:rsid w:val="008C31A5"/>
    <w:rsid w:val="008C33CC"/>
    <w:rsid w:val="008C3D84"/>
    <w:rsid w:val="008C4175"/>
    <w:rsid w:val="008C4740"/>
    <w:rsid w:val="008C4993"/>
    <w:rsid w:val="008C5443"/>
    <w:rsid w:val="008C61D6"/>
    <w:rsid w:val="008C6DAF"/>
    <w:rsid w:val="008C79FE"/>
    <w:rsid w:val="008D0CE8"/>
    <w:rsid w:val="008D11BC"/>
    <w:rsid w:val="008D1630"/>
    <w:rsid w:val="008D211D"/>
    <w:rsid w:val="008D375D"/>
    <w:rsid w:val="008D3D7E"/>
    <w:rsid w:val="008D4FCB"/>
    <w:rsid w:val="008D52F1"/>
    <w:rsid w:val="008D53CA"/>
    <w:rsid w:val="008D556B"/>
    <w:rsid w:val="008D5AB8"/>
    <w:rsid w:val="008D6456"/>
    <w:rsid w:val="008D6882"/>
    <w:rsid w:val="008D6A09"/>
    <w:rsid w:val="008D6F74"/>
    <w:rsid w:val="008D7AF7"/>
    <w:rsid w:val="008D7DA8"/>
    <w:rsid w:val="008D7EB1"/>
    <w:rsid w:val="008E01B1"/>
    <w:rsid w:val="008E0490"/>
    <w:rsid w:val="008E04FC"/>
    <w:rsid w:val="008E075A"/>
    <w:rsid w:val="008E1220"/>
    <w:rsid w:val="008E1C49"/>
    <w:rsid w:val="008E1E7A"/>
    <w:rsid w:val="008E2140"/>
    <w:rsid w:val="008E2F35"/>
    <w:rsid w:val="008E3875"/>
    <w:rsid w:val="008E3BD5"/>
    <w:rsid w:val="008E425E"/>
    <w:rsid w:val="008E7B4F"/>
    <w:rsid w:val="008E7BF0"/>
    <w:rsid w:val="008E7E7F"/>
    <w:rsid w:val="008F01A6"/>
    <w:rsid w:val="008F0EB0"/>
    <w:rsid w:val="008F109C"/>
    <w:rsid w:val="008F189E"/>
    <w:rsid w:val="008F2A69"/>
    <w:rsid w:val="008F2BD0"/>
    <w:rsid w:val="008F2FD5"/>
    <w:rsid w:val="008F408A"/>
    <w:rsid w:val="008F40C2"/>
    <w:rsid w:val="008F4A31"/>
    <w:rsid w:val="008F5784"/>
    <w:rsid w:val="008F692C"/>
    <w:rsid w:val="008F71DA"/>
    <w:rsid w:val="008F71EC"/>
    <w:rsid w:val="008F7495"/>
    <w:rsid w:val="008F7B63"/>
    <w:rsid w:val="008F7C7F"/>
    <w:rsid w:val="00900019"/>
    <w:rsid w:val="009000D8"/>
    <w:rsid w:val="00900471"/>
    <w:rsid w:val="00900712"/>
    <w:rsid w:val="00900A9B"/>
    <w:rsid w:val="00900C20"/>
    <w:rsid w:val="009010A3"/>
    <w:rsid w:val="00901516"/>
    <w:rsid w:val="00901716"/>
    <w:rsid w:val="00901BCC"/>
    <w:rsid w:val="00901FC7"/>
    <w:rsid w:val="0090231E"/>
    <w:rsid w:val="009028DA"/>
    <w:rsid w:val="0090459D"/>
    <w:rsid w:val="00905398"/>
    <w:rsid w:val="00905DA8"/>
    <w:rsid w:val="00906BB0"/>
    <w:rsid w:val="00906F8D"/>
    <w:rsid w:val="0090700B"/>
    <w:rsid w:val="009075B9"/>
    <w:rsid w:val="00907615"/>
    <w:rsid w:val="009076FD"/>
    <w:rsid w:val="00907937"/>
    <w:rsid w:val="00907D87"/>
    <w:rsid w:val="009111E9"/>
    <w:rsid w:val="00911487"/>
    <w:rsid w:val="009114D8"/>
    <w:rsid w:val="00911A54"/>
    <w:rsid w:val="00913864"/>
    <w:rsid w:val="0091392D"/>
    <w:rsid w:val="00913E27"/>
    <w:rsid w:val="009141AF"/>
    <w:rsid w:val="00914376"/>
    <w:rsid w:val="009148F1"/>
    <w:rsid w:val="0091511A"/>
    <w:rsid w:val="0091523B"/>
    <w:rsid w:val="00915523"/>
    <w:rsid w:val="00915ED2"/>
    <w:rsid w:val="009161F9"/>
    <w:rsid w:val="0091623B"/>
    <w:rsid w:val="0091653D"/>
    <w:rsid w:val="009166B2"/>
    <w:rsid w:val="009167E6"/>
    <w:rsid w:val="0091697D"/>
    <w:rsid w:val="00917062"/>
    <w:rsid w:val="0091712C"/>
    <w:rsid w:val="00917AD5"/>
    <w:rsid w:val="00920883"/>
    <w:rsid w:val="00920BAA"/>
    <w:rsid w:val="00920D68"/>
    <w:rsid w:val="00921A4B"/>
    <w:rsid w:val="00922237"/>
    <w:rsid w:val="00922EB2"/>
    <w:rsid w:val="00923405"/>
    <w:rsid w:val="009236D6"/>
    <w:rsid w:val="009238BC"/>
    <w:rsid w:val="009244D3"/>
    <w:rsid w:val="009244DF"/>
    <w:rsid w:val="0092580B"/>
    <w:rsid w:val="00925C5A"/>
    <w:rsid w:val="00925EE7"/>
    <w:rsid w:val="009269F6"/>
    <w:rsid w:val="009270B6"/>
    <w:rsid w:val="009271D2"/>
    <w:rsid w:val="0092786F"/>
    <w:rsid w:val="00927BC8"/>
    <w:rsid w:val="00930146"/>
    <w:rsid w:val="009302B5"/>
    <w:rsid w:val="00931393"/>
    <w:rsid w:val="0093158C"/>
    <w:rsid w:val="009335E2"/>
    <w:rsid w:val="00933932"/>
    <w:rsid w:val="0093394D"/>
    <w:rsid w:val="009340FA"/>
    <w:rsid w:val="00934805"/>
    <w:rsid w:val="00934B32"/>
    <w:rsid w:val="00934F51"/>
    <w:rsid w:val="00935B60"/>
    <w:rsid w:val="009360B3"/>
    <w:rsid w:val="0093613A"/>
    <w:rsid w:val="00936DE6"/>
    <w:rsid w:val="0094024A"/>
    <w:rsid w:val="009408E3"/>
    <w:rsid w:val="0094094C"/>
    <w:rsid w:val="00940C7E"/>
    <w:rsid w:val="00940CE1"/>
    <w:rsid w:val="009416A4"/>
    <w:rsid w:val="00941964"/>
    <w:rsid w:val="00942501"/>
    <w:rsid w:val="00942653"/>
    <w:rsid w:val="00942923"/>
    <w:rsid w:val="00942AA2"/>
    <w:rsid w:val="00942EAD"/>
    <w:rsid w:val="00943432"/>
    <w:rsid w:val="0094347B"/>
    <w:rsid w:val="0094358E"/>
    <w:rsid w:val="009439C7"/>
    <w:rsid w:val="00943AB4"/>
    <w:rsid w:val="00943BDD"/>
    <w:rsid w:val="009457C3"/>
    <w:rsid w:val="00946142"/>
    <w:rsid w:val="00946286"/>
    <w:rsid w:val="0094659F"/>
    <w:rsid w:val="00946874"/>
    <w:rsid w:val="009468A5"/>
    <w:rsid w:val="00946BFB"/>
    <w:rsid w:val="00946F28"/>
    <w:rsid w:val="00947701"/>
    <w:rsid w:val="009477F7"/>
    <w:rsid w:val="00947ED0"/>
    <w:rsid w:val="00950064"/>
    <w:rsid w:val="009501F3"/>
    <w:rsid w:val="00950603"/>
    <w:rsid w:val="00951393"/>
    <w:rsid w:val="009526C6"/>
    <w:rsid w:val="00952921"/>
    <w:rsid w:val="00952C43"/>
    <w:rsid w:val="00952E7E"/>
    <w:rsid w:val="00953191"/>
    <w:rsid w:val="00953513"/>
    <w:rsid w:val="0095358E"/>
    <w:rsid w:val="00953D6F"/>
    <w:rsid w:val="00955593"/>
    <w:rsid w:val="0095565A"/>
    <w:rsid w:val="009558A2"/>
    <w:rsid w:val="00955AF5"/>
    <w:rsid w:val="00955B22"/>
    <w:rsid w:val="00955B27"/>
    <w:rsid w:val="00955B8C"/>
    <w:rsid w:val="00955E3A"/>
    <w:rsid w:val="009568F3"/>
    <w:rsid w:val="00956F87"/>
    <w:rsid w:val="00957877"/>
    <w:rsid w:val="00957C7B"/>
    <w:rsid w:val="0096065C"/>
    <w:rsid w:val="00960857"/>
    <w:rsid w:val="00960FD2"/>
    <w:rsid w:val="009612BB"/>
    <w:rsid w:val="00961CD1"/>
    <w:rsid w:val="00962804"/>
    <w:rsid w:val="00962FC7"/>
    <w:rsid w:val="00963771"/>
    <w:rsid w:val="009638FD"/>
    <w:rsid w:val="00964027"/>
    <w:rsid w:val="00967D70"/>
    <w:rsid w:val="00970967"/>
    <w:rsid w:val="00971B0C"/>
    <w:rsid w:val="00971CB8"/>
    <w:rsid w:val="00972285"/>
    <w:rsid w:val="0097246D"/>
    <w:rsid w:val="00972AE8"/>
    <w:rsid w:val="00972E7D"/>
    <w:rsid w:val="00973E6C"/>
    <w:rsid w:val="0097425A"/>
    <w:rsid w:val="00974D4E"/>
    <w:rsid w:val="0097515D"/>
    <w:rsid w:val="009758AA"/>
    <w:rsid w:val="00975B26"/>
    <w:rsid w:val="009769C9"/>
    <w:rsid w:val="00976F2B"/>
    <w:rsid w:val="00977638"/>
    <w:rsid w:val="00977C7E"/>
    <w:rsid w:val="009809C1"/>
    <w:rsid w:val="00981017"/>
    <w:rsid w:val="00981145"/>
    <w:rsid w:val="009811C3"/>
    <w:rsid w:val="00981296"/>
    <w:rsid w:val="00981495"/>
    <w:rsid w:val="00981993"/>
    <w:rsid w:val="009822FE"/>
    <w:rsid w:val="0098306C"/>
    <w:rsid w:val="009839BD"/>
    <w:rsid w:val="00983D9C"/>
    <w:rsid w:val="00983EE9"/>
    <w:rsid w:val="00984122"/>
    <w:rsid w:val="009850A3"/>
    <w:rsid w:val="00986373"/>
    <w:rsid w:val="00986385"/>
    <w:rsid w:val="00986647"/>
    <w:rsid w:val="009867A0"/>
    <w:rsid w:val="0099018E"/>
    <w:rsid w:val="009909C0"/>
    <w:rsid w:val="009909F0"/>
    <w:rsid w:val="009917DC"/>
    <w:rsid w:val="0099182D"/>
    <w:rsid w:val="00991D70"/>
    <w:rsid w:val="00992713"/>
    <w:rsid w:val="00992B5D"/>
    <w:rsid w:val="00992EA6"/>
    <w:rsid w:val="00993F6D"/>
    <w:rsid w:val="00994C1F"/>
    <w:rsid w:val="00995207"/>
    <w:rsid w:val="009961B0"/>
    <w:rsid w:val="00996298"/>
    <w:rsid w:val="009968CE"/>
    <w:rsid w:val="00996966"/>
    <w:rsid w:val="00997627"/>
    <w:rsid w:val="00997AC5"/>
    <w:rsid w:val="00997B30"/>
    <w:rsid w:val="00997DA0"/>
    <w:rsid w:val="009A0878"/>
    <w:rsid w:val="009A0F11"/>
    <w:rsid w:val="009A1223"/>
    <w:rsid w:val="009A1424"/>
    <w:rsid w:val="009A2FAF"/>
    <w:rsid w:val="009A3AE2"/>
    <w:rsid w:val="009A3F0A"/>
    <w:rsid w:val="009A3F77"/>
    <w:rsid w:val="009A418B"/>
    <w:rsid w:val="009A4419"/>
    <w:rsid w:val="009A4AF2"/>
    <w:rsid w:val="009A59DE"/>
    <w:rsid w:val="009A631A"/>
    <w:rsid w:val="009B0404"/>
    <w:rsid w:val="009B0699"/>
    <w:rsid w:val="009B0A5A"/>
    <w:rsid w:val="009B1011"/>
    <w:rsid w:val="009B2464"/>
    <w:rsid w:val="009B3172"/>
    <w:rsid w:val="009B3598"/>
    <w:rsid w:val="009B46AD"/>
    <w:rsid w:val="009B48CC"/>
    <w:rsid w:val="009B49F1"/>
    <w:rsid w:val="009B4C5A"/>
    <w:rsid w:val="009B50EA"/>
    <w:rsid w:val="009B5472"/>
    <w:rsid w:val="009B6165"/>
    <w:rsid w:val="009B6A36"/>
    <w:rsid w:val="009B6EE2"/>
    <w:rsid w:val="009B7F8F"/>
    <w:rsid w:val="009C10C2"/>
    <w:rsid w:val="009C1360"/>
    <w:rsid w:val="009C178F"/>
    <w:rsid w:val="009C190B"/>
    <w:rsid w:val="009C1ED7"/>
    <w:rsid w:val="009C23B3"/>
    <w:rsid w:val="009C25AF"/>
    <w:rsid w:val="009C2758"/>
    <w:rsid w:val="009C3207"/>
    <w:rsid w:val="009C3C43"/>
    <w:rsid w:val="009C3CF7"/>
    <w:rsid w:val="009C40AE"/>
    <w:rsid w:val="009C44BD"/>
    <w:rsid w:val="009C4AE4"/>
    <w:rsid w:val="009C5B31"/>
    <w:rsid w:val="009C5EE3"/>
    <w:rsid w:val="009C64AC"/>
    <w:rsid w:val="009C66B6"/>
    <w:rsid w:val="009C678C"/>
    <w:rsid w:val="009C6DAD"/>
    <w:rsid w:val="009C7137"/>
    <w:rsid w:val="009C78F6"/>
    <w:rsid w:val="009D0069"/>
    <w:rsid w:val="009D1383"/>
    <w:rsid w:val="009D178C"/>
    <w:rsid w:val="009D1A85"/>
    <w:rsid w:val="009D23E9"/>
    <w:rsid w:val="009D4C12"/>
    <w:rsid w:val="009D4DD4"/>
    <w:rsid w:val="009D517A"/>
    <w:rsid w:val="009D5361"/>
    <w:rsid w:val="009D686B"/>
    <w:rsid w:val="009D6A47"/>
    <w:rsid w:val="009D6C96"/>
    <w:rsid w:val="009D7597"/>
    <w:rsid w:val="009D7962"/>
    <w:rsid w:val="009D7FA6"/>
    <w:rsid w:val="009E0676"/>
    <w:rsid w:val="009E072C"/>
    <w:rsid w:val="009E07E6"/>
    <w:rsid w:val="009E0EB8"/>
    <w:rsid w:val="009E132E"/>
    <w:rsid w:val="009E1BEC"/>
    <w:rsid w:val="009E1F04"/>
    <w:rsid w:val="009E24BD"/>
    <w:rsid w:val="009E2C40"/>
    <w:rsid w:val="009E2DF8"/>
    <w:rsid w:val="009E2E8B"/>
    <w:rsid w:val="009E3491"/>
    <w:rsid w:val="009E362E"/>
    <w:rsid w:val="009E436C"/>
    <w:rsid w:val="009E4D8A"/>
    <w:rsid w:val="009E5808"/>
    <w:rsid w:val="009E587C"/>
    <w:rsid w:val="009E6240"/>
    <w:rsid w:val="009E6617"/>
    <w:rsid w:val="009E7001"/>
    <w:rsid w:val="009E7ABB"/>
    <w:rsid w:val="009E7B75"/>
    <w:rsid w:val="009E7DDB"/>
    <w:rsid w:val="009F051D"/>
    <w:rsid w:val="009F2078"/>
    <w:rsid w:val="009F258D"/>
    <w:rsid w:val="009F2643"/>
    <w:rsid w:val="009F2A98"/>
    <w:rsid w:val="009F2CB8"/>
    <w:rsid w:val="009F342C"/>
    <w:rsid w:val="009F3464"/>
    <w:rsid w:val="009F3545"/>
    <w:rsid w:val="009F363A"/>
    <w:rsid w:val="009F3B13"/>
    <w:rsid w:val="009F3BF4"/>
    <w:rsid w:val="009F3F27"/>
    <w:rsid w:val="009F4357"/>
    <w:rsid w:val="009F4B88"/>
    <w:rsid w:val="009F5EE1"/>
    <w:rsid w:val="009F674A"/>
    <w:rsid w:val="009F6888"/>
    <w:rsid w:val="009F6EA3"/>
    <w:rsid w:val="009F6F14"/>
    <w:rsid w:val="009F7293"/>
    <w:rsid w:val="009F75B5"/>
    <w:rsid w:val="009F7637"/>
    <w:rsid w:val="009F7AD1"/>
    <w:rsid w:val="009F7F35"/>
    <w:rsid w:val="00A000EE"/>
    <w:rsid w:val="00A00D1D"/>
    <w:rsid w:val="00A01613"/>
    <w:rsid w:val="00A01766"/>
    <w:rsid w:val="00A01799"/>
    <w:rsid w:val="00A017D5"/>
    <w:rsid w:val="00A02227"/>
    <w:rsid w:val="00A023FF"/>
    <w:rsid w:val="00A0248F"/>
    <w:rsid w:val="00A029D1"/>
    <w:rsid w:val="00A02A40"/>
    <w:rsid w:val="00A02DF4"/>
    <w:rsid w:val="00A036DF"/>
    <w:rsid w:val="00A03A66"/>
    <w:rsid w:val="00A048E1"/>
    <w:rsid w:val="00A05091"/>
    <w:rsid w:val="00A05206"/>
    <w:rsid w:val="00A055C8"/>
    <w:rsid w:val="00A05ABE"/>
    <w:rsid w:val="00A0602B"/>
    <w:rsid w:val="00A067F4"/>
    <w:rsid w:val="00A069DC"/>
    <w:rsid w:val="00A06A66"/>
    <w:rsid w:val="00A0715B"/>
    <w:rsid w:val="00A07561"/>
    <w:rsid w:val="00A0775F"/>
    <w:rsid w:val="00A078EC"/>
    <w:rsid w:val="00A07B46"/>
    <w:rsid w:val="00A07E20"/>
    <w:rsid w:val="00A111AF"/>
    <w:rsid w:val="00A119D2"/>
    <w:rsid w:val="00A122E3"/>
    <w:rsid w:val="00A123B2"/>
    <w:rsid w:val="00A12898"/>
    <w:rsid w:val="00A129F9"/>
    <w:rsid w:val="00A12C15"/>
    <w:rsid w:val="00A139D8"/>
    <w:rsid w:val="00A1503A"/>
    <w:rsid w:val="00A15172"/>
    <w:rsid w:val="00A156BD"/>
    <w:rsid w:val="00A163C1"/>
    <w:rsid w:val="00A16662"/>
    <w:rsid w:val="00A16BD3"/>
    <w:rsid w:val="00A20320"/>
    <w:rsid w:val="00A20354"/>
    <w:rsid w:val="00A20411"/>
    <w:rsid w:val="00A20AA1"/>
    <w:rsid w:val="00A20B7A"/>
    <w:rsid w:val="00A20C5E"/>
    <w:rsid w:val="00A20CB4"/>
    <w:rsid w:val="00A21126"/>
    <w:rsid w:val="00A21698"/>
    <w:rsid w:val="00A21ED0"/>
    <w:rsid w:val="00A233C4"/>
    <w:rsid w:val="00A2396D"/>
    <w:rsid w:val="00A240A5"/>
    <w:rsid w:val="00A242BC"/>
    <w:rsid w:val="00A2491F"/>
    <w:rsid w:val="00A249FB"/>
    <w:rsid w:val="00A24B13"/>
    <w:rsid w:val="00A24CAC"/>
    <w:rsid w:val="00A25B1E"/>
    <w:rsid w:val="00A25B21"/>
    <w:rsid w:val="00A25FC0"/>
    <w:rsid w:val="00A266E2"/>
    <w:rsid w:val="00A26FA0"/>
    <w:rsid w:val="00A271D3"/>
    <w:rsid w:val="00A27AB4"/>
    <w:rsid w:val="00A300A3"/>
    <w:rsid w:val="00A30D04"/>
    <w:rsid w:val="00A31475"/>
    <w:rsid w:val="00A31703"/>
    <w:rsid w:val="00A31B26"/>
    <w:rsid w:val="00A31CD0"/>
    <w:rsid w:val="00A3244C"/>
    <w:rsid w:val="00A32952"/>
    <w:rsid w:val="00A336C2"/>
    <w:rsid w:val="00A33F9E"/>
    <w:rsid w:val="00A3450D"/>
    <w:rsid w:val="00A345E8"/>
    <w:rsid w:val="00A34BE9"/>
    <w:rsid w:val="00A34C2D"/>
    <w:rsid w:val="00A34EAD"/>
    <w:rsid w:val="00A36425"/>
    <w:rsid w:val="00A3740F"/>
    <w:rsid w:val="00A374BA"/>
    <w:rsid w:val="00A376FE"/>
    <w:rsid w:val="00A3784C"/>
    <w:rsid w:val="00A37E62"/>
    <w:rsid w:val="00A40010"/>
    <w:rsid w:val="00A4065A"/>
    <w:rsid w:val="00A40720"/>
    <w:rsid w:val="00A40A9A"/>
    <w:rsid w:val="00A4213D"/>
    <w:rsid w:val="00A428B0"/>
    <w:rsid w:val="00A43817"/>
    <w:rsid w:val="00A43BAD"/>
    <w:rsid w:val="00A45201"/>
    <w:rsid w:val="00A45466"/>
    <w:rsid w:val="00A46682"/>
    <w:rsid w:val="00A469E1"/>
    <w:rsid w:val="00A46E28"/>
    <w:rsid w:val="00A4709B"/>
    <w:rsid w:val="00A47236"/>
    <w:rsid w:val="00A472DD"/>
    <w:rsid w:val="00A477DA"/>
    <w:rsid w:val="00A478DC"/>
    <w:rsid w:val="00A50C4E"/>
    <w:rsid w:val="00A511B5"/>
    <w:rsid w:val="00A51A46"/>
    <w:rsid w:val="00A52FE7"/>
    <w:rsid w:val="00A53ECC"/>
    <w:rsid w:val="00A541DD"/>
    <w:rsid w:val="00A543E2"/>
    <w:rsid w:val="00A5494A"/>
    <w:rsid w:val="00A5544A"/>
    <w:rsid w:val="00A55549"/>
    <w:rsid w:val="00A5588F"/>
    <w:rsid w:val="00A55FD4"/>
    <w:rsid w:val="00A5625A"/>
    <w:rsid w:val="00A56E4B"/>
    <w:rsid w:val="00A576B1"/>
    <w:rsid w:val="00A60397"/>
    <w:rsid w:val="00A60AAF"/>
    <w:rsid w:val="00A61068"/>
    <w:rsid w:val="00A61F7F"/>
    <w:rsid w:val="00A6219C"/>
    <w:rsid w:val="00A622B0"/>
    <w:rsid w:val="00A62867"/>
    <w:rsid w:val="00A62913"/>
    <w:rsid w:val="00A63718"/>
    <w:rsid w:val="00A63C02"/>
    <w:rsid w:val="00A63C20"/>
    <w:rsid w:val="00A63F5D"/>
    <w:rsid w:val="00A63FB6"/>
    <w:rsid w:val="00A64D63"/>
    <w:rsid w:val="00A6550D"/>
    <w:rsid w:val="00A6552E"/>
    <w:rsid w:val="00A6577E"/>
    <w:rsid w:val="00A659B8"/>
    <w:rsid w:val="00A6603B"/>
    <w:rsid w:val="00A6732E"/>
    <w:rsid w:val="00A67BA0"/>
    <w:rsid w:val="00A67D48"/>
    <w:rsid w:val="00A67D4E"/>
    <w:rsid w:val="00A71785"/>
    <w:rsid w:val="00A71788"/>
    <w:rsid w:val="00A71856"/>
    <w:rsid w:val="00A71BCC"/>
    <w:rsid w:val="00A72016"/>
    <w:rsid w:val="00A7261B"/>
    <w:rsid w:val="00A72D74"/>
    <w:rsid w:val="00A7389D"/>
    <w:rsid w:val="00A7396C"/>
    <w:rsid w:val="00A73C3A"/>
    <w:rsid w:val="00A7472A"/>
    <w:rsid w:val="00A7495B"/>
    <w:rsid w:val="00A75CC7"/>
    <w:rsid w:val="00A75DC7"/>
    <w:rsid w:val="00A75F3A"/>
    <w:rsid w:val="00A760B6"/>
    <w:rsid w:val="00A76D25"/>
    <w:rsid w:val="00A7756A"/>
    <w:rsid w:val="00A77C89"/>
    <w:rsid w:val="00A80010"/>
    <w:rsid w:val="00A80454"/>
    <w:rsid w:val="00A82331"/>
    <w:rsid w:val="00A8296C"/>
    <w:rsid w:val="00A82AFD"/>
    <w:rsid w:val="00A83232"/>
    <w:rsid w:val="00A83306"/>
    <w:rsid w:val="00A83A96"/>
    <w:rsid w:val="00A83EDC"/>
    <w:rsid w:val="00A83EF2"/>
    <w:rsid w:val="00A84297"/>
    <w:rsid w:val="00A8494C"/>
    <w:rsid w:val="00A85613"/>
    <w:rsid w:val="00A859C1"/>
    <w:rsid w:val="00A85B40"/>
    <w:rsid w:val="00A86092"/>
    <w:rsid w:val="00A8624C"/>
    <w:rsid w:val="00A8709E"/>
    <w:rsid w:val="00A87675"/>
    <w:rsid w:val="00A87E73"/>
    <w:rsid w:val="00A91029"/>
    <w:rsid w:val="00A91885"/>
    <w:rsid w:val="00A921D1"/>
    <w:rsid w:val="00A92B32"/>
    <w:rsid w:val="00A92E5D"/>
    <w:rsid w:val="00A93861"/>
    <w:rsid w:val="00A93C3C"/>
    <w:rsid w:val="00A941D5"/>
    <w:rsid w:val="00A944EE"/>
    <w:rsid w:val="00A94F9A"/>
    <w:rsid w:val="00A9538E"/>
    <w:rsid w:val="00A95FA4"/>
    <w:rsid w:val="00A9609D"/>
    <w:rsid w:val="00A960AE"/>
    <w:rsid w:val="00A9651C"/>
    <w:rsid w:val="00A9711C"/>
    <w:rsid w:val="00A97140"/>
    <w:rsid w:val="00AA12C9"/>
    <w:rsid w:val="00AA1E32"/>
    <w:rsid w:val="00AA21B2"/>
    <w:rsid w:val="00AA2385"/>
    <w:rsid w:val="00AA26D7"/>
    <w:rsid w:val="00AA2B0A"/>
    <w:rsid w:val="00AA3852"/>
    <w:rsid w:val="00AA3C3B"/>
    <w:rsid w:val="00AA3D14"/>
    <w:rsid w:val="00AA4DF6"/>
    <w:rsid w:val="00AA5083"/>
    <w:rsid w:val="00AA5310"/>
    <w:rsid w:val="00AA5CA2"/>
    <w:rsid w:val="00AA5FB6"/>
    <w:rsid w:val="00AA72C2"/>
    <w:rsid w:val="00AA7B7E"/>
    <w:rsid w:val="00AA7BF9"/>
    <w:rsid w:val="00AB0AB0"/>
    <w:rsid w:val="00AB0EA0"/>
    <w:rsid w:val="00AB13B5"/>
    <w:rsid w:val="00AB15EB"/>
    <w:rsid w:val="00AB1A62"/>
    <w:rsid w:val="00AB21A8"/>
    <w:rsid w:val="00AB2424"/>
    <w:rsid w:val="00AB27CC"/>
    <w:rsid w:val="00AB33BB"/>
    <w:rsid w:val="00AB463E"/>
    <w:rsid w:val="00AB46B3"/>
    <w:rsid w:val="00AB4967"/>
    <w:rsid w:val="00AB58BE"/>
    <w:rsid w:val="00AB5C34"/>
    <w:rsid w:val="00AB63A1"/>
    <w:rsid w:val="00AB7BF8"/>
    <w:rsid w:val="00AC023B"/>
    <w:rsid w:val="00AC0F6D"/>
    <w:rsid w:val="00AC15C5"/>
    <w:rsid w:val="00AC25C7"/>
    <w:rsid w:val="00AC282D"/>
    <w:rsid w:val="00AC2873"/>
    <w:rsid w:val="00AC28ED"/>
    <w:rsid w:val="00AC2CEF"/>
    <w:rsid w:val="00AC33A3"/>
    <w:rsid w:val="00AC3CCE"/>
    <w:rsid w:val="00AC5C12"/>
    <w:rsid w:val="00AC6042"/>
    <w:rsid w:val="00AC6172"/>
    <w:rsid w:val="00AC682F"/>
    <w:rsid w:val="00AC6D18"/>
    <w:rsid w:val="00AC6F33"/>
    <w:rsid w:val="00AC7009"/>
    <w:rsid w:val="00AC736F"/>
    <w:rsid w:val="00AC78A4"/>
    <w:rsid w:val="00AC78E5"/>
    <w:rsid w:val="00AC7AED"/>
    <w:rsid w:val="00AC7F2A"/>
    <w:rsid w:val="00AD0014"/>
    <w:rsid w:val="00AD03C3"/>
    <w:rsid w:val="00AD0A04"/>
    <w:rsid w:val="00AD0D46"/>
    <w:rsid w:val="00AD23AF"/>
    <w:rsid w:val="00AD3049"/>
    <w:rsid w:val="00AD32D7"/>
    <w:rsid w:val="00AD33C1"/>
    <w:rsid w:val="00AD4AA1"/>
    <w:rsid w:val="00AD5014"/>
    <w:rsid w:val="00AD5022"/>
    <w:rsid w:val="00AD5DC6"/>
    <w:rsid w:val="00AD5F1D"/>
    <w:rsid w:val="00AD68FE"/>
    <w:rsid w:val="00AD783A"/>
    <w:rsid w:val="00AD7E70"/>
    <w:rsid w:val="00AE0830"/>
    <w:rsid w:val="00AE0CB7"/>
    <w:rsid w:val="00AE17D9"/>
    <w:rsid w:val="00AE20AC"/>
    <w:rsid w:val="00AE225A"/>
    <w:rsid w:val="00AE2E8F"/>
    <w:rsid w:val="00AE3A51"/>
    <w:rsid w:val="00AE3C5A"/>
    <w:rsid w:val="00AE4603"/>
    <w:rsid w:val="00AE4624"/>
    <w:rsid w:val="00AE46C6"/>
    <w:rsid w:val="00AE4A94"/>
    <w:rsid w:val="00AE624B"/>
    <w:rsid w:val="00AE6263"/>
    <w:rsid w:val="00AE6856"/>
    <w:rsid w:val="00AE7DF6"/>
    <w:rsid w:val="00AF1382"/>
    <w:rsid w:val="00AF13AA"/>
    <w:rsid w:val="00AF268C"/>
    <w:rsid w:val="00AF2984"/>
    <w:rsid w:val="00AF3100"/>
    <w:rsid w:val="00AF3914"/>
    <w:rsid w:val="00AF4027"/>
    <w:rsid w:val="00AF413B"/>
    <w:rsid w:val="00AF465C"/>
    <w:rsid w:val="00AF4801"/>
    <w:rsid w:val="00AF4B5D"/>
    <w:rsid w:val="00AF5DD9"/>
    <w:rsid w:val="00AF5F65"/>
    <w:rsid w:val="00AF6083"/>
    <w:rsid w:val="00AF66A4"/>
    <w:rsid w:val="00AF6A7F"/>
    <w:rsid w:val="00AF6C7E"/>
    <w:rsid w:val="00AF6E19"/>
    <w:rsid w:val="00AF79F4"/>
    <w:rsid w:val="00AF7ADD"/>
    <w:rsid w:val="00B00560"/>
    <w:rsid w:val="00B00592"/>
    <w:rsid w:val="00B006E8"/>
    <w:rsid w:val="00B00B86"/>
    <w:rsid w:val="00B01531"/>
    <w:rsid w:val="00B01A73"/>
    <w:rsid w:val="00B02253"/>
    <w:rsid w:val="00B0236C"/>
    <w:rsid w:val="00B02452"/>
    <w:rsid w:val="00B02C28"/>
    <w:rsid w:val="00B03332"/>
    <w:rsid w:val="00B03A27"/>
    <w:rsid w:val="00B0416B"/>
    <w:rsid w:val="00B04494"/>
    <w:rsid w:val="00B044F2"/>
    <w:rsid w:val="00B045C8"/>
    <w:rsid w:val="00B050E6"/>
    <w:rsid w:val="00B0513E"/>
    <w:rsid w:val="00B0598B"/>
    <w:rsid w:val="00B06DD8"/>
    <w:rsid w:val="00B07A72"/>
    <w:rsid w:val="00B10F1C"/>
    <w:rsid w:val="00B11D2B"/>
    <w:rsid w:val="00B126B0"/>
    <w:rsid w:val="00B126BA"/>
    <w:rsid w:val="00B12BE4"/>
    <w:rsid w:val="00B13075"/>
    <w:rsid w:val="00B134FA"/>
    <w:rsid w:val="00B1363F"/>
    <w:rsid w:val="00B13685"/>
    <w:rsid w:val="00B140BF"/>
    <w:rsid w:val="00B14ACB"/>
    <w:rsid w:val="00B15461"/>
    <w:rsid w:val="00B161B6"/>
    <w:rsid w:val="00B16218"/>
    <w:rsid w:val="00B171BE"/>
    <w:rsid w:val="00B17796"/>
    <w:rsid w:val="00B17DF7"/>
    <w:rsid w:val="00B20AF6"/>
    <w:rsid w:val="00B21172"/>
    <w:rsid w:val="00B21635"/>
    <w:rsid w:val="00B2174E"/>
    <w:rsid w:val="00B21C16"/>
    <w:rsid w:val="00B21C60"/>
    <w:rsid w:val="00B22523"/>
    <w:rsid w:val="00B22CBC"/>
    <w:rsid w:val="00B22DB1"/>
    <w:rsid w:val="00B23042"/>
    <w:rsid w:val="00B23B68"/>
    <w:rsid w:val="00B23B95"/>
    <w:rsid w:val="00B23CFF"/>
    <w:rsid w:val="00B2414E"/>
    <w:rsid w:val="00B241D8"/>
    <w:rsid w:val="00B2440D"/>
    <w:rsid w:val="00B2446A"/>
    <w:rsid w:val="00B24761"/>
    <w:rsid w:val="00B24D0B"/>
    <w:rsid w:val="00B253CC"/>
    <w:rsid w:val="00B25A57"/>
    <w:rsid w:val="00B25CE8"/>
    <w:rsid w:val="00B26E71"/>
    <w:rsid w:val="00B275D9"/>
    <w:rsid w:val="00B2779A"/>
    <w:rsid w:val="00B27C6C"/>
    <w:rsid w:val="00B27FD6"/>
    <w:rsid w:val="00B30A98"/>
    <w:rsid w:val="00B30BD9"/>
    <w:rsid w:val="00B30F32"/>
    <w:rsid w:val="00B310A6"/>
    <w:rsid w:val="00B3139C"/>
    <w:rsid w:val="00B31414"/>
    <w:rsid w:val="00B314C0"/>
    <w:rsid w:val="00B31B52"/>
    <w:rsid w:val="00B32A4A"/>
    <w:rsid w:val="00B331A1"/>
    <w:rsid w:val="00B333E1"/>
    <w:rsid w:val="00B335C8"/>
    <w:rsid w:val="00B339C2"/>
    <w:rsid w:val="00B33F8D"/>
    <w:rsid w:val="00B34340"/>
    <w:rsid w:val="00B346CE"/>
    <w:rsid w:val="00B35AF8"/>
    <w:rsid w:val="00B368D8"/>
    <w:rsid w:val="00B36FD3"/>
    <w:rsid w:val="00B37251"/>
    <w:rsid w:val="00B37590"/>
    <w:rsid w:val="00B37B4D"/>
    <w:rsid w:val="00B40331"/>
    <w:rsid w:val="00B40851"/>
    <w:rsid w:val="00B40FA0"/>
    <w:rsid w:val="00B4140C"/>
    <w:rsid w:val="00B41F73"/>
    <w:rsid w:val="00B42063"/>
    <w:rsid w:val="00B4207D"/>
    <w:rsid w:val="00B42CC8"/>
    <w:rsid w:val="00B43AF1"/>
    <w:rsid w:val="00B4438C"/>
    <w:rsid w:val="00B444CD"/>
    <w:rsid w:val="00B44814"/>
    <w:rsid w:val="00B44B82"/>
    <w:rsid w:val="00B4571D"/>
    <w:rsid w:val="00B45F9F"/>
    <w:rsid w:val="00B4613B"/>
    <w:rsid w:val="00B47A5C"/>
    <w:rsid w:val="00B47C4E"/>
    <w:rsid w:val="00B50ABC"/>
    <w:rsid w:val="00B515AC"/>
    <w:rsid w:val="00B51B5D"/>
    <w:rsid w:val="00B51D8B"/>
    <w:rsid w:val="00B52F6C"/>
    <w:rsid w:val="00B5403F"/>
    <w:rsid w:val="00B5404C"/>
    <w:rsid w:val="00B5424B"/>
    <w:rsid w:val="00B553BB"/>
    <w:rsid w:val="00B555F8"/>
    <w:rsid w:val="00B563DF"/>
    <w:rsid w:val="00B56B8B"/>
    <w:rsid w:val="00B5792D"/>
    <w:rsid w:val="00B57ADF"/>
    <w:rsid w:val="00B57D14"/>
    <w:rsid w:val="00B60DB6"/>
    <w:rsid w:val="00B6123C"/>
    <w:rsid w:val="00B62221"/>
    <w:rsid w:val="00B6255F"/>
    <w:rsid w:val="00B62763"/>
    <w:rsid w:val="00B62ACD"/>
    <w:rsid w:val="00B62E02"/>
    <w:rsid w:val="00B65E10"/>
    <w:rsid w:val="00B65F20"/>
    <w:rsid w:val="00B663CA"/>
    <w:rsid w:val="00B6676F"/>
    <w:rsid w:val="00B66948"/>
    <w:rsid w:val="00B67316"/>
    <w:rsid w:val="00B6734A"/>
    <w:rsid w:val="00B67A8D"/>
    <w:rsid w:val="00B70FD8"/>
    <w:rsid w:val="00B71062"/>
    <w:rsid w:val="00B71514"/>
    <w:rsid w:val="00B715A4"/>
    <w:rsid w:val="00B7160C"/>
    <w:rsid w:val="00B720F5"/>
    <w:rsid w:val="00B72208"/>
    <w:rsid w:val="00B726BE"/>
    <w:rsid w:val="00B72D69"/>
    <w:rsid w:val="00B7301B"/>
    <w:rsid w:val="00B7304F"/>
    <w:rsid w:val="00B73EBA"/>
    <w:rsid w:val="00B743FF"/>
    <w:rsid w:val="00B74DCC"/>
    <w:rsid w:val="00B75507"/>
    <w:rsid w:val="00B75EB1"/>
    <w:rsid w:val="00B765A6"/>
    <w:rsid w:val="00B766DA"/>
    <w:rsid w:val="00B766F8"/>
    <w:rsid w:val="00B76BB3"/>
    <w:rsid w:val="00B76D10"/>
    <w:rsid w:val="00B802CC"/>
    <w:rsid w:val="00B80974"/>
    <w:rsid w:val="00B81454"/>
    <w:rsid w:val="00B81CA8"/>
    <w:rsid w:val="00B8275C"/>
    <w:rsid w:val="00B82CD3"/>
    <w:rsid w:val="00B83587"/>
    <w:rsid w:val="00B83A89"/>
    <w:rsid w:val="00B858D1"/>
    <w:rsid w:val="00B85992"/>
    <w:rsid w:val="00B85994"/>
    <w:rsid w:val="00B86CC3"/>
    <w:rsid w:val="00B86E59"/>
    <w:rsid w:val="00B877B6"/>
    <w:rsid w:val="00B87DB6"/>
    <w:rsid w:val="00B87DE5"/>
    <w:rsid w:val="00B904D2"/>
    <w:rsid w:val="00B90877"/>
    <w:rsid w:val="00B90B8C"/>
    <w:rsid w:val="00B9101C"/>
    <w:rsid w:val="00B91E3B"/>
    <w:rsid w:val="00B9203B"/>
    <w:rsid w:val="00B92108"/>
    <w:rsid w:val="00B9241A"/>
    <w:rsid w:val="00B927AA"/>
    <w:rsid w:val="00B92D61"/>
    <w:rsid w:val="00B937EA"/>
    <w:rsid w:val="00B9385A"/>
    <w:rsid w:val="00B9413C"/>
    <w:rsid w:val="00B94CA6"/>
    <w:rsid w:val="00B95541"/>
    <w:rsid w:val="00B956C8"/>
    <w:rsid w:val="00B95CA6"/>
    <w:rsid w:val="00B96625"/>
    <w:rsid w:val="00B96ECF"/>
    <w:rsid w:val="00B97480"/>
    <w:rsid w:val="00B97DBD"/>
    <w:rsid w:val="00BA14F8"/>
    <w:rsid w:val="00BA241A"/>
    <w:rsid w:val="00BA25DD"/>
    <w:rsid w:val="00BA2737"/>
    <w:rsid w:val="00BA2738"/>
    <w:rsid w:val="00BA332C"/>
    <w:rsid w:val="00BA39B9"/>
    <w:rsid w:val="00BA3BDD"/>
    <w:rsid w:val="00BA4848"/>
    <w:rsid w:val="00BA4D7F"/>
    <w:rsid w:val="00BA5C28"/>
    <w:rsid w:val="00BA61CD"/>
    <w:rsid w:val="00BA7FA9"/>
    <w:rsid w:val="00BB0ACB"/>
    <w:rsid w:val="00BB0F3F"/>
    <w:rsid w:val="00BB2DD4"/>
    <w:rsid w:val="00BB3FA5"/>
    <w:rsid w:val="00BB40C4"/>
    <w:rsid w:val="00BB41DB"/>
    <w:rsid w:val="00BB4333"/>
    <w:rsid w:val="00BB4B4C"/>
    <w:rsid w:val="00BB5705"/>
    <w:rsid w:val="00BB57B3"/>
    <w:rsid w:val="00BB78D8"/>
    <w:rsid w:val="00BC0D53"/>
    <w:rsid w:val="00BC1B75"/>
    <w:rsid w:val="00BC32C9"/>
    <w:rsid w:val="00BC3753"/>
    <w:rsid w:val="00BC3DE5"/>
    <w:rsid w:val="00BC41DC"/>
    <w:rsid w:val="00BC431F"/>
    <w:rsid w:val="00BC5325"/>
    <w:rsid w:val="00BC5C16"/>
    <w:rsid w:val="00BC5C41"/>
    <w:rsid w:val="00BC7BE1"/>
    <w:rsid w:val="00BD0716"/>
    <w:rsid w:val="00BD101E"/>
    <w:rsid w:val="00BD10FD"/>
    <w:rsid w:val="00BD14A4"/>
    <w:rsid w:val="00BD1B13"/>
    <w:rsid w:val="00BD213F"/>
    <w:rsid w:val="00BD25DD"/>
    <w:rsid w:val="00BD2A3C"/>
    <w:rsid w:val="00BD3BD6"/>
    <w:rsid w:val="00BD41A1"/>
    <w:rsid w:val="00BD53AC"/>
    <w:rsid w:val="00BD54C8"/>
    <w:rsid w:val="00BD5D6D"/>
    <w:rsid w:val="00BD61B5"/>
    <w:rsid w:val="00BD6209"/>
    <w:rsid w:val="00BD6232"/>
    <w:rsid w:val="00BD6F58"/>
    <w:rsid w:val="00BD760A"/>
    <w:rsid w:val="00BD7869"/>
    <w:rsid w:val="00BD79AE"/>
    <w:rsid w:val="00BD7AF3"/>
    <w:rsid w:val="00BE0F7E"/>
    <w:rsid w:val="00BE29CA"/>
    <w:rsid w:val="00BE3661"/>
    <w:rsid w:val="00BE3AE4"/>
    <w:rsid w:val="00BE3F90"/>
    <w:rsid w:val="00BE4164"/>
    <w:rsid w:val="00BE5750"/>
    <w:rsid w:val="00BE5BD0"/>
    <w:rsid w:val="00BE6EAA"/>
    <w:rsid w:val="00BE760F"/>
    <w:rsid w:val="00BE7F6F"/>
    <w:rsid w:val="00BE7F78"/>
    <w:rsid w:val="00BF0D04"/>
    <w:rsid w:val="00BF0EBD"/>
    <w:rsid w:val="00BF16F8"/>
    <w:rsid w:val="00BF1914"/>
    <w:rsid w:val="00BF1B3D"/>
    <w:rsid w:val="00BF2508"/>
    <w:rsid w:val="00BF2687"/>
    <w:rsid w:val="00BF3F63"/>
    <w:rsid w:val="00BF40C6"/>
    <w:rsid w:val="00BF5298"/>
    <w:rsid w:val="00BF5E5F"/>
    <w:rsid w:val="00BF6F7D"/>
    <w:rsid w:val="00C00899"/>
    <w:rsid w:val="00C009BD"/>
    <w:rsid w:val="00C01F72"/>
    <w:rsid w:val="00C0208B"/>
    <w:rsid w:val="00C02455"/>
    <w:rsid w:val="00C026C1"/>
    <w:rsid w:val="00C02913"/>
    <w:rsid w:val="00C03105"/>
    <w:rsid w:val="00C03D23"/>
    <w:rsid w:val="00C03EF3"/>
    <w:rsid w:val="00C03F65"/>
    <w:rsid w:val="00C040DD"/>
    <w:rsid w:val="00C0441E"/>
    <w:rsid w:val="00C05510"/>
    <w:rsid w:val="00C05A39"/>
    <w:rsid w:val="00C0786E"/>
    <w:rsid w:val="00C07AD2"/>
    <w:rsid w:val="00C07BAD"/>
    <w:rsid w:val="00C10463"/>
    <w:rsid w:val="00C1088E"/>
    <w:rsid w:val="00C112F6"/>
    <w:rsid w:val="00C11F24"/>
    <w:rsid w:val="00C12313"/>
    <w:rsid w:val="00C12446"/>
    <w:rsid w:val="00C12B63"/>
    <w:rsid w:val="00C13786"/>
    <w:rsid w:val="00C13902"/>
    <w:rsid w:val="00C13FAE"/>
    <w:rsid w:val="00C14DAF"/>
    <w:rsid w:val="00C15349"/>
    <w:rsid w:val="00C15E2D"/>
    <w:rsid w:val="00C161AF"/>
    <w:rsid w:val="00C16CCE"/>
    <w:rsid w:val="00C2071B"/>
    <w:rsid w:val="00C2085F"/>
    <w:rsid w:val="00C217A0"/>
    <w:rsid w:val="00C21977"/>
    <w:rsid w:val="00C21C0F"/>
    <w:rsid w:val="00C21C41"/>
    <w:rsid w:val="00C22258"/>
    <w:rsid w:val="00C222FE"/>
    <w:rsid w:val="00C226BA"/>
    <w:rsid w:val="00C227FC"/>
    <w:rsid w:val="00C22F22"/>
    <w:rsid w:val="00C22F9D"/>
    <w:rsid w:val="00C22FB8"/>
    <w:rsid w:val="00C24957"/>
    <w:rsid w:val="00C2530C"/>
    <w:rsid w:val="00C25719"/>
    <w:rsid w:val="00C268E4"/>
    <w:rsid w:val="00C279C0"/>
    <w:rsid w:val="00C30025"/>
    <w:rsid w:val="00C300E1"/>
    <w:rsid w:val="00C30169"/>
    <w:rsid w:val="00C3023B"/>
    <w:rsid w:val="00C30274"/>
    <w:rsid w:val="00C31961"/>
    <w:rsid w:val="00C319A2"/>
    <w:rsid w:val="00C321C8"/>
    <w:rsid w:val="00C32515"/>
    <w:rsid w:val="00C334E8"/>
    <w:rsid w:val="00C336FC"/>
    <w:rsid w:val="00C33A40"/>
    <w:rsid w:val="00C3400A"/>
    <w:rsid w:val="00C3413C"/>
    <w:rsid w:val="00C3491C"/>
    <w:rsid w:val="00C34CD7"/>
    <w:rsid w:val="00C35F79"/>
    <w:rsid w:val="00C36180"/>
    <w:rsid w:val="00C36403"/>
    <w:rsid w:val="00C36714"/>
    <w:rsid w:val="00C369C8"/>
    <w:rsid w:val="00C36DEE"/>
    <w:rsid w:val="00C36FC7"/>
    <w:rsid w:val="00C37292"/>
    <w:rsid w:val="00C37592"/>
    <w:rsid w:val="00C3770E"/>
    <w:rsid w:val="00C40044"/>
    <w:rsid w:val="00C40738"/>
    <w:rsid w:val="00C40C4C"/>
    <w:rsid w:val="00C40CB1"/>
    <w:rsid w:val="00C42103"/>
    <w:rsid w:val="00C42923"/>
    <w:rsid w:val="00C429D4"/>
    <w:rsid w:val="00C43F3D"/>
    <w:rsid w:val="00C444AB"/>
    <w:rsid w:val="00C44FEB"/>
    <w:rsid w:val="00C452E6"/>
    <w:rsid w:val="00C45442"/>
    <w:rsid w:val="00C45496"/>
    <w:rsid w:val="00C4604B"/>
    <w:rsid w:val="00C47521"/>
    <w:rsid w:val="00C4762B"/>
    <w:rsid w:val="00C47A9E"/>
    <w:rsid w:val="00C47C27"/>
    <w:rsid w:val="00C47FAB"/>
    <w:rsid w:val="00C50176"/>
    <w:rsid w:val="00C5029C"/>
    <w:rsid w:val="00C504EA"/>
    <w:rsid w:val="00C5169D"/>
    <w:rsid w:val="00C51F78"/>
    <w:rsid w:val="00C51F91"/>
    <w:rsid w:val="00C5266A"/>
    <w:rsid w:val="00C528B0"/>
    <w:rsid w:val="00C52A3B"/>
    <w:rsid w:val="00C52F56"/>
    <w:rsid w:val="00C530D5"/>
    <w:rsid w:val="00C535A9"/>
    <w:rsid w:val="00C537AF"/>
    <w:rsid w:val="00C538AA"/>
    <w:rsid w:val="00C54482"/>
    <w:rsid w:val="00C54BC3"/>
    <w:rsid w:val="00C54E9B"/>
    <w:rsid w:val="00C5513A"/>
    <w:rsid w:val="00C553F0"/>
    <w:rsid w:val="00C553FB"/>
    <w:rsid w:val="00C55EC0"/>
    <w:rsid w:val="00C565A7"/>
    <w:rsid w:val="00C565BC"/>
    <w:rsid w:val="00C5680E"/>
    <w:rsid w:val="00C57150"/>
    <w:rsid w:val="00C57425"/>
    <w:rsid w:val="00C57435"/>
    <w:rsid w:val="00C601C6"/>
    <w:rsid w:val="00C6045D"/>
    <w:rsid w:val="00C609D9"/>
    <w:rsid w:val="00C60C09"/>
    <w:rsid w:val="00C60DC1"/>
    <w:rsid w:val="00C60F24"/>
    <w:rsid w:val="00C61EC5"/>
    <w:rsid w:val="00C6282E"/>
    <w:rsid w:val="00C62BFC"/>
    <w:rsid w:val="00C62F8E"/>
    <w:rsid w:val="00C6311C"/>
    <w:rsid w:val="00C636FE"/>
    <w:rsid w:val="00C63B85"/>
    <w:rsid w:val="00C63B97"/>
    <w:rsid w:val="00C64034"/>
    <w:rsid w:val="00C642F4"/>
    <w:rsid w:val="00C644A6"/>
    <w:rsid w:val="00C645EF"/>
    <w:rsid w:val="00C64612"/>
    <w:rsid w:val="00C647B2"/>
    <w:rsid w:val="00C64E5C"/>
    <w:rsid w:val="00C65278"/>
    <w:rsid w:val="00C6675F"/>
    <w:rsid w:val="00C66B52"/>
    <w:rsid w:val="00C66C1E"/>
    <w:rsid w:val="00C66D6E"/>
    <w:rsid w:val="00C66E77"/>
    <w:rsid w:val="00C6706F"/>
    <w:rsid w:val="00C670BF"/>
    <w:rsid w:val="00C67682"/>
    <w:rsid w:val="00C676B7"/>
    <w:rsid w:val="00C67A4C"/>
    <w:rsid w:val="00C67C9E"/>
    <w:rsid w:val="00C70CCA"/>
    <w:rsid w:val="00C720D0"/>
    <w:rsid w:val="00C73487"/>
    <w:rsid w:val="00C7386C"/>
    <w:rsid w:val="00C73997"/>
    <w:rsid w:val="00C741BC"/>
    <w:rsid w:val="00C74453"/>
    <w:rsid w:val="00C74534"/>
    <w:rsid w:val="00C74A42"/>
    <w:rsid w:val="00C7566C"/>
    <w:rsid w:val="00C764AC"/>
    <w:rsid w:val="00C7679F"/>
    <w:rsid w:val="00C770A1"/>
    <w:rsid w:val="00C77572"/>
    <w:rsid w:val="00C8009E"/>
    <w:rsid w:val="00C81222"/>
    <w:rsid w:val="00C81731"/>
    <w:rsid w:val="00C81CC0"/>
    <w:rsid w:val="00C81E5D"/>
    <w:rsid w:val="00C83D7F"/>
    <w:rsid w:val="00C84D41"/>
    <w:rsid w:val="00C85316"/>
    <w:rsid w:val="00C8559E"/>
    <w:rsid w:val="00C856D7"/>
    <w:rsid w:val="00C85855"/>
    <w:rsid w:val="00C861D8"/>
    <w:rsid w:val="00C8704E"/>
    <w:rsid w:val="00C874F6"/>
    <w:rsid w:val="00C87626"/>
    <w:rsid w:val="00C876F5"/>
    <w:rsid w:val="00C90C69"/>
    <w:rsid w:val="00C9119F"/>
    <w:rsid w:val="00C929D3"/>
    <w:rsid w:val="00C92AEA"/>
    <w:rsid w:val="00C93666"/>
    <w:rsid w:val="00C937F1"/>
    <w:rsid w:val="00C93CD8"/>
    <w:rsid w:val="00C93D4B"/>
    <w:rsid w:val="00C941F2"/>
    <w:rsid w:val="00C949BE"/>
    <w:rsid w:val="00C94EAC"/>
    <w:rsid w:val="00C954A1"/>
    <w:rsid w:val="00C95CBA"/>
    <w:rsid w:val="00C95DB6"/>
    <w:rsid w:val="00C95DF4"/>
    <w:rsid w:val="00CA01FB"/>
    <w:rsid w:val="00CA03C6"/>
    <w:rsid w:val="00CA04AD"/>
    <w:rsid w:val="00CA0A4C"/>
    <w:rsid w:val="00CA0FB1"/>
    <w:rsid w:val="00CA1B2B"/>
    <w:rsid w:val="00CA22A1"/>
    <w:rsid w:val="00CA25E7"/>
    <w:rsid w:val="00CA28B2"/>
    <w:rsid w:val="00CA2ACA"/>
    <w:rsid w:val="00CA2ACD"/>
    <w:rsid w:val="00CA2FBB"/>
    <w:rsid w:val="00CA3635"/>
    <w:rsid w:val="00CA40A2"/>
    <w:rsid w:val="00CA42E3"/>
    <w:rsid w:val="00CA4DC9"/>
    <w:rsid w:val="00CA5209"/>
    <w:rsid w:val="00CA5B46"/>
    <w:rsid w:val="00CA5CF8"/>
    <w:rsid w:val="00CA60FB"/>
    <w:rsid w:val="00CA7173"/>
    <w:rsid w:val="00CB0197"/>
    <w:rsid w:val="00CB0A5D"/>
    <w:rsid w:val="00CB0E9F"/>
    <w:rsid w:val="00CB1F17"/>
    <w:rsid w:val="00CB208F"/>
    <w:rsid w:val="00CB2193"/>
    <w:rsid w:val="00CB2641"/>
    <w:rsid w:val="00CB28B7"/>
    <w:rsid w:val="00CB2E87"/>
    <w:rsid w:val="00CB39C8"/>
    <w:rsid w:val="00CB4218"/>
    <w:rsid w:val="00CB4B88"/>
    <w:rsid w:val="00CB4F15"/>
    <w:rsid w:val="00CB4F4B"/>
    <w:rsid w:val="00CB5822"/>
    <w:rsid w:val="00CB5B53"/>
    <w:rsid w:val="00CB5C97"/>
    <w:rsid w:val="00CB5D95"/>
    <w:rsid w:val="00CB600A"/>
    <w:rsid w:val="00CB621C"/>
    <w:rsid w:val="00CB6E85"/>
    <w:rsid w:val="00CB718A"/>
    <w:rsid w:val="00CB7542"/>
    <w:rsid w:val="00CB7D9E"/>
    <w:rsid w:val="00CC03A4"/>
    <w:rsid w:val="00CC0A02"/>
    <w:rsid w:val="00CC0B8F"/>
    <w:rsid w:val="00CC1DD2"/>
    <w:rsid w:val="00CC20AC"/>
    <w:rsid w:val="00CC29DA"/>
    <w:rsid w:val="00CC2CD6"/>
    <w:rsid w:val="00CC2FA8"/>
    <w:rsid w:val="00CC32A8"/>
    <w:rsid w:val="00CC48AA"/>
    <w:rsid w:val="00CC4E9C"/>
    <w:rsid w:val="00CC568B"/>
    <w:rsid w:val="00CC577A"/>
    <w:rsid w:val="00CC57F6"/>
    <w:rsid w:val="00CC5813"/>
    <w:rsid w:val="00CC5D6A"/>
    <w:rsid w:val="00CC6DC4"/>
    <w:rsid w:val="00CC7278"/>
    <w:rsid w:val="00CC75F3"/>
    <w:rsid w:val="00CC782C"/>
    <w:rsid w:val="00CC7FB3"/>
    <w:rsid w:val="00CD017A"/>
    <w:rsid w:val="00CD0306"/>
    <w:rsid w:val="00CD0910"/>
    <w:rsid w:val="00CD0CD5"/>
    <w:rsid w:val="00CD0E67"/>
    <w:rsid w:val="00CD0F7F"/>
    <w:rsid w:val="00CD114A"/>
    <w:rsid w:val="00CD1159"/>
    <w:rsid w:val="00CD49EF"/>
    <w:rsid w:val="00CD5808"/>
    <w:rsid w:val="00CD5AAB"/>
    <w:rsid w:val="00CD5C48"/>
    <w:rsid w:val="00CD603C"/>
    <w:rsid w:val="00CD6FD1"/>
    <w:rsid w:val="00CD743E"/>
    <w:rsid w:val="00CD764E"/>
    <w:rsid w:val="00CD791B"/>
    <w:rsid w:val="00CD7B15"/>
    <w:rsid w:val="00CE04C5"/>
    <w:rsid w:val="00CE0E16"/>
    <w:rsid w:val="00CE1845"/>
    <w:rsid w:val="00CE2218"/>
    <w:rsid w:val="00CE22C4"/>
    <w:rsid w:val="00CE2DA6"/>
    <w:rsid w:val="00CE2DC5"/>
    <w:rsid w:val="00CE2EB3"/>
    <w:rsid w:val="00CE38FD"/>
    <w:rsid w:val="00CE3D5A"/>
    <w:rsid w:val="00CE4A45"/>
    <w:rsid w:val="00CE4BBE"/>
    <w:rsid w:val="00CE4C15"/>
    <w:rsid w:val="00CE5480"/>
    <w:rsid w:val="00CE5A86"/>
    <w:rsid w:val="00CE6C27"/>
    <w:rsid w:val="00CE6F1E"/>
    <w:rsid w:val="00CE7413"/>
    <w:rsid w:val="00CE7BE2"/>
    <w:rsid w:val="00CF065C"/>
    <w:rsid w:val="00CF131F"/>
    <w:rsid w:val="00CF199E"/>
    <w:rsid w:val="00CF1B51"/>
    <w:rsid w:val="00CF1BAA"/>
    <w:rsid w:val="00CF397E"/>
    <w:rsid w:val="00CF43C1"/>
    <w:rsid w:val="00CF446B"/>
    <w:rsid w:val="00CF4AFE"/>
    <w:rsid w:val="00CF4B33"/>
    <w:rsid w:val="00CF53DF"/>
    <w:rsid w:val="00CF5902"/>
    <w:rsid w:val="00CF64A3"/>
    <w:rsid w:val="00CF6915"/>
    <w:rsid w:val="00CF6BBF"/>
    <w:rsid w:val="00CF75E6"/>
    <w:rsid w:val="00CF7812"/>
    <w:rsid w:val="00D000C5"/>
    <w:rsid w:val="00D0017A"/>
    <w:rsid w:val="00D00A7A"/>
    <w:rsid w:val="00D00F20"/>
    <w:rsid w:val="00D01C92"/>
    <w:rsid w:val="00D01FA3"/>
    <w:rsid w:val="00D02866"/>
    <w:rsid w:val="00D02FD9"/>
    <w:rsid w:val="00D03398"/>
    <w:rsid w:val="00D03E13"/>
    <w:rsid w:val="00D03EF1"/>
    <w:rsid w:val="00D04D3D"/>
    <w:rsid w:val="00D04F45"/>
    <w:rsid w:val="00D0520C"/>
    <w:rsid w:val="00D05A4F"/>
    <w:rsid w:val="00D066C3"/>
    <w:rsid w:val="00D0674A"/>
    <w:rsid w:val="00D06BA8"/>
    <w:rsid w:val="00D06C95"/>
    <w:rsid w:val="00D06FB2"/>
    <w:rsid w:val="00D079C1"/>
    <w:rsid w:val="00D100D5"/>
    <w:rsid w:val="00D10449"/>
    <w:rsid w:val="00D108C8"/>
    <w:rsid w:val="00D11160"/>
    <w:rsid w:val="00D111FE"/>
    <w:rsid w:val="00D11781"/>
    <w:rsid w:val="00D120C2"/>
    <w:rsid w:val="00D1299B"/>
    <w:rsid w:val="00D1308D"/>
    <w:rsid w:val="00D139C0"/>
    <w:rsid w:val="00D13DC4"/>
    <w:rsid w:val="00D144CD"/>
    <w:rsid w:val="00D146AB"/>
    <w:rsid w:val="00D14A9C"/>
    <w:rsid w:val="00D155F7"/>
    <w:rsid w:val="00D15C4C"/>
    <w:rsid w:val="00D16234"/>
    <w:rsid w:val="00D1625D"/>
    <w:rsid w:val="00D16D6D"/>
    <w:rsid w:val="00D17416"/>
    <w:rsid w:val="00D176B9"/>
    <w:rsid w:val="00D176D2"/>
    <w:rsid w:val="00D17ECE"/>
    <w:rsid w:val="00D20B84"/>
    <w:rsid w:val="00D20DC2"/>
    <w:rsid w:val="00D2143A"/>
    <w:rsid w:val="00D2159D"/>
    <w:rsid w:val="00D219C4"/>
    <w:rsid w:val="00D21BA9"/>
    <w:rsid w:val="00D22118"/>
    <w:rsid w:val="00D22796"/>
    <w:rsid w:val="00D24093"/>
    <w:rsid w:val="00D2498C"/>
    <w:rsid w:val="00D254CE"/>
    <w:rsid w:val="00D25919"/>
    <w:rsid w:val="00D265F4"/>
    <w:rsid w:val="00D26656"/>
    <w:rsid w:val="00D2692B"/>
    <w:rsid w:val="00D26A4A"/>
    <w:rsid w:val="00D27A69"/>
    <w:rsid w:val="00D314D5"/>
    <w:rsid w:val="00D32427"/>
    <w:rsid w:val="00D32F26"/>
    <w:rsid w:val="00D33413"/>
    <w:rsid w:val="00D334D1"/>
    <w:rsid w:val="00D33E52"/>
    <w:rsid w:val="00D34349"/>
    <w:rsid w:val="00D34977"/>
    <w:rsid w:val="00D352F7"/>
    <w:rsid w:val="00D358D0"/>
    <w:rsid w:val="00D36429"/>
    <w:rsid w:val="00D36730"/>
    <w:rsid w:val="00D36DEE"/>
    <w:rsid w:val="00D370EF"/>
    <w:rsid w:val="00D3767D"/>
    <w:rsid w:val="00D379EE"/>
    <w:rsid w:val="00D41577"/>
    <w:rsid w:val="00D41E8B"/>
    <w:rsid w:val="00D42AD7"/>
    <w:rsid w:val="00D43FE9"/>
    <w:rsid w:val="00D441AF"/>
    <w:rsid w:val="00D444E6"/>
    <w:rsid w:val="00D456D8"/>
    <w:rsid w:val="00D460E8"/>
    <w:rsid w:val="00D46A7C"/>
    <w:rsid w:val="00D46E19"/>
    <w:rsid w:val="00D46E93"/>
    <w:rsid w:val="00D46ECC"/>
    <w:rsid w:val="00D4776A"/>
    <w:rsid w:val="00D478D3"/>
    <w:rsid w:val="00D47AFF"/>
    <w:rsid w:val="00D47BEC"/>
    <w:rsid w:val="00D47E9D"/>
    <w:rsid w:val="00D50EE0"/>
    <w:rsid w:val="00D513AB"/>
    <w:rsid w:val="00D5243A"/>
    <w:rsid w:val="00D52827"/>
    <w:rsid w:val="00D52AF8"/>
    <w:rsid w:val="00D52B16"/>
    <w:rsid w:val="00D52CF7"/>
    <w:rsid w:val="00D52D17"/>
    <w:rsid w:val="00D536A5"/>
    <w:rsid w:val="00D53A48"/>
    <w:rsid w:val="00D54292"/>
    <w:rsid w:val="00D54347"/>
    <w:rsid w:val="00D558B1"/>
    <w:rsid w:val="00D55D18"/>
    <w:rsid w:val="00D55E9C"/>
    <w:rsid w:val="00D560DA"/>
    <w:rsid w:val="00D56780"/>
    <w:rsid w:val="00D56DE6"/>
    <w:rsid w:val="00D56DF1"/>
    <w:rsid w:val="00D576A9"/>
    <w:rsid w:val="00D57EA4"/>
    <w:rsid w:val="00D60094"/>
    <w:rsid w:val="00D60BAB"/>
    <w:rsid w:val="00D60FB9"/>
    <w:rsid w:val="00D6187E"/>
    <w:rsid w:val="00D61ED2"/>
    <w:rsid w:val="00D623EE"/>
    <w:rsid w:val="00D62A47"/>
    <w:rsid w:val="00D6324F"/>
    <w:rsid w:val="00D64D19"/>
    <w:rsid w:val="00D6519B"/>
    <w:rsid w:val="00D655E1"/>
    <w:rsid w:val="00D662E0"/>
    <w:rsid w:val="00D667FB"/>
    <w:rsid w:val="00D67305"/>
    <w:rsid w:val="00D6784A"/>
    <w:rsid w:val="00D702D5"/>
    <w:rsid w:val="00D7140C"/>
    <w:rsid w:val="00D71E70"/>
    <w:rsid w:val="00D72ED1"/>
    <w:rsid w:val="00D73D5D"/>
    <w:rsid w:val="00D74600"/>
    <w:rsid w:val="00D75773"/>
    <w:rsid w:val="00D7624A"/>
    <w:rsid w:val="00D769CF"/>
    <w:rsid w:val="00D76B2C"/>
    <w:rsid w:val="00D801FE"/>
    <w:rsid w:val="00D81126"/>
    <w:rsid w:val="00D816CC"/>
    <w:rsid w:val="00D81ECD"/>
    <w:rsid w:val="00D82B77"/>
    <w:rsid w:val="00D82BF5"/>
    <w:rsid w:val="00D83CF3"/>
    <w:rsid w:val="00D83D46"/>
    <w:rsid w:val="00D83D8F"/>
    <w:rsid w:val="00D83EA1"/>
    <w:rsid w:val="00D84724"/>
    <w:rsid w:val="00D84910"/>
    <w:rsid w:val="00D8492C"/>
    <w:rsid w:val="00D84C00"/>
    <w:rsid w:val="00D84C76"/>
    <w:rsid w:val="00D85792"/>
    <w:rsid w:val="00D857C7"/>
    <w:rsid w:val="00D85C01"/>
    <w:rsid w:val="00D86063"/>
    <w:rsid w:val="00D86263"/>
    <w:rsid w:val="00D862AB"/>
    <w:rsid w:val="00D8633F"/>
    <w:rsid w:val="00D86812"/>
    <w:rsid w:val="00D86BF9"/>
    <w:rsid w:val="00D86CD7"/>
    <w:rsid w:val="00D8730C"/>
    <w:rsid w:val="00D873B6"/>
    <w:rsid w:val="00D9023B"/>
    <w:rsid w:val="00D90712"/>
    <w:rsid w:val="00D9076A"/>
    <w:rsid w:val="00D90C67"/>
    <w:rsid w:val="00D90E85"/>
    <w:rsid w:val="00D9122A"/>
    <w:rsid w:val="00D918C2"/>
    <w:rsid w:val="00D91A03"/>
    <w:rsid w:val="00D91D8F"/>
    <w:rsid w:val="00D91EF6"/>
    <w:rsid w:val="00D92060"/>
    <w:rsid w:val="00D92880"/>
    <w:rsid w:val="00D93501"/>
    <w:rsid w:val="00D93D25"/>
    <w:rsid w:val="00D941D4"/>
    <w:rsid w:val="00D941FE"/>
    <w:rsid w:val="00D943BA"/>
    <w:rsid w:val="00D953B3"/>
    <w:rsid w:val="00D953FE"/>
    <w:rsid w:val="00D9622E"/>
    <w:rsid w:val="00D9641E"/>
    <w:rsid w:val="00D97168"/>
    <w:rsid w:val="00D97C18"/>
    <w:rsid w:val="00DA088E"/>
    <w:rsid w:val="00DA0D5F"/>
    <w:rsid w:val="00DA10B0"/>
    <w:rsid w:val="00DA10ED"/>
    <w:rsid w:val="00DA1621"/>
    <w:rsid w:val="00DA1764"/>
    <w:rsid w:val="00DA2583"/>
    <w:rsid w:val="00DA30F4"/>
    <w:rsid w:val="00DA31A3"/>
    <w:rsid w:val="00DA3444"/>
    <w:rsid w:val="00DA35E2"/>
    <w:rsid w:val="00DA516D"/>
    <w:rsid w:val="00DA56E1"/>
    <w:rsid w:val="00DA5937"/>
    <w:rsid w:val="00DA5954"/>
    <w:rsid w:val="00DA5C40"/>
    <w:rsid w:val="00DA5D5D"/>
    <w:rsid w:val="00DA5D79"/>
    <w:rsid w:val="00DA5E11"/>
    <w:rsid w:val="00DB039E"/>
    <w:rsid w:val="00DB0B87"/>
    <w:rsid w:val="00DB13A0"/>
    <w:rsid w:val="00DB1562"/>
    <w:rsid w:val="00DB1F57"/>
    <w:rsid w:val="00DB210C"/>
    <w:rsid w:val="00DB3061"/>
    <w:rsid w:val="00DB31E3"/>
    <w:rsid w:val="00DB336B"/>
    <w:rsid w:val="00DB3A0B"/>
    <w:rsid w:val="00DB3D95"/>
    <w:rsid w:val="00DB50FE"/>
    <w:rsid w:val="00DB54EA"/>
    <w:rsid w:val="00DB57AB"/>
    <w:rsid w:val="00DB5C3E"/>
    <w:rsid w:val="00DB64C1"/>
    <w:rsid w:val="00DB6648"/>
    <w:rsid w:val="00DB6DBF"/>
    <w:rsid w:val="00DB714A"/>
    <w:rsid w:val="00DB74EB"/>
    <w:rsid w:val="00DB7D7D"/>
    <w:rsid w:val="00DC056C"/>
    <w:rsid w:val="00DC0C0D"/>
    <w:rsid w:val="00DC10B9"/>
    <w:rsid w:val="00DC2292"/>
    <w:rsid w:val="00DC2E98"/>
    <w:rsid w:val="00DC3914"/>
    <w:rsid w:val="00DC3EBE"/>
    <w:rsid w:val="00DC4700"/>
    <w:rsid w:val="00DC5B10"/>
    <w:rsid w:val="00DC5C94"/>
    <w:rsid w:val="00DC6201"/>
    <w:rsid w:val="00DC628E"/>
    <w:rsid w:val="00DC64AB"/>
    <w:rsid w:val="00DC668A"/>
    <w:rsid w:val="00DC6AD4"/>
    <w:rsid w:val="00DC6AF6"/>
    <w:rsid w:val="00DC6DDA"/>
    <w:rsid w:val="00DC79BE"/>
    <w:rsid w:val="00DC7C4C"/>
    <w:rsid w:val="00DC7EAE"/>
    <w:rsid w:val="00DD03C3"/>
    <w:rsid w:val="00DD05AA"/>
    <w:rsid w:val="00DD0B17"/>
    <w:rsid w:val="00DD0B84"/>
    <w:rsid w:val="00DD1949"/>
    <w:rsid w:val="00DD235B"/>
    <w:rsid w:val="00DD282D"/>
    <w:rsid w:val="00DD3AEE"/>
    <w:rsid w:val="00DD4624"/>
    <w:rsid w:val="00DD4786"/>
    <w:rsid w:val="00DD590A"/>
    <w:rsid w:val="00DD6E52"/>
    <w:rsid w:val="00DD7038"/>
    <w:rsid w:val="00DD7EAA"/>
    <w:rsid w:val="00DE0871"/>
    <w:rsid w:val="00DE0ADF"/>
    <w:rsid w:val="00DE195F"/>
    <w:rsid w:val="00DE25CD"/>
    <w:rsid w:val="00DE28C3"/>
    <w:rsid w:val="00DE2A8B"/>
    <w:rsid w:val="00DE2AFF"/>
    <w:rsid w:val="00DE2B98"/>
    <w:rsid w:val="00DE3131"/>
    <w:rsid w:val="00DE34C5"/>
    <w:rsid w:val="00DE35D3"/>
    <w:rsid w:val="00DE35F8"/>
    <w:rsid w:val="00DE3BCD"/>
    <w:rsid w:val="00DE3CFE"/>
    <w:rsid w:val="00DE3ECA"/>
    <w:rsid w:val="00DE40DC"/>
    <w:rsid w:val="00DE4BCA"/>
    <w:rsid w:val="00DE4E31"/>
    <w:rsid w:val="00DE4E9A"/>
    <w:rsid w:val="00DE5ED1"/>
    <w:rsid w:val="00DE601A"/>
    <w:rsid w:val="00DE61C5"/>
    <w:rsid w:val="00DE6559"/>
    <w:rsid w:val="00DE6578"/>
    <w:rsid w:val="00DE661D"/>
    <w:rsid w:val="00DE70A4"/>
    <w:rsid w:val="00DE7C55"/>
    <w:rsid w:val="00DE7F4D"/>
    <w:rsid w:val="00DE7FB0"/>
    <w:rsid w:val="00DF0A51"/>
    <w:rsid w:val="00DF137D"/>
    <w:rsid w:val="00DF382D"/>
    <w:rsid w:val="00DF50CD"/>
    <w:rsid w:val="00DF5289"/>
    <w:rsid w:val="00DF6A26"/>
    <w:rsid w:val="00DF76D3"/>
    <w:rsid w:val="00DF7843"/>
    <w:rsid w:val="00DF7D6E"/>
    <w:rsid w:val="00DF7DF8"/>
    <w:rsid w:val="00E001FB"/>
    <w:rsid w:val="00E005E5"/>
    <w:rsid w:val="00E0198E"/>
    <w:rsid w:val="00E01FC6"/>
    <w:rsid w:val="00E032EE"/>
    <w:rsid w:val="00E034DA"/>
    <w:rsid w:val="00E04660"/>
    <w:rsid w:val="00E04996"/>
    <w:rsid w:val="00E05266"/>
    <w:rsid w:val="00E05BD2"/>
    <w:rsid w:val="00E06B45"/>
    <w:rsid w:val="00E0787A"/>
    <w:rsid w:val="00E10044"/>
    <w:rsid w:val="00E10717"/>
    <w:rsid w:val="00E10C55"/>
    <w:rsid w:val="00E11110"/>
    <w:rsid w:val="00E1148F"/>
    <w:rsid w:val="00E117CB"/>
    <w:rsid w:val="00E12354"/>
    <w:rsid w:val="00E12A2E"/>
    <w:rsid w:val="00E14BC5"/>
    <w:rsid w:val="00E14DC0"/>
    <w:rsid w:val="00E14EBF"/>
    <w:rsid w:val="00E15362"/>
    <w:rsid w:val="00E153EC"/>
    <w:rsid w:val="00E1566D"/>
    <w:rsid w:val="00E15E53"/>
    <w:rsid w:val="00E16231"/>
    <w:rsid w:val="00E16B87"/>
    <w:rsid w:val="00E1778D"/>
    <w:rsid w:val="00E20278"/>
    <w:rsid w:val="00E20B19"/>
    <w:rsid w:val="00E210B7"/>
    <w:rsid w:val="00E21240"/>
    <w:rsid w:val="00E21EF5"/>
    <w:rsid w:val="00E21F38"/>
    <w:rsid w:val="00E22032"/>
    <w:rsid w:val="00E22DA5"/>
    <w:rsid w:val="00E23246"/>
    <w:rsid w:val="00E23572"/>
    <w:rsid w:val="00E238D8"/>
    <w:rsid w:val="00E23B07"/>
    <w:rsid w:val="00E24BF1"/>
    <w:rsid w:val="00E24C2A"/>
    <w:rsid w:val="00E2526D"/>
    <w:rsid w:val="00E2562A"/>
    <w:rsid w:val="00E25ACE"/>
    <w:rsid w:val="00E25B5D"/>
    <w:rsid w:val="00E2618A"/>
    <w:rsid w:val="00E2643E"/>
    <w:rsid w:val="00E26732"/>
    <w:rsid w:val="00E267F7"/>
    <w:rsid w:val="00E2692B"/>
    <w:rsid w:val="00E26D63"/>
    <w:rsid w:val="00E270AC"/>
    <w:rsid w:val="00E2799E"/>
    <w:rsid w:val="00E27ABC"/>
    <w:rsid w:val="00E302A2"/>
    <w:rsid w:val="00E30347"/>
    <w:rsid w:val="00E30FFD"/>
    <w:rsid w:val="00E31685"/>
    <w:rsid w:val="00E31872"/>
    <w:rsid w:val="00E31962"/>
    <w:rsid w:val="00E31A39"/>
    <w:rsid w:val="00E31A3B"/>
    <w:rsid w:val="00E31CE9"/>
    <w:rsid w:val="00E324AE"/>
    <w:rsid w:val="00E32799"/>
    <w:rsid w:val="00E330DF"/>
    <w:rsid w:val="00E338B6"/>
    <w:rsid w:val="00E33FA8"/>
    <w:rsid w:val="00E34B97"/>
    <w:rsid w:val="00E34E30"/>
    <w:rsid w:val="00E34EC8"/>
    <w:rsid w:val="00E35AC3"/>
    <w:rsid w:val="00E35D3C"/>
    <w:rsid w:val="00E37379"/>
    <w:rsid w:val="00E3785E"/>
    <w:rsid w:val="00E37B3A"/>
    <w:rsid w:val="00E400B7"/>
    <w:rsid w:val="00E409CE"/>
    <w:rsid w:val="00E415A8"/>
    <w:rsid w:val="00E419B3"/>
    <w:rsid w:val="00E42D03"/>
    <w:rsid w:val="00E42DDA"/>
    <w:rsid w:val="00E437F1"/>
    <w:rsid w:val="00E4455A"/>
    <w:rsid w:val="00E4535C"/>
    <w:rsid w:val="00E4572A"/>
    <w:rsid w:val="00E45761"/>
    <w:rsid w:val="00E45A71"/>
    <w:rsid w:val="00E46BE7"/>
    <w:rsid w:val="00E46E65"/>
    <w:rsid w:val="00E46FC2"/>
    <w:rsid w:val="00E47487"/>
    <w:rsid w:val="00E477C0"/>
    <w:rsid w:val="00E50210"/>
    <w:rsid w:val="00E505A9"/>
    <w:rsid w:val="00E50CB6"/>
    <w:rsid w:val="00E5101F"/>
    <w:rsid w:val="00E51034"/>
    <w:rsid w:val="00E51CC1"/>
    <w:rsid w:val="00E52303"/>
    <w:rsid w:val="00E52B83"/>
    <w:rsid w:val="00E52D8F"/>
    <w:rsid w:val="00E530E1"/>
    <w:rsid w:val="00E537E6"/>
    <w:rsid w:val="00E53803"/>
    <w:rsid w:val="00E53D8D"/>
    <w:rsid w:val="00E53E41"/>
    <w:rsid w:val="00E53FA8"/>
    <w:rsid w:val="00E544EE"/>
    <w:rsid w:val="00E54769"/>
    <w:rsid w:val="00E548B3"/>
    <w:rsid w:val="00E55293"/>
    <w:rsid w:val="00E56FA0"/>
    <w:rsid w:val="00E576B4"/>
    <w:rsid w:val="00E57D8E"/>
    <w:rsid w:val="00E60154"/>
    <w:rsid w:val="00E6021F"/>
    <w:rsid w:val="00E609C9"/>
    <w:rsid w:val="00E60AD3"/>
    <w:rsid w:val="00E60CF9"/>
    <w:rsid w:val="00E60F34"/>
    <w:rsid w:val="00E6106C"/>
    <w:rsid w:val="00E6137A"/>
    <w:rsid w:val="00E61DBC"/>
    <w:rsid w:val="00E620DD"/>
    <w:rsid w:val="00E621DF"/>
    <w:rsid w:val="00E626DD"/>
    <w:rsid w:val="00E62B19"/>
    <w:rsid w:val="00E6316A"/>
    <w:rsid w:val="00E63338"/>
    <w:rsid w:val="00E63496"/>
    <w:rsid w:val="00E636E3"/>
    <w:rsid w:val="00E63CDF"/>
    <w:rsid w:val="00E65276"/>
    <w:rsid w:val="00E6530C"/>
    <w:rsid w:val="00E65732"/>
    <w:rsid w:val="00E65912"/>
    <w:rsid w:val="00E66B63"/>
    <w:rsid w:val="00E67321"/>
    <w:rsid w:val="00E678BC"/>
    <w:rsid w:val="00E67C8D"/>
    <w:rsid w:val="00E704B1"/>
    <w:rsid w:val="00E70D64"/>
    <w:rsid w:val="00E712B8"/>
    <w:rsid w:val="00E712BC"/>
    <w:rsid w:val="00E712FB"/>
    <w:rsid w:val="00E7142B"/>
    <w:rsid w:val="00E717B2"/>
    <w:rsid w:val="00E718C4"/>
    <w:rsid w:val="00E719DE"/>
    <w:rsid w:val="00E71E13"/>
    <w:rsid w:val="00E72030"/>
    <w:rsid w:val="00E72CAA"/>
    <w:rsid w:val="00E72DE9"/>
    <w:rsid w:val="00E72EEC"/>
    <w:rsid w:val="00E73E50"/>
    <w:rsid w:val="00E740D5"/>
    <w:rsid w:val="00E74478"/>
    <w:rsid w:val="00E7472C"/>
    <w:rsid w:val="00E756AB"/>
    <w:rsid w:val="00E75A4A"/>
    <w:rsid w:val="00E75D24"/>
    <w:rsid w:val="00E75EA6"/>
    <w:rsid w:val="00E76431"/>
    <w:rsid w:val="00E76545"/>
    <w:rsid w:val="00E76ED1"/>
    <w:rsid w:val="00E77444"/>
    <w:rsid w:val="00E775A9"/>
    <w:rsid w:val="00E80A27"/>
    <w:rsid w:val="00E80AA0"/>
    <w:rsid w:val="00E81456"/>
    <w:rsid w:val="00E829CD"/>
    <w:rsid w:val="00E83DF5"/>
    <w:rsid w:val="00E83E5D"/>
    <w:rsid w:val="00E840EB"/>
    <w:rsid w:val="00E85883"/>
    <w:rsid w:val="00E85ED6"/>
    <w:rsid w:val="00E860A4"/>
    <w:rsid w:val="00E86D10"/>
    <w:rsid w:val="00E872E2"/>
    <w:rsid w:val="00E87402"/>
    <w:rsid w:val="00E8793E"/>
    <w:rsid w:val="00E87DF9"/>
    <w:rsid w:val="00E90816"/>
    <w:rsid w:val="00E915F0"/>
    <w:rsid w:val="00E916BB"/>
    <w:rsid w:val="00E91BEC"/>
    <w:rsid w:val="00E92A72"/>
    <w:rsid w:val="00E92B7F"/>
    <w:rsid w:val="00E93000"/>
    <w:rsid w:val="00E93620"/>
    <w:rsid w:val="00E93C39"/>
    <w:rsid w:val="00E93DE6"/>
    <w:rsid w:val="00E94C67"/>
    <w:rsid w:val="00E9613D"/>
    <w:rsid w:val="00E9759A"/>
    <w:rsid w:val="00E97A79"/>
    <w:rsid w:val="00E97D88"/>
    <w:rsid w:val="00E97FCB"/>
    <w:rsid w:val="00EA0078"/>
    <w:rsid w:val="00EA01A9"/>
    <w:rsid w:val="00EA0AC9"/>
    <w:rsid w:val="00EA0ED5"/>
    <w:rsid w:val="00EA10A7"/>
    <w:rsid w:val="00EA16B0"/>
    <w:rsid w:val="00EA1767"/>
    <w:rsid w:val="00EA19C9"/>
    <w:rsid w:val="00EA269C"/>
    <w:rsid w:val="00EA3075"/>
    <w:rsid w:val="00EA3304"/>
    <w:rsid w:val="00EA36A3"/>
    <w:rsid w:val="00EA3E4A"/>
    <w:rsid w:val="00EA4110"/>
    <w:rsid w:val="00EA489B"/>
    <w:rsid w:val="00EA4C33"/>
    <w:rsid w:val="00EA4EB0"/>
    <w:rsid w:val="00EA4FAE"/>
    <w:rsid w:val="00EA5145"/>
    <w:rsid w:val="00EA5654"/>
    <w:rsid w:val="00EA58BC"/>
    <w:rsid w:val="00EA5A89"/>
    <w:rsid w:val="00EA7AC3"/>
    <w:rsid w:val="00EB0009"/>
    <w:rsid w:val="00EB105E"/>
    <w:rsid w:val="00EB133E"/>
    <w:rsid w:val="00EB13CC"/>
    <w:rsid w:val="00EB1CE8"/>
    <w:rsid w:val="00EB1D9C"/>
    <w:rsid w:val="00EB1DC9"/>
    <w:rsid w:val="00EB210D"/>
    <w:rsid w:val="00EB21E2"/>
    <w:rsid w:val="00EB27D5"/>
    <w:rsid w:val="00EB2CF5"/>
    <w:rsid w:val="00EB2EDD"/>
    <w:rsid w:val="00EB34E5"/>
    <w:rsid w:val="00EB34ED"/>
    <w:rsid w:val="00EB3811"/>
    <w:rsid w:val="00EB4688"/>
    <w:rsid w:val="00EB5165"/>
    <w:rsid w:val="00EB55F6"/>
    <w:rsid w:val="00EB56EC"/>
    <w:rsid w:val="00EB6169"/>
    <w:rsid w:val="00EB74B1"/>
    <w:rsid w:val="00EB7B96"/>
    <w:rsid w:val="00EB7D27"/>
    <w:rsid w:val="00EC0647"/>
    <w:rsid w:val="00EC0933"/>
    <w:rsid w:val="00EC097A"/>
    <w:rsid w:val="00EC14AE"/>
    <w:rsid w:val="00EC19DF"/>
    <w:rsid w:val="00EC1A01"/>
    <w:rsid w:val="00EC2518"/>
    <w:rsid w:val="00EC31DA"/>
    <w:rsid w:val="00EC33AC"/>
    <w:rsid w:val="00EC37C3"/>
    <w:rsid w:val="00EC3E7E"/>
    <w:rsid w:val="00EC4232"/>
    <w:rsid w:val="00EC439C"/>
    <w:rsid w:val="00EC51C4"/>
    <w:rsid w:val="00EC54A3"/>
    <w:rsid w:val="00EC5C34"/>
    <w:rsid w:val="00EC5E24"/>
    <w:rsid w:val="00EC61BD"/>
    <w:rsid w:val="00EC6506"/>
    <w:rsid w:val="00EC6DA4"/>
    <w:rsid w:val="00EC6F81"/>
    <w:rsid w:val="00EC7057"/>
    <w:rsid w:val="00EC7297"/>
    <w:rsid w:val="00EC773D"/>
    <w:rsid w:val="00EC7936"/>
    <w:rsid w:val="00ED04E5"/>
    <w:rsid w:val="00ED14EC"/>
    <w:rsid w:val="00ED1556"/>
    <w:rsid w:val="00ED2599"/>
    <w:rsid w:val="00ED25F2"/>
    <w:rsid w:val="00ED4415"/>
    <w:rsid w:val="00ED45B1"/>
    <w:rsid w:val="00ED496A"/>
    <w:rsid w:val="00ED502B"/>
    <w:rsid w:val="00ED5F3A"/>
    <w:rsid w:val="00ED6286"/>
    <w:rsid w:val="00ED67BF"/>
    <w:rsid w:val="00ED6804"/>
    <w:rsid w:val="00ED6BDF"/>
    <w:rsid w:val="00ED7470"/>
    <w:rsid w:val="00ED74FE"/>
    <w:rsid w:val="00ED79B6"/>
    <w:rsid w:val="00ED7AC1"/>
    <w:rsid w:val="00ED7D73"/>
    <w:rsid w:val="00ED7F8A"/>
    <w:rsid w:val="00EE0287"/>
    <w:rsid w:val="00EE07A2"/>
    <w:rsid w:val="00EE0C5A"/>
    <w:rsid w:val="00EE0F12"/>
    <w:rsid w:val="00EE21C5"/>
    <w:rsid w:val="00EE29CC"/>
    <w:rsid w:val="00EE3B56"/>
    <w:rsid w:val="00EE3EB4"/>
    <w:rsid w:val="00EE43AF"/>
    <w:rsid w:val="00EE553B"/>
    <w:rsid w:val="00EE558D"/>
    <w:rsid w:val="00EE5BB9"/>
    <w:rsid w:val="00EE66B5"/>
    <w:rsid w:val="00EE6F2B"/>
    <w:rsid w:val="00EE7315"/>
    <w:rsid w:val="00EE74E0"/>
    <w:rsid w:val="00EE7C4C"/>
    <w:rsid w:val="00EF0AF3"/>
    <w:rsid w:val="00EF1271"/>
    <w:rsid w:val="00EF1272"/>
    <w:rsid w:val="00EF2364"/>
    <w:rsid w:val="00EF258D"/>
    <w:rsid w:val="00EF33D2"/>
    <w:rsid w:val="00EF3598"/>
    <w:rsid w:val="00EF42D6"/>
    <w:rsid w:val="00EF45A0"/>
    <w:rsid w:val="00EF4C96"/>
    <w:rsid w:val="00EF526E"/>
    <w:rsid w:val="00EF6093"/>
    <w:rsid w:val="00EF6854"/>
    <w:rsid w:val="00EF6F3F"/>
    <w:rsid w:val="00EF7669"/>
    <w:rsid w:val="00EF7E61"/>
    <w:rsid w:val="00EF7FCC"/>
    <w:rsid w:val="00F00350"/>
    <w:rsid w:val="00F00724"/>
    <w:rsid w:val="00F0093D"/>
    <w:rsid w:val="00F00A58"/>
    <w:rsid w:val="00F00CC6"/>
    <w:rsid w:val="00F00D59"/>
    <w:rsid w:val="00F012F9"/>
    <w:rsid w:val="00F015A3"/>
    <w:rsid w:val="00F02462"/>
    <w:rsid w:val="00F0297B"/>
    <w:rsid w:val="00F032A4"/>
    <w:rsid w:val="00F05A4E"/>
    <w:rsid w:val="00F05C7E"/>
    <w:rsid w:val="00F05F72"/>
    <w:rsid w:val="00F0703D"/>
    <w:rsid w:val="00F07EA2"/>
    <w:rsid w:val="00F10120"/>
    <w:rsid w:val="00F10268"/>
    <w:rsid w:val="00F103E9"/>
    <w:rsid w:val="00F10807"/>
    <w:rsid w:val="00F1112B"/>
    <w:rsid w:val="00F1137A"/>
    <w:rsid w:val="00F1160B"/>
    <w:rsid w:val="00F11C0D"/>
    <w:rsid w:val="00F12436"/>
    <w:rsid w:val="00F125F1"/>
    <w:rsid w:val="00F132B1"/>
    <w:rsid w:val="00F13BC6"/>
    <w:rsid w:val="00F14DEB"/>
    <w:rsid w:val="00F15A10"/>
    <w:rsid w:val="00F15BC5"/>
    <w:rsid w:val="00F15DCF"/>
    <w:rsid w:val="00F15E2F"/>
    <w:rsid w:val="00F16B1B"/>
    <w:rsid w:val="00F16B7A"/>
    <w:rsid w:val="00F17BD1"/>
    <w:rsid w:val="00F17BDD"/>
    <w:rsid w:val="00F20333"/>
    <w:rsid w:val="00F205F9"/>
    <w:rsid w:val="00F20AC5"/>
    <w:rsid w:val="00F21CDB"/>
    <w:rsid w:val="00F22705"/>
    <w:rsid w:val="00F229ED"/>
    <w:rsid w:val="00F2307A"/>
    <w:rsid w:val="00F23197"/>
    <w:rsid w:val="00F2463D"/>
    <w:rsid w:val="00F246EB"/>
    <w:rsid w:val="00F25472"/>
    <w:rsid w:val="00F25847"/>
    <w:rsid w:val="00F25C4D"/>
    <w:rsid w:val="00F26419"/>
    <w:rsid w:val="00F26496"/>
    <w:rsid w:val="00F265E3"/>
    <w:rsid w:val="00F2663A"/>
    <w:rsid w:val="00F26A7F"/>
    <w:rsid w:val="00F26B75"/>
    <w:rsid w:val="00F275AF"/>
    <w:rsid w:val="00F276A8"/>
    <w:rsid w:val="00F27C21"/>
    <w:rsid w:val="00F27FC0"/>
    <w:rsid w:val="00F302B7"/>
    <w:rsid w:val="00F30326"/>
    <w:rsid w:val="00F30353"/>
    <w:rsid w:val="00F30AC6"/>
    <w:rsid w:val="00F30F4B"/>
    <w:rsid w:val="00F325AD"/>
    <w:rsid w:val="00F32C0F"/>
    <w:rsid w:val="00F32F55"/>
    <w:rsid w:val="00F3383B"/>
    <w:rsid w:val="00F34507"/>
    <w:rsid w:val="00F34621"/>
    <w:rsid w:val="00F3481E"/>
    <w:rsid w:val="00F3486B"/>
    <w:rsid w:val="00F3502A"/>
    <w:rsid w:val="00F35652"/>
    <w:rsid w:val="00F3630D"/>
    <w:rsid w:val="00F36373"/>
    <w:rsid w:val="00F3715C"/>
    <w:rsid w:val="00F3718D"/>
    <w:rsid w:val="00F371B3"/>
    <w:rsid w:val="00F37422"/>
    <w:rsid w:val="00F3753F"/>
    <w:rsid w:val="00F40007"/>
    <w:rsid w:val="00F4012C"/>
    <w:rsid w:val="00F40767"/>
    <w:rsid w:val="00F41339"/>
    <w:rsid w:val="00F41C11"/>
    <w:rsid w:val="00F41C39"/>
    <w:rsid w:val="00F421E7"/>
    <w:rsid w:val="00F44931"/>
    <w:rsid w:val="00F4583E"/>
    <w:rsid w:val="00F46534"/>
    <w:rsid w:val="00F46C63"/>
    <w:rsid w:val="00F47E09"/>
    <w:rsid w:val="00F50ABE"/>
    <w:rsid w:val="00F50C3B"/>
    <w:rsid w:val="00F51252"/>
    <w:rsid w:val="00F51549"/>
    <w:rsid w:val="00F515C6"/>
    <w:rsid w:val="00F52075"/>
    <w:rsid w:val="00F524FC"/>
    <w:rsid w:val="00F52B2A"/>
    <w:rsid w:val="00F53227"/>
    <w:rsid w:val="00F53B81"/>
    <w:rsid w:val="00F53C7B"/>
    <w:rsid w:val="00F541E6"/>
    <w:rsid w:val="00F5423B"/>
    <w:rsid w:val="00F5456A"/>
    <w:rsid w:val="00F550BA"/>
    <w:rsid w:val="00F55150"/>
    <w:rsid w:val="00F55A1D"/>
    <w:rsid w:val="00F55DAF"/>
    <w:rsid w:val="00F55EAA"/>
    <w:rsid w:val="00F561CC"/>
    <w:rsid w:val="00F56B8C"/>
    <w:rsid w:val="00F56CE3"/>
    <w:rsid w:val="00F56D68"/>
    <w:rsid w:val="00F56EA2"/>
    <w:rsid w:val="00F57344"/>
    <w:rsid w:val="00F57EDC"/>
    <w:rsid w:val="00F57FFA"/>
    <w:rsid w:val="00F601A5"/>
    <w:rsid w:val="00F6056C"/>
    <w:rsid w:val="00F61449"/>
    <w:rsid w:val="00F61CD8"/>
    <w:rsid w:val="00F625FA"/>
    <w:rsid w:val="00F627B9"/>
    <w:rsid w:val="00F62D6F"/>
    <w:rsid w:val="00F63274"/>
    <w:rsid w:val="00F633FB"/>
    <w:rsid w:val="00F636ED"/>
    <w:rsid w:val="00F63742"/>
    <w:rsid w:val="00F637BD"/>
    <w:rsid w:val="00F640BE"/>
    <w:rsid w:val="00F648FF"/>
    <w:rsid w:val="00F64B55"/>
    <w:rsid w:val="00F660B2"/>
    <w:rsid w:val="00F66D90"/>
    <w:rsid w:val="00F67C2F"/>
    <w:rsid w:val="00F67E33"/>
    <w:rsid w:val="00F7045A"/>
    <w:rsid w:val="00F706A5"/>
    <w:rsid w:val="00F70A52"/>
    <w:rsid w:val="00F710D4"/>
    <w:rsid w:val="00F71423"/>
    <w:rsid w:val="00F71D20"/>
    <w:rsid w:val="00F725FF"/>
    <w:rsid w:val="00F72779"/>
    <w:rsid w:val="00F728DD"/>
    <w:rsid w:val="00F739DC"/>
    <w:rsid w:val="00F73F6E"/>
    <w:rsid w:val="00F74458"/>
    <w:rsid w:val="00F750A8"/>
    <w:rsid w:val="00F761BF"/>
    <w:rsid w:val="00F7640B"/>
    <w:rsid w:val="00F769B0"/>
    <w:rsid w:val="00F7714F"/>
    <w:rsid w:val="00F77399"/>
    <w:rsid w:val="00F77603"/>
    <w:rsid w:val="00F80A81"/>
    <w:rsid w:val="00F8170B"/>
    <w:rsid w:val="00F821E5"/>
    <w:rsid w:val="00F82544"/>
    <w:rsid w:val="00F8280E"/>
    <w:rsid w:val="00F83290"/>
    <w:rsid w:val="00F83987"/>
    <w:rsid w:val="00F83A3F"/>
    <w:rsid w:val="00F83E1E"/>
    <w:rsid w:val="00F840D0"/>
    <w:rsid w:val="00F840F4"/>
    <w:rsid w:val="00F8435B"/>
    <w:rsid w:val="00F846C3"/>
    <w:rsid w:val="00F85120"/>
    <w:rsid w:val="00F85620"/>
    <w:rsid w:val="00F8668F"/>
    <w:rsid w:val="00F86E19"/>
    <w:rsid w:val="00F87AE8"/>
    <w:rsid w:val="00F87F01"/>
    <w:rsid w:val="00F908B2"/>
    <w:rsid w:val="00F908D5"/>
    <w:rsid w:val="00F90E47"/>
    <w:rsid w:val="00F91E8C"/>
    <w:rsid w:val="00F91EEA"/>
    <w:rsid w:val="00F91F3A"/>
    <w:rsid w:val="00F93452"/>
    <w:rsid w:val="00F938F5"/>
    <w:rsid w:val="00F93D82"/>
    <w:rsid w:val="00F94F63"/>
    <w:rsid w:val="00F95D41"/>
    <w:rsid w:val="00F95D44"/>
    <w:rsid w:val="00F95F3A"/>
    <w:rsid w:val="00F96022"/>
    <w:rsid w:val="00F96867"/>
    <w:rsid w:val="00F96BE2"/>
    <w:rsid w:val="00F96BE6"/>
    <w:rsid w:val="00F96C3C"/>
    <w:rsid w:val="00F977DB"/>
    <w:rsid w:val="00FA0684"/>
    <w:rsid w:val="00FA1544"/>
    <w:rsid w:val="00FA1784"/>
    <w:rsid w:val="00FA1C8D"/>
    <w:rsid w:val="00FA2D69"/>
    <w:rsid w:val="00FA2EEE"/>
    <w:rsid w:val="00FA3250"/>
    <w:rsid w:val="00FA37EA"/>
    <w:rsid w:val="00FA3AA2"/>
    <w:rsid w:val="00FA402D"/>
    <w:rsid w:val="00FA4358"/>
    <w:rsid w:val="00FA4CF3"/>
    <w:rsid w:val="00FA558E"/>
    <w:rsid w:val="00FA584E"/>
    <w:rsid w:val="00FA588B"/>
    <w:rsid w:val="00FA62A4"/>
    <w:rsid w:val="00FA6930"/>
    <w:rsid w:val="00FA6B45"/>
    <w:rsid w:val="00FA6F2B"/>
    <w:rsid w:val="00FA71A6"/>
    <w:rsid w:val="00FA723E"/>
    <w:rsid w:val="00FA751D"/>
    <w:rsid w:val="00FA797E"/>
    <w:rsid w:val="00FA79D7"/>
    <w:rsid w:val="00FA7A6B"/>
    <w:rsid w:val="00FA7C63"/>
    <w:rsid w:val="00FB00AE"/>
    <w:rsid w:val="00FB0B54"/>
    <w:rsid w:val="00FB211E"/>
    <w:rsid w:val="00FB245B"/>
    <w:rsid w:val="00FB344C"/>
    <w:rsid w:val="00FB3CD4"/>
    <w:rsid w:val="00FB3DBD"/>
    <w:rsid w:val="00FB3FE7"/>
    <w:rsid w:val="00FB4112"/>
    <w:rsid w:val="00FB41FC"/>
    <w:rsid w:val="00FB4826"/>
    <w:rsid w:val="00FB4CA8"/>
    <w:rsid w:val="00FB4CF2"/>
    <w:rsid w:val="00FB5329"/>
    <w:rsid w:val="00FB5529"/>
    <w:rsid w:val="00FB57B0"/>
    <w:rsid w:val="00FB694F"/>
    <w:rsid w:val="00FB74AA"/>
    <w:rsid w:val="00FB79A5"/>
    <w:rsid w:val="00FB79AE"/>
    <w:rsid w:val="00FB7B6F"/>
    <w:rsid w:val="00FC065C"/>
    <w:rsid w:val="00FC0D35"/>
    <w:rsid w:val="00FC1665"/>
    <w:rsid w:val="00FC189D"/>
    <w:rsid w:val="00FC1927"/>
    <w:rsid w:val="00FC2EF6"/>
    <w:rsid w:val="00FC2FB1"/>
    <w:rsid w:val="00FC3A74"/>
    <w:rsid w:val="00FC3EEB"/>
    <w:rsid w:val="00FC3F5D"/>
    <w:rsid w:val="00FC48DF"/>
    <w:rsid w:val="00FC5529"/>
    <w:rsid w:val="00FC5657"/>
    <w:rsid w:val="00FC5B5B"/>
    <w:rsid w:val="00FC609A"/>
    <w:rsid w:val="00FC6634"/>
    <w:rsid w:val="00FC69FC"/>
    <w:rsid w:val="00FC76E7"/>
    <w:rsid w:val="00FC7848"/>
    <w:rsid w:val="00FD020F"/>
    <w:rsid w:val="00FD0390"/>
    <w:rsid w:val="00FD0A46"/>
    <w:rsid w:val="00FD0AB1"/>
    <w:rsid w:val="00FD0BFA"/>
    <w:rsid w:val="00FD0FB2"/>
    <w:rsid w:val="00FD155D"/>
    <w:rsid w:val="00FD1CA1"/>
    <w:rsid w:val="00FD224B"/>
    <w:rsid w:val="00FD23B0"/>
    <w:rsid w:val="00FD24C8"/>
    <w:rsid w:val="00FD2773"/>
    <w:rsid w:val="00FD2809"/>
    <w:rsid w:val="00FD2921"/>
    <w:rsid w:val="00FD292D"/>
    <w:rsid w:val="00FD36C5"/>
    <w:rsid w:val="00FD3B07"/>
    <w:rsid w:val="00FD43CA"/>
    <w:rsid w:val="00FD6B52"/>
    <w:rsid w:val="00FD7622"/>
    <w:rsid w:val="00FE0507"/>
    <w:rsid w:val="00FE0E4E"/>
    <w:rsid w:val="00FE1566"/>
    <w:rsid w:val="00FE22D8"/>
    <w:rsid w:val="00FE23AC"/>
    <w:rsid w:val="00FE2A17"/>
    <w:rsid w:val="00FE2C3E"/>
    <w:rsid w:val="00FE34E1"/>
    <w:rsid w:val="00FE3B46"/>
    <w:rsid w:val="00FE42BE"/>
    <w:rsid w:val="00FE520A"/>
    <w:rsid w:val="00FE53D1"/>
    <w:rsid w:val="00FE7179"/>
    <w:rsid w:val="00FE7242"/>
    <w:rsid w:val="00FE7AC6"/>
    <w:rsid w:val="00FE7CE0"/>
    <w:rsid w:val="00FF09B8"/>
    <w:rsid w:val="00FF0B00"/>
    <w:rsid w:val="00FF16BA"/>
    <w:rsid w:val="00FF23E3"/>
    <w:rsid w:val="00FF2641"/>
    <w:rsid w:val="00FF29F5"/>
    <w:rsid w:val="00FF2F19"/>
    <w:rsid w:val="00FF33B8"/>
    <w:rsid w:val="00FF41A1"/>
    <w:rsid w:val="00FF4826"/>
    <w:rsid w:val="00FF4850"/>
    <w:rsid w:val="00FF4AE2"/>
    <w:rsid w:val="00FF5593"/>
    <w:rsid w:val="00FF5A1C"/>
    <w:rsid w:val="00FF5F01"/>
    <w:rsid w:val="00FF6065"/>
    <w:rsid w:val="00FF64D0"/>
    <w:rsid w:val="00FF64E7"/>
    <w:rsid w:val="00FF6BDB"/>
    <w:rsid w:val="00FF6D83"/>
    <w:rsid w:val="00FF6DC9"/>
    <w:rsid w:val="00FF7C49"/>
    <w:rsid w:val="00FF7E75"/>
    <w:rsid w:val="00FF7E9B"/>
    <w:rsid w:val="06D535A2"/>
    <w:rsid w:val="06F92044"/>
    <w:rsid w:val="16BD3C48"/>
    <w:rsid w:val="18593B69"/>
    <w:rsid w:val="1AA2034B"/>
    <w:rsid w:val="1B420535"/>
    <w:rsid w:val="242B38C5"/>
    <w:rsid w:val="2687726D"/>
    <w:rsid w:val="27154BF3"/>
    <w:rsid w:val="2778783B"/>
    <w:rsid w:val="277E0D9B"/>
    <w:rsid w:val="33510D04"/>
    <w:rsid w:val="3FC36CCA"/>
    <w:rsid w:val="455B255E"/>
    <w:rsid w:val="483F781D"/>
    <w:rsid w:val="4A532BEB"/>
    <w:rsid w:val="4B890AEE"/>
    <w:rsid w:val="61150E4A"/>
    <w:rsid w:val="63C9590E"/>
    <w:rsid w:val="681D2E1D"/>
    <w:rsid w:val="720700A8"/>
    <w:rsid w:val="7459068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9"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0" w:semiHidden="0" w:name="footer"/>
    <w:lsdException w:uiPriority="99" w:name="index heading"/>
    <w:lsdException w:qFormat="1" w:uiPriority="99"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name="Title"/>
    <w:lsdException w:uiPriority="99" w:name="Closing"/>
    <w:lsdException w:uiPriority="99" w:name="Signature"/>
    <w:lsdException w:uiPriority="1" w:semiHidden="0"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uiPriority="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Theme="minorEastAsia" w:cstheme="minorBidi"/>
      <w:kern w:val="2"/>
      <w:sz w:val="24"/>
      <w:szCs w:val="21"/>
      <w:lang w:val="en-US" w:eastAsia="zh-CN" w:bidi="ar-SA"/>
    </w:rPr>
  </w:style>
  <w:style w:type="paragraph" w:styleId="2">
    <w:name w:val="heading 1"/>
    <w:basedOn w:val="3"/>
    <w:next w:val="1"/>
    <w:link w:val="44"/>
    <w:qFormat/>
    <w:uiPriority w:val="9"/>
    <w:pPr>
      <w:keepNext/>
      <w:keepLines/>
      <w:numPr>
        <w:ilvl w:val="0"/>
        <w:numId w:val="1"/>
      </w:numPr>
      <w:spacing w:before="0" w:after="0"/>
      <w:jc w:val="left"/>
    </w:pPr>
    <w:rPr>
      <w:rFonts w:ascii="Times New Roman" w:hAnsi="Times New Roman"/>
      <w:bCs w:val="0"/>
      <w:kern w:val="44"/>
      <w:sz w:val="30"/>
      <w:szCs w:val="44"/>
    </w:rPr>
  </w:style>
  <w:style w:type="paragraph" w:styleId="4">
    <w:name w:val="heading 2"/>
    <w:basedOn w:val="3"/>
    <w:next w:val="1"/>
    <w:link w:val="45"/>
    <w:unhideWhenUsed/>
    <w:qFormat/>
    <w:uiPriority w:val="9"/>
    <w:pPr>
      <w:keepLines/>
      <w:numPr>
        <w:ilvl w:val="1"/>
        <w:numId w:val="1"/>
      </w:numPr>
      <w:spacing w:before="0" w:after="0" w:line="360" w:lineRule="auto"/>
      <w:jc w:val="left"/>
      <w:outlineLvl w:val="1"/>
    </w:pPr>
    <w:rPr>
      <w:rFonts w:ascii="Times New Roman" w:hAnsi="Times New Roman"/>
      <w:bCs w:val="0"/>
      <w:sz w:val="28"/>
    </w:rPr>
  </w:style>
  <w:style w:type="paragraph" w:styleId="5">
    <w:name w:val="heading 3"/>
    <w:basedOn w:val="3"/>
    <w:next w:val="1"/>
    <w:link w:val="46"/>
    <w:unhideWhenUsed/>
    <w:qFormat/>
    <w:uiPriority w:val="9"/>
    <w:pPr>
      <w:keepNext/>
      <w:keepLines/>
      <w:numPr>
        <w:ilvl w:val="2"/>
        <w:numId w:val="1"/>
      </w:numPr>
      <w:adjustRightInd w:val="0"/>
      <w:snapToGrid w:val="0"/>
      <w:spacing w:before="0" w:after="0" w:line="360" w:lineRule="auto"/>
      <w:jc w:val="left"/>
      <w:outlineLvl w:val="2"/>
    </w:pPr>
    <w:rPr>
      <w:rFonts w:ascii="Times New Roman" w:hAnsi="Times New Roman"/>
      <w:bCs w:val="0"/>
      <w:sz w:val="24"/>
    </w:rPr>
  </w:style>
  <w:style w:type="paragraph" w:styleId="6">
    <w:name w:val="heading 4"/>
    <w:basedOn w:val="1"/>
    <w:next w:val="1"/>
    <w:link w:val="47"/>
    <w:unhideWhenUsed/>
    <w:qFormat/>
    <w:uiPriority w:val="9"/>
    <w:pPr>
      <w:keepNext/>
      <w:keepLines/>
      <w:numPr>
        <w:ilvl w:val="3"/>
        <w:numId w:val="1"/>
      </w:numPr>
      <w:spacing w:line="360" w:lineRule="auto"/>
      <w:ind w:left="1006"/>
      <w:outlineLvl w:val="3"/>
    </w:pPr>
    <w:rPr>
      <w:rFonts w:cstheme="majorBidi"/>
      <w:b/>
      <w:bCs/>
      <w:szCs w:val="28"/>
    </w:rPr>
  </w:style>
  <w:style w:type="paragraph" w:styleId="7">
    <w:name w:val="heading 5"/>
    <w:basedOn w:val="1"/>
    <w:next w:val="1"/>
    <w:link w:val="48"/>
    <w:semiHidden/>
    <w:qFormat/>
    <w:uiPriority w:val="9"/>
    <w:pPr>
      <w:keepNext/>
      <w:keepLines/>
      <w:numPr>
        <w:ilvl w:val="4"/>
        <w:numId w:val="1"/>
      </w:numPr>
      <w:spacing w:before="280" w:after="290" w:line="376" w:lineRule="auto"/>
      <w:outlineLvl w:val="4"/>
    </w:pPr>
    <w:rPr>
      <w:b/>
      <w:bCs/>
      <w:sz w:val="28"/>
      <w:szCs w:val="28"/>
    </w:rPr>
  </w:style>
  <w:style w:type="paragraph" w:styleId="8">
    <w:name w:val="heading 6"/>
    <w:basedOn w:val="1"/>
    <w:next w:val="1"/>
    <w:link w:val="49"/>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Cs w:val="24"/>
    </w:rPr>
  </w:style>
  <w:style w:type="paragraph" w:styleId="9">
    <w:name w:val="heading 7"/>
    <w:basedOn w:val="1"/>
    <w:next w:val="1"/>
    <w:link w:val="50"/>
    <w:unhideWhenUsed/>
    <w:qFormat/>
    <w:uiPriority w:val="9"/>
    <w:pPr>
      <w:keepNext/>
      <w:keepLines/>
      <w:numPr>
        <w:ilvl w:val="6"/>
        <w:numId w:val="1"/>
      </w:numPr>
      <w:spacing w:before="240" w:after="64" w:line="320" w:lineRule="auto"/>
      <w:outlineLvl w:val="6"/>
    </w:pPr>
    <w:rPr>
      <w:b/>
      <w:bCs/>
      <w:szCs w:val="24"/>
    </w:rPr>
  </w:style>
  <w:style w:type="paragraph" w:styleId="10">
    <w:name w:val="heading 8"/>
    <w:basedOn w:val="1"/>
    <w:next w:val="1"/>
    <w:link w:val="51"/>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Cs w:val="24"/>
    </w:rPr>
  </w:style>
  <w:style w:type="paragraph" w:styleId="11">
    <w:name w:val="heading 9"/>
    <w:basedOn w:val="1"/>
    <w:next w:val="1"/>
    <w:link w:val="52"/>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rPr>
  </w:style>
  <w:style w:type="character" w:default="1" w:styleId="41">
    <w:name w:val="Default Paragraph Font"/>
    <w:unhideWhenUsed/>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3">
    <w:name w:val="Title"/>
    <w:basedOn w:val="1"/>
    <w:next w:val="1"/>
    <w:link w:val="53"/>
    <w:semiHidden/>
    <w:qFormat/>
    <w:uiPriority w:val="0"/>
    <w:pPr>
      <w:spacing w:before="240" w:after="60"/>
      <w:jc w:val="center"/>
      <w:outlineLvl w:val="0"/>
    </w:pPr>
    <w:rPr>
      <w:rFonts w:eastAsia="宋体" w:asciiTheme="majorHAnsi" w:hAnsiTheme="majorHAnsi" w:cstheme="majorBidi"/>
      <w:b/>
      <w:bCs/>
      <w:sz w:val="32"/>
      <w:szCs w:val="32"/>
    </w:rPr>
  </w:style>
  <w:style w:type="paragraph" w:styleId="12">
    <w:name w:val="toc 7"/>
    <w:basedOn w:val="1"/>
    <w:next w:val="1"/>
    <w:unhideWhenUsed/>
    <w:qFormat/>
    <w:uiPriority w:val="39"/>
    <w:pPr>
      <w:ind w:left="1440"/>
      <w:jc w:val="left"/>
    </w:pPr>
    <w:rPr>
      <w:rFonts w:asciiTheme="minorHAnsi" w:hAnsiTheme="minorHAnsi"/>
      <w:sz w:val="20"/>
      <w:szCs w:val="20"/>
    </w:rPr>
  </w:style>
  <w:style w:type="paragraph" w:styleId="13">
    <w:name w:val="Normal Indent"/>
    <w:basedOn w:val="1"/>
    <w:link w:val="66"/>
    <w:qFormat/>
    <w:uiPriority w:val="0"/>
    <w:pPr>
      <w:ind w:firstLine="560" w:firstLineChars="200"/>
    </w:pPr>
    <w:rPr>
      <w:rFonts w:eastAsia="宋体" w:asciiTheme="minorHAnsi" w:hAnsiTheme="minorHAnsi"/>
      <w:sz w:val="28"/>
    </w:rPr>
  </w:style>
  <w:style w:type="paragraph" w:styleId="14">
    <w:name w:val="caption"/>
    <w:basedOn w:val="1"/>
    <w:next w:val="1"/>
    <w:link w:val="71"/>
    <w:unhideWhenUsed/>
    <w:qFormat/>
    <w:uiPriority w:val="99"/>
    <w:pPr>
      <w:spacing w:line="360" w:lineRule="auto"/>
      <w:jc w:val="center"/>
    </w:pPr>
    <w:rPr>
      <w:rFonts w:eastAsia="宋体" w:cstheme="majorBidi"/>
      <w:b/>
      <w:szCs w:val="20"/>
    </w:rPr>
  </w:style>
  <w:style w:type="paragraph" w:styleId="15">
    <w:name w:val="Document Map"/>
    <w:basedOn w:val="1"/>
    <w:link w:val="65"/>
    <w:semiHidden/>
    <w:unhideWhenUsed/>
    <w:qFormat/>
    <w:uiPriority w:val="99"/>
    <w:rPr>
      <w:rFonts w:ascii="宋体" w:eastAsia="宋体"/>
      <w:sz w:val="18"/>
      <w:szCs w:val="18"/>
    </w:rPr>
  </w:style>
  <w:style w:type="paragraph" w:styleId="16">
    <w:name w:val="annotation text"/>
    <w:basedOn w:val="1"/>
    <w:link w:val="74"/>
    <w:unhideWhenUsed/>
    <w:qFormat/>
    <w:uiPriority w:val="99"/>
    <w:pPr>
      <w:jc w:val="left"/>
    </w:pPr>
  </w:style>
  <w:style w:type="paragraph" w:styleId="17">
    <w:name w:val="Body Text"/>
    <w:basedOn w:val="1"/>
    <w:link w:val="79"/>
    <w:unhideWhenUsed/>
    <w:qFormat/>
    <w:uiPriority w:val="99"/>
    <w:pPr>
      <w:spacing w:after="120"/>
    </w:pPr>
  </w:style>
  <w:style w:type="paragraph" w:styleId="18">
    <w:name w:val="Body Text Indent"/>
    <w:basedOn w:val="1"/>
    <w:link w:val="60"/>
    <w:unhideWhenUsed/>
    <w:qFormat/>
    <w:uiPriority w:val="99"/>
    <w:pPr>
      <w:spacing w:line="360" w:lineRule="auto"/>
      <w:ind w:firstLine="480"/>
    </w:pPr>
    <w:rPr>
      <w:rFonts w:ascii="宋体" w:hAnsi="宋体" w:eastAsia="宋体" w:cs="Times New Roman"/>
      <w:color w:val="FF6600"/>
      <w:szCs w:val="24"/>
    </w:rPr>
  </w:style>
  <w:style w:type="paragraph" w:styleId="19">
    <w:name w:val="List 2"/>
    <w:basedOn w:val="1"/>
    <w:qFormat/>
    <w:uiPriority w:val="0"/>
    <w:pPr>
      <w:adjustRightInd w:val="0"/>
      <w:snapToGrid w:val="0"/>
      <w:spacing w:line="360" w:lineRule="auto"/>
      <w:ind w:left="100" w:leftChars="200" w:hanging="200" w:hangingChars="200"/>
    </w:pPr>
    <w:rPr>
      <w:rFonts w:eastAsia="宋体" w:cs="Times New Roman"/>
      <w:szCs w:val="24"/>
    </w:rPr>
  </w:style>
  <w:style w:type="paragraph" w:styleId="20">
    <w:name w:val="toc 5"/>
    <w:basedOn w:val="1"/>
    <w:next w:val="1"/>
    <w:unhideWhenUsed/>
    <w:qFormat/>
    <w:uiPriority w:val="39"/>
    <w:pPr>
      <w:ind w:left="960"/>
      <w:jc w:val="left"/>
    </w:pPr>
    <w:rPr>
      <w:rFonts w:asciiTheme="minorHAnsi" w:hAnsiTheme="minorHAnsi"/>
      <w:sz w:val="20"/>
      <w:szCs w:val="20"/>
    </w:rPr>
  </w:style>
  <w:style w:type="paragraph" w:styleId="21">
    <w:name w:val="toc 3"/>
    <w:basedOn w:val="1"/>
    <w:next w:val="1"/>
    <w:unhideWhenUsed/>
    <w:qFormat/>
    <w:uiPriority w:val="39"/>
    <w:pPr>
      <w:ind w:left="480"/>
      <w:jc w:val="left"/>
    </w:pPr>
    <w:rPr>
      <w:rFonts w:asciiTheme="minorHAnsi" w:hAnsiTheme="minorHAnsi"/>
      <w:sz w:val="20"/>
      <w:szCs w:val="20"/>
    </w:rPr>
  </w:style>
  <w:style w:type="paragraph" w:styleId="22">
    <w:name w:val="Plain Text"/>
    <w:basedOn w:val="1"/>
    <w:link w:val="58"/>
    <w:unhideWhenUsed/>
    <w:qFormat/>
    <w:uiPriority w:val="99"/>
    <w:rPr>
      <w:rFonts w:ascii="宋体" w:hAnsi="Courier New" w:eastAsia="宋体" w:cs="Times New Roman"/>
      <w:sz w:val="21"/>
      <w:szCs w:val="20"/>
    </w:rPr>
  </w:style>
  <w:style w:type="paragraph" w:styleId="23">
    <w:name w:val="toc 8"/>
    <w:basedOn w:val="1"/>
    <w:next w:val="1"/>
    <w:unhideWhenUsed/>
    <w:qFormat/>
    <w:uiPriority w:val="39"/>
    <w:pPr>
      <w:ind w:left="1680"/>
      <w:jc w:val="left"/>
    </w:pPr>
    <w:rPr>
      <w:rFonts w:asciiTheme="minorHAnsi" w:hAnsiTheme="minorHAnsi"/>
      <w:sz w:val="20"/>
      <w:szCs w:val="20"/>
    </w:rPr>
  </w:style>
  <w:style w:type="paragraph" w:styleId="24">
    <w:name w:val="Date"/>
    <w:basedOn w:val="1"/>
    <w:next w:val="1"/>
    <w:qFormat/>
    <w:uiPriority w:val="0"/>
    <w:pPr>
      <w:ind w:left="100" w:leftChars="2500"/>
    </w:pPr>
  </w:style>
  <w:style w:type="paragraph" w:styleId="25">
    <w:name w:val="Body Text Indent 2"/>
    <w:basedOn w:val="1"/>
    <w:link w:val="158"/>
    <w:qFormat/>
    <w:uiPriority w:val="0"/>
    <w:pPr>
      <w:spacing w:after="120" w:line="480" w:lineRule="auto"/>
      <w:ind w:left="420" w:leftChars="200"/>
    </w:pPr>
    <w:rPr>
      <w:rFonts w:ascii="Calibri" w:hAnsi="Calibri" w:eastAsia="宋体" w:cs="Times New Roman"/>
      <w:sz w:val="21"/>
      <w:szCs w:val="20"/>
    </w:rPr>
  </w:style>
  <w:style w:type="paragraph" w:styleId="26">
    <w:name w:val="Balloon Text"/>
    <w:basedOn w:val="1"/>
    <w:link w:val="57"/>
    <w:semiHidden/>
    <w:unhideWhenUsed/>
    <w:qFormat/>
    <w:uiPriority w:val="99"/>
    <w:rPr>
      <w:sz w:val="18"/>
      <w:szCs w:val="18"/>
    </w:rPr>
  </w:style>
  <w:style w:type="paragraph" w:styleId="27">
    <w:name w:val="footer"/>
    <w:basedOn w:val="1"/>
    <w:link w:val="55"/>
    <w:unhideWhenUsed/>
    <w:qFormat/>
    <w:uiPriority w:val="0"/>
    <w:pPr>
      <w:tabs>
        <w:tab w:val="center" w:pos="4153"/>
        <w:tab w:val="right" w:pos="8306"/>
      </w:tabs>
      <w:snapToGrid w:val="0"/>
      <w:jc w:val="left"/>
    </w:pPr>
    <w:rPr>
      <w:sz w:val="18"/>
      <w:szCs w:val="18"/>
    </w:rPr>
  </w:style>
  <w:style w:type="paragraph" w:styleId="28">
    <w:name w:val="header"/>
    <w:basedOn w:val="1"/>
    <w:link w:val="54"/>
    <w:unhideWhenUsed/>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unhideWhenUsed/>
    <w:qFormat/>
    <w:uiPriority w:val="39"/>
    <w:pPr>
      <w:spacing w:before="240" w:after="120"/>
      <w:jc w:val="left"/>
    </w:pPr>
    <w:rPr>
      <w:rFonts w:asciiTheme="minorHAnsi" w:hAnsiTheme="minorHAnsi"/>
      <w:b/>
      <w:bCs/>
      <w:sz w:val="20"/>
      <w:szCs w:val="20"/>
    </w:rPr>
  </w:style>
  <w:style w:type="paragraph" w:styleId="30">
    <w:name w:val="toc 4"/>
    <w:basedOn w:val="1"/>
    <w:next w:val="1"/>
    <w:unhideWhenUsed/>
    <w:qFormat/>
    <w:uiPriority w:val="39"/>
    <w:pPr>
      <w:ind w:left="720"/>
      <w:jc w:val="left"/>
    </w:pPr>
    <w:rPr>
      <w:rFonts w:asciiTheme="minorHAnsi" w:hAnsiTheme="minorHAnsi"/>
      <w:sz w:val="20"/>
      <w:szCs w:val="20"/>
    </w:rPr>
  </w:style>
  <w:style w:type="paragraph" w:styleId="31">
    <w:name w:val="toc 6"/>
    <w:basedOn w:val="1"/>
    <w:next w:val="1"/>
    <w:unhideWhenUsed/>
    <w:qFormat/>
    <w:uiPriority w:val="39"/>
    <w:pPr>
      <w:ind w:left="1200"/>
      <w:jc w:val="left"/>
    </w:pPr>
    <w:rPr>
      <w:rFonts w:asciiTheme="minorHAnsi" w:hAnsiTheme="minorHAnsi"/>
      <w:sz w:val="20"/>
      <w:szCs w:val="20"/>
    </w:rPr>
  </w:style>
  <w:style w:type="paragraph" w:styleId="32">
    <w:name w:val="toc 2"/>
    <w:basedOn w:val="1"/>
    <w:next w:val="1"/>
    <w:unhideWhenUsed/>
    <w:qFormat/>
    <w:uiPriority w:val="39"/>
    <w:pPr>
      <w:spacing w:before="120"/>
      <w:ind w:left="240"/>
      <w:jc w:val="left"/>
    </w:pPr>
    <w:rPr>
      <w:rFonts w:asciiTheme="minorHAnsi" w:hAnsiTheme="minorHAnsi"/>
      <w:i/>
      <w:iCs/>
      <w:sz w:val="20"/>
      <w:szCs w:val="20"/>
    </w:rPr>
  </w:style>
  <w:style w:type="paragraph" w:styleId="33">
    <w:name w:val="toc 9"/>
    <w:basedOn w:val="1"/>
    <w:next w:val="1"/>
    <w:unhideWhenUsed/>
    <w:qFormat/>
    <w:uiPriority w:val="39"/>
    <w:pPr>
      <w:ind w:left="1920"/>
      <w:jc w:val="left"/>
    </w:pPr>
    <w:rPr>
      <w:rFonts w:asciiTheme="minorHAnsi" w:hAnsiTheme="minorHAnsi"/>
      <w:sz w:val="20"/>
      <w:szCs w:val="20"/>
    </w:rPr>
  </w:style>
  <w:style w:type="paragraph" w:styleId="34">
    <w:name w:val="Body Text 2"/>
    <w:basedOn w:val="1"/>
    <w:link w:val="89"/>
    <w:qFormat/>
    <w:uiPriority w:val="0"/>
    <w:pPr>
      <w:adjustRightInd w:val="0"/>
      <w:snapToGrid w:val="0"/>
      <w:spacing w:after="120" w:line="480" w:lineRule="auto"/>
      <w:ind w:firstLine="200" w:firstLineChars="200"/>
    </w:pPr>
    <w:rPr>
      <w:rFonts w:eastAsia="宋体" w:cs="Times New Roman"/>
      <w:szCs w:val="24"/>
    </w:rPr>
  </w:style>
  <w:style w:type="paragraph" w:styleId="35">
    <w:name w:val="Normal (Web)"/>
    <w:basedOn w:val="1"/>
    <w:unhideWhenUsed/>
    <w:qFormat/>
    <w:uiPriority w:val="99"/>
    <w:pPr>
      <w:widowControl/>
      <w:spacing w:before="100" w:beforeAutospacing="1" w:after="100" w:afterAutospacing="1"/>
      <w:jc w:val="left"/>
    </w:pPr>
    <w:rPr>
      <w:rFonts w:ascii="宋体" w:hAnsi="宋体" w:eastAsia="宋体" w:cs="宋体"/>
      <w:kern w:val="0"/>
      <w:szCs w:val="24"/>
    </w:rPr>
  </w:style>
  <w:style w:type="paragraph" w:styleId="36">
    <w:name w:val="index 1"/>
    <w:basedOn w:val="1"/>
    <w:next w:val="1"/>
    <w:qFormat/>
    <w:uiPriority w:val="0"/>
    <w:rPr>
      <w:rFonts w:eastAsia="宋体" w:cs="Times New Roman"/>
      <w:sz w:val="21"/>
      <w:szCs w:val="24"/>
    </w:rPr>
  </w:style>
  <w:style w:type="paragraph" w:styleId="37">
    <w:name w:val="annotation subject"/>
    <w:basedOn w:val="16"/>
    <w:next w:val="16"/>
    <w:link w:val="75"/>
    <w:semiHidden/>
    <w:unhideWhenUsed/>
    <w:qFormat/>
    <w:uiPriority w:val="99"/>
    <w:rPr>
      <w:b/>
      <w:bCs/>
    </w:rPr>
  </w:style>
  <w:style w:type="paragraph" w:styleId="38">
    <w:name w:val="Body Text First Indent"/>
    <w:basedOn w:val="17"/>
    <w:link w:val="80"/>
    <w:unhideWhenUsed/>
    <w:qFormat/>
    <w:uiPriority w:val="99"/>
    <w:pPr>
      <w:ind w:firstLine="420" w:firstLineChars="100"/>
    </w:pPr>
  </w:style>
  <w:style w:type="table" w:styleId="40">
    <w:name w:val="Table Grid"/>
    <w:basedOn w:val="3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2">
    <w:name w:val="Hyperlink"/>
    <w:basedOn w:val="41"/>
    <w:unhideWhenUsed/>
    <w:qFormat/>
    <w:uiPriority w:val="99"/>
    <w:rPr>
      <w:color w:val="0000FF" w:themeColor="hyperlink"/>
      <w:u w:val="single"/>
    </w:rPr>
  </w:style>
  <w:style w:type="character" w:styleId="43">
    <w:name w:val="annotation reference"/>
    <w:basedOn w:val="41"/>
    <w:unhideWhenUsed/>
    <w:qFormat/>
    <w:uiPriority w:val="0"/>
    <w:rPr>
      <w:sz w:val="21"/>
      <w:szCs w:val="21"/>
    </w:rPr>
  </w:style>
  <w:style w:type="character" w:customStyle="1" w:styleId="44">
    <w:name w:val="标题 1 Char"/>
    <w:basedOn w:val="41"/>
    <w:link w:val="2"/>
    <w:qFormat/>
    <w:uiPriority w:val="9"/>
    <w:rPr>
      <w:rFonts w:ascii="Times New Roman" w:hAnsi="Times New Roman" w:eastAsia="宋体" w:cstheme="majorBidi"/>
      <w:b/>
      <w:kern w:val="44"/>
      <w:sz w:val="30"/>
      <w:szCs w:val="44"/>
    </w:rPr>
  </w:style>
  <w:style w:type="character" w:customStyle="1" w:styleId="45">
    <w:name w:val="标题 2 Char"/>
    <w:basedOn w:val="41"/>
    <w:link w:val="4"/>
    <w:qFormat/>
    <w:uiPriority w:val="9"/>
    <w:rPr>
      <w:rFonts w:ascii="Times New Roman" w:hAnsi="Times New Roman" w:eastAsia="宋体" w:cstheme="majorBidi"/>
      <w:b/>
      <w:sz w:val="28"/>
      <w:szCs w:val="32"/>
    </w:rPr>
  </w:style>
  <w:style w:type="character" w:customStyle="1" w:styleId="46">
    <w:name w:val="标题 3 Char"/>
    <w:basedOn w:val="41"/>
    <w:link w:val="5"/>
    <w:qFormat/>
    <w:uiPriority w:val="9"/>
    <w:rPr>
      <w:rFonts w:ascii="Times New Roman" w:hAnsi="Times New Roman" w:eastAsia="宋体" w:cstheme="majorBidi"/>
      <w:b/>
      <w:kern w:val="2"/>
      <w:sz w:val="24"/>
      <w:szCs w:val="32"/>
    </w:rPr>
  </w:style>
  <w:style w:type="character" w:customStyle="1" w:styleId="47">
    <w:name w:val="标题 4 Char"/>
    <w:basedOn w:val="41"/>
    <w:link w:val="6"/>
    <w:qFormat/>
    <w:uiPriority w:val="9"/>
    <w:rPr>
      <w:rFonts w:ascii="Times New Roman" w:hAnsi="Times New Roman" w:cstheme="majorBidi"/>
      <w:b/>
      <w:bCs/>
      <w:sz w:val="24"/>
      <w:szCs w:val="28"/>
    </w:rPr>
  </w:style>
  <w:style w:type="character" w:customStyle="1" w:styleId="48">
    <w:name w:val="标题 5 Char"/>
    <w:basedOn w:val="41"/>
    <w:link w:val="7"/>
    <w:semiHidden/>
    <w:qFormat/>
    <w:uiPriority w:val="9"/>
    <w:rPr>
      <w:rFonts w:ascii="Times New Roman" w:hAnsi="Times New Roman"/>
      <w:b/>
      <w:bCs/>
      <w:sz w:val="28"/>
      <w:szCs w:val="28"/>
    </w:rPr>
  </w:style>
  <w:style w:type="character" w:customStyle="1" w:styleId="49">
    <w:name w:val="标题 6 Char"/>
    <w:basedOn w:val="41"/>
    <w:link w:val="8"/>
    <w:qFormat/>
    <w:uiPriority w:val="9"/>
    <w:rPr>
      <w:rFonts w:asciiTheme="majorHAnsi" w:hAnsiTheme="majorHAnsi" w:eastAsiaTheme="majorEastAsia" w:cstheme="majorBidi"/>
      <w:b/>
      <w:bCs/>
      <w:sz w:val="24"/>
      <w:szCs w:val="24"/>
    </w:rPr>
  </w:style>
  <w:style w:type="character" w:customStyle="1" w:styleId="50">
    <w:name w:val="标题 7 Char"/>
    <w:basedOn w:val="41"/>
    <w:link w:val="9"/>
    <w:qFormat/>
    <w:uiPriority w:val="9"/>
    <w:rPr>
      <w:rFonts w:ascii="Times New Roman" w:hAnsi="Times New Roman"/>
      <w:b/>
      <w:bCs/>
      <w:sz w:val="24"/>
      <w:szCs w:val="24"/>
    </w:rPr>
  </w:style>
  <w:style w:type="character" w:customStyle="1" w:styleId="51">
    <w:name w:val="标题 8 Char"/>
    <w:basedOn w:val="41"/>
    <w:link w:val="10"/>
    <w:qFormat/>
    <w:uiPriority w:val="9"/>
    <w:rPr>
      <w:rFonts w:asciiTheme="majorHAnsi" w:hAnsiTheme="majorHAnsi" w:eastAsiaTheme="majorEastAsia" w:cstheme="majorBidi"/>
      <w:sz w:val="24"/>
      <w:szCs w:val="24"/>
    </w:rPr>
  </w:style>
  <w:style w:type="character" w:customStyle="1" w:styleId="52">
    <w:name w:val="标题 9 Char"/>
    <w:basedOn w:val="41"/>
    <w:link w:val="11"/>
    <w:qFormat/>
    <w:uiPriority w:val="9"/>
    <w:rPr>
      <w:rFonts w:asciiTheme="majorHAnsi" w:hAnsiTheme="majorHAnsi" w:eastAsiaTheme="majorEastAsia" w:cstheme="majorBidi"/>
      <w:sz w:val="24"/>
    </w:rPr>
  </w:style>
  <w:style w:type="character" w:customStyle="1" w:styleId="53">
    <w:name w:val="标题 Char"/>
    <w:basedOn w:val="41"/>
    <w:link w:val="3"/>
    <w:semiHidden/>
    <w:qFormat/>
    <w:uiPriority w:val="0"/>
    <w:rPr>
      <w:rFonts w:eastAsia="宋体" w:asciiTheme="majorHAnsi" w:hAnsiTheme="majorHAnsi" w:cstheme="majorBidi"/>
      <w:b/>
      <w:bCs/>
      <w:sz w:val="32"/>
      <w:szCs w:val="32"/>
    </w:rPr>
  </w:style>
  <w:style w:type="character" w:customStyle="1" w:styleId="54">
    <w:name w:val="页眉 Char"/>
    <w:basedOn w:val="41"/>
    <w:link w:val="28"/>
    <w:qFormat/>
    <w:uiPriority w:val="99"/>
    <w:rPr>
      <w:sz w:val="18"/>
      <w:szCs w:val="18"/>
    </w:rPr>
  </w:style>
  <w:style w:type="character" w:customStyle="1" w:styleId="55">
    <w:name w:val="页脚 Char"/>
    <w:basedOn w:val="41"/>
    <w:link w:val="27"/>
    <w:qFormat/>
    <w:uiPriority w:val="99"/>
    <w:rPr>
      <w:sz w:val="18"/>
      <w:szCs w:val="18"/>
    </w:rPr>
  </w:style>
  <w:style w:type="paragraph" w:customStyle="1" w:styleId="56">
    <w:name w:val="标题4"/>
    <w:basedOn w:val="6"/>
    <w:qFormat/>
    <w:uiPriority w:val="0"/>
  </w:style>
  <w:style w:type="character" w:customStyle="1" w:styleId="57">
    <w:name w:val="批注框文本 Char"/>
    <w:basedOn w:val="41"/>
    <w:link w:val="26"/>
    <w:semiHidden/>
    <w:qFormat/>
    <w:uiPriority w:val="99"/>
    <w:rPr>
      <w:rFonts w:ascii="Times New Roman" w:hAnsi="Times New Roman"/>
      <w:sz w:val="18"/>
      <w:szCs w:val="18"/>
    </w:rPr>
  </w:style>
  <w:style w:type="character" w:customStyle="1" w:styleId="58">
    <w:name w:val="纯文本 Char"/>
    <w:basedOn w:val="41"/>
    <w:link w:val="22"/>
    <w:qFormat/>
    <w:uiPriority w:val="99"/>
    <w:rPr>
      <w:rFonts w:ascii="宋体" w:hAnsi="Courier New" w:eastAsia="宋体" w:cs="Times New Roman"/>
      <w:szCs w:val="20"/>
    </w:rPr>
  </w:style>
  <w:style w:type="paragraph" w:customStyle="1" w:styleId="59">
    <w:name w:val="本文正文"/>
    <w:basedOn w:val="1"/>
    <w:qFormat/>
    <w:uiPriority w:val="0"/>
    <w:pPr>
      <w:spacing w:before="156" w:after="156" w:line="360" w:lineRule="auto"/>
      <w:ind w:firstLine="480" w:firstLineChars="200"/>
    </w:pPr>
    <w:rPr>
      <w:rFonts w:ascii="宋体" w:hAnsi="宋体" w:eastAsia="宋体" w:cs="宋体"/>
      <w:szCs w:val="20"/>
    </w:rPr>
  </w:style>
  <w:style w:type="character" w:customStyle="1" w:styleId="60">
    <w:name w:val="正文文本缩进 Char"/>
    <w:basedOn w:val="41"/>
    <w:link w:val="18"/>
    <w:qFormat/>
    <w:uiPriority w:val="99"/>
    <w:rPr>
      <w:rFonts w:ascii="宋体" w:hAnsi="宋体" w:eastAsia="宋体" w:cs="Times New Roman"/>
      <w:color w:val="FF6600"/>
      <w:sz w:val="24"/>
      <w:szCs w:val="24"/>
    </w:rPr>
  </w:style>
  <w:style w:type="paragraph" w:customStyle="1" w:styleId="61">
    <w:name w:val="xl25"/>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eastAsia="宋体" w:cs="Times New Roman"/>
      <w:kern w:val="0"/>
      <w:sz w:val="21"/>
      <w:szCs w:val="20"/>
    </w:rPr>
  </w:style>
  <w:style w:type="character" w:customStyle="1" w:styleId="62">
    <w:name w:val="fontstyle01"/>
    <w:basedOn w:val="41"/>
    <w:qFormat/>
    <w:uiPriority w:val="0"/>
    <w:rPr>
      <w:rFonts w:hint="eastAsia" w:ascii="宋体" w:hAnsi="宋体" w:eastAsia="宋体"/>
      <w:color w:val="000000"/>
      <w:sz w:val="24"/>
      <w:szCs w:val="24"/>
    </w:rPr>
  </w:style>
  <w:style w:type="character" w:customStyle="1" w:styleId="63">
    <w:name w:val="fontstyle21"/>
    <w:basedOn w:val="41"/>
    <w:qFormat/>
    <w:uiPriority w:val="0"/>
    <w:rPr>
      <w:rFonts w:hint="default" w:ascii="TimesNewRomanPSMT" w:hAnsi="TimesNewRomanPSMT"/>
      <w:color w:val="000000"/>
      <w:sz w:val="24"/>
      <w:szCs w:val="24"/>
    </w:rPr>
  </w:style>
  <w:style w:type="paragraph" w:styleId="64">
    <w:name w:val="List Paragraph"/>
    <w:basedOn w:val="1"/>
    <w:qFormat/>
    <w:uiPriority w:val="99"/>
    <w:pPr>
      <w:ind w:firstLine="420" w:firstLineChars="200"/>
    </w:pPr>
  </w:style>
  <w:style w:type="character" w:customStyle="1" w:styleId="65">
    <w:name w:val="文档结构图 Char"/>
    <w:basedOn w:val="41"/>
    <w:link w:val="15"/>
    <w:semiHidden/>
    <w:qFormat/>
    <w:uiPriority w:val="99"/>
    <w:rPr>
      <w:rFonts w:ascii="宋体" w:hAnsi="Times New Roman" w:eastAsia="宋体"/>
      <w:sz w:val="18"/>
      <w:szCs w:val="18"/>
    </w:rPr>
  </w:style>
  <w:style w:type="character" w:customStyle="1" w:styleId="66">
    <w:name w:val="正文缩进 Char"/>
    <w:link w:val="13"/>
    <w:qFormat/>
    <w:uiPriority w:val="0"/>
    <w:rPr>
      <w:rFonts w:eastAsia="宋体"/>
      <w:sz w:val="28"/>
    </w:rPr>
  </w:style>
  <w:style w:type="character" w:customStyle="1" w:styleId="67">
    <w:name w:val="样式2 Char"/>
    <w:basedOn w:val="41"/>
    <w:qFormat/>
    <w:uiPriority w:val="0"/>
    <w:rPr>
      <w:rFonts w:eastAsia="宋体"/>
      <w:kern w:val="2"/>
      <w:sz w:val="24"/>
      <w:szCs w:val="24"/>
      <w:lang w:val="en-US" w:eastAsia="zh-CN" w:bidi="ar-SA"/>
    </w:rPr>
  </w:style>
  <w:style w:type="paragraph" w:customStyle="1" w:styleId="68">
    <w:name w:val="列出段落1"/>
    <w:basedOn w:val="1"/>
    <w:semiHidden/>
    <w:qFormat/>
    <w:uiPriority w:val="34"/>
    <w:pPr>
      <w:ind w:firstLine="420" w:firstLineChars="200"/>
    </w:pPr>
  </w:style>
  <w:style w:type="paragraph" w:customStyle="1" w:styleId="69">
    <w:name w:val="TOC 标题1"/>
    <w:basedOn w:val="2"/>
    <w:next w:val="1"/>
    <w:semiHidden/>
    <w:unhideWhenUsed/>
    <w:qFormat/>
    <w:uiPriority w:val="39"/>
    <w:pPr>
      <w:widowControl/>
      <w:numPr>
        <w:numId w:val="0"/>
      </w:numPr>
      <w:spacing w:before="480" w:line="276" w:lineRule="auto"/>
      <w:outlineLvl w:val="9"/>
    </w:pPr>
    <w:rPr>
      <w:rFonts w:asciiTheme="majorHAnsi" w:hAnsiTheme="majorHAnsi" w:eastAsiaTheme="majorEastAsia"/>
      <w:bCs/>
      <w:color w:val="366091" w:themeColor="accent1" w:themeShade="BF"/>
      <w:kern w:val="0"/>
      <w:szCs w:val="28"/>
    </w:rPr>
  </w:style>
  <w:style w:type="paragraph" w:customStyle="1" w:styleId="70">
    <w:name w:val="表格"/>
    <w:basedOn w:val="1"/>
    <w:next w:val="1"/>
    <w:qFormat/>
    <w:uiPriority w:val="0"/>
    <w:pPr>
      <w:adjustRightInd w:val="0"/>
      <w:spacing w:before="40" w:after="40"/>
      <w:textAlignment w:val="baseline"/>
    </w:pPr>
    <w:rPr>
      <w:rFonts w:ascii="昆仑仿宋" w:eastAsia="昆仑仿宋" w:cs="Times New Roman"/>
      <w:kern w:val="0"/>
      <w:szCs w:val="20"/>
    </w:rPr>
  </w:style>
  <w:style w:type="character" w:customStyle="1" w:styleId="71">
    <w:name w:val="题注 Char"/>
    <w:link w:val="14"/>
    <w:qFormat/>
    <w:uiPriority w:val="99"/>
    <w:rPr>
      <w:rFonts w:ascii="Times New Roman" w:hAnsi="Times New Roman" w:eastAsia="宋体" w:cstheme="majorBidi"/>
      <w:b/>
      <w:sz w:val="24"/>
      <w:szCs w:val="20"/>
    </w:rPr>
  </w:style>
  <w:style w:type="paragraph" w:customStyle="1" w:styleId="72">
    <w:name w:val="报告书正文 Char Char Char"/>
    <w:basedOn w:val="1"/>
    <w:qFormat/>
    <w:uiPriority w:val="0"/>
    <w:pPr>
      <w:spacing w:line="300" w:lineRule="auto"/>
      <w:ind w:firstLine="480" w:firstLineChars="200"/>
    </w:pPr>
    <w:rPr>
      <w:rFonts w:ascii="宋体" w:hAnsi="宋体" w:eastAsia="宋体" w:cs="Times New Roman"/>
      <w:szCs w:val="20"/>
    </w:rPr>
  </w:style>
  <w:style w:type="paragraph" w:customStyle="1" w:styleId="73">
    <w:name w:val="Default"/>
    <w:qFormat/>
    <w:uiPriority w:val="0"/>
    <w:pPr>
      <w:widowControl w:val="0"/>
      <w:autoSpaceDE w:val="0"/>
      <w:autoSpaceDN w:val="0"/>
      <w:adjustRightInd w:val="0"/>
    </w:pPr>
    <w:rPr>
      <w:rFonts w:ascii="Times New Roman" w:hAnsi="Times New Roman" w:cs="Times New Roman" w:eastAsiaTheme="minorEastAsia"/>
      <w:color w:val="000000"/>
      <w:sz w:val="24"/>
      <w:szCs w:val="24"/>
      <w:lang w:val="en-US" w:eastAsia="zh-CN" w:bidi="ar-SA"/>
    </w:rPr>
  </w:style>
  <w:style w:type="character" w:customStyle="1" w:styleId="74">
    <w:name w:val="批注文字 Char"/>
    <w:basedOn w:val="41"/>
    <w:link w:val="16"/>
    <w:qFormat/>
    <w:uiPriority w:val="99"/>
    <w:rPr>
      <w:rFonts w:ascii="Times New Roman" w:hAnsi="Times New Roman"/>
      <w:sz w:val="24"/>
    </w:rPr>
  </w:style>
  <w:style w:type="character" w:customStyle="1" w:styleId="75">
    <w:name w:val="批注主题 Char"/>
    <w:basedOn w:val="74"/>
    <w:link w:val="37"/>
    <w:semiHidden/>
    <w:qFormat/>
    <w:uiPriority w:val="99"/>
    <w:rPr>
      <w:rFonts w:ascii="Times New Roman" w:hAnsi="Times New Roman"/>
      <w:b/>
      <w:bCs/>
      <w:sz w:val="24"/>
    </w:rPr>
  </w:style>
  <w:style w:type="character" w:customStyle="1" w:styleId="76">
    <w:name w:val="报告文本 Char"/>
    <w:link w:val="77"/>
    <w:qFormat/>
    <w:uiPriority w:val="0"/>
    <w:rPr>
      <w:sz w:val="24"/>
      <w:szCs w:val="22"/>
    </w:rPr>
  </w:style>
  <w:style w:type="paragraph" w:customStyle="1" w:styleId="77">
    <w:name w:val="报告文本"/>
    <w:link w:val="76"/>
    <w:qFormat/>
    <w:uiPriority w:val="0"/>
    <w:pPr>
      <w:widowControl w:val="0"/>
      <w:spacing w:line="360" w:lineRule="auto"/>
      <w:ind w:firstLine="200" w:firstLineChars="200"/>
      <w:jc w:val="both"/>
    </w:pPr>
    <w:rPr>
      <w:rFonts w:asciiTheme="minorHAnsi" w:hAnsiTheme="minorHAnsi" w:eastAsiaTheme="minorEastAsia" w:cstheme="minorBidi"/>
      <w:kern w:val="2"/>
      <w:sz w:val="24"/>
      <w:szCs w:val="22"/>
      <w:lang w:val="en-US" w:eastAsia="zh-CN" w:bidi="ar-SA"/>
    </w:rPr>
  </w:style>
  <w:style w:type="paragraph" w:customStyle="1" w:styleId="78">
    <w:name w:val="表格内容"/>
    <w:basedOn w:val="1"/>
    <w:qFormat/>
    <w:uiPriority w:val="0"/>
    <w:pPr>
      <w:adjustRightInd w:val="0"/>
      <w:snapToGrid w:val="0"/>
      <w:spacing w:line="240" w:lineRule="atLeast"/>
      <w:jc w:val="center"/>
    </w:pPr>
    <w:rPr>
      <w:rFonts w:eastAsia="宋体" w:cs="Times New Roman"/>
      <w:snapToGrid w:val="0"/>
      <w:kern w:val="0"/>
      <w:sz w:val="21"/>
      <w:szCs w:val="24"/>
    </w:rPr>
  </w:style>
  <w:style w:type="character" w:customStyle="1" w:styleId="79">
    <w:name w:val="正文文本 Char"/>
    <w:basedOn w:val="41"/>
    <w:link w:val="17"/>
    <w:qFormat/>
    <w:uiPriority w:val="99"/>
    <w:rPr>
      <w:rFonts w:ascii="Times New Roman" w:hAnsi="Times New Roman"/>
      <w:sz w:val="24"/>
    </w:rPr>
  </w:style>
  <w:style w:type="character" w:customStyle="1" w:styleId="80">
    <w:name w:val="正文首行缩进 Char"/>
    <w:basedOn w:val="79"/>
    <w:link w:val="38"/>
    <w:qFormat/>
    <w:uiPriority w:val="99"/>
    <w:rPr>
      <w:rFonts w:ascii="Times New Roman" w:hAnsi="Times New Roman"/>
      <w:sz w:val="24"/>
    </w:rPr>
  </w:style>
  <w:style w:type="character" w:customStyle="1" w:styleId="81">
    <w:name w:val="正文001 Char Char"/>
    <w:link w:val="82"/>
    <w:qFormat/>
    <w:uiPriority w:val="0"/>
    <w:rPr>
      <w:sz w:val="24"/>
    </w:rPr>
  </w:style>
  <w:style w:type="paragraph" w:customStyle="1" w:styleId="82">
    <w:name w:val="正文001"/>
    <w:basedOn w:val="1"/>
    <w:link w:val="81"/>
    <w:qFormat/>
    <w:uiPriority w:val="0"/>
    <w:pPr>
      <w:adjustRightInd w:val="0"/>
      <w:snapToGrid w:val="0"/>
      <w:spacing w:before="60" w:line="420" w:lineRule="exact"/>
      <w:ind w:firstLine="482" w:firstLineChars="200"/>
    </w:pPr>
    <w:rPr>
      <w:rFonts w:asciiTheme="minorHAnsi" w:hAnsiTheme="minorHAnsi"/>
    </w:rPr>
  </w:style>
  <w:style w:type="character" w:customStyle="1" w:styleId="83">
    <w:name w:val="表 头 Char Char"/>
    <w:link w:val="84"/>
    <w:qFormat/>
    <w:uiPriority w:val="0"/>
    <w:rPr>
      <w:rFonts w:ascii="黑体" w:hAnsi="宋体" w:eastAsia="黑体" w:cs="Arial"/>
      <w:kern w:val="24"/>
      <w:sz w:val="24"/>
      <w:szCs w:val="24"/>
      <w:lang w:val="zh-CN"/>
    </w:rPr>
  </w:style>
  <w:style w:type="paragraph" w:customStyle="1" w:styleId="84">
    <w:name w:val="表 头"/>
    <w:basedOn w:val="1"/>
    <w:link w:val="83"/>
    <w:qFormat/>
    <w:uiPriority w:val="0"/>
    <w:pPr>
      <w:tabs>
        <w:tab w:val="left" w:pos="0"/>
      </w:tabs>
      <w:adjustRightInd w:val="0"/>
      <w:snapToGrid w:val="0"/>
      <w:spacing w:line="520" w:lineRule="exact"/>
      <w:ind w:firstLine="470" w:firstLineChars="196"/>
    </w:pPr>
    <w:rPr>
      <w:rFonts w:ascii="黑体" w:hAnsi="宋体" w:eastAsia="黑体" w:cs="Arial"/>
      <w:kern w:val="24"/>
      <w:szCs w:val="24"/>
      <w:lang w:val="zh-CN"/>
    </w:rPr>
  </w:style>
  <w:style w:type="table" w:customStyle="1" w:styleId="85">
    <w:name w:val="网格型5"/>
    <w:basedOn w:val="39"/>
    <w:qFormat/>
    <w:uiPriority w:val="0"/>
    <w:pPr>
      <w:spacing w:line="36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6">
    <w:name w:val="我的正文"/>
    <w:basedOn w:val="1"/>
    <w:qFormat/>
    <w:uiPriority w:val="0"/>
    <w:pPr>
      <w:widowControl/>
      <w:spacing w:line="360" w:lineRule="auto"/>
      <w:ind w:firstLine="200" w:firstLineChars="200"/>
    </w:pPr>
    <w:rPr>
      <w:rFonts w:eastAsia="宋体" w:cs="Times New Roman"/>
      <w:kern w:val="0"/>
      <w:szCs w:val="22"/>
      <w:lang w:val="en-GB"/>
    </w:rPr>
  </w:style>
  <w:style w:type="table" w:customStyle="1" w:styleId="87">
    <w:name w:val="网格型2"/>
    <w:basedOn w:val="39"/>
    <w:qFormat/>
    <w:uiPriority w:val="0"/>
    <w:pPr>
      <w:spacing w:line="36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8">
    <w:name w:val="网格型3"/>
    <w:basedOn w:val="39"/>
    <w:qFormat/>
    <w:uiPriority w:val="0"/>
    <w:pPr>
      <w:spacing w:line="36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9">
    <w:name w:val="正文文本 2 Char"/>
    <w:basedOn w:val="41"/>
    <w:link w:val="34"/>
    <w:qFormat/>
    <w:uiPriority w:val="0"/>
    <w:rPr>
      <w:rFonts w:ascii="Times New Roman" w:hAnsi="Times New Roman" w:eastAsia="宋体" w:cs="Times New Roman"/>
      <w:sz w:val="24"/>
      <w:szCs w:val="24"/>
    </w:rPr>
  </w:style>
  <w:style w:type="table" w:customStyle="1" w:styleId="90">
    <w:name w:val="网格型4"/>
    <w:basedOn w:val="39"/>
    <w:qFormat/>
    <w:uiPriority w:val="0"/>
    <w:pPr>
      <w:spacing w:line="36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1">
    <w:name w:val="文本"/>
    <w:basedOn w:val="1"/>
    <w:qFormat/>
    <w:uiPriority w:val="0"/>
    <w:pPr>
      <w:adjustRightInd w:val="0"/>
      <w:snapToGrid w:val="0"/>
      <w:spacing w:line="360" w:lineRule="auto"/>
      <w:ind w:firstLine="200" w:firstLineChars="200"/>
    </w:pPr>
    <w:rPr>
      <w:rFonts w:eastAsia="仿宋_GB2312" w:cs="Times New Roman"/>
      <w:sz w:val="28"/>
      <w:szCs w:val="24"/>
    </w:rPr>
  </w:style>
  <w:style w:type="character" w:customStyle="1" w:styleId="92">
    <w:name w:val="表格文字 Char Char"/>
    <w:link w:val="93"/>
    <w:qFormat/>
    <w:uiPriority w:val="0"/>
    <w:rPr>
      <w:rFonts w:eastAsia="宋体"/>
    </w:rPr>
  </w:style>
  <w:style w:type="paragraph" w:customStyle="1" w:styleId="93">
    <w:name w:val="表格文字"/>
    <w:basedOn w:val="38"/>
    <w:next w:val="1"/>
    <w:link w:val="92"/>
    <w:qFormat/>
    <w:uiPriority w:val="0"/>
    <w:pPr>
      <w:adjustRightInd w:val="0"/>
      <w:snapToGrid w:val="0"/>
      <w:spacing w:after="0" w:line="360" w:lineRule="auto"/>
      <w:ind w:firstLine="0" w:firstLineChars="0"/>
      <w:jc w:val="center"/>
    </w:pPr>
    <w:rPr>
      <w:rFonts w:eastAsia="宋体" w:asciiTheme="minorHAnsi" w:hAnsiTheme="minorHAnsi"/>
      <w:sz w:val="21"/>
    </w:rPr>
  </w:style>
  <w:style w:type="paragraph" w:customStyle="1" w:styleId="94">
    <w:name w:val="表头-丽"/>
    <w:basedOn w:val="1"/>
    <w:qFormat/>
    <w:uiPriority w:val="0"/>
    <w:pPr>
      <w:spacing w:before="120" w:after="120"/>
      <w:jc w:val="center"/>
    </w:pPr>
    <w:rPr>
      <w:rFonts w:ascii="黑体" w:hAnsi="黑体" w:eastAsia="黑体" w:cs="黑体"/>
      <w:b/>
      <w:bCs/>
      <w:sz w:val="21"/>
    </w:rPr>
  </w:style>
  <w:style w:type="paragraph" w:customStyle="1" w:styleId="95">
    <w:name w:val="正文1"/>
    <w:basedOn w:val="1"/>
    <w:link w:val="115"/>
    <w:qFormat/>
    <w:uiPriority w:val="0"/>
    <w:pPr>
      <w:adjustRightInd w:val="0"/>
      <w:snapToGrid w:val="0"/>
      <w:spacing w:before="60" w:line="460" w:lineRule="exact"/>
      <w:ind w:firstLine="200" w:firstLineChars="200"/>
    </w:pPr>
    <w:rPr>
      <w:rFonts w:eastAsia="宋体" w:cs="Times New Roman"/>
      <w:szCs w:val="20"/>
    </w:rPr>
  </w:style>
  <w:style w:type="paragraph" w:customStyle="1" w:styleId="96">
    <w:name w:val="正文-游"/>
    <w:basedOn w:val="17"/>
    <w:link w:val="97"/>
    <w:qFormat/>
    <w:uiPriority w:val="0"/>
    <w:pPr>
      <w:adjustRightInd w:val="0"/>
      <w:snapToGrid w:val="0"/>
      <w:spacing w:after="0" w:line="360" w:lineRule="auto"/>
      <w:ind w:firstLine="482"/>
    </w:pPr>
    <w:rPr>
      <w:rFonts w:eastAsia="宋体" w:cs="Times New Roman"/>
      <w:bCs/>
      <w:color w:val="FF0000"/>
      <w:szCs w:val="24"/>
    </w:rPr>
  </w:style>
  <w:style w:type="character" w:customStyle="1" w:styleId="97">
    <w:name w:val="正文-游 字符"/>
    <w:link w:val="96"/>
    <w:qFormat/>
    <w:uiPriority w:val="0"/>
    <w:rPr>
      <w:rFonts w:ascii="Times New Roman" w:hAnsi="Times New Roman" w:eastAsia="宋体" w:cs="Times New Roman"/>
      <w:bCs/>
      <w:color w:val="FF0000"/>
      <w:sz w:val="24"/>
      <w:szCs w:val="24"/>
    </w:rPr>
  </w:style>
  <w:style w:type="table" w:customStyle="1" w:styleId="98">
    <w:name w:val="网格型6"/>
    <w:basedOn w:val="3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9">
    <w:name w:val="表头 Char Char"/>
    <w:qFormat/>
    <w:uiPriority w:val="0"/>
    <w:rPr>
      <w:rFonts w:eastAsia="黑体"/>
      <w:kern w:val="2"/>
      <w:sz w:val="24"/>
      <w:szCs w:val="24"/>
      <w:lang w:val="en-US" w:eastAsia="zh-CN"/>
    </w:rPr>
  </w:style>
  <w:style w:type="character" w:customStyle="1" w:styleId="100">
    <w:name w:val="表头 Char1"/>
    <w:link w:val="101"/>
    <w:qFormat/>
    <w:uiPriority w:val="0"/>
    <w:rPr>
      <w:rFonts w:ascii="宋体" w:hAnsi="宋体" w:eastAsia="Times New Roman"/>
      <w:b/>
      <w:color w:val="000000"/>
      <w:sz w:val="24"/>
      <w:szCs w:val="24"/>
    </w:rPr>
  </w:style>
  <w:style w:type="paragraph" w:customStyle="1" w:styleId="101">
    <w:name w:val="表头"/>
    <w:next w:val="1"/>
    <w:link w:val="100"/>
    <w:qFormat/>
    <w:uiPriority w:val="0"/>
    <w:pPr>
      <w:widowControl w:val="0"/>
      <w:adjustRightInd w:val="0"/>
      <w:snapToGrid w:val="0"/>
      <w:spacing w:line="480" w:lineRule="exact"/>
      <w:ind w:firstLine="2048" w:firstLineChars="850"/>
      <w:jc w:val="both"/>
    </w:pPr>
    <w:rPr>
      <w:rFonts w:ascii="宋体" w:hAnsi="宋体" w:eastAsia="Times New Roman" w:cstheme="minorBidi"/>
      <w:b/>
      <w:color w:val="000000"/>
      <w:kern w:val="2"/>
      <w:sz w:val="24"/>
      <w:szCs w:val="24"/>
      <w:lang w:val="en-US" w:eastAsia="zh-CN" w:bidi="ar-SA"/>
    </w:rPr>
  </w:style>
  <w:style w:type="paragraph" w:customStyle="1" w:styleId="102">
    <w:name w:val="样式 列表 2 + 华文仿宋 居中"/>
    <w:basedOn w:val="19"/>
    <w:qFormat/>
    <w:uiPriority w:val="0"/>
    <w:pPr>
      <w:spacing w:line="240" w:lineRule="exact"/>
      <w:ind w:left="0" w:leftChars="0" w:firstLine="0" w:firstLineChars="0"/>
    </w:pPr>
    <w:rPr>
      <w:rFonts w:ascii="宋体" w:hAnsi="宋体"/>
      <w:color w:val="000000"/>
      <w:sz w:val="18"/>
      <w:szCs w:val="18"/>
    </w:rPr>
  </w:style>
  <w:style w:type="table" w:customStyle="1" w:styleId="103">
    <w:name w:val="网格型1"/>
    <w:basedOn w:val="39"/>
    <w:qFormat/>
    <w:uiPriority w:val="0"/>
    <w:pPr>
      <w:spacing w:line="36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04">
    <w:name w:val="_Style 5"/>
    <w:basedOn w:val="1"/>
    <w:qFormat/>
    <w:uiPriority w:val="0"/>
    <w:pPr>
      <w:widowControl/>
      <w:jc w:val="left"/>
    </w:pPr>
    <w:rPr>
      <w:rFonts w:ascii="宋体" w:hAnsi="宋体" w:eastAsia="宋体" w:cs="宋体"/>
      <w:kern w:val="0"/>
      <w:szCs w:val="24"/>
    </w:rPr>
  </w:style>
  <w:style w:type="character" w:customStyle="1" w:styleId="105">
    <w:name w:val="表格内容样式 Char"/>
    <w:link w:val="106"/>
    <w:qFormat/>
    <w:uiPriority w:val="0"/>
    <w:rPr>
      <w:rFonts w:ascii="Times New Roman" w:hAnsi="Times New Roman"/>
      <w:szCs w:val="22"/>
    </w:rPr>
  </w:style>
  <w:style w:type="paragraph" w:customStyle="1" w:styleId="106">
    <w:name w:val="表格内容样式"/>
    <w:basedOn w:val="1"/>
    <w:link w:val="105"/>
    <w:qFormat/>
    <w:uiPriority w:val="0"/>
    <w:pPr>
      <w:jc w:val="center"/>
    </w:pPr>
    <w:rPr>
      <w:sz w:val="21"/>
      <w:szCs w:val="22"/>
    </w:rPr>
  </w:style>
  <w:style w:type="character" w:customStyle="1" w:styleId="107">
    <w:name w:val="不明显强调2"/>
    <w:basedOn w:val="41"/>
    <w:qFormat/>
    <w:uiPriority w:val="0"/>
    <w:rPr>
      <w:rFonts w:hAnsi="Times New Roman"/>
      <w:b/>
      <w:bCs/>
      <w:color w:val="000000"/>
      <w:sz w:val="28"/>
      <w:szCs w:val="28"/>
    </w:rPr>
  </w:style>
  <w:style w:type="character" w:customStyle="1" w:styleId="108">
    <w:name w:val="正文01 Char Char"/>
    <w:link w:val="109"/>
    <w:qFormat/>
    <w:uiPriority w:val="0"/>
    <w:rPr>
      <w:rFonts w:eastAsia="宋体"/>
      <w:sz w:val="24"/>
    </w:rPr>
  </w:style>
  <w:style w:type="paragraph" w:customStyle="1" w:styleId="109">
    <w:name w:val="正文01"/>
    <w:basedOn w:val="13"/>
    <w:link w:val="108"/>
    <w:qFormat/>
    <w:uiPriority w:val="0"/>
    <w:pPr>
      <w:spacing w:line="360" w:lineRule="auto"/>
      <w:ind w:firstLine="480"/>
    </w:pPr>
    <w:rPr>
      <w:sz w:val="24"/>
    </w:rPr>
  </w:style>
  <w:style w:type="paragraph" w:customStyle="1" w:styleId="110">
    <w:name w:val="表中文字"/>
    <w:basedOn w:val="1"/>
    <w:qFormat/>
    <w:uiPriority w:val="0"/>
    <w:pPr>
      <w:adjustRightInd w:val="0"/>
      <w:ind w:left="-2" w:leftChars="-1"/>
      <w:jc w:val="center"/>
    </w:pPr>
    <w:rPr>
      <w:rFonts w:eastAsia="宋体" w:cs="Times New Roman"/>
      <w:kern w:val="0"/>
      <w:sz w:val="20"/>
      <w:szCs w:val="20"/>
    </w:rPr>
  </w:style>
  <w:style w:type="character" w:customStyle="1" w:styleId="111">
    <w:name w:val="报告 Char Char"/>
    <w:basedOn w:val="41"/>
    <w:link w:val="112"/>
    <w:qFormat/>
    <w:uiPriority w:val="0"/>
    <w:rPr>
      <w:rFonts w:eastAsia="宋体"/>
      <w:sz w:val="24"/>
    </w:rPr>
  </w:style>
  <w:style w:type="paragraph" w:customStyle="1" w:styleId="112">
    <w:name w:val="报告"/>
    <w:basedOn w:val="1"/>
    <w:link w:val="111"/>
    <w:qFormat/>
    <w:uiPriority w:val="0"/>
    <w:pPr>
      <w:overflowPunct w:val="0"/>
      <w:autoSpaceDE w:val="0"/>
      <w:autoSpaceDN w:val="0"/>
      <w:adjustRightInd w:val="0"/>
      <w:snapToGrid w:val="0"/>
      <w:spacing w:beforeLines="30" w:afterLines="30" w:line="400" w:lineRule="atLeast"/>
      <w:ind w:left="-25" w:leftChars="-12" w:firstLine="480" w:firstLineChars="200"/>
      <w:textAlignment w:val="baseline"/>
    </w:pPr>
    <w:rPr>
      <w:rFonts w:eastAsia="宋体" w:asciiTheme="minorHAnsi" w:hAnsiTheme="minorHAnsi"/>
    </w:rPr>
  </w:style>
  <w:style w:type="character" w:customStyle="1" w:styleId="113">
    <w:name w:val="无间隔 Char"/>
    <w:link w:val="114"/>
    <w:qFormat/>
    <w:uiPriority w:val="1"/>
    <w:rPr>
      <w:rFonts w:ascii="宋体"/>
      <w:kern w:val="2"/>
      <w:sz w:val="22"/>
      <w:szCs w:val="28"/>
    </w:rPr>
  </w:style>
  <w:style w:type="paragraph" w:styleId="114">
    <w:name w:val="No Spacing"/>
    <w:link w:val="113"/>
    <w:qFormat/>
    <w:uiPriority w:val="1"/>
    <w:pPr>
      <w:widowControl w:val="0"/>
      <w:jc w:val="both"/>
    </w:pPr>
    <w:rPr>
      <w:rFonts w:ascii="宋体" w:hAnsiTheme="minorHAnsi" w:eastAsiaTheme="minorEastAsia" w:cstheme="minorBidi"/>
      <w:kern w:val="2"/>
      <w:sz w:val="22"/>
      <w:szCs w:val="28"/>
      <w:lang w:val="en-US" w:eastAsia="zh-CN" w:bidi="ar-SA"/>
    </w:rPr>
  </w:style>
  <w:style w:type="character" w:customStyle="1" w:styleId="115">
    <w:name w:val="正文1 Char"/>
    <w:link w:val="95"/>
    <w:qFormat/>
    <w:uiPriority w:val="0"/>
    <w:rPr>
      <w:rFonts w:ascii="Times New Roman" w:hAnsi="Times New Roman" w:eastAsia="宋体" w:cs="Times New Roman"/>
      <w:kern w:val="2"/>
      <w:sz w:val="24"/>
    </w:rPr>
  </w:style>
  <w:style w:type="character" w:customStyle="1" w:styleId="116">
    <w:name w:val="表字体 Char"/>
    <w:link w:val="117"/>
    <w:qFormat/>
    <w:uiPriority w:val="0"/>
    <w:rPr>
      <w:rFonts w:ascii="Times New Roman" w:hAnsi="Times New Roman" w:eastAsia="宋体"/>
      <w:sz w:val="21"/>
    </w:rPr>
  </w:style>
  <w:style w:type="paragraph" w:customStyle="1" w:styleId="117">
    <w:name w:val="表字体"/>
    <w:basedOn w:val="1"/>
    <w:next w:val="1"/>
    <w:link w:val="116"/>
    <w:qFormat/>
    <w:uiPriority w:val="0"/>
    <w:pPr>
      <w:jc w:val="center"/>
    </w:pPr>
    <w:rPr>
      <w:rFonts w:eastAsia="宋体"/>
      <w:kern w:val="0"/>
      <w:sz w:val="21"/>
      <w:szCs w:val="20"/>
    </w:rPr>
  </w:style>
  <w:style w:type="paragraph" w:customStyle="1" w:styleId="118">
    <w:name w:val="样式 宋体 小四 行距: 固定值 26 磅1"/>
    <w:basedOn w:val="1"/>
    <w:qFormat/>
    <w:uiPriority w:val="0"/>
    <w:pPr>
      <w:spacing w:line="460" w:lineRule="exact"/>
      <w:ind w:firstLine="480" w:firstLineChars="200"/>
    </w:pPr>
    <w:rPr>
      <w:rFonts w:ascii="宋体" w:hAnsi="宋体" w:eastAsia="宋体" w:cs="宋体"/>
      <w:szCs w:val="24"/>
    </w:rPr>
  </w:style>
  <w:style w:type="paragraph" w:customStyle="1" w:styleId="119">
    <w:name w:val="样式 表格内文字 + (中文) 楷体_GB2312 五号 两端对齐 行距: 固定值 12 磅"/>
    <w:basedOn w:val="1"/>
    <w:qFormat/>
    <w:uiPriority w:val="0"/>
    <w:pPr>
      <w:spacing w:line="240" w:lineRule="exact"/>
    </w:pPr>
    <w:rPr>
      <w:rFonts w:eastAsia="楷体_GB2312" w:cs="楷体_GB2312"/>
      <w:sz w:val="21"/>
    </w:rPr>
  </w:style>
  <w:style w:type="paragraph" w:customStyle="1" w:styleId="120">
    <w:name w:val="表格内"/>
    <w:basedOn w:val="1"/>
    <w:next w:val="1"/>
    <w:qFormat/>
    <w:uiPriority w:val="0"/>
    <w:pPr>
      <w:widowControl/>
      <w:jc w:val="center"/>
    </w:pPr>
    <w:rPr>
      <w:rFonts w:ascii="宋体" w:hAnsi="宋体" w:eastAsia="宋体" w:cs="Times New Roman"/>
      <w:sz w:val="21"/>
      <w:szCs w:val="24"/>
    </w:rPr>
  </w:style>
  <w:style w:type="character" w:customStyle="1" w:styleId="121">
    <w:name w:val="表标题 Char"/>
    <w:link w:val="122"/>
    <w:qFormat/>
    <w:uiPriority w:val="0"/>
    <w:rPr>
      <w:rFonts w:ascii="Times New Roman" w:hAnsi="Times New Roman" w:eastAsia="宋体"/>
      <w:b/>
      <w:sz w:val="21"/>
    </w:rPr>
  </w:style>
  <w:style w:type="paragraph" w:customStyle="1" w:styleId="122">
    <w:name w:val="表标题"/>
    <w:basedOn w:val="1"/>
    <w:link w:val="121"/>
    <w:qFormat/>
    <w:uiPriority w:val="0"/>
    <w:pPr>
      <w:jc w:val="center"/>
    </w:pPr>
    <w:rPr>
      <w:rFonts w:eastAsia="宋体"/>
      <w:b/>
      <w:kern w:val="0"/>
      <w:sz w:val="21"/>
      <w:szCs w:val="20"/>
    </w:rPr>
  </w:style>
  <w:style w:type="character" w:customStyle="1" w:styleId="123">
    <w:name w:val="表格文字 Char"/>
    <w:qFormat/>
    <w:uiPriority w:val="0"/>
    <w:rPr>
      <w:rFonts w:ascii="宋体"/>
      <w:color w:val="000000"/>
      <w:sz w:val="24"/>
      <w:lang w:val="en-US" w:eastAsia="zh-CN" w:bidi="ar-SA"/>
    </w:rPr>
  </w:style>
  <w:style w:type="character" w:customStyle="1" w:styleId="124">
    <w:name w:val="文章正文样式 Char"/>
    <w:basedOn w:val="41"/>
    <w:link w:val="125"/>
    <w:qFormat/>
    <w:uiPriority w:val="0"/>
    <w:rPr>
      <w:rFonts w:ascii="宋体" w:hAnsi="宋体" w:eastAsia="宋体" w:cs="宋体"/>
      <w:kern w:val="2"/>
      <w:sz w:val="24"/>
      <w:szCs w:val="24"/>
    </w:rPr>
  </w:style>
  <w:style w:type="paragraph" w:customStyle="1" w:styleId="125">
    <w:name w:val="文章正文样式"/>
    <w:basedOn w:val="1"/>
    <w:link w:val="124"/>
    <w:qFormat/>
    <w:uiPriority w:val="0"/>
    <w:pPr>
      <w:spacing w:line="520" w:lineRule="exact"/>
      <w:ind w:firstLine="480" w:firstLineChars="200"/>
      <w:jc w:val="left"/>
    </w:pPr>
    <w:rPr>
      <w:rFonts w:ascii="宋体" w:hAnsi="宋体" w:eastAsia="宋体" w:cs="宋体"/>
      <w:szCs w:val="24"/>
    </w:rPr>
  </w:style>
  <w:style w:type="character" w:customStyle="1" w:styleId="126">
    <w:name w:val="big"/>
    <w:basedOn w:val="41"/>
    <w:qFormat/>
    <w:uiPriority w:val="0"/>
  </w:style>
  <w:style w:type="paragraph" w:customStyle="1" w:styleId="127">
    <w:name w:val="表文"/>
    <w:basedOn w:val="1"/>
    <w:link w:val="128"/>
    <w:qFormat/>
    <w:uiPriority w:val="0"/>
    <w:pPr>
      <w:tabs>
        <w:tab w:val="left" w:pos="1021"/>
      </w:tabs>
      <w:jc w:val="center"/>
    </w:pPr>
    <w:rPr>
      <w:rFonts w:eastAsia="宋体" w:cs="Times New Roman"/>
      <w:position w:val="-24"/>
      <w:sz w:val="21"/>
    </w:rPr>
  </w:style>
  <w:style w:type="character" w:customStyle="1" w:styleId="128">
    <w:name w:val="表文 Char"/>
    <w:link w:val="127"/>
    <w:qFormat/>
    <w:uiPriority w:val="0"/>
    <w:rPr>
      <w:rFonts w:ascii="Times New Roman" w:hAnsi="Times New Roman" w:eastAsia="宋体" w:cs="Times New Roman"/>
      <w:kern w:val="2"/>
      <w:position w:val="-24"/>
      <w:sz w:val="21"/>
      <w:szCs w:val="21"/>
    </w:rPr>
  </w:style>
  <w:style w:type="character" w:customStyle="1" w:styleId="129">
    <w:name w:val="页脚 字符"/>
    <w:qFormat/>
    <w:uiPriority w:val="0"/>
    <w:rPr>
      <w:rFonts w:eastAsia="宋体"/>
      <w:kern w:val="2"/>
      <w:sz w:val="18"/>
      <w:szCs w:val="18"/>
      <w:lang w:val="en-US" w:eastAsia="zh-CN" w:bidi="ar-SA"/>
    </w:rPr>
  </w:style>
  <w:style w:type="paragraph" w:customStyle="1" w:styleId="130">
    <w:name w:val="p0"/>
    <w:basedOn w:val="1"/>
    <w:qFormat/>
    <w:uiPriority w:val="0"/>
    <w:pPr>
      <w:widowControl/>
      <w:spacing w:before="100" w:beforeAutospacing="1" w:after="100" w:afterAutospacing="1"/>
      <w:jc w:val="left"/>
    </w:pPr>
    <w:rPr>
      <w:rFonts w:ascii="宋体" w:hAnsi="宋体" w:eastAsia="宋体" w:cs="宋体"/>
      <w:kern w:val="0"/>
      <w:szCs w:val="24"/>
    </w:rPr>
  </w:style>
  <w:style w:type="paragraph" w:customStyle="1" w:styleId="131">
    <w:name w:val="RJL表格"/>
    <w:basedOn w:val="1"/>
    <w:link w:val="132"/>
    <w:qFormat/>
    <w:uiPriority w:val="0"/>
    <w:pPr>
      <w:jc w:val="center"/>
    </w:pPr>
    <w:rPr>
      <w:rFonts w:eastAsia="宋体" w:cs="Times New Roman"/>
      <w:sz w:val="21"/>
      <w:szCs w:val="22"/>
    </w:rPr>
  </w:style>
  <w:style w:type="character" w:customStyle="1" w:styleId="132">
    <w:name w:val="RJL表格 字符"/>
    <w:basedOn w:val="41"/>
    <w:link w:val="131"/>
    <w:qFormat/>
    <w:uiPriority w:val="0"/>
    <w:rPr>
      <w:rFonts w:ascii="Times New Roman" w:hAnsi="Times New Roman" w:eastAsia="宋体" w:cs="Times New Roman"/>
      <w:kern w:val="2"/>
      <w:sz w:val="21"/>
      <w:szCs w:val="22"/>
    </w:rPr>
  </w:style>
  <w:style w:type="character" w:customStyle="1" w:styleId="133">
    <w:name w:val="text1"/>
    <w:basedOn w:val="41"/>
    <w:qFormat/>
    <w:uiPriority w:val="0"/>
    <w:rPr>
      <w:rFonts w:hint="eastAsia" w:ascii="宋体" w:hAnsi="宋体" w:eastAsia="宋体"/>
      <w:color w:val="999999"/>
      <w:sz w:val="18"/>
      <w:szCs w:val="18"/>
      <w:u w:val="none"/>
    </w:rPr>
  </w:style>
  <w:style w:type="paragraph" w:customStyle="1" w:styleId="134">
    <w:name w:val="表文字"/>
    <w:basedOn w:val="1"/>
    <w:link w:val="135"/>
    <w:qFormat/>
    <w:uiPriority w:val="0"/>
    <w:pPr>
      <w:overflowPunct w:val="0"/>
      <w:autoSpaceDE w:val="0"/>
      <w:autoSpaceDN w:val="0"/>
      <w:adjustRightInd w:val="0"/>
      <w:jc w:val="center"/>
    </w:pPr>
    <w:rPr>
      <w:rFonts w:eastAsia="宋体" w:cs="Times New Roman"/>
      <w:kern w:val="0"/>
      <w:szCs w:val="20"/>
    </w:rPr>
  </w:style>
  <w:style w:type="character" w:customStyle="1" w:styleId="135">
    <w:name w:val="表文字 Char"/>
    <w:basedOn w:val="41"/>
    <w:link w:val="134"/>
    <w:qFormat/>
    <w:uiPriority w:val="0"/>
    <w:rPr>
      <w:rFonts w:ascii="Times New Roman" w:hAnsi="Times New Roman" w:eastAsia="宋体" w:cs="Times New Roman"/>
      <w:sz w:val="24"/>
    </w:rPr>
  </w:style>
  <w:style w:type="character" w:customStyle="1" w:styleId="136">
    <w:name w:val="环科院正文 Char"/>
    <w:basedOn w:val="41"/>
    <w:link w:val="137"/>
    <w:qFormat/>
    <w:uiPriority w:val="0"/>
    <w:rPr>
      <w:rFonts w:hAnsi="宋体"/>
      <w:bCs/>
      <w:sz w:val="24"/>
      <w:szCs w:val="24"/>
      <w:lang w:val="zh-CN"/>
    </w:rPr>
  </w:style>
  <w:style w:type="paragraph" w:customStyle="1" w:styleId="137">
    <w:name w:val="环科院正文"/>
    <w:basedOn w:val="1"/>
    <w:link w:val="136"/>
    <w:qFormat/>
    <w:uiPriority w:val="0"/>
    <w:pPr>
      <w:tabs>
        <w:tab w:val="left" w:pos="5760"/>
      </w:tabs>
      <w:spacing w:line="500" w:lineRule="exact"/>
      <w:ind w:firstLine="480" w:firstLineChars="200"/>
    </w:pPr>
    <w:rPr>
      <w:rFonts w:hAnsi="宋体" w:asciiTheme="minorHAnsi"/>
      <w:bCs/>
      <w:kern w:val="0"/>
      <w:szCs w:val="24"/>
      <w:lang w:val="zh-CN"/>
    </w:rPr>
  </w:style>
  <w:style w:type="paragraph" w:customStyle="1" w:styleId="138">
    <w:name w:val="样式 标题 3 + 黑色"/>
    <w:basedOn w:val="5"/>
    <w:link w:val="139"/>
    <w:qFormat/>
    <w:uiPriority w:val="0"/>
    <w:pPr>
      <w:numPr>
        <w:ilvl w:val="0"/>
        <w:numId w:val="0"/>
      </w:numPr>
      <w:adjustRightInd/>
      <w:snapToGrid/>
      <w:spacing w:before="130" w:after="130" w:line="415" w:lineRule="auto"/>
      <w:jc w:val="both"/>
    </w:pPr>
    <w:rPr>
      <w:rFonts w:eastAsia="黑体" w:cs="Times New Roman"/>
      <w:b w:val="0"/>
      <w:bCs/>
      <w:color w:val="000000"/>
    </w:rPr>
  </w:style>
  <w:style w:type="character" w:customStyle="1" w:styleId="139">
    <w:name w:val="样式 标题 3 + 黑色 Char"/>
    <w:basedOn w:val="41"/>
    <w:link w:val="138"/>
    <w:qFormat/>
    <w:uiPriority w:val="0"/>
    <w:rPr>
      <w:rFonts w:ascii="Times New Roman" w:hAnsi="Times New Roman" w:eastAsia="黑体" w:cs="Times New Roman"/>
      <w:bCs/>
      <w:color w:val="000000"/>
      <w:kern w:val="2"/>
      <w:sz w:val="24"/>
      <w:szCs w:val="32"/>
    </w:rPr>
  </w:style>
  <w:style w:type="paragraph" w:customStyle="1" w:styleId="140">
    <w:name w:val="Table Paragraph"/>
    <w:basedOn w:val="1"/>
    <w:qFormat/>
    <w:uiPriority w:val="0"/>
    <w:pPr>
      <w:autoSpaceDE w:val="0"/>
      <w:autoSpaceDN w:val="0"/>
      <w:jc w:val="center"/>
    </w:pPr>
    <w:rPr>
      <w:rFonts w:ascii="宋体" w:hAnsi="宋体" w:eastAsia="宋体" w:cs="宋体"/>
      <w:kern w:val="0"/>
      <w:sz w:val="22"/>
      <w:szCs w:val="22"/>
    </w:rPr>
  </w:style>
  <w:style w:type="paragraph" w:customStyle="1" w:styleId="141">
    <w:name w:val="正文3"/>
    <w:qFormat/>
    <w:uiPriority w:val="0"/>
    <w:pPr>
      <w:jc w:val="both"/>
    </w:pPr>
    <w:rPr>
      <w:rFonts w:ascii="Calibri" w:hAnsi="Calibri" w:eastAsia="宋体" w:cs="Calibri"/>
      <w:kern w:val="2"/>
      <w:sz w:val="21"/>
      <w:szCs w:val="21"/>
      <w:lang w:val="en-US" w:eastAsia="zh-CN" w:bidi="ar-SA"/>
    </w:rPr>
  </w:style>
  <w:style w:type="paragraph" w:customStyle="1" w:styleId="142">
    <w:name w:val="列出段落2"/>
    <w:basedOn w:val="1"/>
    <w:qFormat/>
    <w:uiPriority w:val="0"/>
    <w:pPr>
      <w:autoSpaceDE w:val="0"/>
      <w:autoSpaceDN w:val="0"/>
      <w:ind w:left="1546" w:hanging="602"/>
      <w:jc w:val="left"/>
    </w:pPr>
    <w:rPr>
      <w:rFonts w:ascii="宋体" w:hAnsi="宋体" w:eastAsia="宋体" w:cs="宋体"/>
      <w:kern w:val="0"/>
      <w:sz w:val="22"/>
      <w:szCs w:val="22"/>
    </w:rPr>
  </w:style>
  <w:style w:type="paragraph" w:customStyle="1" w:styleId="143">
    <w:name w:val="Char3"/>
    <w:basedOn w:val="1"/>
    <w:qFormat/>
    <w:uiPriority w:val="0"/>
    <w:rPr>
      <w:rFonts w:eastAsia="黑体" w:cs="Times New Roman"/>
      <w:b/>
      <w:bCs/>
      <w:snapToGrid w:val="0"/>
      <w:kern w:val="0"/>
      <w:szCs w:val="24"/>
    </w:rPr>
  </w:style>
  <w:style w:type="character" w:customStyle="1" w:styleId="144">
    <w:name w:val="apple-style-span"/>
    <w:basedOn w:val="41"/>
    <w:qFormat/>
    <w:uiPriority w:val="0"/>
    <w:rPr>
      <w:rFonts w:eastAsia="黑体"/>
      <w:b/>
      <w:bCs/>
      <w:snapToGrid w:val="0"/>
      <w:sz w:val="24"/>
      <w:szCs w:val="24"/>
    </w:rPr>
  </w:style>
  <w:style w:type="paragraph" w:customStyle="1" w:styleId="145">
    <w:name w:val="正文4"/>
    <w:qFormat/>
    <w:uiPriority w:val="0"/>
    <w:pPr>
      <w:jc w:val="both"/>
    </w:pPr>
    <w:rPr>
      <w:rFonts w:ascii="Times New Roman" w:hAnsi="Times New Roman" w:eastAsia="宋体" w:cs="Times New Roman"/>
      <w:kern w:val="2"/>
      <w:sz w:val="21"/>
      <w:szCs w:val="21"/>
      <w:lang w:val="en-US" w:eastAsia="zh-CN" w:bidi="ar-SA"/>
    </w:rPr>
  </w:style>
  <w:style w:type="character" w:customStyle="1" w:styleId="146">
    <w:name w:val="样式 样式 样式 首行缩进:  2 字符 + 居中 + 行距: 固定值 17 磅 Char"/>
    <w:link w:val="147"/>
    <w:qFormat/>
    <w:uiPriority w:val="0"/>
    <w:rPr>
      <w:rFonts w:eastAsia="宋体" w:cs="宋体"/>
      <w:color w:val="000000"/>
      <w:kern w:val="2"/>
      <w:sz w:val="21"/>
    </w:rPr>
  </w:style>
  <w:style w:type="paragraph" w:customStyle="1" w:styleId="147">
    <w:name w:val="样式 样式 样式 首行缩进:  2 字符 + 居中 + 行距: 固定值 17 磅"/>
    <w:basedOn w:val="1"/>
    <w:link w:val="146"/>
    <w:qFormat/>
    <w:uiPriority w:val="0"/>
    <w:pPr>
      <w:adjustRightInd w:val="0"/>
      <w:snapToGrid w:val="0"/>
      <w:spacing w:line="340" w:lineRule="exact"/>
      <w:jc w:val="center"/>
    </w:pPr>
    <w:rPr>
      <w:rFonts w:eastAsia="宋体" w:cs="宋体" w:asciiTheme="minorHAnsi" w:hAnsiTheme="minorHAnsi"/>
      <w:color w:val="000000"/>
      <w:sz w:val="21"/>
      <w:szCs w:val="20"/>
    </w:rPr>
  </w:style>
  <w:style w:type="paragraph" w:customStyle="1" w:styleId="148">
    <w:name w:val="Date1"/>
    <w:basedOn w:val="1"/>
    <w:next w:val="1"/>
    <w:qFormat/>
    <w:uiPriority w:val="0"/>
    <w:pPr>
      <w:adjustRightInd w:val="0"/>
      <w:textAlignment w:val="baseline"/>
    </w:pPr>
    <w:rPr>
      <w:rFonts w:eastAsia="宋体" w:cs="Times New Roman"/>
      <w:sz w:val="21"/>
    </w:rPr>
  </w:style>
  <w:style w:type="paragraph" w:customStyle="1" w:styleId="149">
    <w:name w:val="固定表格"/>
    <w:basedOn w:val="1"/>
    <w:qFormat/>
    <w:uiPriority w:val="0"/>
    <w:pPr>
      <w:spacing w:line="360" w:lineRule="exact"/>
      <w:jc w:val="center"/>
    </w:pPr>
    <w:rPr>
      <w:rFonts w:eastAsia="宋体" w:cs="Times New Roman"/>
      <w:sz w:val="21"/>
    </w:rPr>
  </w:style>
  <w:style w:type="paragraph" w:customStyle="1" w:styleId="150">
    <w:name w:val="正文5"/>
    <w:qFormat/>
    <w:uiPriority w:val="0"/>
    <w:pPr>
      <w:jc w:val="both"/>
    </w:pPr>
    <w:rPr>
      <w:rFonts w:ascii="Times New Roman" w:hAnsi="Times New Roman" w:eastAsia="宋体" w:cs="Times New Roman"/>
      <w:kern w:val="2"/>
      <w:sz w:val="21"/>
      <w:szCs w:val="21"/>
      <w:lang w:val="en-US" w:eastAsia="zh-CN" w:bidi="ar-SA"/>
    </w:rPr>
  </w:style>
  <w:style w:type="paragraph" w:customStyle="1" w:styleId="151">
    <w:name w:val="表格中文字"/>
    <w:basedOn w:val="1"/>
    <w:qFormat/>
    <w:uiPriority w:val="0"/>
    <w:pPr>
      <w:adjustRightInd w:val="0"/>
      <w:snapToGrid w:val="0"/>
      <w:jc w:val="center"/>
    </w:pPr>
    <w:rPr>
      <w:rFonts w:eastAsia="宋体" w:cs="Times New Roman"/>
      <w:kern w:val="18"/>
      <w:sz w:val="21"/>
    </w:rPr>
  </w:style>
  <w:style w:type="paragraph" w:customStyle="1" w:styleId="152">
    <w:name w:val="正本文字"/>
    <w:basedOn w:val="1"/>
    <w:qFormat/>
    <w:uiPriority w:val="0"/>
    <w:pPr>
      <w:adjustRightInd w:val="0"/>
      <w:snapToGrid w:val="0"/>
      <w:spacing w:line="360" w:lineRule="auto"/>
      <w:ind w:firstLine="480" w:firstLineChars="200"/>
      <w:jc w:val="left"/>
    </w:pPr>
    <w:rPr>
      <w:rFonts w:eastAsia="宋体" w:cs="宋体"/>
      <w:kern w:val="18"/>
      <w:szCs w:val="24"/>
    </w:rPr>
  </w:style>
  <w:style w:type="paragraph" w:customStyle="1" w:styleId="153">
    <w:name w:val="正文2"/>
    <w:qFormat/>
    <w:uiPriority w:val="0"/>
    <w:pPr>
      <w:jc w:val="both"/>
    </w:pPr>
    <w:rPr>
      <w:rFonts w:ascii="Calibri" w:hAnsi="Calibri" w:eastAsia="宋体" w:cs="Calibri"/>
      <w:kern w:val="2"/>
      <w:sz w:val="21"/>
      <w:szCs w:val="21"/>
      <w:lang w:val="en-US" w:eastAsia="zh-CN" w:bidi="ar-SA"/>
    </w:rPr>
  </w:style>
  <w:style w:type="character" w:styleId="154">
    <w:name w:val="Placeholder Text"/>
    <w:basedOn w:val="41"/>
    <w:unhideWhenUsed/>
    <w:qFormat/>
    <w:uiPriority w:val="99"/>
    <w:rPr>
      <w:color w:val="808080"/>
    </w:rPr>
  </w:style>
  <w:style w:type="paragraph" w:customStyle="1" w:styleId="155">
    <w:name w:val="ZH正文"/>
    <w:basedOn w:val="1"/>
    <w:qFormat/>
    <w:uiPriority w:val="0"/>
    <w:pPr>
      <w:spacing w:line="360" w:lineRule="auto"/>
      <w:ind w:firstLine="200" w:firstLineChars="200"/>
    </w:pPr>
    <w:rPr>
      <w:rFonts w:eastAsia="宋体" w:cs="Times New Roman"/>
      <w:szCs w:val="24"/>
    </w:rPr>
  </w:style>
  <w:style w:type="paragraph" w:customStyle="1" w:styleId="156">
    <w:name w:val="列出段落3"/>
    <w:basedOn w:val="1"/>
    <w:qFormat/>
    <w:uiPriority w:val="0"/>
    <w:pPr>
      <w:autoSpaceDE w:val="0"/>
      <w:autoSpaceDN w:val="0"/>
      <w:ind w:left="1347" w:hanging="602"/>
      <w:jc w:val="left"/>
    </w:pPr>
    <w:rPr>
      <w:rFonts w:ascii="宋体" w:hAnsi="宋体" w:eastAsia="宋体" w:cs="宋体"/>
      <w:kern w:val="0"/>
      <w:sz w:val="22"/>
      <w:szCs w:val="22"/>
    </w:rPr>
  </w:style>
  <w:style w:type="character" w:customStyle="1" w:styleId="157">
    <w:name w:val="正文文本缩进 2 Char"/>
    <w:link w:val="25"/>
    <w:qFormat/>
    <w:uiPriority w:val="0"/>
    <w:rPr>
      <w:kern w:val="2"/>
      <w:sz w:val="21"/>
    </w:rPr>
  </w:style>
  <w:style w:type="character" w:customStyle="1" w:styleId="158">
    <w:name w:val="正文文本缩进 2 Char1"/>
    <w:basedOn w:val="41"/>
    <w:link w:val="25"/>
    <w:semiHidden/>
    <w:uiPriority w:val="99"/>
    <w:rPr>
      <w:rFonts w:ascii="Times New Roman" w:hAnsi="Times New Roman" w:eastAsiaTheme="minorEastAsia" w:cstheme="minorBidi"/>
      <w:kern w:val="2"/>
      <w:sz w:val="24"/>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7.emf"/><Relationship Id="rId17" Type="http://schemas.openxmlformats.org/officeDocument/2006/relationships/oleObject" Target="embeddings/oleObject4.bin"/><Relationship Id="rId16" Type="http://schemas.openxmlformats.org/officeDocument/2006/relationships/image" Target="media/image6.emf"/><Relationship Id="rId15" Type="http://schemas.openxmlformats.org/officeDocument/2006/relationships/oleObject" Target="embeddings/oleObject3.bin"/><Relationship Id="rId14" Type="http://schemas.openxmlformats.org/officeDocument/2006/relationships/image" Target="media/image5.jpeg"/><Relationship Id="rId13" Type="http://schemas.openxmlformats.org/officeDocument/2006/relationships/image" Target="media/image4.emf"/><Relationship Id="rId12" Type="http://schemas.openxmlformats.org/officeDocument/2006/relationships/oleObject" Target="embeddings/oleObject2.bin"/><Relationship Id="rId11" Type="http://schemas.openxmlformats.org/officeDocument/2006/relationships/image" Target="media/image3.w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D3670D-A67A-4D69-97B4-62B4FAB24A4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146</Pages>
  <Words>20502</Words>
  <Characters>116862</Characters>
  <Lines>973</Lines>
  <Paragraphs>274</Paragraphs>
  <TotalTime>2107</TotalTime>
  <ScaleCrop>false</ScaleCrop>
  <LinksUpToDate>false</LinksUpToDate>
  <CharactersWithSpaces>137090</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2019-11-27T06:41:00Z</dcterms:created>
  <dc:creator>微软用户</dc:creator>
  <cp:lastModifiedBy>M. *^_^*</cp:lastModifiedBy>
  <cp:lastPrinted>2017-12-20T01:07:00Z</cp:lastPrinted>
  <dcterms:modified xsi:type="dcterms:W3CDTF">2020-03-20T08:14:17Z</dcterms:modified>
  <cp:revision>251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