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adjustRightInd/>
        <w:snapToGrid/>
        <w:spacing w:line="360" w:lineRule="auto"/>
        <w:textAlignment w:val="auto"/>
      </w:pPr>
      <w:bookmarkStart w:id="0" w:name="_Toc28674"/>
      <w:bookmarkStart w:id="1" w:name="_Toc7376"/>
    </w:p>
    <w:p/>
    <w:p>
      <w:pPr>
        <w:keepNext w:val="0"/>
        <w:keepLines w:val="0"/>
        <w:pageBreakBefore w:val="0"/>
        <w:widowControl/>
        <w:kinsoku/>
        <w:wordWrap/>
        <w:overflowPunct/>
        <w:topLinePunct w:val="0"/>
        <w:autoSpaceDE w:val="0"/>
        <w:autoSpaceDN w:val="0"/>
        <w:bidi w:val="0"/>
        <w:adjustRightInd/>
        <w:snapToGrid/>
        <w:spacing w:before="313" w:beforeLines="100" w:after="313" w:afterLines="100" w:line="240" w:lineRule="auto"/>
        <w:jc w:val="center"/>
        <w:textAlignment w:val="auto"/>
        <w:rPr>
          <w:rFonts w:hint="eastAsia"/>
          <w:b/>
          <w:bCs/>
          <w:sz w:val="44"/>
          <w:szCs w:val="44"/>
          <w:lang w:eastAsia="zh-CN"/>
        </w:rPr>
      </w:pPr>
      <w:r>
        <w:rPr>
          <w:rFonts w:hint="eastAsia" w:eastAsia="宋体"/>
          <w:b/>
          <w:bCs/>
          <w:sz w:val="44"/>
          <w:szCs w:val="44"/>
          <w:lang w:eastAsia="zh-CN"/>
        </w:rPr>
        <w:t>湖南聚特新材料有限公司</w:t>
      </w:r>
    </w:p>
    <w:p>
      <w:pPr>
        <w:keepNext w:val="0"/>
        <w:keepLines w:val="0"/>
        <w:pageBreakBefore w:val="0"/>
        <w:widowControl/>
        <w:kinsoku/>
        <w:wordWrap/>
        <w:overflowPunct/>
        <w:topLinePunct w:val="0"/>
        <w:autoSpaceDE w:val="0"/>
        <w:autoSpaceDN w:val="0"/>
        <w:bidi w:val="0"/>
        <w:adjustRightInd/>
        <w:snapToGrid/>
        <w:spacing w:before="313" w:beforeLines="100" w:after="313" w:afterLines="100" w:line="240" w:lineRule="auto"/>
        <w:jc w:val="center"/>
        <w:textAlignment w:val="auto"/>
        <w:rPr>
          <w:rFonts w:hint="eastAsia"/>
          <w:b/>
          <w:bCs/>
          <w:sz w:val="44"/>
          <w:szCs w:val="44"/>
          <w:lang w:val="en-US" w:eastAsia="zh-CN"/>
        </w:rPr>
      </w:pPr>
      <w:r>
        <w:rPr>
          <w:rFonts w:hint="eastAsia" w:eastAsia="宋体"/>
          <w:b/>
          <w:bCs/>
          <w:sz w:val="44"/>
          <w:szCs w:val="44"/>
          <w:lang w:eastAsia="zh-CN"/>
        </w:rPr>
        <w:t>年产</w:t>
      </w:r>
      <w:r>
        <w:rPr>
          <w:rFonts w:hint="eastAsia" w:ascii="Times New Roman" w:eastAsia="宋体"/>
          <w:b/>
          <w:bCs/>
          <w:sz w:val="44"/>
          <w:szCs w:val="44"/>
          <w:lang w:val="en-US" w:eastAsia="zh-CN"/>
        </w:rPr>
        <w:t>6500吨</w:t>
      </w:r>
      <w:r>
        <w:rPr>
          <w:rFonts w:hint="eastAsia"/>
          <w:b/>
          <w:bCs/>
          <w:sz w:val="44"/>
          <w:szCs w:val="44"/>
          <w:lang w:val="en-US" w:eastAsia="zh-CN"/>
        </w:rPr>
        <w:t>聚氨酯发泡胶材料</w:t>
      </w:r>
      <w:r>
        <w:rPr>
          <w:rFonts w:hint="eastAsia" w:ascii="Times New Roman" w:eastAsia="宋体"/>
          <w:b/>
          <w:bCs/>
          <w:sz w:val="44"/>
          <w:szCs w:val="44"/>
          <w:lang w:val="en-US" w:eastAsia="zh-CN"/>
        </w:rPr>
        <w:t>生产项目</w:t>
      </w:r>
    </w:p>
    <w:p>
      <w:pPr>
        <w:keepNext w:val="0"/>
        <w:keepLines w:val="0"/>
        <w:pageBreakBefore w:val="0"/>
        <w:widowControl/>
        <w:kinsoku/>
        <w:wordWrap/>
        <w:overflowPunct/>
        <w:topLinePunct w:val="0"/>
        <w:autoSpaceDE w:val="0"/>
        <w:autoSpaceDN w:val="0"/>
        <w:bidi w:val="0"/>
        <w:adjustRightInd/>
        <w:snapToGrid/>
        <w:spacing w:before="313" w:beforeLines="100" w:after="313" w:afterLines="100" w:line="240" w:lineRule="auto"/>
        <w:jc w:val="center"/>
        <w:textAlignment w:val="auto"/>
        <w:rPr>
          <w:rFonts w:hint="eastAsia"/>
          <w:b/>
          <w:bCs/>
          <w:sz w:val="72"/>
          <w:szCs w:val="72"/>
          <w:lang w:val="en-US" w:eastAsia="zh-CN"/>
        </w:rPr>
      </w:pPr>
      <w:r>
        <w:rPr>
          <w:rFonts w:hint="eastAsia" w:ascii="Times New Roman" w:eastAsia="宋体"/>
          <w:b/>
          <w:bCs/>
          <w:sz w:val="72"/>
          <w:szCs w:val="72"/>
          <w:lang w:val="en-US" w:eastAsia="zh-CN"/>
        </w:rPr>
        <w:t>环境影响报告书</w:t>
      </w:r>
    </w:p>
    <w:p>
      <w:pPr>
        <w:keepNext w:val="0"/>
        <w:keepLines w:val="0"/>
        <w:pageBreakBefore w:val="0"/>
        <w:widowControl/>
        <w:kinsoku/>
        <w:wordWrap/>
        <w:overflowPunct/>
        <w:topLinePunct w:val="0"/>
        <w:autoSpaceDE w:val="0"/>
        <w:autoSpaceDN w:val="0"/>
        <w:bidi w:val="0"/>
        <w:adjustRightInd/>
        <w:snapToGrid/>
        <w:spacing w:before="313" w:beforeLines="100" w:after="313" w:afterLines="100" w:line="240" w:lineRule="auto"/>
        <w:jc w:val="center"/>
        <w:textAlignment w:val="auto"/>
        <w:rPr>
          <w:rFonts w:hint="eastAsia" w:ascii="Times New Roman" w:eastAsia="宋体"/>
          <w:b/>
          <w:bCs/>
          <w:sz w:val="44"/>
          <w:szCs w:val="44"/>
          <w:lang w:val="en-US" w:eastAsia="zh-CN"/>
        </w:rPr>
      </w:pPr>
      <w:r>
        <w:rPr>
          <w:rFonts w:hint="eastAsia" w:ascii="Times New Roman" w:eastAsia="宋体"/>
          <w:b/>
          <w:bCs/>
          <w:sz w:val="44"/>
          <w:szCs w:val="44"/>
          <w:lang w:val="en-US" w:eastAsia="zh-CN"/>
        </w:rPr>
        <w:t>（</w:t>
      </w:r>
      <w:r>
        <w:rPr>
          <w:rFonts w:hint="eastAsia"/>
          <w:b/>
          <w:bCs/>
          <w:sz w:val="44"/>
          <w:szCs w:val="44"/>
          <w:lang w:val="en-US" w:eastAsia="zh-CN"/>
        </w:rPr>
        <w:t>报批稿</w:t>
      </w:r>
      <w:r>
        <w:rPr>
          <w:rFonts w:hint="eastAsia" w:ascii="Times New Roman" w:eastAsia="宋体"/>
          <w:b/>
          <w:bCs/>
          <w:sz w:val="44"/>
          <w:szCs w:val="44"/>
          <w:lang w:val="en-US" w:eastAsia="zh-CN"/>
        </w:rPr>
        <w:t>）</w:t>
      </w:r>
    </w:p>
    <w:p>
      <w:pPr>
        <w:pStyle w:val="25"/>
        <w:bidi w:val="0"/>
        <w:rPr>
          <w:rFonts w:hint="eastAsia"/>
          <w:lang w:val="en-US" w:eastAsia="zh-CN"/>
        </w:rPr>
      </w:pPr>
    </w:p>
    <w:p>
      <w:pPr>
        <w:pStyle w:val="25"/>
        <w:bidi w:val="0"/>
        <w:rPr>
          <w:rFonts w:hint="eastAsia"/>
          <w:lang w:val="en-US" w:eastAsia="zh-CN"/>
        </w:rPr>
      </w:pPr>
      <w:r>
        <w:rPr>
          <w:rFonts w:hint="eastAsia"/>
          <w:lang w:val="en-US" w:eastAsia="zh-CN"/>
        </w:rPr>
        <w:drawing>
          <wp:anchor distT="0" distB="0" distL="114300" distR="114300" simplePos="0" relativeHeight="1338286080" behindDoc="0" locked="0" layoutInCell="1" allowOverlap="1">
            <wp:simplePos x="0" y="0"/>
            <wp:positionH relativeFrom="column">
              <wp:posOffset>628650</wp:posOffset>
            </wp:positionH>
            <wp:positionV relativeFrom="paragraph">
              <wp:posOffset>142875</wp:posOffset>
            </wp:positionV>
            <wp:extent cx="4679950" cy="2700020"/>
            <wp:effectExtent l="0" t="0" r="6350" b="5080"/>
            <wp:wrapTopAndBottom/>
            <wp:docPr id="24" name="图片 24" descr="5bf26636c80492590b949592b9cc5d1"/>
            <wp:cNvGraphicFramePr/>
            <a:graphic xmlns:a="http://schemas.openxmlformats.org/drawingml/2006/main">
              <a:graphicData uri="http://schemas.openxmlformats.org/drawingml/2006/picture">
                <pic:pic xmlns:pic="http://schemas.openxmlformats.org/drawingml/2006/picture">
                  <pic:nvPicPr>
                    <pic:cNvPr id="24" name="图片 24" descr="5bf26636c80492590b949592b9cc5d1"/>
                    <pic:cNvPicPr/>
                  </pic:nvPicPr>
                  <pic:blipFill>
                    <a:blip r:embed="rId20"/>
                    <a:stretch>
                      <a:fillRect/>
                    </a:stretch>
                  </pic:blipFill>
                  <pic:spPr>
                    <a:xfrm>
                      <a:off x="0" y="0"/>
                      <a:ext cx="4679950" cy="2700020"/>
                    </a:xfrm>
                    <a:prstGeom prst="rect">
                      <a:avLst/>
                    </a:prstGeom>
                  </pic:spPr>
                </pic:pic>
              </a:graphicData>
            </a:graphic>
          </wp:anchor>
        </w:drawing>
      </w:r>
    </w:p>
    <w:p>
      <w:pPr>
        <w:pStyle w:val="25"/>
        <w:bidi w:val="0"/>
        <w:rPr>
          <w:rFonts w:hint="eastAsia"/>
          <w:lang w:val="en-US" w:eastAsia="zh-CN"/>
        </w:rPr>
      </w:pPr>
    </w:p>
    <w:p>
      <w:pPr>
        <w:pStyle w:val="25"/>
        <w:bidi w:val="0"/>
        <w:rPr>
          <w:rFonts w:hint="eastAsia"/>
          <w:lang w:val="en-US" w:eastAsia="zh-CN"/>
        </w:rPr>
      </w:pPr>
    </w:p>
    <w:p>
      <w:pPr>
        <w:rPr>
          <w:rFonts w:hint="eastAsia"/>
          <w:lang w:val="en-US" w:eastAsia="zh-CN"/>
        </w:rPr>
      </w:pPr>
    </w:p>
    <w:p>
      <w:pPr>
        <w:keepNext w:val="0"/>
        <w:keepLines w:val="0"/>
        <w:pageBreakBefore w:val="0"/>
        <w:widowControl/>
        <w:kinsoku/>
        <w:wordWrap/>
        <w:overflowPunct/>
        <w:topLinePunct w:val="0"/>
        <w:autoSpaceDE w:val="0"/>
        <w:autoSpaceDN w:val="0"/>
        <w:bidi w:val="0"/>
        <w:adjustRightInd/>
        <w:snapToGrid/>
        <w:spacing w:before="157" w:beforeLines="50" w:after="157" w:afterLines="50" w:line="360" w:lineRule="auto"/>
        <w:jc w:val="center"/>
        <w:textAlignment w:val="auto"/>
        <w:rPr>
          <w:rFonts w:hint="eastAsia"/>
          <w:b/>
          <w:bCs/>
          <w:sz w:val="32"/>
          <w:szCs w:val="32"/>
          <w:lang w:val="en-US" w:eastAsia="zh-CN"/>
        </w:rPr>
      </w:pPr>
      <w:r>
        <w:rPr>
          <w:rFonts w:hint="eastAsia" w:ascii="Times New Roman" w:eastAsia="宋体"/>
          <w:b/>
          <w:bCs/>
          <w:sz w:val="32"/>
          <w:szCs w:val="32"/>
          <w:lang w:val="en-US" w:eastAsia="zh-CN"/>
        </w:rPr>
        <w:t>长沙水天净化技术工程有限公司</w:t>
      </w:r>
    </w:p>
    <w:p>
      <w:pPr>
        <w:keepNext w:val="0"/>
        <w:keepLines w:val="0"/>
        <w:pageBreakBefore w:val="0"/>
        <w:widowControl/>
        <w:kinsoku/>
        <w:wordWrap/>
        <w:overflowPunct/>
        <w:topLinePunct w:val="0"/>
        <w:autoSpaceDE w:val="0"/>
        <w:autoSpaceDN w:val="0"/>
        <w:bidi w:val="0"/>
        <w:adjustRightInd/>
        <w:snapToGrid/>
        <w:spacing w:before="157" w:beforeLines="50" w:after="157" w:afterLines="50" w:line="360" w:lineRule="auto"/>
        <w:jc w:val="center"/>
        <w:textAlignment w:val="auto"/>
        <w:rPr>
          <w:rFonts w:hint="eastAsia"/>
          <w:b/>
          <w:bCs/>
          <w:sz w:val="32"/>
          <w:szCs w:val="32"/>
          <w:lang w:val="en-US" w:eastAsia="zh-CN"/>
        </w:rPr>
      </w:pPr>
      <w:r>
        <w:rPr>
          <w:rFonts w:hint="eastAsia" w:ascii="Times New Roman" w:eastAsia="宋体"/>
          <w:b/>
          <w:bCs/>
          <w:sz w:val="32"/>
          <w:szCs w:val="32"/>
          <w:lang w:val="en-US" w:eastAsia="zh-CN"/>
        </w:rPr>
        <w:t>二〇二〇年</w:t>
      </w:r>
      <w:r>
        <w:rPr>
          <w:rFonts w:hint="eastAsia"/>
          <w:b/>
          <w:bCs/>
          <w:sz w:val="32"/>
          <w:szCs w:val="32"/>
          <w:lang w:val="en-US" w:eastAsia="zh-CN"/>
        </w:rPr>
        <w:t>四</w:t>
      </w:r>
      <w:r>
        <w:rPr>
          <w:rFonts w:hint="eastAsia" w:ascii="Times New Roman" w:eastAsia="宋体"/>
          <w:b/>
          <w:bCs/>
          <w:sz w:val="32"/>
          <w:szCs w:val="32"/>
          <w:lang w:val="en-US" w:eastAsia="zh-CN"/>
        </w:rPr>
        <w:t>月</w:t>
      </w:r>
    </w:p>
    <w:p>
      <w:pPr>
        <w:rPr>
          <w:rFonts w:hint="eastAsia"/>
          <w:lang w:val="en-US" w:eastAsia="zh-CN"/>
        </w:rPr>
      </w:pPr>
    </w:p>
    <w:p>
      <w:pPr>
        <w:rPr>
          <w:rFonts w:hint="default"/>
          <w:lang w:val="en-US" w:eastAsia="zh-CN"/>
        </w:rPr>
        <w:sectPr>
          <w:headerReference r:id="rId3" w:type="default"/>
          <w:footerReference r:id="rId4" w:type="default"/>
          <w:pgSz w:w="11906" w:h="16838"/>
          <w:pgMar w:top="1417" w:right="1417" w:bottom="1134" w:left="1701" w:header="851" w:footer="992" w:gutter="0"/>
          <w:pgBorders>
            <w:top w:val="none" w:sz="0" w:space="0"/>
            <w:left w:val="none" w:sz="0" w:space="0"/>
            <w:bottom w:val="none" w:sz="0" w:space="0"/>
            <w:right w:val="none" w:sz="0" w:space="0"/>
          </w:pgBorders>
          <w:pgNumType w:start="1"/>
          <w:cols w:space="0" w:num="1"/>
          <w:rtlGutter w:val="0"/>
          <w:docGrid w:linePitch="312" w:charSpace="0"/>
        </w:sectPr>
      </w:pPr>
    </w:p>
    <w:p>
      <w:pPr>
        <w:keepNext w:val="0"/>
        <w:keepLines w:val="0"/>
        <w:pageBreakBefore w:val="0"/>
        <w:widowControl/>
        <w:kinsoku/>
        <w:wordWrap/>
        <w:overflowPunct/>
        <w:topLinePunct w:val="0"/>
        <w:autoSpaceDE w:val="0"/>
        <w:autoSpaceDN w:val="0"/>
        <w:bidi w:val="0"/>
        <w:adjustRightInd/>
        <w:snapToGrid/>
        <w:spacing w:before="313" w:beforeLines="100" w:after="313" w:afterLines="100" w:line="360" w:lineRule="auto"/>
        <w:textAlignment w:val="auto"/>
        <w:rPr>
          <w:rFonts w:hint="eastAsia"/>
          <w:sz w:val="28"/>
          <w:szCs w:val="28"/>
          <w:lang w:val="en-US" w:eastAsia="zh-CN"/>
        </w:rPr>
      </w:pPr>
      <w:r>
        <w:rPr>
          <w:rFonts w:hint="eastAsia" w:eastAsia="宋体"/>
          <w:b/>
          <w:bCs/>
          <w:sz w:val="28"/>
          <w:szCs w:val="28"/>
          <w:lang w:eastAsia="zh-CN"/>
        </w:rPr>
        <w:t>项目名称：</w:t>
      </w:r>
      <w:r>
        <w:rPr>
          <w:rFonts w:hint="eastAsia" w:eastAsia="宋体"/>
          <w:sz w:val="28"/>
          <w:szCs w:val="28"/>
          <w:lang w:eastAsia="zh-CN"/>
        </w:rPr>
        <w:t>年产</w:t>
      </w:r>
      <w:r>
        <w:rPr>
          <w:rFonts w:hint="eastAsia" w:ascii="Times New Roman" w:eastAsia="宋体"/>
          <w:sz w:val="28"/>
          <w:szCs w:val="28"/>
          <w:lang w:val="en-US" w:eastAsia="zh-CN"/>
        </w:rPr>
        <w:t>6500吨</w:t>
      </w:r>
      <w:r>
        <w:rPr>
          <w:rFonts w:hint="eastAsia"/>
          <w:sz w:val="28"/>
          <w:szCs w:val="28"/>
          <w:lang w:val="en-US" w:eastAsia="zh-CN"/>
        </w:rPr>
        <w:t>聚氨酯发泡胶材料</w:t>
      </w:r>
      <w:r>
        <w:rPr>
          <w:rFonts w:hint="eastAsia" w:ascii="Times New Roman" w:eastAsia="宋体"/>
          <w:sz w:val="28"/>
          <w:szCs w:val="28"/>
          <w:lang w:val="en-US" w:eastAsia="zh-CN"/>
        </w:rPr>
        <w:t>生产项目</w:t>
      </w:r>
    </w:p>
    <w:p>
      <w:pPr>
        <w:keepNext w:val="0"/>
        <w:keepLines w:val="0"/>
        <w:pageBreakBefore w:val="0"/>
        <w:widowControl/>
        <w:kinsoku/>
        <w:wordWrap/>
        <w:overflowPunct/>
        <w:topLinePunct w:val="0"/>
        <w:autoSpaceDE w:val="0"/>
        <w:autoSpaceDN w:val="0"/>
        <w:bidi w:val="0"/>
        <w:adjustRightInd/>
        <w:snapToGrid/>
        <w:spacing w:before="313" w:beforeLines="100" w:after="313" w:afterLines="100" w:line="360" w:lineRule="auto"/>
        <w:textAlignment w:val="auto"/>
        <w:rPr>
          <w:rFonts w:hint="eastAsia"/>
          <w:sz w:val="28"/>
          <w:szCs w:val="28"/>
          <w:lang w:eastAsia="zh-CN"/>
        </w:rPr>
      </w:pPr>
      <w:r>
        <w:rPr>
          <w:rFonts w:hint="eastAsia" w:eastAsia="宋体"/>
          <w:b/>
          <w:bCs/>
          <w:sz w:val="28"/>
          <w:szCs w:val="28"/>
          <w:lang w:eastAsia="zh-CN"/>
        </w:rPr>
        <w:t>建设单位：</w:t>
      </w:r>
      <w:r>
        <w:rPr>
          <w:rFonts w:hint="eastAsia" w:eastAsia="宋体"/>
          <w:sz w:val="28"/>
          <w:szCs w:val="28"/>
          <w:lang w:eastAsia="zh-CN"/>
        </w:rPr>
        <w:t>湖南聚特新材料有限公司</w:t>
      </w:r>
    </w:p>
    <w:p>
      <w:pPr>
        <w:pStyle w:val="25"/>
        <w:bidi w:val="0"/>
        <w:rPr>
          <w:rFonts w:hint="eastAsia"/>
          <w:sz w:val="28"/>
          <w:szCs w:val="28"/>
          <w:lang w:eastAsia="zh-CN"/>
        </w:rPr>
      </w:pPr>
    </w:p>
    <w:p>
      <w:pPr>
        <w:keepNext w:val="0"/>
        <w:keepLines w:val="0"/>
        <w:pageBreakBefore w:val="0"/>
        <w:widowControl/>
        <w:kinsoku/>
        <w:wordWrap/>
        <w:overflowPunct/>
        <w:topLinePunct w:val="0"/>
        <w:autoSpaceDE w:val="0"/>
        <w:autoSpaceDN w:val="0"/>
        <w:bidi w:val="0"/>
        <w:adjustRightInd/>
        <w:snapToGrid/>
        <w:spacing w:before="313" w:beforeLines="100" w:after="313" w:afterLines="100" w:line="360" w:lineRule="auto"/>
        <w:textAlignment w:val="auto"/>
        <w:rPr>
          <w:rFonts w:hint="eastAsia" w:eastAsia="宋体"/>
          <w:sz w:val="28"/>
          <w:szCs w:val="28"/>
          <w:lang w:eastAsia="zh-CN"/>
        </w:rPr>
      </w:pPr>
      <w:r>
        <w:rPr>
          <w:rFonts w:hint="eastAsia" w:eastAsia="宋体"/>
          <w:b/>
          <w:bCs/>
          <w:sz w:val="28"/>
          <w:szCs w:val="28"/>
          <w:lang w:eastAsia="zh-CN"/>
        </w:rPr>
        <w:t>编制单位：</w:t>
      </w:r>
      <w:r>
        <w:rPr>
          <w:rFonts w:hint="eastAsia" w:eastAsia="宋体"/>
          <w:sz w:val="28"/>
          <w:szCs w:val="28"/>
          <w:lang w:eastAsia="zh-CN"/>
        </w:rPr>
        <w:t>长沙水天净化技术工程有限公司</w:t>
      </w:r>
    </w:p>
    <w:p>
      <w:pPr>
        <w:bidi w:val="0"/>
        <w:rPr>
          <w:rFonts w:hint="default"/>
          <w:sz w:val="28"/>
          <w:szCs w:val="28"/>
          <w:lang w:val="en-US" w:eastAsia="zh-CN"/>
        </w:rPr>
      </w:pPr>
      <w:r>
        <w:rPr>
          <w:rFonts w:hint="eastAsia"/>
          <w:b/>
          <w:bCs/>
          <w:sz w:val="28"/>
          <w:szCs w:val="28"/>
          <w:lang w:eastAsia="zh-CN"/>
        </w:rPr>
        <w:t>证书编号：</w:t>
      </w:r>
      <w:r>
        <w:rPr>
          <w:rFonts w:hint="eastAsia"/>
          <w:sz w:val="28"/>
          <w:szCs w:val="28"/>
          <w:lang w:val="en-US" w:eastAsia="zh-CN"/>
        </w:rPr>
        <w:t>05354343505430223</w:t>
      </w:r>
    </w:p>
    <w:p>
      <w:pPr>
        <w:keepNext w:val="0"/>
        <w:keepLines w:val="0"/>
        <w:pageBreakBefore w:val="0"/>
        <w:widowControl/>
        <w:kinsoku/>
        <w:wordWrap/>
        <w:overflowPunct/>
        <w:topLinePunct w:val="0"/>
        <w:autoSpaceDE w:val="0"/>
        <w:autoSpaceDN w:val="0"/>
        <w:bidi w:val="0"/>
        <w:adjustRightInd/>
        <w:snapToGrid/>
        <w:spacing w:before="313" w:beforeLines="100" w:after="313" w:afterLines="100" w:line="360" w:lineRule="auto"/>
        <w:textAlignment w:val="auto"/>
        <w:rPr>
          <w:rFonts w:hint="eastAsia" w:eastAsia="宋体"/>
          <w:sz w:val="28"/>
          <w:szCs w:val="28"/>
          <w:lang w:eastAsia="zh-CN"/>
        </w:rPr>
      </w:pPr>
      <w:r>
        <w:rPr>
          <w:rFonts w:hint="eastAsia" w:eastAsia="宋体"/>
          <w:b/>
          <w:bCs/>
          <w:sz w:val="28"/>
          <w:szCs w:val="28"/>
          <w:lang w:eastAsia="zh-CN"/>
        </w:rPr>
        <w:t>法人代表</w:t>
      </w:r>
      <w:r>
        <w:rPr>
          <w:rFonts w:hint="eastAsia" w:eastAsia="宋体"/>
          <w:sz w:val="28"/>
          <w:szCs w:val="28"/>
          <w:lang w:eastAsia="zh-CN"/>
        </w:rPr>
        <w:t>：方建武</w:t>
      </w:r>
    </w:p>
    <w:p>
      <w:pPr>
        <w:pStyle w:val="25"/>
        <w:bidi w:val="0"/>
        <w:rPr>
          <w:rFonts w:hint="eastAsia"/>
          <w:sz w:val="28"/>
          <w:szCs w:val="28"/>
          <w:lang w:eastAsia="zh-CN"/>
        </w:rPr>
      </w:pPr>
    </w:p>
    <w:p>
      <w:pPr>
        <w:keepNext w:val="0"/>
        <w:keepLines w:val="0"/>
        <w:pageBreakBefore w:val="0"/>
        <w:widowControl/>
        <w:kinsoku/>
        <w:wordWrap/>
        <w:overflowPunct/>
        <w:topLinePunct w:val="0"/>
        <w:autoSpaceDE w:val="0"/>
        <w:autoSpaceDN w:val="0"/>
        <w:bidi w:val="0"/>
        <w:adjustRightInd/>
        <w:snapToGrid/>
        <w:spacing w:before="313" w:beforeLines="100" w:after="313" w:afterLines="100" w:line="360" w:lineRule="auto"/>
        <w:textAlignment w:val="auto"/>
        <w:rPr>
          <w:rFonts w:hint="eastAsia"/>
          <w:sz w:val="28"/>
          <w:szCs w:val="28"/>
          <w:lang w:eastAsia="zh-CN"/>
        </w:rPr>
      </w:pPr>
      <w:r>
        <w:rPr>
          <w:rFonts w:hint="eastAsia" w:eastAsia="宋体"/>
          <w:b/>
          <w:bCs/>
          <w:sz w:val="28"/>
          <w:szCs w:val="28"/>
          <w:lang w:eastAsia="zh-CN"/>
        </w:rPr>
        <w:t>项目负责人</w:t>
      </w:r>
      <w:r>
        <w:rPr>
          <w:rFonts w:hint="eastAsia" w:eastAsia="宋体"/>
          <w:sz w:val="28"/>
          <w:szCs w:val="28"/>
          <w:lang w:eastAsia="zh-CN"/>
        </w:rPr>
        <w:t>：范浩</w:t>
      </w:r>
    </w:p>
    <w:p>
      <w:pPr>
        <w:keepNext w:val="0"/>
        <w:keepLines w:val="0"/>
        <w:pageBreakBefore w:val="0"/>
        <w:widowControl/>
        <w:kinsoku/>
        <w:wordWrap/>
        <w:overflowPunct/>
        <w:topLinePunct w:val="0"/>
        <w:autoSpaceDE w:val="0"/>
        <w:autoSpaceDN w:val="0"/>
        <w:bidi w:val="0"/>
        <w:adjustRightInd/>
        <w:snapToGrid/>
        <w:spacing w:before="313" w:beforeLines="100" w:after="313" w:afterLines="100" w:line="360" w:lineRule="auto"/>
        <w:textAlignment w:val="auto"/>
        <w:rPr>
          <w:rFonts w:hint="eastAsia"/>
          <w:sz w:val="28"/>
          <w:szCs w:val="28"/>
          <w:lang w:eastAsia="zh-CN"/>
        </w:rPr>
      </w:pPr>
      <w:r>
        <w:rPr>
          <w:rFonts w:hint="eastAsia" w:eastAsia="宋体"/>
          <w:b/>
          <w:bCs/>
          <w:sz w:val="28"/>
          <w:szCs w:val="28"/>
          <w:lang w:eastAsia="zh-CN"/>
        </w:rPr>
        <w:t>登记类别：</w:t>
      </w:r>
      <w:r>
        <w:rPr>
          <w:rFonts w:hint="eastAsia" w:eastAsia="宋体"/>
          <w:sz w:val="28"/>
          <w:szCs w:val="28"/>
          <w:lang w:eastAsia="zh-CN"/>
        </w:rPr>
        <w:t>报告书</w:t>
      </w:r>
    </w:p>
    <w:p>
      <w:pPr>
        <w:pStyle w:val="25"/>
        <w:bidi w:val="0"/>
        <w:rPr>
          <w:rFonts w:hint="eastAsia"/>
          <w:lang w:eastAsia="zh-CN"/>
        </w:rPr>
      </w:pPr>
    </w:p>
    <w:p>
      <w:pPr>
        <w:pStyle w:val="25"/>
        <w:bidi w:val="0"/>
        <w:rPr>
          <w:rFonts w:hint="eastAsia"/>
          <w:lang w:eastAsia="zh-CN"/>
        </w:rPr>
      </w:pPr>
    </w:p>
    <w:p>
      <w:pPr>
        <w:pStyle w:val="25"/>
        <w:bidi w:val="0"/>
        <w:rPr>
          <w:rFonts w:hint="eastAsia"/>
          <w:lang w:eastAsia="zh-CN"/>
        </w:rPr>
      </w:pPr>
    </w:p>
    <w:p>
      <w:pPr>
        <w:pStyle w:val="25"/>
        <w:bidi w:val="0"/>
        <w:rPr>
          <w:rFonts w:hint="eastAsia"/>
          <w:lang w:eastAsia="zh-CN"/>
        </w:rPr>
        <w:sectPr>
          <w:headerReference r:id="rId5" w:type="default"/>
          <w:footerReference r:id="rId6" w:type="default"/>
          <w:pgSz w:w="11906" w:h="16838"/>
          <w:pgMar w:top="1417" w:right="1417" w:bottom="1134" w:left="1701" w:header="851" w:footer="992" w:gutter="0"/>
          <w:pgBorders>
            <w:top w:val="none" w:sz="0" w:space="0"/>
            <w:left w:val="none" w:sz="0" w:space="0"/>
            <w:bottom w:val="none" w:sz="0" w:space="0"/>
            <w:right w:val="none" w:sz="0" w:space="0"/>
          </w:pgBorders>
          <w:pgNumType w:fmt="upperRoman" w:start="1"/>
          <w:cols w:space="0" w:num="1"/>
          <w:rtlGutter w:val="0"/>
          <w:docGrid w:linePitch="312" w:charSpace="0"/>
        </w:sectPr>
      </w:pPr>
    </w:p>
    <w:p>
      <w:pPr>
        <w:jc w:val="center"/>
        <w:rPr>
          <w:rFonts w:hint="eastAsia"/>
          <w:lang w:eastAsia="zh-CN"/>
        </w:rPr>
        <w:sectPr>
          <w:footerReference r:id="rId7" w:type="default"/>
          <w:pgSz w:w="11906" w:h="16838"/>
          <w:pgMar w:top="1417" w:right="1417" w:bottom="1134" w:left="1701" w:header="851" w:footer="992" w:gutter="0"/>
          <w:pgBorders>
            <w:top w:val="none" w:sz="0" w:space="0"/>
            <w:left w:val="none" w:sz="0" w:space="0"/>
            <w:bottom w:val="none" w:sz="0" w:space="0"/>
            <w:right w:val="none" w:sz="0" w:space="0"/>
          </w:pgBorders>
          <w:pgNumType w:fmt="upperRoman"/>
          <w:cols w:space="0" w:num="1"/>
          <w:rtlGutter w:val="0"/>
          <w:docGrid w:linePitch="312" w:charSpace="0"/>
        </w:sectPr>
      </w:pPr>
      <w:r>
        <w:rPr>
          <w:rFonts w:hint="eastAsia"/>
          <w:lang w:eastAsia="zh-CN"/>
        </w:rPr>
        <w:drawing>
          <wp:anchor distT="0" distB="0" distL="114300" distR="114300" simplePos="0" relativeHeight="2152424448" behindDoc="0" locked="0" layoutInCell="1" allowOverlap="1">
            <wp:simplePos x="0" y="0"/>
            <wp:positionH relativeFrom="column">
              <wp:posOffset>-1423035</wp:posOffset>
            </wp:positionH>
            <wp:positionV relativeFrom="paragraph">
              <wp:posOffset>-1047750</wp:posOffset>
            </wp:positionV>
            <wp:extent cx="7851775" cy="10800080"/>
            <wp:effectExtent l="0" t="0" r="15875" b="1270"/>
            <wp:wrapTopAndBottom/>
            <wp:docPr id="59" name="图片 59" descr="7f57d99cc1ae94e009d2e05e5c10d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7f57d99cc1ae94e009d2e05e5c10df7"/>
                    <pic:cNvPicPr>
                      <a:picLocks noChangeAspect="1"/>
                    </pic:cNvPicPr>
                  </pic:nvPicPr>
                  <pic:blipFill>
                    <a:blip r:embed="rId21"/>
                    <a:stretch>
                      <a:fillRect/>
                    </a:stretch>
                  </pic:blipFill>
                  <pic:spPr>
                    <a:xfrm>
                      <a:off x="0" y="0"/>
                      <a:ext cx="7851775" cy="10800080"/>
                    </a:xfrm>
                    <a:prstGeom prst="rect">
                      <a:avLst/>
                    </a:prstGeom>
                  </pic:spPr>
                </pic:pic>
              </a:graphicData>
            </a:graphic>
          </wp:anchor>
        </w:drawing>
      </w:r>
    </w:p>
    <w:p>
      <w:pPr>
        <w:pStyle w:val="25"/>
        <w:bidi w:val="0"/>
        <w:rPr>
          <w:rFonts w:hint="eastAsia"/>
          <w:lang w:val="en-US" w:eastAsia="zh-CN"/>
        </w:rPr>
      </w:pPr>
    </w:p>
    <w:p>
      <w:pPr>
        <w:rPr>
          <w:rFonts w:hint="eastAsia"/>
          <w:lang w:eastAsia="zh-CN"/>
        </w:rPr>
        <w:sectPr>
          <w:footerReference r:id="rId8" w:type="default"/>
          <w:pgSz w:w="16838" w:h="11906" w:orient="landscape"/>
          <w:pgMar w:top="1701" w:right="1417" w:bottom="1417" w:left="1134" w:header="851" w:footer="992" w:gutter="0"/>
          <w:pgBorders>
            <w:top w:val="none" w:sz="0" w:space="0"/>
            <w:left w:val="none" w:sz="0" w:space="0"/>
            <w:bottom w:val="none" w:sz="0" w:space="0"/>
            <w:right w:val="none" w:sz="0" w:space="0"/>
          </w:pgBorders>
          <w:pgNumType w:fmt="upperRoman"/>
          <w:cols w:space="0" w:num="1"/>
          <w:rtlGutter w:val="0"/>
          <w:docGrid w:linePitch="312" w:charSpace="0"/>
        </w:sectPr>
      </w:pPr>
      <w:r>
        <w:rPr>
          <w:rFonts w:hint="eastAsia"/>
          <w:lang w:eastAsia="zh-CN"/>
        </w:rPr>
        <w:drawing>
          <wp:anchor distT="0" distB="0" distL="114300" distR="114300" simplePos="0" relativeHeight="1338303488" behindDoc="0" locked="0" layoutInCell="1" allowOverlap="1">
            <wp:simplePos x="0" y="0"/>
            <wp:positionH relativeFrom="column">
              <wp:posOffset>483235</wp:posOffset>
            </wp:positionH>
            <wp:positionV relativeFrom="paragraph">
              <wp:posOffset>-514350</wp:posOffset>
            </wp:positionV>
            <wp:extent cx="8260080" cy="5506085"/>
            <wp:effectExtent l="0" t="0" r="7620" b="18415"/>
            <wp:wrapTopAndBottom/>
            <wp:docPr id="51" name="图片 51" descr="b91661317486b5e3e8c31c7b254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b91661317486b5e3e8c31c7b2545080"/>
                    <pic:cNvPicPr>
                      <a:picLocks noChangeAspect="1"/>
                    </pic:cNvPicPr>
                  </pic:nvPicPr>
                  <pic:blipFill>
                    <a:blip r:embed="rId22"/>
                    <a:stretch>
                      <a:fillRect/>
                    </a:stretch>
                  </pic:blipFill>
                  <pic:spPr>
                    <a:xfrm>
                      <a:off x="0" y="0"/>
                      <a:ext cx="8260080" cy="5506085"/>
                    </a:xfrm>
                    <a:prstGeom prst="rect">
                      <a:avLst/>
                    </a:prstGeom>
                  </pic:spPr>
                </pic:pic>
              </a:graphicData>
            </a:graphic>
          </wp:anchor>
        </w:drawing>
      </w:r>
    </w:p>
    <w:p>
      <w:pPr>
        <w:pStyle w:val="25"/>
        <w:bidi w:val="0"/>
        <w:jc w:val="center"/>
        <w:rPr>
          <w:rFonts w:hint="eastAsia"/>
          <w:lang w:val="en-US" w:eastAsia="zh-CN"/>
        </w:rPr>
        <w:sectPr>
          <w:headerReference r:id="rId9" w:type="default"/>
          <w:footerReference r:id="rId10" w:type="default"/>
          <w:pgSz w:w="16838" w:h="11906" w:orient="landscape"/>
          <w:pgMar w:top="1701" w:right="1417" w:bottom="1417" w:left="1134" w:header="851" w:footer="992" w:gutter="0"/>
          <w:pgBorders>
            <w:top w:val="none" w:sz="0" w:space="0"/>
            <w:left w:val="none" w:sz="0" w:space="0"/>
            <w:bottom w:val="none" w:sz="0" w:space="0"/>
            <w:right w:val="none" w:sz="0" w:space="0"/>
          </w:pgBorders>
          <w:pgNumType w:fmt="upperRoman"/>
          <w:cols w:space="0" w:num="1"/>
          <w:rtlGutter w:val="0"/>
          <w:docGrid w:linePitch="312" w:charSpace="0"/>
        </w:sectPr>
      </w:pPr>
      <w:bookmarkStart w:id="2" w:name="_Toc29710"/>
      <w:bookmarkStart w:id="3" w:name="_Toc5053"/>
      <w:bookmarkStart w:id="4" w:name="_Toc5744"/>
      <w:r>
        <w:rPr>
          <w:rFonts w:hint="eastAsia"/>
          <w:lang w:val="en-US" w:eastAsia="zh-CN"/>
        </w:rPr>
        <w:drawing>
          <wp:anchor distT="0" distB="0" distL="114300" distR="114300" simplePos="0" relativeHeight="1338289152" behindDoc="0" locked="0" layoutInCell="1" allowOverlap="1">
            <wp:simplePos x="0" y="0"/>
            <wp:positionH relativeFrom="column">
              <wp:posOffset>-53975</wp:posOffset>
            </wp:positionH>
            <wp:positionV relativeFrom="paragraph">
              <wp:posOffset>200025</wp:posOffset>
            </wp:positionV>
            <wp:extent cx="9359900" cy="4719320"/>
            <wp:effectExtent l="0" t="0" r="12700" b="5080"/>
            <wp:wrapTopAndBottom/>
            <wp:docPr id="5" name="图片 5" descr="水天净化环评信用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水天净化环评信用平台"/>
                    <pic:cNvPicPr>
                      <a:picLocks noChangeAspect="1"/>
                    </pic:cNvPicPr>
                  </pic:nvPicPr>
                  <pic:blipFill>
                    <a:blip r:embed="rId23"/>
                    <a:stretch>
                      <a:fillRect/>
                    </a:stretch>
                  </pic:blipFill>
                  <pic:spPr>
                    <a:xfrm>
                      <a:off x="0" y="0"/>
                      <a:ext cx="9359900" cy="4719320"/>
                    </a:xfrm>
                    <a:prstGeom prst="rect">
                      <a:avLst/>
                    </a:prstGeom>
                  </pic:spPr>
                </pic:pic>
              </a:graphicData>
            </a:graphic>
          </wp:anchor>
        </w:drawing>
      </w:r>
    </w:p>
    <w:p>
      <w:pPr>
        <w:keepNext/>
        <w:keepLines/>
        <w:widowControl w:val="0"/>
        <w:numPr>
          <w:ilvl w:val="0"/>
          <w:numId w:val="0"/>
        </w:numPr>
        <w:bidi w:val="0"/>
        <w:spacing w:before="100" w:beforeLines="100" w:beforeAutospacing="0" w:after="100" w:afterLines="100" w:afterAutospacing="0" w:line="240" w:lineRule="auto"/>
        <w:ind w:left="432" w:leftChars="0" w:hanging="432" w:firstLineChars="0"/>
        <w:jc w:val="center"/>
        <w:outlineLvl w:val="0"/>
        <w:rPr>
          <w:rFonts w:hint="eastAsia" w:cs="Times New Roman"/>
          <w:b/>
          <w:bCs/>
          <w:kern w:val="44"/>
          <w:szCs w:val="32"/>
          <w:lang w:val="en-US" w:eastAsia="zh-CN" w:bidi="ar-SA"/>
        </w:rPr>
        <w:sectPr>
          <w:footerReference r:id="rId11" w:type="default"/>
          <w:pgSz w:w="16838" w:h="11906" w:orient="landscape"/>
          <w:pgMar w:top="1701" w:right="1417" w:bottom="1417" w:left="1134" w:header="851" w:footer="992" w:gutter="0"/>
          <w:pgBorders>
            <w:top w:val="none" w:sz="0" w:space="0"/>
            <w:left w:val="none" w:sz="0" w:space="0"/>
            <w:bottom w:val="none" w:sz="0" w:space="0"/>
            <w:right w:val="none" w:sz="0" w:space="0"/>
          </w:pgBorders>
          <w:pgNumType w:fmt="upperRoman"/>
          <w:cols w:space="0" w:num="1"/>
          <w:rtlGutter w:val="0"/>
          <w:docGrid w:linePitch="312" w:charSpace="0"/>
        </w:sectPr>
      </w:pPr>
      <w:bookmarkStart w:id="5" w:name="_Toc945"/>
      <w:r>
        <w:rPr>
          <w:rFonts w:hint="eastAsia" w:cs="Times New Roman"/>
          <w:b/>
          <w:bCs/>
          <w:kern w:val="44"/>
          <w:szCs w:val="32"/>
          <w:lang w:val="en-US" w:eastAsia="zh-CN" w:bidi="ar-SA"/>
        </w:rPr>
        <w:drawing>
          <wp:anchor distT="0" distB="0" distL="114300" distR="114300" simplePos="0" relativeHeight="2152430592" behindDoc="0" locked="0" layoutInCell="1" allowOverlap="1">
            <wp:simplePos x="0" y="0"/>
            <wp:positionH relativeFrom="column">
              <wp:posOffset>612775</wp:posOffset>
            </wp:positionH>
            <wp:positionV relativeFrom="paragraph">
              <wp:posOffset>152400</wp:posOffset>
            </wp:positionV>
            <wp:extent cx="8025765" cy="5760085"/>
            <wp:effectExtent l="0" t="0" r="13335" b="12065"/>
            <wp:wrapTopAndBottom/>
            <wp:docPr id="20" name="图片 20"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未标题-1 拷贝"/>
                    <pic:cNvPicPr>
                      <a:picLocks noChangeAspect="1"/>
                    </pic:cNvPicPr>
                  </pic:nvPicPr>
                  <pic:blipFill>
                    <a:blip r:embed="rId24"/>
                    <a:stretch>
                      <a:fillRect/>
                    </a:stretch>
                  </pic:blipFill>
                  <pic:spPr>
                    <a:xfrm>
                      <a:off x="0" y="0"/>
                      <a:ext cx="8025765" cy="5760085"/>
                    </a:xfrm>
                    <a:prstGeom prst="rect">
                      <a:avLst/>
                    </a:prstGeom>
                  </pic:spPr>
                </pic:pic>
              </a:graphicData>
            </a:graphic>
          </wp:anchor>
        </w:drawing>
      </w:r>
    </w:p>
    <w:p>
      <w:pPr>
        <w:keepNext/>
        <w:keepLines/>
        <w:widowControl w:val="0"/>
        <w:numPr>
          <w:ilvl w:val="0"/>
          <w:numId w:val="0"/>
        </w:numPr>
        <w:bidi w:val="0"/>
        <w:spacing w:before="100" w:beforeLines="100" w:beforeAutospacing="0" w:after="100" w:afterLines="100" w:afterAutospacing="0" w:line="240" w:lineRule="auto"/>
        <w:ind w:left="432" w:leftChars="0" w:hanging="432" w:firstLineChars="0"/>
        <w:jc w:val="center"/>
        <w:outlineLvl w:val="0"/>
        <w:rPr>
          <w:rFonts w:hint="eastAsia" w:cs="Times New Roman"/>
          <w:b/>
          <w:bCs/>
          <w:kern w:val="44"/>
          <w:szCs w:val="32"/>
          <w:lang w:val="en-US" w:eastAsia="zh-CN" w:bidi="ar-SA"/>
        </w:rPr>
      </w:pPr>
      <w:r>
        <w:rPr>
          <w:rFonts w:hint="eastAsia" w:cs="Times New Roman"/>
          <w:b/>
          <w:bCs/>
          <w:kern w:val="44"/>
          <w:szCs w:val="32"/>
          <w:lang w:val="en-US" w:eastAsia="zh-CN" w:bidi="ar-SA"/>
        </w:rPr>
        <w:t>湖南聚特新材料有限公司年产6500吨聚氨酯发泡胶材料生产项目</w:t>
      </w:r>
    </w:p>
    <w:p>
      <w:pPr>
        <w:keepNext/>
        <w:keepLines/>
        <w:widowControl w:val="0"/>
        <w:numPr>
          <w:ilvl w:val="0"/>
          <w:numId w:val="0"/>
        </w:numPr>
        <w:bidi w:val="0"/>
        <w:spacing w:before="100" w:beforeLines="100" w:beforeAutospacing="0" w:after="100" w:afterLines="100" w:afterAutospacing="0" w:line="240" w:lineRule="auto"/>
        <w:ind w:left="432" w:leftChars="0" w:hanging="432" w:firstLineChars="0"/>
        <w:jc w:val="center"/>
        <w:outlineLvl w:val="0"/>
        <w:rPr>
          <w:rFonts w:hint="eastAsia" w:cs="Times New Roman"/>
          <w:b/>
          <w:bCs/>
          <w:kern w:val="44"/>
          <w:szCs w:val="32"/>
          <w:lang w:val="en-US" w:eastAsia="zh-CN" w:bidi="ar-SA"/>
        </w:rPr>
      </w:pPr>
      <w:r>
        <w:rPr>
          <w:rFonts w:hint="eastAsia" w:cs="Times New Roman"/>
          <w:b/>
          <w:bCs/>
          <w:kern w:val="44"/>
          <w:szCs w:val="32"/>
          <w:lang w:val="en-US" w:eastAsia="zh-CN" w:bidi="ar-SA"/>
        </w:rPr>
        <w:t>环境影响报告书专家评审意见修改说明</w:t>
      </w:r>
    </w:p>
    <w:tbl>
      <w:tblPr>
        <w:tblStyle w:val="23"/>
        <w:tblW w:w="100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3515"/>
        <w:gridCol w:w="48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1701" w:type="dxa"/>
            <w:tcBorders>
              <w:tl2br w:val="nil"/>
              <w:tr2bl w:val="nil"/>
            </w:tcBorders>
            <w:vAlign w:val="center"/>
          </w:tcPr>
          <w:p>
            <w:pPr>
              <w:pStyle w:val="26"/>
              <w:bidi w:val="0"/>
              <w:jc w:val="center"/>
              <w:rPr>
                <w:rFonts w:hint="eastAsia" w:eastAsia="宋体"/>
                <w:lang w:val="en-US" w:eastAsia="zh-CN"/>
              </w:rPr>
            </w:pPr>
            <w:r>
              <w:rPr>
                <w:rFonts w:hint="eastAsia"/>
                <w:lang w:val="en-US" w:eastAsia="zh-CN"/>
              </w:rPr>
              <w:t>章节</w:t>
            </w:r>
          </w:p>
        </w:tc>
        <w:tc>
          <w:tcPr>
            <w:tcW w:w="3515" w:type="dxa"/>
            <w:tcBorders>
              <w:tl2br w:val="nil"/>
              <w:tr2bl w:val="nil"/>
            </w:tcBorders>
            <w:vAlign w:val="center"/>
          </w:tcPr>
          <w:p>
            <w:pPr>
              <w:pStyle w:val="26"/>
              <w:bidi w:val="0"/>
              <w:jc w:val="center"/>
              <w:rPr>
                <w:rFonts w:hint="eastAsia"/>
                <w:lang w:val="en-US" w:eastAsia="zh-CN"/>
              </w:rPr>
            </w:pPr>
            <w:r>
              <w:rPr>
                <w:rFonts w:hint="eastAsia"/>
                <w:lang w:val="en-US" w:eastAsia="zh-CN"/>
              </w:rPr>
              <w:t>专家评审意见</w:t>
            </w:r>
          </w:p>
        </w:tc>
        <w:tc>
          <w:tcPr>
            <w:tcW w:w="4802" w:type="dxa"/>
            <w:tcBorders>
              <w:tl2br w:val="nil"/>
              <w:tr2bl w:val="nil"/>
            </w:tcBorders>
            <w:vAlign w:val="center"/>
          </w:tcPr>
          <w:p>
            <w:pPr>
              <w:pStyle w:val="26"/>
              <w:bidi w:val="0"/>
              <w:jc w:val="center"/>
              <w:rPr>
                <w:rFonts w:hint="eastAsia"/>
                <w:lang w:val="en-US" w:eastAsia="zh-CN"/>
              </w:rPr>
            </w:pPr>
            <w:r>
              <w:rPr>
                <w:rFonts w:hint="eastAsia"/>
                <w:lang w:val="en-US" w:eastAsia="zh-CN"/>
              </w:rPr>
              <w:t>修改说明</w:t>
            </w:r>
          </w:p>
          <w:p>
            <w:pPr>
              <w:pStyle w:val="26"/>
              <w:bidi w:val="0"/>
              <w:jc w:val="center"/>
              <w:rPr>
                <w:rFonts w:hint="default"/>
                <w:lang w:val="en-US" w:eastAsia="zh-CN"/>
              </w:rPr>
            </w:pPr>
            <w:r>
              <w:rPr>
                <w:rFonts w:hint="eastAsia"/>
                <w:lang w:val="en-US" w:eastAsia="zh-CN"/>
              </w:rPr>
              <w:t>（修改的地方在报告中用下划线表示出来）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0" w:hRule="atLeast"/>
          <w:tblHeader/>
          <w:jc w:val="center"/>
        </w:trPr>
        <w:tc>
          <w:tcPr>
            <w:tcW w:w="1701" w:type="dxa"/>
            <w:vMerge w:val="restart"/>
            <w:tcBorders>
              <w:tl2br w:val="nil"/>
              <w:tr2bl w:val="nil"/>
            </w:tcBorders>
            <w:vAlign w:val="center"/>
          </w:tcPr>
          <w:p>
            <w:pPr>
              <w:pStyle w:val="26"/>
              <w:bidi w:val="0"/>
              <w:jc w:val="center"/>
              <w:rPr>
                <w:rFonts w:hint="eastAsia"/>
                <w:lang w:val="en-US" w:eastAsia="zh-CN"/>
              </w:rPr>
            </w:pPr>
            <w:r>
              <w:rPr>
                <w:rFonts w:hint="eastAsia"/>
                <w:lang w:val="en-US" w:eastAsia="zh-CN"/>
              </w:rPr>
              <w:t>一、项目概况</w:t>
            </w:r>
          </w:p>
        </w:tc>
        <w:tc>
          <w:tcPr>
            <w:tcW w:w="3515" w:type="dxa"/>
            <w:tcBorders>
              <w:tl2br w:val="nil"/>
              <w:tr2bl w:val="nil"/>
            </w:tcBorders>
            <w:vAlign w:val="center"/>
          </w:tcPr>
          <w:p>
            <w:pPr>
              <w:pStyle w:val="26"/>
              <w:bidi w:val="0"/>
              <w:jc w:val="center"/>
              <w:rPr>
                <w:rFonts w:hint="eastAsia"/>
                <w:lang w:val="en-US" w:eastAsia="zh-CN"/>
              </w:rPr>
            </w:pPr>
            <w:r>
              <w:rPr>
                <w:rFonts w:hint="eastAsia"/>
                <w:lang w:val="en-US" w:eastAsia="zh-CN"/>
              </w:rPr>
              <w:t>1、强化卓达金谷创业园污水处理站建设运行情况、项目区管网建设调查，核实排水途径，完善评价依据。</w:t>
            </w:r>
          </w:p>
        </w:tc>
        <w:tc>
          <w:tcPr>
            <w:tcW w:w="4802" w:type="dxa"/>
            <w:tcBorders>
              <w:tl2br w:val="nil"/>
              <w:tr2bl w:val="nil"/>
            </w:tcBorders>
            <w:vAlign w:val="center"/>
          </w:tcPr>
          <w:p>
            <w:pPr>
              <w:pStyle w:val="26"/>
              <w:bidi w:val="0"/>
              <w:jc w:val="center"/>
              <w:rPr>
                <w:rFonts w:hint="eastAsia"/>
                <w:lang w:val="en-US" w:eastAsia="zh-CN"/>
              </w:rPr>
            </w:pPr>
            <w:r>
              <w:rPr>
                <w:rFonts w:hint="eastAsia"/>
                <w:lang w:val="en-US" w:eastAsia="zh-CN"/>
              </w:rPr>
              <w:t>卓达金谷创业园污水处理站已于2019年4月竣工运行。补充了污水处理站工艺流程图及项目简介，强化了卓达金谷创业园污水处理站建设运行情况，见P71。</w:t>
            </w:r>
          </w:p>
          <w:p>
            <w:pPr>
              <w:pStyle w:val="26"/>
              <w:bidi w:val="0"/>
              <w:jc w:val="center"/>
              <w:rPr>
                <w:rFonts w:hint="eastAsia"/>
                <w:lang w:val="en-US" w:eastAsia="zh-CN"/>
              </w:rPr>
            </w:pPr>
            <w:r>
              <w:rPr>
                <w:rFonts w:hint="eastAsia"/>
                <w:lang w:val="en-US" w:eastAsia="zh-CN"/>
              </w:rPr>
              <w:t>补充了项目区管网建设调查，已核实排水途径，见P11。</w:t>
            </w:r>
          </w:p>
          <w:p>
            <w:pPr>
              <w:pStyle w:val="26"/>
              <w:bidi w:val="0"/>
              <w:jc w:val="center"/>
              <w:rPr>
                <w:rFonts w:hint="default"/>
                <w:lang w:val="en-US" w:eastAsia="zh-CN"/>
              </w:rPr>
            </w:pPr>
            <w:r>
              <w:rPr>
                <w:rFonts w:hint="eastAsia"/>
                <w:lang w:val="en-US" w:eastAsia="zh-CN"/>
              </w:rPr>
              <w:t>完善了评价依据《产业结构调整指导目录》（2019年本），见P4。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5" w:hRule="atLeast"/>
          <w:tblHeader/>
          <w:jc w:val="center"/>
        </w:trPr>
        <w:tc>
          <w:tcPr>
            <w:tcW w:w="1701" w:type="dxa"/>
            <w:vMerge w:val="continue"/>
            <w:tcBorders>
              <w:tl2br w:val="nil"/>
              <w:tr2bl w:val="nil"/>
            </w:tcBorders>
            <w:vAlign w:val="center"/>
          </w:tcPr>
          <w:p>
            <w:pPr>
              <w:pStyle w:val="26"/>
              <w:bidi w:val="0"/>
              <w:jc w:val="center"/>
              <w:rPr>
                <w:rFonts w:hint="eastAsia"/>
                <w:lang w:val="en-US" w:eastAsia="zh-CN"/>
              </w:rPr>
            </w:pPr>
          </w:p>
        </w:tc>
        <w:tc>
          <w:tcPr>
            <w:tcW w:w="3515" w:type="dxa"/>
            <w:tcBorders>
              <w:tl2br w:val="nil"/>
              <w:tr2bl w:val="nil"/>
            </w:tcBorders>
            <w:vAlign w:val="center"/>
          </w:tcPr>
          <w:p>
            <w:pPr>
              <w:pStyle w:val="26"/>
              <w:bidi w:val="0"/>
              <w:jc w:val="center"/>
              <w:rPr>
                <w:rFonts w:hint="eastAsia"/>
                <w:lang w:val="en-US" w:eastAsia="zh-CN"/>
              </w:rPr>
            </w:pPr>
            <w:r>
              <w:rPr>
                <w:rFonts w:hint="eastAsia"/>
                <w:lang w:val="en-US" w:eastAsia="zh-CN"/>
              </w:rPr>
              <w:t>2、明确危废暂存间建设位置、规格，明确实验室建设情况，完善建设内容一览表。</w:t>
            </w:r>
          </w:p>
        </w:tc>
        <w:tc>
          <w:tcPr>
            <w:tcW w:w="4802" w:type="dxa"/>
            <w:tcBorders>
              <w:tl2br w:val="nil"/>
              <w:tr2bl w:val="nil"/>
            </w:tcBorders>
            <w:vAlign w:val="center"/>
          </w:tcPr>
          <w:p>
            <w:pPr>
              <w:pStyle w:val="26"/>
              <w:bidi w:val="0"/>
              <w:jc w:val="center"/>
              <w:rPr>
                <w:rFonts w:hint="eastAsia"/>
                <w:lang w:val="en-US" w:eastAsia="zh-CN"/>
              </w:rPr>
            </w:pPr>
            <w:r>
              <w:rPr>
                <w:rFonts w:hint="eastAsia"/>
                <w:lang w:val="en-US" w:eastAsia="zh-CN"/>
              </w:rPr>
              <w:t>明确了危废暂存区（2m×2m），位置未变更。实验室位于厂区二层，用于检测塑料的物理性能，检测过程中产生少量固废，见P36。</w:t>
            </w:r>
          </w:p>
          <w:p>
            <w:pPr>
              <w:pStyle w:val="26"/>
              <w:bidi w:val="0"/>
              <w:jc w:val="center"/>
              <w:rPr>
                <w:rFonts w:hint="default"/>
                <w:lang w:val="en-US" w:eastAsia="zh-CN"/>
              </w:rPr>
            </w:pPr>
            <w:r>
              <w:rPr>
                <w:rFonts w:hint="eastAsia"/>
                <w:lang w:val="en-US" w:eastAsia="zh-CN"/>
              </w:rPr>
              <w:t>建设内容一览表已完善，见P31 表3-1。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6" w:hRule="atLeast"/>
          <w:tblHeader/>
          <w:jc w:val="center"/>
        </w:trPr>
        <w:tc>
          <w:tcPr>
            <w:tcW w:w="1701" w:type="dxa"/>
            <w:vMerge w:val="continue"/>
            <w:tcBorders>
              <w:tl2br w:val="nil"/>
              <w:tr2bl w:val="nil"/>
            </w:tcBorders>
            <w:vAlign w:val="center"/>
          </w:tcPr>
          <w:p>
            <w:pPr>
              <w:pStyle w:val="26"/>
              <w:bidi w:val="0"/>
              <w:jc w:val="center"/>
              <w:rPr>
                <w:rFonts w:hint="eastAsia"/>
                <w:lang w:val="en-US" w:eastAsia="zh-CN"/>
              </w:rPr>
            </w:pPr>
          </w:p>
        </w:tc>
        <w:tc>
          <w:tcPr>
            <w:tcW w:w="3515" w:type="dxa"/>
            <w:tcBorders>
              <w:tl2br w:val="nil"/>
              <w:tr2bl w:val="nil"/>
            </w:tcBorders>
            <w:vAlign w:val="center"/>
          </w:tcPr>
          <w:p>
            <w:pPr>
              <w:pStyle w:val="26"/>
              <w:bidi w:val="0"/>
              <w:jc w:val="center"/>
              <w:rPr>
                <w:rFonts w:hint="eastAsia"/>
                <w:lang w:val="en-US" w:eastAsia="zh-CN"/>
              </w:rPr>
            </w:pPr>
            <w:r>
              <w:rPr>
                <w:rFonts w:hint="eastAsia"/>
                <w:lang w:val="en-US" w:eastAsia="zh-CN"/>
              </w:rPr>
              <w:t>3、核实原辅材料使用量，明确MDI、PAPI等物料最大储存量，细化原辅材料理化性质，补充活性炭使用情况。</w:t>
            </w:r>
          </w:p>
        </w:tc>
        <w:tc>
          <w:tcPr>
            <w:tcW w:w="4802" w:type="dxa"/>
            <w:tcBorders>
              <w:tl2br w:val="nil"/>
              <w:tr2bl w:val="nil"/>
            </w:tcBorders>
            <w:vAlign w:val="center"/>
          </w:tcPr>
          <w:p>
            <w:pPr>
              <w:pStyle w:val="26"/>
              <w:bidi w:val="0"/>
              <w:jc w:val="center"/>
              <w:rPr>
                <w:rFonts w:hint="eastAsia"/>
                <w:lang w:val="en-US" w:eastAsia="zh-CN"/>
              </w:rPr>
            </w:pPr>
            <w:r>
              <w:rPr>
                <w:rFonts w:hint="eastAsia" w:ascii="Times New Roman" w:hAnsi="Times New Roman" w:eastAsia="宋体" w:cs="Times New Roman"/>
                <w:kern w:val="2"/>
                <w:sz w:val="24"/>
                <w:szCs w:val="24"/>
                <w:lang w:val="en-US" w:eastAsia="zh-CN" w:bidi="ar-SA"/>
              </w:rPr>
              <w:t>聚酯多元醇比例由40%更正为10%</w:t>
            </w:r>
            <w:r>
              <w:rPr>
                <w:rFonts w:hint="eastAsia"/>
                <w:lang w:val="en-US" w:eastAsia="zh-CN"/>
              </w:rPr>
              <w:t>，见P33。</w:t>
            </w:r>
          </w:p>
          <w:p>
            <w:pPr>
              <w:pStyle w:val="26"/>
              <w:bidi w:val="0"/>
              <w:jc w:val="center"/>
              <w:rPr>
                <w:rFonts w:hint="eastAsia"/>
                <w:lang w:val="en-US" w:eastAsia="zh-CN"/>
              </w:rPr>
            </w:pPr>
            <w:r>
              <w:rPr>
                <w:rFonts w:hint="eastAsia"/>
                <w:lang w:val="en-US" w:eastAsia="zh-CN"/>
              </w:rPr>
              <w:t>MDI、PAPI等物料最大储存量减小，原辅材料理化性质已细化，见P34。</w:t>
            </w:r>
          </w:p>
          <w:p>
            <w:pPr>
              <w:pStyle w:val="26"/>
              <w:bidi w:val="0"/>
              <w:jc w:val="center"/>
              <w:rPr>
                <w:rFonts w:hint="default"/>
                <w:lang w:val="en-US" w:eastAsia="zh-CN"/>
              </w:rPr>
            </w:pPr>
            <w:r>
              <w:rPr>
                <w:rFonts w:hint="eastAsia"/>
                <w:lang w:val="en-US" w:eastAsia="zh-CN"/>
              </w:rPr>
              <w:t>补充了活性炭使用情况，见P45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71" w:hRule="atLeast"/>
          <w:tblHeader/>
          <w:jc w:val="center"/>
        </w:trPr>
        <w:tc>
          <w:tcPr>
            <w:tcW w:w="1701" w:type="dxa"/>
            <w:vMerge w:val="continue"/>
            <w:tcBorders>
              <w:tl2br w:val="nil"/>
              <w:tr2bl w:val="nil"/>
            </w:tcBorders>
            <w:vAlign w:val="center"/>
          </w:tcPr>
          <w:p>
            <w:pPr>
              <w:pStyle w:val="26"/>
              <w:bidi w:val="0"/>
              <w:jc w:val="center"/>
              <w:rPr>
                <w:rFonts w:hint="eastAsia"/>
                <w:lang w:val="en-US" w:eastAsia="zh-CN"/>
              </w:rPr>
            </w:pPr>
          </w:p>
        </w:tc>
        <w:tc>
          <w:tcPr>
            <w:tcW w:w="3515" w:type="dxa"/>
            <w:tcBorders>
              <w:tl2br w:val="nil"/>
              <w:tr2bl w:val="nil"/>
            </w:tcBorders>
            <w:vAlign w:val="center"/>
          </w:tcPr>
          <w:p>
            <w:pPr>
              <w:pStyle w:val="26"/>
              <w:bidi w:val="0"/>
              <w:jc w:val="center"/>
              <w:rPr>
                <w:rFonts w:hint="eastAsia"/>
                <w:lang w:val="en-US" w:eastAsia="zh-CN"/>
              </w:rPr>
            </w:pPr>
            <w:r>
              <w:rPr>
                <w:rFonts w:hint="eastAsia"/>
                <w:lang w:val="en-US" w:eastAsia="zh-CN"/>
              </w:rPr>
              <w:t>4、校核非甲烷总烃环境质量标准，完善有机废气排放因子及排放标准，校核大气、土壤、风险、地下水评价等级。</w:t>
            </w:r>
          </w:p>
        </w:tc>
        <w:tc>
          <w:tcPr>
            <w:tcW w:w="4802" w:type="dxa"/>
            <w:tcBorders>
              <w:tl2br w:val="nil"/>
              <w:tr2bl w:val="nil"/>
            </w:tcBorders>
            <w:vAlign w:val="center"/>
          </w:tcPr>
          <w:p>
            <w:pPr>
              <w:pStyle w:val="26"/>
              <w:bidi w:val="0"/>
              <w:jc w:val="center"/>
              <w:rPr>
                <w:rFonts w:hint="eastAsia"/>
                <w:lang w:val="en-US" w:eastAsia="zh-CN"/>
              </w:rPr>
            </w:pPr>
            <w:r>
              <w:rPr>
                <w:rFonts w:hint="eastAsia"/>
                <w:lang w:val="en-US" w:eastAsia="zh-CN"/>
              </w:rPr>
              <w:t>按照环评执行标准函，评价因子非甲烷总烃变更为VOCs，VOCs环境质量标准见P21。</w:t>
            </w:r>
          </w:p>
          <w:p>
            <w:pPr>
              <w:pStyle w:val="26"/>
              <w:bidi w:val="0"/>
              <w:jc w:val="center"/>
              <w:rPr>
                <w:rFonts w:hint="eastAsia"/>
                <w:lang w:val="en-US" w:eastAsia="zh-CN"/>
              </w:rPr>
            </w:pPr>
            <w:r>
              <w:rPr>
                <w:rFonts w:hint="eastAsia"/>
                <w:lang w:val="en-US" w:eastAsia="zh-CN"/>
              </w:rPr>
              <w:t>完善了有机废气排放因子及排放标准，排放标准见P65-66。</w:t>
            </w:r>
          </w:p>
          <w:p>
            <w:pPr>
              <w:pStyle w:val="26"/>
              <w:bidi w:val="0"/>
              <w:jc w:val="center"/>
              <w:rPr>
                <w:rFonts w:hint="default"/>
                <w:lang w:val="en-US" w:eastAsia="zh-CN"/>
              </w:rPr>
            </w:pPr>
            <w:r>
              <w:rPr>
                <w:rFonts w:hint="eastAsia"/>
                <w:lang w:val="en-US" w:eastAsia="zh-CN"/>
              </w:rPr>
              <w:t>大气评价等级确定，由铜官恒旺公司推算数据改为采用山东云华公司的实测数据类比计算，加强了源强数据的合理性，其次VOCs排放标准修改为执行天津市《工业企业挥发性有机物排放控制标准》（DB12/524-2014）表2新建企业排气筒污染物排放限值要求，最终大气评价等级未变动，见P11和P41。</w:t>
            </w:r>
          </w:p>
          <w:p>
            <w:pPr>
              <w:pStyle w:val="26"/>
              <w:bidi w:val="0"/>
              <w:jc w:val="center"/>
              <w:rPr>
                <w:rFonts w:hint="default"/>
                <w:lang w:val="en-US" w:eastAsia="zh-CN"/>
              </w:rPr>
            </w:pPr>
            <w:r>
              <w:rPr>
                <w:rFonts w:hint="eastAsia"/>
                <w:lang w:val="en-US" w:eastAsia="zh-CN"/>
              </w:rPr>
              <w:t>土壤、风险、地下水评价等级经校核，维持不变。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8" w:hRule="atLeast"/>
          <w:tblHeader/>
          <w:jc w:val="center"/>
        </w:trPr>
        <w:tc>
          <w:tcPr>
            <w:tcW w:w="1701" w:type="dxa"/>
            <w:vMerge w:val="restart"/>
            <w:tcBorders>
              <w:tl2br w:val="nil"/>
              <w:tr2bl w:val="nil"/>
            </w:tcBorders>
            <w:vAlign w:val="center"/>
          </w:tcPr>
          <w:p>
            <w:pPr>
              <w:pStyle w:val="26"/>
              <w:bidi w:val="0"/>
              <w:jc w:val="center"/>
              <w:rPr>
                <w:rFonts w:hint="eastAsia"/>
                <w:lang w:val="en-US" w:eastAsia="zh-CN"/>
              </w:rPr>
            </w:pPr>
            <w:r>
              <w:rPr>
                <w:rFonts w:hint="eastAsia"/>
                <w:lang w:val="en-US" w:eastAsia="zh-CN"/>
              </w:rPr>
              <w:t>二、环境保护目标及区域环境状况</w:t>
            </w:r>
          </w:p>
        </w:tc>
        <w:tc>
          <w:tcPr>
            <w:tcW w:w="3515" w:type="dxa"/>
            <w:tcBorders>
              <w:tl2br w:val="nil"/>
              <w:tr2bl w:val="nil"/>
            </w:tcBorders>
            <w:vAlign w:val="center"/>
          </w:tcPr>
          <w:p>
            <w:pPr>
              <w:pStyle w:val="26"/>
              <w:bidi w:val="0"/>
              <w:jc w:val="center"/>
              <w:rPr>
                <w:rFonts w:hint="eastAsia"/>
                <w:lang w:val="en-US" w:eastAsia="zh-CN"/>
              </w:rPr>
            </w:pPr>
            <w:r>
              <w:rPr>
                <w:rFonts w:hint="eastAsia"/>
                <w:lang w:val="en-US" w:eastAsia="zh-CN"/>
              </w:rPr>
              <w:t>1、按导则要求完善大气特征因子环境质量现状监测与评价，补充有效的监测质量保证单。</w:t>
            </w:r>
          </w:p>
        </w:tc>
        <w:tc>
          <w:tcPr>
            <w:tcW w:w="4802" w:type="dxa"/>
            <w:tcBorders>
              <w:tl2br w:val="nil"/>
              <w:tr2bl w:val="nil"/>
            </w:tcBorders>
            <w:vAlign w:val="center"/>
          </w:tcPr>
          <w:p>
            <w:pPr>
              <w:pStyle w:val="26"/>
              <w:bidi w:val="0"/>
              <w:jc w:val="center"/>
              <w:rPr>
                <w:rFonts w:hint="eastAsia"/>
                <w:lang w:val="en-US" w:eastAsia="zh-CN"/>
              </w:rPr>
            </w:pPr>
            <w:r>
              <w:rPr>
                <w:rFonts w:hint="eastAsia"/>
                <w:lang w:val="en-US" w:eastAsia="zh-CN"/>
              </w:rPr>
              <w:t>已完善大气特征因子环境质量现状监测与评价，见P55</w:t>
            </w:r>
          </w:p>
          <w:p>
            <w:pPr>
              <w:pStyle w:val="26"/>
              <w:bidi w:val="0"/>
              <w:jc w:val="center"/>
              <w:rPr>
                <w:rFonts w:hint="default"/>
                <w:lang w:val="en-US" w:eastAsia="zh-CN"/>
              </w:rPr>
            </w:pPr>
            <w:r>
              <w:rPr>
                <w:rFonts w:hint="eastAsia"/>
                <w:lang w:val="en-US" w:eastAsia="zh-CN"/>
              </w:rPr>
              <w:t>补充了有效的监测质量保证单，见附件5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5" w:hRule="atLeast"/>
          <w:tblHeader/>
          <w:jc w:val="center"/>
        </w:trPr>
        <w:tc>
          <w:tcPr>
            <w:tcW w:w="1701" w:type="dxa"/>
            <w:vMerge w:val="continue"/>
            <w:tcBorders>
              <w:tl2br w:val="nil"/>
              <w:tr2bl w:val="nil"/>
            </w:tcBorders>
            <w:vAlign w:val="center"/>
          </w:tcPr>
          <w:p>
            <w:pPr>
              <w:pStyle w:val="26"/>
              <w:bidi w:val="0"/>
              <w:jc w:val="center"/>
              <w:rPr>
                <w:rFonts w:hint="eastAsia"/>
                <w:lang w:val="en-US" w:eastAsia="zh-CN"/>
              </w:rPr>
            </w:pPr>
          </w:p>
        </w:tc>
        <w:tc>
          <w:tcPr>
            <w:tcW w:w="3515" w:type="dxa"/>
            <w:tcBorders>
              <w:tl2br w:val="nil"/>
              <w:tr2bl w:val="nil"/>
            </w:tcBorders>
            <w:vAlign w:val="center"/>
          </w:tcPr>
          <w:p>
            <w:pPr>
              <w:pStyle w:val="26"/>
              <w:bidi w:val="0"/>
              <w:jc w:val="center"/>
              <w:rPr>
                <w:rFonts w:hint="eastAsia"/>
                <w:lang w:val="en-US" w:eastAsia="zh-CN"/>
              </w:rPr>
            </w:pPr>
            <w:r>
              <w:rPr>
                <w:rFonts w:hint="eastAsia"/>
                <w:lang w:val="en-US" w:eastAsia="zh-CN"/>
              </w:rPr>
              <w:t>2、核实环境保护目标方位、距离及规模。</w:t>
            </w:r>
          </w:p>
        </w:tc>
        <w:tc>
          <w:tcPr>
            <w:tcW w:w="4802" w:type="dxa"/>
            <w:tcBorders>
              <w:tl2br w:val="nil"/>
              <w:tr2bl w:val="nil"/>
            </w:tcBorders>
            <w:vAlign w:val="center"/>
          </w:tcPr>
          <w:p>
            <w:pPr>
              <w:pStyle w:val="26"/>
              <w:bidi w:val="0"/>
              <w:jc w:val="center"/>
              <w:rPr>
                <w:rFonts w:hint="default"/>
                <w:lang w:val="en-US" w:eastAsia="zh-CN"/>
              </w:rPr>
            </w:pPr>
            <w:r>
              <w:rPr>
                <w:rFonts w:hint="eastAsia"/>
                <w:lang w:val="en-US" w:eastAsia="zh-CN"/>
              </w:rPr>
              <w:t>已核实环境保护目标方位、距离及规模，见P29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3" w:hRule="atLeast"/>
          <w:tblHeader/>
          <w:jc w:val="center"/>
        </w:trPr>
        <w:tc>
          <w:tcPr>
            <w:tcW w:w="1701" w:type="dxa"/>
            <w:vMerge w:val="restart"/>
            <w:tcBorders>
              <w:tl2br w:val="nil"/>
              <w:tr2bl w:val="nil"/>
            </w:tcBorders>
            <w:vAlign w:val="center"/>
          </w:tcPr>
          <w:p>
            <w:pPr>
              <w:pStyle w:val="26"/>
              <w:bidi w:val="0"/>
              <w:jc w:val="center"/>
              <w:rPr>
                <w:rFonts w:hint="eastAsia"/>
                <w:lang w:val="en-US" w:eastAsia="zh-CN"/>
              </w:rPr>
            </w:pPr>
            <w:r>
              <w:rPr>
                <w:rFonts w:hint="eastAsia"/>
                <w:lang w:val="en-US" w:eastAsia="zh-CN"/>
              </w:rPr>
              <w:t>三、工程分析、环境影响分析及污染防治措施</w:t>
            </w:r>
          </w:p>
        </w:tc>
        <w:tc>
          <w:tcPr>
            <w:tcW w:w="3515" w:type="dxa"/>
            <w:tcBorders>
              <w:tl2br w:val="nil"/>
              <w:tr2bl w:val="nil"/>
            </w:tcBorders>
            <w:vAlign w:val="center"/>
          </w:tcPr>
          <w:p>
            <w:pPr>
              <w:pStyle w:val="26"/>
              <w:bidi w:val="0"/>
              <w:jc w:val="center"/>
              <w:rPr>
                <w:rFonts w:hint="eastAsia"/>
                <w:lang w:val="en-US" w:eastAsia="zh-CN"/>
              </w:rPr>
            </w:pPr>
            <w:r>
              <w:rPr>
                <w:rFonts w:hint="eastAsia"/>
                <w:lang w:val="en-US" w:eastAsia="zh-CN"/>
              </w:rPr>
              <w:t>1、完善工艺流程及产排污节点图，完善工艺过程说明，核实物料平衡。</w:t>
            </w:r>
          </w:p>
        </w:tc>
        <w:tc>
          <w:tcPr>
            <w:tcW w:w="4802" w:type="dxa"/>
            <w:tcBorders>
              <w:tl2br w:val="nil"/>
              <w:tr2bl w:val="nil"/>
            </w:tcBorders>
            <w:vAlign w:val="center"/>
          </w:tcPr>
          <w:p>
            <w:pPr>
              <w:pStyle w:val="26"/>
              <w:bidi w:val="0"/>
              <w:jc w:val="center"/>
              <w:rPr>
                <w:rFonts w:hint="default"/>
                <w:lang w:val="en-US" w:eastAsia="zh-CN"/>
              </w:rPr>
            </w:pPr>
            <w:r>
              <w:rPr>
                <w:rFonts w:hint="eastAsia"/>
                <w:lang w:val="en-US" w:eastAsia="zh-CN"/>
              </w:rPr>
              <w:t>已完善工艺流程及产排污节点图，见P38</w:t>
            </w:r>
          </w:p>
          <w:p>
            <w:pPr>
              <w:pStyle w:val="26"/>
              <w:bidi w:val="0"/>
              <w:jc w:val="center"/>
              <w:rPr>
                <w:rFonts w:hint="default"/>
                <w:lang w:val="en-US" w:eastAsia="zh-CN"/>
              </w:rPr>
            </w:pPr>
            <w:r>
              <w:rPr>
                <w:rFonts w:hint="eastAsia"/>
                <w:lang w:val="en-US" w:eastAsia="zh-CN"/>
              </w:rPr>
              <w:t>已完善工艺过程说明，见P38~39</w:t>
            </w:r>
          </w:p>
          <w:p>
            <w:pPr>
              <w:pStyle w:val="26"/>
              <w:bidi w:val="0"/>
              <w:jc w:val="center"/>
              <w:rPr>
                <w:rFonts w:hint="default"/>
                <w:lang w:val="en-US" w:eastAsia="zh-CN"/>
              </w:rPr>
            </w:pPr>
            <w:r>
              <w:rPr>
                <w:rFonts w:hint="eastAsia"/>
                <w:lang w:val="en-US" w:eastAsia="zh-CN"/>
              </w:rPr>
              <w:t>已核实物料平衡，见P46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88" w:hRule="atLeast"/>
          <w:tblHeader/>
          <w:jc w:val="center"/>
        </w:trPr>
        <w:tc>
          <w:tcPr>
            <w:tcW w:w="1701" w:type="dxa"/>
            <w:vMerge w:val="continue"/>
            <w:tcBorders>
              <w:tl2br w:val="nil"/>
              <w:tr2bl w:val="nil"/>
            </w:tcBorders>
            <w:vAlign w:val="center"/>
          </w:tcPr>
          <w:p>
            <w:pPr>
              <w:pStyle w:val="26"/>
              <w:bidi w:val="0"/>
              <w:jc w:val="center"/>
              <w:rPr>
                <w:rFonts w:hint="eastAsia"/>
                <w:lang w:val="en-US" w:eastAsia="zh-CN"/>
              </w:rPr>
            </w:pPr>
          </w:p>
        </w:tc>
        <w:tc>
          <w:tcPr>
            <w:tcW w:w="3515" w:type="dxa"/>
            <w:tcBorders>
              <w:tl2br w:val="nil"/>
              <w:tr2bl w:val="nil"/>
            </w:tcBorders>
            <w:vAlign w:val="center"/>
          </w:tcPr>
          <w:p>
            <w:pPr>
              <w:pStyle w:val="26"/>
              <w:bidi w:val="0"/>
              <w:jc w:val="center"/>
              <w:rPr>
                <w:rFonts w:hint="eastAsia"/>
                <w:lang w:val="en-US" w:eastAsia="zh-CN"/>
              </w:rPr>
            </w:pPr>
            <w:r>
              <w:rPr>
                <w:rFonts w:hint="eastAsia"/>
                <w:lang w:val="en-US" w:eastAsia="zh-CN"/>
              </w:rPr>
              <w:t>2、细化类比企业原辅材料、生产工艺、产排污情况调查，据此强化可类比分析，核实项目有机废气产生因子及源强，强化有机废气处理工艺可行性、处理效率可达性分析，据此强化有机废气预测内容。</w:t>
            </w:r>
          </w:p>
        </w:tc>
        <w:tc>
          <w:tcPr>
            <w:tcW w:w="4802" w:type="dxa"/>
            <w:tcBorders>
              <w:tl2br w:val="nil"/>
              <w:tr2bl w:val="nil"/>
            </w:tcBorders>
            <w:vAlign w:val="center"/>
          </w:tcPr>
          <w:p>
            <w:pPr>
              <w:pStyle w:val="26"/>
              <w:bidi w:val="0"/>
              <w:jc w:val="center"/>
              <w:rPr>
                <w:rFonts w:hint="default"/>
                <w:lang w:val="en-US" w:eastAsia="zh-CN"/>
              </w:rPr>
            </w:pPr>
            <w:r>
              <w:rPr>
                <w:rFonts w:hint="eastAsia"/>
                <w:lang w:val="en-US" w:eastAsia="zh-CN"/>
              </w:rPr>
              <w:t>已强化可类比分析，见P41</w:t>
            </w:r>
          </w:p>
          <w:p>
            <w:pPr>
              <w:pStyle w:val="26"/>
              <w:bidi w:val="0"/>
              <w:jc w:val="center"/>
              <w:rPr>
                <w:rFonts w:hint="default"/>
                <w:lang w:val="en-US" w:eastAsia="zh-CN"/>
              </w:rPr>
            </w:pPr>
            <w:r>
              <w:rPr>
                <w:rFonts w:hint="eastAsia"/>
                <w:lang w:val="en-US" w:eastAsia="zh-CN"/>
              </w:rPr>
              <w:t>已核实项目有机废气产生因子及源强，见P43~44</w:t>
            </w:r>
          </w:p>
          <w:p>
            <w:pPr>
              <w:pStyle w:val="26"/>
              <w:bidi w:val="0"/>
              <w:jc w:val="center"/>
              <w:rPr>
                <w:rFonts w:hint="default"/>
                <w:lang w:val="en-US" w:eastAsia="zh-CN"/>
              </w:rPr>
            </w:pPr>
            <w:r>
              <w:rPr>
                <w:rFonts w:hint="eastAsia"/>
                <w:lang w:val="en-US" w:eastAsia="zh-CN"/>
              </w:rPr>
              <w:t>已强化有机废气处理工艺可行性、处理效率可达性分析，见P82~83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5" w:hRule="atLeast"/>
          <w:tblHeader/>
          <w:jc w:val="center"/>
        </w:trPr>
        <w:tc>
          <w:tcPr>
            <w:tcW w:w="1701" w:type="dxa"/>
            <w:vMerge w:val="continue"/>
            <w:tcBorders>
              <w:tl2br w:val="nil"/>
              <w:tr2bl w:val="nil"/>
            </w:tcBorders>
            <w:vAlign w:val="center"/>
          </w:tcPr>
          <w:p>
            <w:pPr>
              <w:pStyle w:val="26"/>
              <w:bidi w:val="0"/>
              <w:jc w:val="center"/>
              <w:rPr>
                <w:rFonts w:hint="eastAsia"/>
                <w:lang w:val="en-US" w:eastAsia="zh-CN"/>
              </w:rPr>
            </w:pPr>
          </w:p>
        </w:tc>
        <w:tc>
          <w:tcPr>
            <w:tcW w:w="3515" w:type="dxa"/>
            <w:tcBorders>
              <w:tl2br w:val="nil"/>
              <w:tr2bl w:val="nil"/>
            </w:tcBorders>
            <w:vAlign w:val="center"/>
          </w:tcPr>
          <w:p>
            <w:pPr>
              <w:pStyle w:val="26"/>
              <w:bidi w:val="0"/>
              <w:jc w:val="center"/>
              <w:rPr>
                <w:rFonts w:hint="eastAsia"/>
                <w:lang w:val="en-US" w:eastAsia="zh-CN"/>
              </w:rPr>
            </w:pPr>
            <w:r>
              <w:rPr>
                <w:rFonts w:hint="eastAsia"/>
                <w:lang w:val="en-US" w:eastAsia="zh-CN"/>
              </w:rPr>
              <w:t>3、结合管网建设情况，强化生活污水进污水处理站的可行性分析；核实噪声设备源强，完善厂界噪声达标排放预测内容。</w:t>
            </w:r>
          </w:p>
        </w:tc>
        <w:tc>
          <w:tcPr>
            <w:tcW w:w="4802" w:type="dxa"/>
            <w:tcBorders>
              <w:tl2br w:val="nil"/>
              <w:tr2bl w:val="nil"/>
            </w:tcBorders>
            <w:vAlign w:val="center"/>
          </w:tcPr>
          <w:p>
            <w:pPr>
              <w:pStyle w:val="26"/>
              <w:bidi w:val="0"/>
              <w:jc w:val="center"/>
              <w:rPr>
                <w:rFonts w:hint="default"/>
                <w:lang w:val="en-US" w:eastAsia="zh-CN"/>
              </w:rPr>
            </w:pPr>
            <w:r>
              <w:rPr>
                <w:rFonts w:hint="eastAsia"/>
                <w:lang w:val="en-US" w:eastAsia="zh-CN"/>
              </w:rPr>
              <w:t>已强化生活污水进污水处理站的可行性分析，见P84</w:t>
            </w:r>
          </w:p>
          <w:p>
            <w:pPr>
              <w:pStyle w:val="26"/>
              <w:bidi w:val="0"/>
              <w:jc w:val="center"/>
              <w:rPr>
                <w:rFonts w:hint="default"/>
                <w:lang w:val="en-US" w:eastAsia="zh-CN"/>
              </w:rPr>
            </w:pPr>
            <w:r>
              <w:rPr>
                <w:rFonts w:hint="eastAsia"/>
                <w:lang w:val="en-US" w:eastAsia="zh-CN"/>
              </w:rPr>
              <w:t>已核实噪声设备源强，完善厂界噪声达标排放预测内容，见P74~75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5" w:hRule="atLeast"/>
          <w:tblHeader/>
          <w:jc w:val="center"/>
        </w:trPr>
        <w:tc>
          <w:tcPr>
            <w:tcW w:w="1701" w:type="dxa"/>
            <w:vMerge w:val="continue"/>
            <w:tcBorders>
              <w:tl2br w:val="nil"/>
              <w:tr2bl w:val="nil"/>
            </w:tcBorders>
            <w:vAlign w:val="center"/>
          </w:tcPr>
          <w:p>
            <w:pPr>
              <w:pStyle w:val="26"/>
              <w:bidi w:val="0"/>
              <w:jc w:val="center"/>
              <w:rPr>
                <w:rFonts w:hint="eastAsia"/>
                <w:lang w:val="en-US" w:eastAsia="zh-CN"/>
              </w:rPr>
            </w:pPr>
          </w:p>
        </w:tc>
        <w:tc>
          <w:tcPr>
            <w:tcW w:w="3515" w:type="dxa"/>
            <w:tcBorders>
              <w:tl2br w:val="nil"/>
              <w:tr2bl w:val="nil"/>
            </w:tcBorders>
            <w:vAlign w:val="center"/>
          </w:tcPr>
          <w:p>
            <w:pPr>
              <w:pStyle w:val="26"/>
              <w:bidi w:val="0"/>
              <w:jc w:val="center"/>
              <w:rPr>
                <w:rFonts w:hint="eastAsia"/>
                <w:lang w:val="en-US" w:eastAsia="zh-CN"/>
              </w:rPr>
            </w:pPr>
            <w:r>
              <w:rPr>
                <w:rFonts w:hint="eastAsia"/>
                <w:lang w:val="en-US" w:eastAsia="zh-CN"/>
              </w:rPr>
              <w:t>4、核实各类固废属性、种类，细化固废暂存场所的建设要求。</w:t>
            </w:r>
          </w:p>
        </w:tc>
        <w:tc>
          <w:tcPr>
            <w:tcW w:w="4802" w:type="dxa"/>
            <w:tcBorders>
              <w:tl2br w:val="nil"/>
              <w:tr2bl w:val="nil"/>
            </w:tcBorders>
            <w:vAlign w:val="center"/>
          </w:tcPr>
          <w:p>
            <w:pPr>
              <w:pStyle w:val="26"/>
              <w:bidi w:val="0"/>
              <w:jc w:val="center"/>
              <w:rPr>
                <w:rFonts w:hint="default"/>
                <w:lang w:val="en-US" w:eastAsia="zh-CN"/>
              </w:rPr>
            </w:pPr>
            <w:r>
              <w:rPr>
                <w:rFonts w:hint="eastAsia"/>
                <w:lang w:val="en-US" w:eastAsia="zh-CN"/>
              </w:rPr>
              <w:t>已核实各类固废属性、种类，见P14</w:t>
            </w:r>
          </w:p>
          <w:p>
            <w:pPr>
              <w:pStyle w:val="26"/>
              <w:bidi w:val="0"/>
              <w:jc w:val="center"/>
              <w:rPr>
                <w:rFonts w:hint="default"/>
                <w:lang w:val="en-US" w:eastAsia="zh-CN"/>
              </w:rPr>
            </w:pPr>
            <w:r>
              <w:rPr>
                <w:rFonts w:hint="eastAsia"/>
                <w:lang w:val="en-US" w:eastAsia="zh-CN"/>
              </w:rPr>
              <w:t>已细化固废暂存场所的建设要求，见P36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58" w:hRule="atLeast"/>
          <w:tblHeader/>
          <w:jc w:val="center"/>
        </w:trPr>
        <w:tc>
          <w:tcPr>
            <w:tcW w:w="1701" w:type="dxa"/>
            <w:vMerge w:val="continue"/>
            <w:tcBorders>
              <w:tl2br w:val="nil"/>
              <w:tr2bl w:val="nil"/>
            </w:tcBorders>
            <w:vAlign w:val="center"/>
          </w:tcPr>
          <w:p>
            <w:pPr>
              <w:pStyle w:val="26"/>
              <w:bidi w:val="0"/>
              <w:jc w:val="center"/>
              <w:rPr>
                <w:rFonts w:hint="eastAsia"/>
                <w:lang w:val="en-US" w:eastAsia="zh-CN"/>
              </w:rPr>
            </w:pPr>
          </w:p>
        </w:tc>
        <w:tc>
          <w:tcPr>
            <w:tcW w:w="3515" w:type="dxa"/>
            <w:tcBorders>
              <w:tl2br w:val="nil"/>
              <w:tr2bl w:val="nil"/>
            </w:tcBorders>
            <w:vAlign w:val="center"/>
          </w:tcPr>
          <w:p>
            <w:pPr>
              <w:pStyle w:val="26"/>
              <w:bidi w:val="0"/>
              <w:jc w:val="center"/>
              <w:rPr>
                <w:rFonts w:hint="eastAsia"/>
                <w:lang w:val="en-US" w:eastAsia="zh-CN"/>
              </w:rPr>
            </w:pPr>
            <w:r>
              <w:rPr>
                <w:rFonts w:hint="eastAsia"/>
                <w:lang w:val="en-US" w:eastAsia="zh-CN"/>
              </w:rPr>
              <w:t>5、细化二苯基甲烷二异氰酸酯、改性二苯基甲烷二异氰酸酯、多亚甲基多苯基异氰酸酯等物料储存、使用过程风险防范措施及风险影响分析。</w:t>
            </w:r>
          </w:p>
        </w:tc>
        <w:tc>
          <w:tcPr>
            <w:tcW w:w="4802" w:type="dxa"/>
            <w:tcBorders>
              <w:tl2br w:val="nil"/>
              <w:tr2bl w:val="nil"/>
            </w:tcBorders>
            <w:vAlign w:val="center"/>
          </w:tcPr>
          <w:p>
            <w:pPr>
              <w:pStyle w:val="26"/>
              <w:bidi w:val="0"/>
              <w:jc w:val="center"/>
              <w:rPr>
                <w:rFonts w:hint="default"/>
                <w:lang w:val="en-US" w:eastAsia="zh-CN"/>
              </w:rPr>
            </w:pPr>
            <w:r>
              <w:rPr>
                <w:rFonts w:hint="eastAsia"/>
                <w:lang w:val="en-US" w:eastAsia="zh-CN"/>
              </w:rPr>
              <w:t>二苯基甲烷二异氰酸酯、改性二苯基甲烷二异氰酸酯、多亚甲基多苯基异氰酸酯等物料的临界量Qi和大气敏感程度E值经校核维持不变，业主减少了原料的最小储存量，危险物质数量与临界量比值Q由60降为27，风险防范措施不变，风险影响降低，详见P90和P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80" w:hRule="atLeast"/>
          <w:tblHeader/>
          <w:jc w:val="center"/>
        </w:trPr>
        <w:tc>
          <w:tcPr>
            <w:tcW w:w="1701" w:type="dxa"/>
            <w:vMerge w:val="restart"/>
            <w:tcBorders>
              <w:tl2br w:val="nil"/>
              <w:tr2bl w:val="nil"/>
            </w:tcBorders>
            <w:vAlign w:val="center"/>
          </w:tcPr>
          <w:p>
            <w:pPr>
              <w:pStyle w:val="26"/>
              <w:bidi w:val="0"/>
              <w:jc w:val="center"/>
              <w:rPr>
                <w:rFonts w:hint="eastAsia"/>
                <w:lang w:val="en-US" w:eastAsia="zh-CN"/>
              </w:rPr>
            </w:pPr>
            <w:r>
              <w:rPr>
                <w:rFonts w:hint="eastAsia"/>
                <w:lang w:val="en-US" w:eastAsia="zh-CN"/>
              </w:rPr>
              <w:t>四、其他</w:t>
            </w:r>
          </w:p>
        </w:tc>
        <w:tc>
          <w:tcPr>
            <w:tcW w:w="3515" w:type="dxa"/>
            <w:tcBorders>
              <w:tl2br w:val="nil"/>
              <w:tr2bl w:val="nil"/>
            </w:tcBorders>
            <w:vAlign w:val="center"/>
          </w:tcPr>
          <w:p>
            <w:pPr>
              <w:pStyle w:val="26"/>
              <w:bidi w:val="0"/>
              <w:jc w:val="center"/>
              <w:rPr>
                <w:rFonts w:hint="eastAsia"/>
                <w:lang w:val="en-US" w:eastAsia="zh-CN"/>
              </w:rPr>
            </w:pPr>
            <w:r>
              <w:rPr>
                <w:rFonts w:hint="eastAsia"/>
                <w:lang w:val="en-US" w:eastAsia="zh-CN"/>
              </w:rPr>
              <w:t>1、强化项目建设与湘阴金龙新区产业定位相符性分析，补充县发改局产业定位意见、金龙新区入园意见。</w:t>
            </w:r>
          </w:p>
        </w:tc>
        <w:tc>
          <w:tcPr>
            <w:tcW w:w="4802" w:type="dxa"/>
            <w:tcBorders>
              <w:tl2br w:val="nil"/>
              <w:tr2bl w:val="nil"/>
            </w:tcBorders>
            <w:vAlign w:val="center"/>
          </w:tcPr>
          <w:p>
            <w:pPr>
              <w:pStyle w:val="26"/>
              <w:bidi w:val="0"/>
              <w:jc w:val="center"/>
              <w:rPr>
                <w:rFonts w:hint="default"/>
                <w:lang w:val="en-US" w:eastAsia="zh-CN"/>
              </w:rPr>
            </w:pPr>
            <w:r>
              <w:rPr>
                <w:rFonts w:hint="eastAsia"/>
                <w:lang w:val="en-US" w:eastAsia="zh-CN"/>
              </w:rPr>
              <w:t>已强化项目建设与湘阴金龙新区产业定位相符性分析，见P9~10</w:t>
            </w:r>
          </w:p>
          <w:p>
            <w:pPr>
              <w:pStyle w:val="26"/>
              <w:bidi w:val="0"/>
              <w:jc w:val="center"/>
              <w:rPr>
                <w:rFonts w:hint="eastAsia"/>
                <w:lang w:val="en-US" w:eastAsia="zh-CN"/>
              </w:rPr>
            </w:pPr>
            <w:r>
              <w:rPr>
                <w:rFonts w:hint="eastAsia"/>
                <w:lang w:val="en-US" w:eastAsia="zh-CN"/>
              </w:rPr>
              <w:t>补充了县发改局产业定位意见，见附件9</w:t>
            </w:r>
          </w:p>
          <w:p>
            <w:pPr>
              <w:pStyle w:val="26"/>
              <w:bidi w:val="0"/>
              <w:jc w:val="center"/>
              <w:rPr>
                <w:rFonts w:hint="default"/>
                <w:lang w:val="en-US" w:eastAsia="zh-CN"/>
              </w:rPr>
            </w:pPr>
            <w:r>
              <w:rPr>
                <w:rFonts w:hint="eastAsia"/>
                <w:lang w:val="en-US" w:eastAsia="zh-CN"/>
              </w:rPr>
              <w:t>补充了金龙新区入园意见，见附件11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9" w:hRule="atLeast"/>
          <w:tblHeader/>
          <w:jc w:val="center"/>
        </w:trPr>
        <w:tc>
          <w:tcPr>
            <w:tcW w:w="1701" w:type="dxa"/>
            <w:vMerge w:val="continue"/>
            <w:tcBorders>
              <w:tl2br w:val="nil"/>
              <w:tr2bl w:val="nil"/>
            </w:tcBorders>
            <w:vAlign w:val="center"/>
          </w:tcPr>
          <w:p>
            <w:pPr>
              <w:pStyle w:val="26"/>
              <w:bidi w:val="0"/>
              <w:jc w:val="center"/>
              <w:rPr>
                <w:rFonts w:hint="eastAsia"/>
                <w:lang w:val="en-US" w:eastAsia="zh-CN"/>
              </w:rPr>
            </w:pPr>
          </w:p>
        </w:tc>
        <w:tc>
          <w:tcPr>
            <w:tcW w:w="3515" w:type="dxa"/>
            <w:tcBorders>
              <w:tl2br w:val="nil"/>
              <w:tr2bl w:val="nil"/>
            </w:tcBorders>
            <w:vAlign w:val="center"/>
          </w:tcPr>
          <w:p>
            <w:pPr>
              <w:pStyle w:val="26"/>
              <w:bidi w:val="0"/>
              <w:jc w:val="center"/>
              <w:rPr>
                <w:rFonts w:hint="eastAsia"/>
                <w:lang w:val="en-US" w:eastAsia="zh-CN"/>
              </w:rPr>
            </w:pPr>
            <w:r>
              <w:rPr>
                <w:rFonts w:hint="eastAsia"/>
                <w:lang w:val="en-US" w:eastAsia="zh-CN"/>
              </w:rPr>
              <w:t>2、强化项目与周边环境的相容性分析，完善项目建设“三线一单”相符性分析。</w:t>
            </w:r>
          </w:p>
        </w:tc>
        <w:tc>
          <w:tcPr>
            <w:tcW w:w="4802" w:type="dxa"/>
            <w:tcBorders>
              <w:tl2br w:val="nil"/>
              <w:tr2bl w:val="nil"/>
            </w:tcBorders>
            <w:vAlign w:val="center"/>
          </w:tcPr>
          <w:p>
            <w:pPr>
              <w:pStyle w:val="26"/>
              <w:bidi w:val="0"/>
              <w:jc w:val="center"/>
              <w:rPr>
                <w:rFonts w:hint="default"/>
                <w:lang w:val="en-US" w:eastAsia="zh-CN"/>
              </w:rPr>
            </w:pPr>
            <w:r>
              <w:rPr>
                <w:rFonts w:hint="eastAsia"/>
                <w:lang w:val="en-US" w:eastAsia="zh-CN"/>
              </w:rPr>
              <w:t>已强化项目与周边环境的相容性分析，见P30</w:t>
            </w:r>
          </w:p>
          <w:p>
            <w:pPr>
              <w:pStyle w:val="26"/>
              <w:bidi w:val="0"/>
              <w:jc w:val="center"/>
              <w:rPr>
                <w:rFonts w:hint="default"/>
                <w:lang w:val="en-US" w:eastAsia="zh-CN"/>
              </w:rPr>
            </w:pPr>
            <w:r>
              <w:rPr>
                <w:rFonts w:hint="eastAsia"/>
                <w:lang w:val="en-US" w:eastAsia="zh-CN"/>
              </w:rPr>
              <w:t>已完善项目建设“三线一单”相符性分析，见P9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0" w:hRule="atLeast"/>
          <w:tblHeader/>
          <w:jc w:val="center"/>
        </w:trPr>
        <w:tc>
          <w:tcPr>
            <w:tcW w:w="1701" w:type="dxa"/>
            <w:vMerge w:val="continue"/>
            <w:tcBorders>
              <w:tl2br w:val="nil"/>
              <w:tr2bl w:val="nil"/>
            </w:tcBorders>
            <w:vAlign w:val="center"/>
          </w:tcPr>
          <w:p>
            <w:pPr>
              <w:pStyle w:val="26"/>
              <w:bidi w:val="0"/>
              <w:jc w:val="center"/>
              <w:rPr>
                <w:rFonts w:hint="eastAsia"/>
                <w:lang w:val="en-US" w:eastAsia="zh-CN"/>
              </w:rPr>
            </w:pPr>
          </w:p>
        </w:tc>
        <w:tc>
          <w:tcPr>
            <w:tcW w:w="3515" w:type="dxa"/>
            <w:tcBorders>
              <w:tl2br w:val="nil"/>
              <w:tr2bl w:val="nil"/>
            </w:tcBorders>
            <w:vAlign w:val="center"/>
          </w:tcPr>
          <w:p>
            <w:pPr>
              <w:pStyle w:val="26"/>
              <w:bidi w:val="0"/>
              <w:jc w:val="center"/>
              <w:rPr>
                <w:rFonts w:hint="eastAsia"/>
                <w:lang w:val="en-US" w:eastAsia="zh-CN"/>
              </w:rPr>
            </w:pPr>
            <w:r>
              <w:rPr>
                <w:rFonts w:hint="eastAsia"/>
                <w:lang w:val="en-US" w:eastAsia="zh-CN"/>
              </w:rPr>
              <w:t>3、提出VOCs总量控制建议指标，完善环境监测计划，核实项目环保投资，完善项目竣工验收表。</w:t>
            </w:r>
          </w:p>
        </w:tc>
        <w:tc>
          <w:tcPr>
            <w:tcW w:w="4802" w:type="dxa"/>
            <w:tcBorders>
              <w:tl2br w:val="nil"/>
              <w:tr2bl w:val="nil"/>
            </w:tcBorders>
            <w:vAlign w:val="center"/>
          </w:tcPr>
          <w:p>
            <w:pPr>
              <w:pStyle w:val="26"/>
              <w:bidi w:val="0"/>
              <w:jc w:val="center"/>
              <w:rPr>
                <w:rFonts w:hint="default"/>
                <w:lang w:val="en-US" w:eastAsia="zh-CN"/>
              </w:rPr>
            </w:pPr>
            <w:r>
              <w:rPr>
                <w:rFonts w:hint="eastAsia"/>
                <w:lang w:val="en-US" w:eastAsia="zh-CN"/>
              </w:rPr>
              <w:t>VOCs总量控制建议指标见P109</w:t>
            </w:r>
          </w:p>
          <w:p>
            <w:pPr>
              <w:pStyle w:val="26"/>
              <w:bidi w:val="0"/>
              <w:jc w:val="center"/>
              <w:rPr>
                <w:rFonts w:hint="default"/>
                <w:lang w:val="en-US" w:eastAsia="zh-CN"/>
              </w:rPr>
            </w:pPr>
            <w:r>
              <w:rPr>
                <w:rFonts w:hint="eastAsia"/>
                <w:lang w:val="en-US" w:eastAsia="zh-CN"/>
              </w:rPr>
              <w:t>已完善环境监测计划，见P113</w:t>
            </w:r>
          </w:p>
          <w:p>
            <w:pPr>
              <w:pStyle w:val="26"/>
              <w:bidi w:val="0"/>
              <w:jc w:val="center"/>
              <w:rPr>
                <w:rFonts w:hint="default"/>
                <w:lang w:val="en-US" w:eastAsia="zh-CN"/>
              </w:rPr>
            </w:pPr>
            <w:r>
              <w:rPr>
                <w:rFonts w:hint="eastAsia"/>
                <w:lang w:val="en-US" w:eastAsia="zh-CN"/>
              </w:rPr>
              <w:t>已核实项目环保投资，见P110</w:t>
            </w:r>
          </w:p>
          <w:p>
            <w:pPr>
              <w:pStyle w:val="26"/>
              <w:bidi w:val="0"/>
              <w:jc w:val="center"/>
              <w:rPr>
                <w:rFonts w:hint="default"/>
                <w:lang w:val="en-US" w:eastAsia="zh-CN"/>
              </w:rPr>
            </w:pPr>
            <w:r>
              <w:rPr>
                <w:rFonts w:hint="eastAsia"/>
                <w:lang w:val="en-US" w:eastAsia="zh-CN"/>
              </w:rPr>
              <w:t>已完善项目竣工验收表，见P118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10018" w:type="dxa"/>
            <w:gridSpan w:val="3"/>
            <w:tcBorders>
              <w:tl2br w:val="nil"/>
              <w:tr2bl w:val="nil"/>
            </w:tcBorders>
            <w:vAlign w:val="center"/>
          </w:tcPr>
          <w:p>
            <w:pPr>
              <w:pStyle w:val="26"/>
              <w:bidi w:val="0"/>
              <w:jc w:val="center"/>
              <w:rPr>
                <w:rFonts w:hint="eastAsia"/>
                <w:lang w:val="en-US" w:eastAsia="zh-CN"/>
              </w:rPr>
            </w:pPr>
            <w:r>
              <w:rPr>
                <w:rFonts w:hint="eastAsia"/>
                <w:lang w:val="en-US" w:eastAsia="zh-CN"/>
              </w:rPr>
              <w:t>环评文件已按专家意见修改完善</w:t>
            </w:r>
          </w:p>
        </w:tc>
      </w:tr>
    </w:tbl>
    <w:p/>
    <w:p>
      <w:pPr>
        <w:keepNext/>
        <w:keepLines/>
        <w:widowControl w:val="0"/>
        <w:numPr>
          <w:ilvl w:val="0"/>
          <w:numId w:val="0"/>
        </w:numPr>
        <w:bidi w:val="0"/>
        <w:spacing w:before="100" w:beforeLines="100" w:beforeAutospacing="0" w:after="100" w:afterLines="100" w:afterAutospacing="0" w:line="360" w:lineRule="auto"/>
        <w:ind w:left="432" w:leftChars="0" w:hanging="432" w:firstLineChars="0"/>
        <w:jc w:val="center"/>
        <w:outlineLvl w:val="0"/>
        <w:rPr>
          <w:rFonts w:hint="eastAsia" w:ascii="Times New Roman" w:hAnsi="Times New Roman" w:eastAsia="宋体" w:cs="Times New Roman"/>
          <w:b/>
          <w:bCs/>
          <w:kern w:val="44"/>
          <w:szCs w:val="32"/>
          <w:lang w:val="en-US" w:eastAsia="zh-CN" w:bidi="ar-SA"/>
        </w:rPr>
        <w:sectPr>
          <w:footerReference r:id="rId12" w:type="default"/>
          <w:pgSz w:w="11906" w:h="16838"/>
          <w:pgMar w:top="1417" w:right="1417" w:bottom="1134" w:left="1701" w:header="851" w:footer="992" w:gutter="0"/>
          <w:pgBorders>
            <w:top w:val="none" w:sz="0" w:space="0"/>
            <w:left w:val="none" w:sz="0" w:space="0"/>
            <w:bottom w:val="none" w:sz="0" w:space="0"/>
            <w:right w:val="none" w:sz="0" w:space="0"/>
          </w:pgBorders>
          <w:pgNumType w:fmt="numberInDash" w:start="1"/>
          <w:cols w:space="0" w:num="1"/>
          <w:rtlGutter w:val="0"/>
          <w:docGrid w:linePitch="312" w:charSpace="0"/>
        </w:sectPr>
      </w:pPr>
    </w:p>
    <w:p>
      <w:pPr>
        <w:keepNext/>
        <w:keepLines/>
        <w:widowControl w:val="0"/>
        <w:numPr>
          <w:ilvl w:val="0"/>
          <w:numId w:val="0"/>
        </w:numPr>
        <w:bidi w:val="0"/>
        <w:spacing w:before="100" w:beforeLines="100" w:beforeAutospacing="0" w:after="100" w:afterLines="100" w:afterAutospacing="0" w:line="360" w:lineRule="auto"/>
        <w:ind w:left="432" w:leftChars="0" w:hanging="432" w:firstLineChars="0"/>
        <w:jc w:val="center"/>
        <w:outlineLvl w:val="0"/>
        <w:rPr>
          <w:rFonts w:hint="eastAsia" w:ascii="Times New Roman" w:hAnsi="Times New Roman" w:eastAsia="宋体" w:cs="Times New Roman"/>
          <w:b/>
          <w:bCs/>
          <w:kern w:val="44"/>
          <w:szCs w:val="32"/>
          <w:lang w:val="en-US" w:eastAsia="zh-CN" w:bidi="ar-SA"/>
        </w:rPr>
      </w:pPr>
      <w:r>
        <w:rPr>
          <w:rFonts w:hint="eastAsia" w:ascii="Times New Roman" w:hAnsi="Times New Roman" w:eastAsia="宋体" w:cs="Times New Roman"/>
          <w:b/>
          <w:bCs/>
          <w:kern w:val="44"/>
          <w:szCs w:val="32"/>
          <w:lang w:val="en-US" w:eastAsia="zh-CN" w:bidi="ar-SA"/>
        </w:rPr>
        <w:t>目    录</w:t>
      </w:r>
      <w:bookmarkEnd w:id="2"/>
      <w:bookmarkEnd w:id="3"/>
      <w:bookmarkEnd w:id="4"/>
      <w:bookmarkEnd w:id="5"/>
    </w:p>
    <w:p>
      <w:pPr>
        <w:pStyle w:val="17"/>
        <w:tabs>
          <w:tab w:val="right" w:leader="dot" w:pos="8788"/>
        </w:tabs>
      </w:pPr>
      <w:r>
        <w:fldChar w:fldCharType="begin"/>
      </w:r>
      <w:r>
        <w:instrText xml:space="preserve">TOC \o "1-3" \h \u </w:instrText>
      </w:r>
      <w:r>
        <w:fldChar w:fldCharType="separate"/>
      </w:r>
      <w:r>
        <w:fldChar w:fldCharType="begin"/>
      </w:r>
      <w:r>
        <w:instrText xml:space="preserve"> HYPERLINK \l _Toc945 </w:instrText>
      </w:r>
      <w:r>
        <w:fldChar w:fldCharType="separate"/>
      </w:r>
      <w:r>
        <w:rPr>
          <w:rFonts w:hint="eastAsia" w:ascii="Times New Roman" w:hAnsi="Times New Roman" w:eastAsia="宋体" w:cs="Times New Roman"/>
          <w:bCs/>
          <w:kern w:val="44"/>
          <w:szCs w:val="32"/>
          <w:lang w:val="en-US" w:eastAsia="zh-CN" w:bidi="ar-SA"/>
        </w:rPr>
        <w:t>目    录</w:t>
      </w:r>
      <w:r>
        <w:tab/>
      </w:r>
      <w:r>
        <w:fldChar w:fldCharType="begin"/>
      </w:r>
      <w:r>
        <w:instrText xml:space="preserve"> PAGEREF _Toc945 </w:instrText>
      </w:r>
      <w:r>
        <w:fldChar w:fldCharType="separate"/>
      </w:r>
      <w:r>
        <w:t>v</w:t>
      </w:r>
      <w:r>
        <w:fldChar w:fldCharType="end"/>
      </w:r>
      <w:r>
        <w:fldChar w:fldCharType="end"/>
      </w:r>
    </w:p>
    <w:p>
      <w:pPr>
        <w:pStyle w:val="17"/>
        <w:tabs>
          <w:tab w:val="right" w:leader="dot" w:pos="8788"/>
        </w:tabs>
      </w:pPr>
      <w:r>
        <w:fldChar w:fldCharType="begin"/>
      </w:r>
      <w:r>
        <w:instrText xml:space="preserve"> HYPERLINK \l _Toc29632 </w:instrText>
      </w:r>
      <w:r>
        <w:fldChar w:fldCharType="separate"/>
      </w:r>
      <w:r>
        <w:rPr>
          <w:rFonts w:hint="default" w:ascii="宋体" w:hAnsi="宋体" w:eastAsia="宋体" w:cs="宋体"/>
          <w:lang w:val="en-US" w:eastAsia="zh-CN"/>
        </w:rPr>
        <w:t xml:space="preserve">1. </w:t>
      </w:r>
      <w:r>
        <w:rPr>
          <w:lang w:val="en-US" w:eastAsia="zh-CN"/>
        </w:rPr>
        <w:t>概述</w:t>
      </w:r>
      <w:r>
        <w:tab/>
      </w:r>
      <w:r>
        <w:fldChar w:fldCharType="begin"/>
      </w:r>
      <w:r>
        <w:instrText xml:space="preserve"> PAGEREF _Toc29632 </w:instrText>
      </w:r>
      <w:r>
        <w:fldChar w:fldCharType="separate"/>
      </w:r>
      <w:r>
        <w:t>1</w:t>
      </w:r>
      <w:r>
        <w:fldChar w:fldCharType="end"/>
      </w:r>
      <w:r>
        <w:fldChar w:fldCharType="end"/>
      </w:r>
    </w:p>
    <w:p>
      <w:pPr>
        <w:pStyle w:val="19"/>
        <w:tabs>
          <w:tab w:val="right" w:leader="dot" w:pos="8788"/>
        </w:tabs>
      </w:pPr>
      <w:r>
        <w:fldChar w:fldCharType="begin"/>
      </w:r>
      <w:r>
        <w:instrText xml:space="preserve"> HYPERLINK \l _Toc2510 </w:instrText>
      </w:r>
      <w:r>
        <w:fldChar w:fldCharType="separate"/>
      </w:r>
      <w:r>
        <w:rPr>
          <w:rFonts w:hint="default" w:ascii="宋体" w:hAnsi="宋体" w:eastAsia="宋体" w:cs="宋体"/>
          <w:lang w:val="en-US" w:eastAsia="zh-CN"/>
        </w:rPr>
        <w:t xml:space="preserve">1.1. </w:t>
      </w:r>
      <w:r>
        <w:rPr>
          <w:lang w:val="en-US" w:eastAsia="zh-CN"/>
        </w:rPr>
        <w:t>项目由来</w:t>
      </w:r>
      <w:r>
        <w:tab/>
      </w:r>
      <w:r>
        <w:fldChar w:fldCharType="begin"/>
      </w:r>
      <w:r>
        <w:instrText xml:space="preserve"> PAGEREF _Toc2510 </w:instrText>
      </w:r>
      <w:r>
        <w:fldChar w:fldCharType="separate"/>
      </w:r>
      <w:r>
        <w:t>1</w:t>
      </w:r>
      <w:r>
        <w:fldChar w:fldCharType="end"/>
      </w:r>
      <w:r>
        <w:fldChar w:fldCharType="end"/>
      </w:r>
    </w:p>
    <w:p>
      <w:pPr>
        <w:pStyle w:val="19"/>
        <w:tabs>
          <w:tab w:val="right" w:leader="dot" w:pos="8788"/>
        </w:tabs>
      </w:pPr>
      <w:r>
        <w:fldChar w:fldCharType="begin"/>
      </w:r>
      <w:r>
        <w:instrText xml:space="preserve"> HYPERLINK \l _Toc29989 </w:instrText>
      </w:r>
      <w:r>
        <w:fldChar w:fldCharType="separate"/>
      </w:r>
      <w:r>
        <w:rPr>
          <w:rFonts w:hint="default" w:ascii="宋体" w:hAnsi="宋体" w:eastAsia="宋体" w:cs="宋体"/>
          <w:lang w:val="en-US" w:eastAsia="zh-CN"/>
        </w:rPr>
        <w:t xml:space="preserve">1.2. </w:t>
      </w:r>
      <w:r>
        <w:rPr>
          <w:lang w:val="en-US" w:eastAsia="zh-CN"/>
        </w:rPr>
        <w:t>评价目的</w:t>
      </w:r>
      <w:r>
        <w:tab/>
      </w:r>
      <w:r>
        <w:fldChar w:fldCharType="begin"/>
      </w:r>
      <w:r>
        <w:instrText xml:space="preserve"> PAGEREF _Toc29989 </w:instrText>
      </w:r>
      <w:r>
        <w:fldChar w:fldCharType="separate"/>
      </w:r>
      <w:r>
        <w:t>2</w:t>
      </w:r>
      <w:r>
        <w:fldChar w:fldCharType="end"/>
      </w:r>
      <w:r>
        <w:fldChar w:fldCharType="end"/>
      </w:r>
    </w:p>
    <w:p>
      <w:pPr>
        <w:pStyle w:val="19"/>
        <w:tabs>
          <w:tab w:val="right" w:leader="dot" w:pos="8788"/>
        </w:tabs>
      </w:pPr>
      <w:r>
        <w:fldChar w:fldCharType="begin"/>
      </w:r>
      <w:r>
        <w:instrText xml:space="preserve"> HYPERLINK \l _Toc18955 </w:instrText>
      </w:r>
      <w:r>
        <w:fldChar w:fldCharType="separate"/>
      </w:r>
      <w:r>
        <w:rPr>
          <w:rFonts w:hint="default" w:ascii="宋体" w:hAnsi="宋体" w:eastAsia="宋体" w:cs="宋体"/>
          <w:lang w:val="en-US" w:eastAsia="zh-CN"/>
        </w:rPr>
        <w:t xml:space="preserve">1.3. </w:t>
      </w:r>
      <w:r>
        <w:rPr>
          <w:lang w:val="en-US" w:eastAsia="zh-CN"/>
        </w:rPr>
        <w:t>评价原则</w:t>
      </w:r>
      <w:r>
        <w:tab/>
      </w:r>
      <w:r>
        <w:fldChar w:fldCharType="begin"/>
      </w:r>
      <w:r>
        <w:instrText xml:space="preserve"> PAGEREF _Toc18955 </w:instrText>
      </w:r>
      <w:r>
        <w:fldChar w:fldCharType="separate"/>
      </w:r>
      <w:r>
        <w:t>2</w:t>
      </w:r>
      <w:r>
        <w:fldChar w:fldCharType="end"/>
      </w:r>
      <w:r>
        <w:fldChar w:fldCharType="end"/>
      </w:r>
    </w:p>
    <w:p>
      <w:pPr>
        <w:pStyle w:val="19"/>
        <w:tabs>
          <w:tab w:val="right" w:leader="dot" w:pos="8788"/>
        </w:tabs>
      </w:pPr>
      <w:r>
        <w:fldChar w:fldCharType="begin"/>
      </w:r>
      <w:r>
        <w:instrText xml:space="preserve"> HYPERLINK \l _Toc26692 </w:instrText>
      </w:r>
      <w:r>
        <w:fldChar w:fldCharType="separate"/>
      </w:r>
      <w:r>
        <w:rPr>
          <w:rFonts w:hint="default" w:ascii="宋体" w:hAnsi="宋体" w:eastAsia="宋体" w:cs="宋体"/>
          <w:lang w:val="en-US" w:eastAsia="zh-CN"/>
        </w:rPr>
        <w:t xml:space="preserve">1.4. </w:t>
      </w:r>
      <w:r>
        <w:rPr>
          <w:lang w:val="en-US" w:eastAsia="zh-CN"/>
        </w:rPr>
        <w:t>环境影响评价的工作过程</w:t>
      </w:r>
      <w:r>
        <w:tab/>
      </w:r>
      <w:r>
        <w:fldChar w:fldCharType="begin"/>
      </w:r>
      <w:r>
        <w:instrText xml:space="preserve"> PAGEREF _Toc26692 </w:instrText>
      </w:r>
      <w:r>
        <w:fldChar w:fldCharType="separate"/>
      </w:r>
      <w:r>
        <w:t>3</w:t>
      </w:r>
      <w:r>
        <w:fldChar w:fldCharType="end"/>
      </w:r>
      <w:r>
        <w:fldChar w:fldCharType="end"/>
      </w:r>
    </w:p>
    <w:p>
      <w:pPr>
        <w:pStyle w:val="19"/>
        <w:tabs>
          <w:tab w:val="right" w:leader="dot" w:pos="8788"/>
        </w:tabs>
      </w:pPr>
      <w:r>
        <w:fldChar w:fldCharType="begin"/>
      </w:r>
      <w:r>
        <w:instrText xml:space="preserve"> HYPERLINK \l _Toc20940 </w:instrText>
      </w:r>
      <w:r>
        <w:fldChar w:fldCharType="separate"/>
      </w:r>
      <w:r>
        <w:rPr>
          <w:rFonts w:hint="default" w:ascii="宋体" w:hAnsi="宋体" w:eastAsia="宋体" w:cs="宋体"/>
          <w:lang w:val="en-US" w:eastAsia="zh-CN"/>
        </w:rPr>
        <w:t xml:space="preserve">1.5. </w:t>
      </w:r>
      <w:r>
        <w:rPr>
          <w:lang w:val="en-US" w:eastAsia="zh-CN"/>
        </w:rPr>
        <w:t>分析判定相关环保政策</w:t>
      </w:r>
      <w:r>
        <w:tab/>
      </w:r>
      <w:r>
        <w:fldChar w:fldCharType="begin"/>
      </w:r>
      <w:r>
        <w:instrText xml:space="preserve"> PAGEREF _Toc20940 </w:instrText>
      </w:r>
      <w:r>
        <w:fldChar w:fldCharType="separate"/>
      </w:r>
      <w:r>
        <w:t>4</w:t>
      </w:r>
      <w:r>
        <w:fldChar w:fldCharType="end"/>
      </w:r>
      <w:r>
        <w:fldChar w:fldCharType="end"/>
      </w:r>
    </w:p>
    <w:p>
      <w:pPr>
        <w:pStyle w:val="14"/>
        <w:tabs>
          <w:tab w:val="right" w:leader="dot" w:pos="8788"/>
        </w:tabs>
      </w:pPr>
      <w:r>
        <w:fldChar w:fldCharType="begin"/>
      </w:r>
      <w:r>
        <w:instrText xml:space="preserve"> HYPERLINK \l _Toc14284 </w:instrText>
      </w:r>
      <w:r>
        <w:fldChar w:fldCharType="separate"/>
      </w:r>
      <w:r>
        <w:rPr>
          <w:rFonts w:hint="default" w:ascii="宋体" w:hAnsi="宋体" w:eastAsia="宋体" w:cs="宋体"/>
          <w:lang w:val="en-US" w:eastAsia="zh-CN"/>
        </w:rPr>
        <w:t xml:space="preserve">1.5.1. </w:t>
      </w:r>
      <w:r>
        <w:rPr>
          <w:lang w:val="en-US" w:eastAsia="zh-CN"/>
        </w:rPr>
        <w:t>产业政策相符性分析</w:t>
      </w:r>
      <w:r>
        <w:tab/>
      </w:r>
      <w:r>
        <w:fldChar w:fldCharType="begin"/>
      </w:r>
      <w:r>
        <w:instrText xml:space="preserve"> PAGEREF _Toc14284 </w:instrText>
      </w:r>
      <w:r>
        <w:fldChar w:fldCharType="separate"/>
      </w:r>
      <w:r>
        <w:t>4</w:t>
      </w:r>
      <w:r>
        <w:fldChar w:fldCharType="end"/>
      </w:r>
      <w:r>
        <w:fldChar w:fldCharType="end"/>
      </w:r>
    </w:p>
    <w:p>
      <w:pPr>
        <w:pStyle w:val="14"/>
        <w:tabs>
          <w:tab w:val="right" w:leader="dot" w:pos="8788"/>
        </w:tabs>
      </w:pPr>
      <w:r>
        <w:fldChar w:fldCharType="begin"/>
      </w:r>
      <w:r>
        <w:instrText xml:space="preserve"> HYPERLINK \l _Toc20301 </w:instrText>
      </w:r>
      <w:r>
        <w:fldChar w:fldCharType="separate"/>
      </w:r>
      <w:r>
        <w:rPr>
          <w:rFonts w:hint="default" w:ascii="宋体" w:hAnsi="宋体" w:eastAsia="宋体" w:cs="宋体"/>
          <w:lang w:val="en-US" w:eastAsia="zh-CN"/>
        </w:rPr>
        <w:t xml:space="preserve">1.5.2. </w:t>
      </w:r>
      <w:r>
        <w:rPr>
          <w:lang w:val="en-US" w:eastAsia="zh-CN"/>
        </w:rPr>
        <w:t>项目选址合理性分析</w:t>
      </w:r>
      <w:r>
        <w:tab/>
      </w:r>
      <w:r>
        <w:fldChar w:fldCharType="begin"/>
      </w:r>
      <w:r>
        <w:instrText xml:space="preserve"> PAGEREF _Toc20301 </w:instrText>
      </w:r>
      <w:r>
        <w:fldChar w:fldCharType="separate"/>
      </w:r>
      <w:r>
        <w:t>9</w:t>
      </w:r>
      <w:r>
        <w:fldChar w:fldCharType="end"/>
      </w:r>
      <w:r>
        <w:fldChar w:fldCharType="end"/>
      </w:r>
    </w:p>
    <w:p>
      <w:pPr>
        <w:pStyle w:val="14"/>
        <w:tabs>
          <w:tab w:val="right" w:leader="dot" w:pos="8788"/>
        </w:tabs>
      </w:pPr>
      <w:r>
        <w:fldChar w:fldCharType="begin"/>
      </w:r>
      <w:r>
        <w:instrText xml:space="preserve"> HYPERLINK \l _Toc15947 </w:instrText>
      </w:r>
      <w:r>
        <w:fldChar w:fldCharType="separate"/>
      </w:r>
      <w:r>
        <w:rPr>
          <w:rFonts w:hint="default" w:ascii="宋体" w:hAnsi="宋体" w:eastAsia="宋体" w:cs="宋体"/>
          <w:lang w:val="en-US" w:eastAsia="zh-CN"/>
        </w:rPr>
        <w:t xml:space="preserve">1.5.3. </w:t>
      </w:r>
      <w:r>
        <w:rPr>
          <w:lang w:val="en-US" w:eastAsia="zh-CN"/>
        </w:rPr>
        <w:t>环境功能区划适应性分析</w:t>
      </w:r>
      <w:r>
        <w:tab/>
      </w:r>
      <w:r>
        <w:fldChar w:fldCharType="begin"/>
      </w:r>
      <w:r>
        <w:instrText xml:space="preserve"> PAGEREF _Toc15947 </w:instrText>
      </w:r>
      <w:r>
        <w:fldChar w:fldCharType="separate"/>
      </w:r>
      <w:r>
        <w:t>12</w:t>
      </w:r>
      <w:r>
        <w:fldChar w:fldCharType="end"/>
      </w:r>
      <w:r>
        <w:fldChar w:fldCharType="end"/>
      </w:r>
    </w:p>
    <w:p>
      <w:pPr>
        <w:pStyle w:val="14"/>
        <w:tabs>
          <w:tab w:val="right" w:leader="dot" w:pos="8788"/>
        </w:tabs>
      </w:pPr>
      <w:r>
        <w:fldChar w:fldCharType="begin"/>
      </w:r>
      <w:r>
        <w:instrText xml:space="preserve"> HYPERLINK \l _Toc13442 </w:instrText>
      </w:r>
      <w:r>
        <w:fldChar w:fldCharType="separate"/>
      </w:r>
      <w:r>
        <w:rPr>
          <w:rFonts w:hint="default" w:ascii="宋体" w:hAnsi="宋体" w:eastAsia="宋体" w:cs="宋体"/>
          <w:lang w:val="en-US" w:eastAsia="zh-CN"/>
        </w:rPr>
        <w:t xml:space="preserve">1.5.4. </w:t>
      </w:r>
      <w:r>
        <w:rPr>
          <w:lang w:val="en-US" w:eastAsia="zh-CN"/>
        </w:rPr>
        <w:t>平面布局合理性分析</w:t>
      </w:r>
      <w:r>
        <w:tab/>
      </w:r>
      <w:r>
        <w:fldChar w:fldCharType="begin"/>
      </w:r>
      <w:r>
        <w:instrText xml:space="preserve"> PAGEREF _Toc13442 </w:instrText>
      </w:r>
      <w:r>
        <w:fldChar w:fldCharType="separate"/>
      </w:r>
      <w:r>
        <w:t>13</w:t>
      </w:r>
      <w:r>
        <w:fldChar w:fldCharType="end"/>
      </w:r>
      <w:r>
        <w:fldChar w:fldCharType="end"/>
      </w:r>
    </w:p>
    <w:p>
      <w:pPr>
        <w:pStyle w:val="19"/>
        <w:tabs>
          <w:tab w:val="right" w:leader="dot" w:pos="8788"/>
        </w:tabs>
      </w:pPr>
      <w:r>
        <w:fldChar w:fldCharType="begin"/>
      </w:r>
      <w:r>
        <w:instrText xml:space="preserve"> HYPERLINK \l _Toc29570 </w:instrText>
      </w:r>
      <w:r>
        <w:fldChar w:fldCharType="separate"/>
      </w:r>
      <w:r>
        <w:rPr>
          <w:rFonts w:hint="default" w:ascii="宋体" w:hAnsi="宋体" w:eastAsia="宋体" w:cs="宋体"/>
          <w:lang w:val="en-US" w:eastAsia="zh-CN"/>
        </w:rPr>
        <w:t xml:space="preserve">1.6. </w:t>
      </w:r>
      <w:r>
        <w:rPr>
          <w:lang w:val="en-US" w:eastAsia="zh-CN"/>
        </w:rPr>
        <w:t>主要环境问题及环境影响</w:t>
      </w:r>
      <w:r>
        <w:tab/>
      </w:r>
      <w:r>
        <w:fldChar w:fldCharType="begin"/>
      </w:r>
      <w:r>
        <w:instrText xml:space="preserve"> PAGEREF _Toc29570 </w:instrText>
      </w:r>
      <w:r>
        <w:fldChar w:fldCharType="separate"/>
      </w:r>
      <w:r>
        <w:t>13</w:t>
      </w:r>
      <w:r>
        <w:fldChar w:fldCharType="end"/>
      </w:r>
      <w:r>
        <w:fldChar w:fldCharType="end"/>
      </w:r>
    </w:p>
    <w:p>
      <w:pPr>
        <w:pStyle w:val="19"/>
        <w:tabs>
          <w:tab w:val="right" w:leader="dot" w:pos="8788"/>
        </w:tabs>
      </w:pPr>
      <w:r>
        <w:fldChar w:fldCharType="begin"/>
      </w:r>
      <w:r>
        <w:instrText xml:space="preserve"> HYPERLINK \l _Toc1193 </w:instrText>
      </w:r>
      <w:r>
        <w:fldChar w:fldCharType="separate"/>
      </w:r>
      <w:r>
        <w:rPr>
          <w:rFonts w:hint="default" w:ascii="宋体" w:hAnsi="宋体" w:eastAsia="宋体" w:cs="宋体"/>
          <w:lang w:val="en-US" w:eastAsia="zh-CN"/>
        </w:rPr>
        <w:t xml:space="preserve">1.7. </w:t>
      </w:r>
      <w:r>
        <w:rPr>
          <w:lang w:val="en-US" w:eastAsia="zh-CN"/>
        </w:rPr>
        <w:t>环境影响评价主要结论</w:t>
      </w:r>
      <w:r>
        <w:tab/>
      </w:r>
      <w:r>
        <w:fldChar w:fldCharType="begin"/>
      </w:r>
      <w:r>
        <w:instrText xml:space="preserve"> PAGEREF _Toc1193 </w:instrText>
      </w:r>
      <w:r>
        <w:fldChar w:fldCharType="separate"/>
      </w:r>
      <w:r>
        <w:t>14</w:t>
      </w:r>
      <w:r>
        <w:fldChar w:fldCharType="end"/>
      </w:r>
      <w:r>
        <w:fldChar w:fldCharType="end"/>
      </w:r>
    </w:p>
    <w:p>
      <w:pPr>
        <w:pStyle w:val="17"/>
        <w:tabs>
          <w:tab w:val="right" w:leader="dot" w:pos="8788"/>
        </w:tabs>
      </w:pPr>
      <w:r>
        <w:fldChar w:fldCharType="begin"/>
      </w:r>
      <w:r>
        <w:instrText xml:space="preserve"> HYPERLINK \l _Toc1010 </w:instrText>
      </w:r>
      <w:r>
        <w:fldChar w:fldCharType="separate"/>
      </w:r>
      <w:r>
        <w:rPr>
          <w:rFonts w:hint="default" w:ascii="宋体" w:hAnsi="宋体" w:eastAsia="宋体" w:cs="宋体"/>
          <w:lang w:val="en-US" w:eastAsia="zh-CN"/>
        </w:rPr>
        <w:t xml:space="preserve">2. </w:t>
      </w:r>
      <w:r>
        <w:rPr>
          <w:rFonts w:hint="default"/>
          <w:lang w:val="en-US" w:eastAsia="zh-CN"/>
        </w:rPr>
        <w:t>总则</w:t>
      </w:r>
      <w:r>
        <w:tab/>
      </w:r>
      <w:r>
        <w:fldChar w:fldCharType="begin"/>
      </w:r>
      <w:r>
        <w:instrText xml:space="preserve"> PAGEREF _Toc1010 </w:instrText>
      </w:r>
      <w:r>
        <w:fldChar w:fldCharType="separate"/>
      </w:r>
      <w:r>
        <w:t>15</w:t>
      </w:r>
      <w:r>
        <w:fldChar w:fldCharType="end"/>
      </w:r>
      <w:r>
        <w:fldChar w:fldCharType="end"/>
      </w:r>
    </w:p>
    <w:p>
      <w:pPr>
        <w:pStyle w:val="19"/>
        <w:tabs>
          <w:tab w:val="right" w:leader="dot" w:pos="8788"/>
        </w:tabs>
      </w:pPr>
      <w:r>
        <w:fldChar w:fldCharType="begin"/>
      </w:r>
      <w:r>
        <w:instrText xml:space="preserve"> HYPERLINK \l _Toc22090 </w:instrText>
      </w:r>
      <w:r>
        <w:fldChar w:fldCharType="separate"/>
      </w:r>
      <w:r>
        <w:rPr>
          <w:rFonts w:hint="default" w:ascii="宋体" w:hAnsi="宋体" w:eastAsia="宋体" w:cs="宋体"/>
          <w:lang w:val="en-US" w:eastAsia="zh-CN"/>
        </w:rPr>
        <w:t xml:space="preserve">2.1. </w:t>
      </w:r>
      <w:r>
        <w:rPr>
          <w:lang w:val="en-US" w:eastAsia="zh-CN"/>
        </w:rPr>
        <w:t>编制依据</w:t>
      </w:r>
      <w:r>
        <w:tab/>
      </w:r>
      <w:r>
        <w:fldChar w:fldCharType="begin"/>
      </w:r>
      <w:r>
        <w:instrText xml:space="preserve"> PAGEREF _Toc22090 </w:instrText>
      </w:r>
      <w:r>
        <w:fldChar w:fldCharType="separate"/>
      </w:r>
      <w:r>
        <w:t>15</w:t>
      </w:r>
      <w:r>
        <w:fldChar w:fldCharType="end"/>
      </w:r>
      <w:r>
        <w:fldChar w:fldCharType="end"/>
      </w:r>
    </w:p>
    <w:p>
      <w:pPr>
        <w:pStyle w:val="14"/>
        <w:tabs>
          <w:tab w:val="right" w:leader="dot" w:pos="8788"/>
        </w:tabs>
      </w:pPr>
      <w:r>
        <w:fldChar w:fldCharType="begin"/>
      </w:r>
      <w:r>
        <w:instrText xml:space="preserve"> HYPERLINK \l _Toc30044 </w:instrText>
      </w:r>
      <w:r>
        <w:fldChar w:fldCharType="separate"/>
      </w:r>
      <w:r>
        <w:rPr>
          <w:rFonts w:hint="default" w:ascii="宋体" w:hAnsi="宋体" w:eastAsia="宋体" w:cs="宋体"/>
          <w:lang w:val="en-US" w:eastAsia="zh-CN"/>
        </w:rPr>
        <w:t xml:space="preserve">2.1.1. </w:t>
      </w:r>
      <w:r>
        <w:rPr>
          <w:lang w:val="en-US" w:eastAsia="zh-CN"/>
        </w:rPr>
        <w:t>国家法律、法规和政策</w:t>
      </w:r>
      <w:r>
        <w:tab/>
      </w:r>
      <w:r>
        <w:fldChar w:fldCharType="begin"/>
      </w:r>
      <w:r>
        <w:instrText xml:space="preserve"> PAGEREF _Toc30044 </w:instrText>
      </w:r>
      <w:r>
        <w:fldChar w:fldCharType="separate"/>
      </w:r>
      <w:r>
        <w:t>15</w:t>
      </w:r>
      <w:r>
        <w:fldChar w:fldCharType="end"/>
      </w:r>
      <w:r>
        <w:fldChar w:fldCharType="end"/>
      </w:r>
    </w:p>
    <w:p>
      <w:pPr>
        <w:pStyle w:val="14"/>
        <w:tabs>
          <w:tab w:val="right" w:leader="dot" w:pos="8788"/>
        </w:tabs>
      </w:pPr>
      <w:r>
        <w:fldChar w:fldCharType="begin"/>
      </w:r>
      <w:r>
        <w:instrText xml:space="preserve"> HYPERLINK \l _Toc454 </w:instrText>
      </w:r>
      <w:r>
        <w:fldChar w:fldCharType="separate"/>
      </w:r>
      <w:r>
        <w:rPr>
          <w:rFonts w:hint="default" w:ascii="宋体" w:hAnsi="宋体" w:eastAsia="宋体" w:cs="宋体"/>
          <w:lang w:val="en-US" w:eastAsia="zh-CN"/>
        </w:rPr>
        <w:t xml:space="preserve">2.1.2. </w:t>
      </w:r>
      <w:r>
        <w:rPr>
          <w:lang w:val="en-US" w:eastAsia="zh-CN"/>
        </w:rPr>
        <w:t>地方法规、规划</w:t>
      </w:r>
      <w:r>
        <w:tab/>
      </w:r>
      <w:r>
        <w:fldChar w:fldCharType="begin"/>
      </w:r>
      <w:r>
        <w:instrText xml:space="preserve"> PAGEREF _Toc454 </w:instrText>
      </w:r>
      <w:r>
        <w:fldChar w:fldCharType="separate"/>
      </w:r>
      <w:r>
        <w:t>16</w:t>
      </w:r>
      <w:r>
        <w:fldChar w:fldCharType="end"/>
      </w:r>
      <w:r>
        <w:fldChar w:fldCharType="end"/>
      </w:r>
    </w:p>
    <w:p>
      <w:pPr>
        <w:pStyle w:val="14"/>
        <w:tabs>
          <w:tab w:val="right" w:leader="dot" w:pos="8788"/>
        </w:tabs>
      </w:pPr>
      <w:r>
        <w:fldChar w:fldCharType="begin"/>
      </w:r>
      <w:r>
        <w:instrText xml:space="preserve"> HYPERLINK \l _Toc23509 </w:instrText>
      </w:r>
      <w:r>
        <w:fldChar w:fldCharType="separate"/>
      </w:r>
      <w:r>
        <w:rPr>
          <w:rFonts w:hint="default" w:ascii="宋体" w:hAnsi="宋体" w:eastAsia="宋体" w:cs="宋体"/>
          <w:lang w:val="en-US" w:eastAsia="zh-CN"/>
        </w:rPr>
        <w:t xml:space="preserve">2.1.3. </w:t>
      </w:r>
      <w:r>
        <w:rPr>
          <w:lang w:val="en-US" w:eastAsia="zh-CN"/>
        </w:rPr>
        <w:t>相关的技术规范</w:t>
      </w:r>
      <w:r>
        <w:tab/>
      </w:r>
      <w:r>
        <w:fldChar w:fldCharType="begin"/>
      </w:r>
      <w:r>
        <w:instrText xml:space="preserve"> PAGEREF _Toc23509 </w:instrText>
      </w:r>
      <w:r>
        <w:fldChar w:fldCharType="separate"/>
      </w:r>
      <w:r>
        <w:t>17</w:t>
      </w:r>
      <w:r>
        <w:fldChar w:fldCharType="end"/>
      </w:r>
      <w:r>
        <w:fldChar w:fldCharType="end"/>
      </w:r>
    </w:p>
    <w:p>
      <w:pPr>
        <w:pStyle w:val="14"/>
        <w:tabs>
          <w:tab w:val="right" w:leader="dot" w:pos="8788"/>
        </w:tabs>
      </w:pPr>
      <w:r>
        <w:fldChar w:fldCharType="begin"/>
      </w:r>
      <w:r>
        <w:instrText xml:space="preserve"> HYPERLINK \l _Toc23348 </w:instrText>
      </w:r>
      <w:r>
        <w:fldChar w:fldCharType="separate"/>
      </w:r>
      <w:r>
        <w:rPr>
          <w:rFonts w:hint="default" w:ascii="宋体" w:hAnsi="宋体" w:eastAsia="宋体" w:cs="宋体"/>
          <w:lang w:val="en-US" w:eastAsia="zh-CN"/>
        </w:rPr>
        <w:t xml:space="preserve">2.1.4. </w:t>
      </w:r>
      <w:r>
        <w:rPr>
          <w:lang w:val="en-US" w:eastAsia="zh-CN"/>
        </w:rPr>
        <w:t>其它技术规范及参考依据</w:t>
      </w:r>
      <w:r>
        <w:tab/>
      </w:r>
      <w:r>
        <w:fldChar w:fldCharType="begin"/>
      </w:r>
      <w:r>
        <w:instrText xml:space="preserve"> PAGEREF _Toc23348 </w:instrText>
      </w:r>
      <w:r>
        <w:fldChar w:fldCharType="separate"/>
      </w:r>
      <w:r>
        <w:t>17</w:t>
      </w:r>
      <w:r>
        <w:fldChar w:fldCharType="end"/>
      </w:r>
      <w:r>
        <w:fldChar w:fldCharType="end"/>
      </w:r>
    </w:p>
    <w:p>
      <w:pPr>
        <w:pStyle w:val="14"/>
        <w:tabs>
          <w:tab w:val="right" w:leader="dot" w:pos="8788"/>
        </w:tabs>
      </w:pPr>
      <w:r>
        <w:fldChar w:fldCharType="begin"/>
      </w:r>
      <w:r>
        <w:instrText xml:space="preserve"> HYPERLINK \l _Toc21027 </w:instrText>
      </w:r>
      <w:r>
        <w:fldChar w:fldCharType="separate"/>
      </w:r>
      <w:r>
        <w:rPr>
          <w:rFonts w:hint="default" w:ascii="宋体" w:hAnsi="宋体" w:eastAsia="宋体" w:cs="宋体"/>
          <w:lang w:val="en-US" w:eastAsia="zh-CN"/>
        </w:rPr>
        <w:t xml:space="preserve">2.1.5. </w:t>
      </w:r>
      <w:r>
        <w:rPr>
          <w:lang w:val="en-US" w:eastAsia="zh-CN"/>
        </w:rPr>
        <w:t>其他编制依据及工程资料</w:t>
      </w:r>
      <w:r>
        <w:tab/>
      </w:r>
      <w:r>
        <w:fldChar w:fldCharType="begin"/>
      </w:r>
      <w:r>
        <w:instrText xml:space="preserve"> PAGEREF _Toc21027 </w:instrText>
      </w:r>
      <w:r>
        <w:fldChar w:fldCharType="separate"/>
      </w:r>
      <w:r>
        <w:t>17</w:t>
      </w:r>
      <w:r>
        <w:fldChar w:fldCharType="end"/>
      </w:r>
      <w:r>
        <w:fldChar w:fldCharType="end"/>
      </w:r>
    </w:p>
    <w:p>
      <w:pPr>
        <w:pStyle w:val="19"/>
        <w:tabs>
          <w:tab w:val="right" w:leader="dot" w:pos="8788"/>
        </w:tabs>
      </w:pPr>
      <w:r>
        <w:fldChar w:fldCharType="begin"/>
      </w:r>
      <w:r>
        <w:instrText xml:space="preserve"> HYPERLINK \l _Toc29985 </w:instrText>
      </w:r>
      <w:r>
        <w:fldChar w:fldCharType="separate"/>
      </w:r>
      <w:r>
        <w:rPr>
          <w:rFonts w:hint="default" w:ascii="宋体" w:hAnsi="宋体" w:eastAsia="宋体" w:cs="宋体"/>
          <w:lang w:val="en-US" w:eastAsia="zh-CN"/>
        </w:rPr>
        <w:t xml:space="preserve">2.2. </w:t>
      </w:r>
      <w:r>
        <w:rPr>
          <w:rFonts w:hint="eastAsia"/>
          <w:lang w:val="en-US" w:eastAsia="zh-CN"/>
        </w:rPr>
        <w:t>评价因子与评价标准</w:t>
      </w:r>
      <w:r>
        <w:tab/>
      </w:r>
      <w:r>
        <w:fldChar w:fldCharType="begin"/>
      </w:r>
      <w:r>
        <w:instrText xml:space="preserve"> PAGEREF _Toc29985 </w:instrText>
      </w:r>
      <w:r>
        <w:fldChar w:fldCharType="separate"/>
      </w:r>
      <w:r>
        <w:t>18</w:t>
      </w:r>
      <w:r>
        <w:fldChar w:fldCharType="end"/>
      </w:r>
      <w:r>
        <w:fldChar w:fldCharType="end"/>
      </w:r>
    </w:p>
    <w:p>
      <w:pPr>
        <w:pStyle w:val="14"/>
        <w:tabs>
          <w:tab w:val="right" w:leader="dot" w:pos="8788"/>
        </w:tabs>
      </w:pPr>
      <w:r>
        <w:fldChar w:fldCharType="begin"/>
      </w:r>
      <w:r>
        <w:instrText xml:space="preserve"> HYPERLINK \l _Toc32764 </w:instrText>
      </w:r>
      <w:r>
        <w:fldChar w:fldCharType="separate"/>
      </w:r>
      <w:r>
        <w:rPr>
          <w:rFonts w:hint="default" w:ascii="宋体" w:hAnsi="宋体" w:eastAsia="宋体" w:cs="宋体"/>
          <w:lang w:val="en-US" w:eastAsia="zh-CN"/>
        </w:rPr>
        <w:t xml:space="preserve">2.2.1. </w:t>
      </w:r>
      <w:r>
        <w:rPr>
          <w:lang w:val="en-US" w:eastAsia="zh-CN"/>
        </w:rPr>
        <w:t>评价因子</w:t>
      </w:r>
      <w:r>
        <w:tab/>
      </w:r>
      <w:r>
        <w:fldChar w:fldCharType="begin"/>
      </w:r>
      <w:r>
        <w:instrText xml:space="preserve"> PAGEREF _Toc32764 </w:instrText>
      </w:r>
      <w:r>
        <w:fldChar w:fldCharType="separate"/>
      </w:r>
      <w:r>
        <w:t>18</w:t>
      </w:r>
      <w:r>
        <w:fldChar w:fldCharType="end"/>
      </w:r>
      <w:r>
        <w:fldChar w:fldCharType="end"/>
      </w:r>
    </w:p>
    <w:p>
      <w:pPr>
        <w:pStyle w:val="14"/>
        <w:tabs>
          <w:tab w:val="right" w:leader="dot" w:pos="8788"/>
        </w:tabs>
      </w:pPr>
      <w:r>
        <w:fldChar w:fldCharType="begin"/>
      </w:r>
      <w:r>
        <w:instrText xml:space="preserve"> HYPERLINK \l _Toc8795 </w:instrText>
      </w:r>
      <w:r>
        <w:fldChar w:fldCharType="separate"/>
      </w:r>
      <w:r>
        <w:rPr>
          <w:rFonts w:hint="default" w:ascii="宋体" w:hAnsi="宋体" w:eastAsia="宋体" w:cs="宋体"/>
          <w:lang w:val="en-US" w:eastAsia="zh-CN"/>
        </w:rPr>
        <w:t xml:space="preserve">2.2.2. </w:t>
      </w:r>
      <w:r>
        <w:rPr>
          <w:lang w:val="en-US" w:eastAsia="zh-CN"/>
        </w:rPr>
        <w:t>环境功能区划</w:t>
      </w:r>
      <w:r>
        <w:tab/>
      </w:r>
      <w:r>
        <w:fldChar w:fldCharType="begin"/>
      </w:r>
      <w:r>
        <w:instrText xml:space="preserve"> PAGEREF _Toc8795 </w:instrText>
      </w:r>
      <w:r>
        <w:fldChar w:fldCharType="separate"/>
      </w:r>
      <w:r>
        <w:t>19</w:t>
      </w:r>
      <w:r>
        <w:fldChar w:fldCharType="end"/>
      </w:r>
      <w:r>
        <w:fldChar w:fldCharType="end"/>
      </w:r>
    </w:p>
    <w:p>
      <w:pPr>
        <w:pStyle w:val="14"/>
        <w:tabs>
          <w:tab w:val="right" w:leader="dot" w:pos="8788"/>
        </w:tabs>
      </w:pPr>
      <w:r>
        <w:fldChar w:fldCharType="begin"/>
      </w:r>
      <w:r>
        <w:instrText xml:space="preserve"> HYPERLINK \l _Toc22297 </w:instrText>
      </w:r>
      <w:r>
        <w:fldChar w:fldCharType="separate"/>
      </w:r>
      <w:r>
        <w:rPr>
          <w:rFonts w:hint="default" w:ascii="宋体" w:hAnsi="宋体" w:eastAsia="宋体" w:cs="宋体"/>
          <w:lang w:val="en-US" w:eastAsia="zh-CN"/>
        </w:rPr>
        <w:t xml:space="preserve">2.2.3. </w:t>
      </w:r>
      <w:r>
        <w:rPr>
          <w:lang w:val="en-US" w:eastAsia="zh-CN"/>
        </w:rPr>
        <w:t>评价标准</w:t>
      </w:r>
      <w:r>
        <w:tab/>
      </w:r>
      <w:r>
        <w:fldChar w:fldCharType="begin"/>
      </w:r>
      <w:r>
        <w:instrText xml:space="preserve"> PAGEREF _Toc22297 </w:instrText>
      </w:r>
      <w:r>
        <w:fldChar w:fldCharType="separate"/>
      </w:r>
      <w:r>
        <w:t>21</w:t>
      </w:r>
      <w:r>
        <w:fldChar w:fldCharType="end"/>
      </w:r>
      <w:r>
        <w:fldChar w:fldCharType="end"/>
      </w:r>
    </w:p>
    <w:p>
      <w:pPr>
        <w:pStyle w:val="19"/>
        <w:tabs>
          <w:tab w:val="right" w:leader="dot" w:pos="8788"/>
        </w:tabs>
      </w:pPr>
      <w:r>
        <w:fldChar w:fldCharType="begin"/>
      </w:r>
      <w:r>
        <w:instrText xml:space="preserve"> HYPERLINK \l _Toc30525 </w:instrText>
      </w:r>
      <w:r>
        <w:fldChar w:fldCharType="separate"/>
      </w:r>
      <w:r>
        <w:rPr>
          <w:rFonts w:hint="default" w:ascii="宋体" w:hAnsi="宋体" w:eastAsia="宋体" w:cs="宋体"/>
          <w:lang w:val="en-US" w:eastAsia="zh-CN"/>
        </w:rPr>
        <w:t xml:space="preserve">2.3. </w:t>
      </w:r>
      <w:r>
        <w:rPr>
          <w:lang w:val="en-US" w:eastAsia="zh-CN"/>
        </w:rPr>
        <w:t>评价工作等级和评价重点</w:t>
      </w:r>
      <w:r>
        <w:tab/>
      </w:r>
      <w:r>
        <w:fldChar w:fldCharType="begin"/>
      </w:r>
      <w:r>
        <w:instrText xml:space="preserve"> PAGEREF _Toc30525 </w:instrText>
      </w:r>
      <w:r>
        <w:fldChar w:fldCharType="separate"/>
      </w:r>
      <w:r>
        <w:t>24</w:t>
      </w:r>
      <w:r>
        <w:fldChar w:fldCharType="end"/>
      </w:r>
      <w:r>
        <w:fldChar w:fldCharType="end"/>
      </w:r>
    </w:p>
    <w:p>
      <w:pPr>
        <w:pStyle w:val="14"/>
        <w:tabs>
          <w:tab w:val="right" w:leader="dot" w:pos="8788"/>
        </w:tabs>
      </w:pPr>
      <w:r>
        <w:fldChar w:fldCharType="begin"/>
      </w:r>
      <w:r>
        <w:instrText xml:space="preserve"> HYPERLINK \l _Toc26090 </w:instrText>
      </w:r>
      <w:r>
        <w:fldChar w:fldCharType="separate"/>
      </w:r>
      <w:r>
        <w:rPr>
          <w:rFonts w:hint="default" w:ascii="宋体" w:hAnsi="宋体" w:eastAsia="宋体" w:cs="宋体"/>
          <w:lang w:val="en-US" w:eastAsia="zh-CN"/>
        </w:rPr>
        <w:t xml:space="preserve">2.3.1. </w:t>
      </w:r>
      <w:r>
        <w:rPr>
          <w:lang w:val="en-US" w:eastAsia="zh-CN"/>
        </w:rPr>
        <w:t>评价工作等级</w:t>
      </w:r>
      <w:r>
        <w:tab/>
      </w:r>
      <w:r>
        <w:fldChar w:fldCharType="begin"/>
      </w:r>
      <w:r>
        <w:instrText xml:space="preserve"> PAGEREF _Toc26090 </w:instrText>
      </w:r>
      <w:r>
        <w:fldChar w:fldCharType="separate"/>
      </w:r>
      <w:r>
        <w:t>24</w:t>
      </w:r>
      <w:r>
        <w:fldChar w:fldCharType="end"/>
      </w:r>
      <w:r>
        <w:fldChar w:fldCharType="end"/>
      </w:r>
    </w:p>
    <w:p>
      <w:pPr>
        <w:pStyle w:val="14"/>
        <w:tabs>
          <w:tab w:val="right" w:leader="dot" w:pos="8788"/>
        </w:tabs>
      </w:pPr>
      <w:r>
        <w:fldChar w:fldCharType="begin"/>
      </w:r>
      <w:r>
        <w:instrText xml:space="preserve"> HYPERLINK \l _Toc19975 </w:instrText>
      </w:r>
      <w:r>
        <w:fldChar w:fldCharType="separate"/>
      </w:r>
      <w:r>
        <w:rPr>
          <w:rFonts w:hint="default" w:ascii="宋体" w:hAnsi="宋体" w:eastAsia="宋体" w:cs="宋体"/>
          <w:lang w:val="en-US" w:eastAsia="zh-CN"/>
        </w:rPr>
        <w:t xml:space="preserve">2.3.2. </w:t>
      </w:r>
      <w:r>
        <w:rPr>
          <w:lang w:val="en-US" w:eastAsia="zh-CN"/>
        </w:rPr>
        <w:t>评价重点</w:t>
      </w:r>
      <w:r>
        <w:tab/>
      </w:r>
      <w:r>
        <w:fldChar w:fldCharType="begin"/>
      </w:r>
      <w:r>
        <w:instrText xml:space="preserve"> PAGEREF _Toc19975 </w:instrText>
      </w:r>
      <w:r>
        <w:fldChar w:fldCharType="separate"/>
      </w:r>
      <w:r>
        <w:t>28</w:t>
      </w:r>
      <w:r>
        <w:fldChar w:fldCharType="end"/>
      </w:r>
      <w:r>
        <w:fldChar w:fldCharType="end"/>
      </w:r>
    </w:p>
    <w:p>
      <w:pPr>
        <w:pStyle w:val="19"/>
        <w:tabs>
          <w:tab w:val="right" w:leader="dot" w:pos="8788"/>
        </w:tabs>
      </w:pPr>
      <w:r>
        <w:fldChar w:fldCharType="begin"/>
      </w:r>
      <w:r>
        <w:instrText xml:space="preserve"> HYPERLINK \l _Toc21749 </w:instrText>
      </w:r>
      <w:r>
        <w:fldChar w:fldCharType="separate"/>
      </w:r>
      <w:r>
        <w:rPr>
          <w:rFonts w:hint="default" w:ascii="宋体" w:hAnsi="宋体" w:eastAsia="宋体" w:cs="宋体"/>
          <w:lang w:val="en-US" w:eastAsia="zh-CN"/>
        </w:rPr>
        <w:t xml:space="preserve">2.4. </w:t>
      </w:r>
      <w:r>
        <w:rPr>
          <w:lang w:val="en-US" w:eastAsia="zh-CN"/>
        </w:rPr>
        <w:t>评价范围及环境敏感目标</w:t>
      </w:r>
      <w:r>
        <w:tab/>
      </w:r>
      <w:r>
        <w:fldChar w:fldCharType="begin"/>
      </w:r>
      <w:r>
        <w:instrText xml:space="preserve"> PAGEREF _Toc21749 </w:instrText>
      </w:r>
      <w:r>
        <w:fldChar w:fldCharType="separate"/>
      </w:r>
      <w:r>
        <w:t>28</w:t>
      </w:r>
      <w:r>
        <w:fldChar w:fldCharType="end"/>
      </w:r>
      <w:r>
        <w:fldChar w:fldCharType="end"/>
      </w:r>
    </w:p>
    <w:p>
      <w:pPr>
        <w:pStyle w:val="14"/>
        <w:tabs>
          <w:tab w:val="right" w:leader="dot" w:pos="8788"/>
        </w:tabs>
      </w:pPr>
      <w:r>
        <w:fldChar w:fldCharType="begin"/>
      </w:r>
      <w:r>
        <w:instrText xml:space="preserve"> HYPERLINK \l _Toc12106 </w:instrText>
      </w:r>
      <w:r>
        <w:fldChar w:fldCharType="separate"/>
      </w:r>
      <w:r>
        <w:rPr>
          <w:rFonts w:hint="default" w:ascii="宋体" w:hAnsi="宋体" w:eastAsia="宋体" w:cs="宋体"/>
          <w:lang w:val="en-US" w:eastAsia="zh-CN"/>
        </w:rPr>
        <w:t xml:space="preserve">2.4.1. </w:t>
      </w:r>
      <w:r>
        <w:rPr>
          <w:lang w:val="en-US" w:eastAsia="zh-CN"/>
        </w:rPr>
        <w:t>评价范围</w:t>
      </w:r>
      <w:r>
        <w:tab/>
      </w:r>
      <w:r>
        <w:fldChar w:fldCharType="begin"/>
      </w:r>
      <w:r>
        <w:instrText xml:space="preserve"> PAGEREF _Toc12106 </w:instrText>
      </w:r>
      <w:r>
        <w:fldChar w:fldCharType="separate"/>
      </w:r>
      <w:r>
        <w:t>28</w:t>
      </w:r>
      <w:r>
        <w:fldChar w:fldCharType="end"/>
      </w:r>
      <w:r>
        <w:fldChar w:fldCharType="end"/>
      </w:r>
    </w:p>
    <w:p>
      <w:pPr>
        <w:pStyle w:val="14"/>
        <w:tabs>
          <w:tab w:val="right" w:leader="dot" w:pos="8788"/>
        </w:tabs>
      </w:pPr>
      <w:r>
        <w:fldChar w:fldCharType="begin"/>
      </w:r>
      <w:r>
        <w:instrText xml:space="preserve"> HYPERLINK \l _Toc3109 </w:instrText>
      </w:r>
      <w:r>
        <w:fldChar w:fldCharType="separate"/>
      </w:r>
      <w:r>
        <w:rPr>
          <w:rFonts w:hint="default" w:ascii="宋体" w:hAnsi="宋体" w:eastAsia="宋体" w:cs="宋体"/>
          <w:lang w:val="en-US" w:eastAsia="zh-CN"/>
        </w:rPr>
        <w:t xml:space="preserve">2.4.2. </w:t>
      </w:r>
      <w:r>
        <w:rPr>
          <w:lang w:val="en-US" w:eastAsia="zh-CN"/>
        </w:rPr>
        <w:t>环境敏感目标</w:t>
      </w:r>
      <w:r>
        <w:tab/>
      </w:r>
      <w:r>
        <w:fldChar w:fldCharType="begin"/>
      </w:r>
      <w:r>
        <w:instrText xml:space="preserve"> PAGEREF _Toc3109 </w:instrText>
      </w:r>
      <w:r>
        <w:fldChar w:fldCharType="separate"/>
      </w:r>
      <w:r>
        <w:t>28</w:t>
      </w:r>
      <w:r>
        <w:fldChar w:fldCharType="end"/>
      </w:r>
      <w:r>
        <w:fldChar w:fldCharType="end"/>
      </w:r>
    </w:p>
    <w:p>
      <w:pPr>
        <w:pStyle w:val="17"/>
        <w:tabs>
          <w:tab w:val="right" w:leader="dot" w:pos="8788"/>
        </w:tabs>
      </w:pPr>
      <w:r>
        <w:fldChar w:fldCharType="begin"/>
      </w:r>
      <w:r>
        <w:instrText xml:space="preserve"> HYPERLINK \l _Toc18036 </w:instrText>
      </w:r>
      <w:r>
        <w:fldChar w:fldCharType="separate"/>
      </w:r>
      <w:r>
        <w:rPr>
          <w:rFonts w:hint="default" w:ascii="宋体" w:hAnsi="宋体" w:eastAsia="宋体" w:cs="宋体"/>
          <w:lang w:val="en-US" w:eastAsia="zh-CN"/>
        </w:rPr>
        <w:t xml:space="preserve">3. </w:t>
      </w:r>
      <w:r>
        <w:rPr>
          <w:lang w:val="en-US" w:eastAsia="zh-CN"/>
        </w:rPr>
        <w:t>拟建</w:t>
      </w:r>
      <w:r>
        <w:rPr>
          <w:rFonts w:hint="default"/>
          <w:lang w:val="en-US" w:eastAsia="zh-CN"/>
        </w:rPr>
        <w:t>项目概况</w:t>
      </w:r>
      <w:r>
        <w:tab/>
      </w:r>
      <w:r>
        <w:fldChar w:fldCharType="begin"/>
      </w:r>
      <w:r>
        <w:instrText xml:space="preserve"> PAGEREF _Toc18036 </w:instrText>
      </w:r>
      <w:r>
        <w:fldChar w:fldCharType="separate"/>
      </w:r>
      <w:r>
        <w:t>30</w:t>
      </w:r>
      <w:r>
        <w:fldChar w:fldCharType="end"/>
      </w:r>
      <w:r>
        <w:fldChar w:fldCharType="end"/>
      </w:r>
    </w:p>
    <w:p>
      <w:pPr>
        <w:pStyle w:val="19"/>
        <w:tabs>
          <w:tab w:val="right" w:leader="dot" w:pos="8788"/>
        </w:tabs>
      </w:pPr>
      <w:r>
        <w:fldChar w:fldCharType="begin"/>
      </w:r>
      <w:r>
        <w:instrText xml:space="preserve"> HYPERLINK \l _Toc10130 </w:instrText>
      </w:r>
      <w:r>
        <w:fldChar w:fldCharType="separate"/>
      </w:r>
      <w:r>
        <w:rPr>
          <w:rFonts w:hint="default" w:ascii="宋体" w:hAnsi="宋体" w:eastAsia="宋体" w:cs="宋体"/>
          <w:lang w:val="en-US" w:eastAsia="zh-CN"/>
        </w:rPr>
        <w:t xml:space="preserve">3.1. </w:t>
      </w:r>
      <w:r>
        <w:rPr>
          <w:lang w:val="en-US" w:eastAsia="zh-CN"/>
        </w:rPr>
        <w:t>工程概况</w:t>
      </w:r>
      <w:r>
        <w:tab/>
      </w:r>
      <w:r>
        <w:fldChar w:fldCharType="begin"/>
      </w:r>
      <w:r>
        <w:instrText xml:space="preserve"> PAGEREF _Toc10130 </w:instrText>
      </w:r>
      <w:r>
        <w:fldChar w:fldCharType="separate"/>
      </w:r>
      <w:r>
        <w:t>30</w:t>
      </w:r>
      <w:r>
        <w:fldChar w:fldCharType="end"/>
      </w:r>
      <w:r>
        <w:fldChar w:fldCharType="end"/>
      </w:r>
    </w:p>
    <w:p>
      <w:pPr>
        <w:pStyle w:val="14"/>
        <w:tabs>
          <w:tab w:val="right" w:leader="dot" w:pos="8788"/>
        </w:tabs>
      </w:pPr>
      <w:r>
        <w:fldChar w:fldCharType="begin"/>
      </w:r>
      <w:r>
        <w:instrText xml:space="preserve"> HYPERLINK \l _Toc3073 </w:instrText>
      </w:r>
      <w:r>
        <w:fldChar w:fldCharType="separate"/>
      </w:r>
      <w:r>
        <w:rPr>
          <w:rFonts w:hint="default" w:ascii="宋体" w:hAnsi="宋体" w:eastAsia="宋体" w:cs="宋体"/>
          <w:lang w:val="en-US" w:eastAsia="zh-CN"/>
        </w:rPr>
        <w:t xml:space="preserve">3.1.1. </w:t>
      </w:r>
      <w:r>
        <w:rPr>
          <w:lang w:val="en-US" w:eastAsia="zh-CN"/>
        </w:rPr>
        <w:t>项目基本情况</w:t>
      </w:r>
      <w:r>
        <w:tab/>
      </w:r>
      <w:r>
        <w:fldChar w:fldCharType="begin"/>
      </w:r>
      <w:r>
        <w:instrText xml:space="preserve"> PAGEREF _Toc3073 </w:instrText>
      </w:r>
      <w:r>
        <w:fldChar w:fldCharType="separate"/>
      </w:r>
      <w:r>
        <w:t>30</w:t>
      </w:r>
      <w:r>
        <w:fldChar w:fldCharType="end"/>
      </w:r>
      <w:r>
        <w:fldChar w:fldCharType="end"/>
      </w:r>
    </w:p>
    <w:p>
      <w:pPr>
        <w:pStyle w:val="14"/>
        <w:tabs>
          <w:tab w:val="right" w:leader="dot" w:pos="8788"/>
        </w:tabs>
      </w:pPr>
      <w:r>
        <w:fldChar w:fldCharType="begin"/>
      </w:r>
      <w:r>
        <w:instrText xml:space="preserve"> HYPERLINK \l _Toc24460 </w:instrText>
      </w:r>
      <w:r>
        <w:fldChar w:fldCharType="separate"/>
      </w:r>
      <w:r>
        <w:rPr>
          <w:rFonts w:hint="default" w:ascii="宋体" w:hAnsi="宋体" w:eastAsia="宋体" w:cs="宋体"/>
          <w:lang w:val="en-US" w:eastAsia="zh-CN"/>
        </w:rPr>
        <w:t xml:space="preserve">3.1.2. </w:t>
      </w:r>
      <w:r>
        <w:rPr>
          <w:lang w:val="en-US" w:eastAsia="zh-CN"/>
        </w:rPr>
        <w:t>工程建设内容</w:t>
      </w:r>
      <w:r>
        <w:tab/>
      </w:r>
      <w:r>
        <w:fldChar w:fldCharType="begin"/>
      </w:r>
      <w:r>
        <w:instrText xml:space="preserve"> PAGEREF _Toc24460 </w:instrText>
      </w:r>
      <w:r>
        <w:fldChar w:fldCharType="separate"/>
      </w:r>
      <w:r>
        <w:t>31</w:t>
      </w:r>
      <w:r>
        <w:fldChar w:fldCharType="end"/>
      </w:r>
      <w:r>
        <w:fldChar w:fldCharType="end"/>
      </w:r>
    </w:p>
    <w:p>
      <w:pPr>
        <w:pStyle w:val="14"/>
        <w:tabs>
          <w:tab w:val="right" w:leader="dot" w:pos="8788"/>
        </w:tabs>
      </w:pPr>
      <w:r>
        <w:fldChar w:fldCharType="begin"/>
      </w:r>
      <w:r>
        <w:instrText xml:space="preserve"> HYPERLINK \l _Toc22998 </w:instrText>
      </w:r>
      <w:r>
        <w:fldChar w:fldCharType="separate"/>
      </w:r>
      <w:r>
        <w:rPr>
          <w:rFonts w:hint="default" w:ascii="宋体" w:hAnsi="宋体" w:eastAsia="宋体" w:cs="宋体"/>
          <w:lang w:val="en-US" w:eastAsia="zh-CN"/>
        </w:rPr>
        <w:t xml:space="preserve">3.1.3. </w:t>
      </w:r>
      <w:r>
        <w:rPr>
          <w:lang w:val="en-US" w:eastAsia="zh-CN"/>
        </w:rPr>
        <w:t>产品</w:t>
      </w:r>
      <w:r>
        <w:rPr>
          <w:rFonts w:hint="eastAsia"/>
          <w:lang w:val="en-US" w:eastAsia="zh-CN"/>
        </w:rPr>
        <w:t>规模及产品性能</w:t>
      </w:r>
      <w:r>
        <w:tab/>
      </w:r>
      <w:r>
        <w:fldChar w:fldCharType="begin"/>
      </w:r>
      <w:r>
        <w:instrText xml:space="preserve"> PAGEREF _Toc22998 </w:instrText>
      </w:r>
      <w:r>
        <w:fldChar w:fldCharType="separate"/>
      </w:r>
      <w:r>
        <w:t>31</w:t>
      </w:r>
      <w:r>
        <w:fldChar w:fldCharType="end"/>
      </w:r>
      <w:r>
        <w:fldChar w:fldCharType="end"/>
      </w:r>
    </w:p>
    <w:p>
      <w:pPr>
        <w:pStyle w:val="14"/>
        <w:tabs>
          <w:tab w:val="right" w:leader="dot" w:pos="8788"/>
        </w:tabs>
      </w:pPr>
      <w:r>
        <w:fldChar w:fldCharType="begin"/>
      </w:r>
      <w:r>
        <w:instrText xml:space="preserve"> HYPERLINK \l _Toc26089 </w:instrText>
      </w:r>
      <w:r>
        <w:fldChar w:fldCharType="separate"/>
      </w:r>
      <w:r>
        <w:rPr>
          <w:rFonts w:hint="default" w:ascii="宋体" w:hAnsi="宋体" w:eastAsia="宋体" w:cs="宋体"/>
          <w:lang w:val="en-US" w:eastAsia="zh-CN"/>
        </w:rPr>
        <w:t xml:space="preserve">3.1.4. </w:t>
      </w:r>
      <w:r>
        <w:rPr>
          <w:lang w:val="en-US" w:eastAsia="zh-CN"/>
        </w:rPr>
        <w:t>主要原辅材料消耗</w:t>
      </w:r>
      <w:r>
        <w:tab/>
      </w:r>
      <w:r>
        <w:fldChar w:fldCharType="begin"/>
      </w:r>
      <w:r>
        <w:instrText xml:space="preserve"> PAGEREF _Toc26089 </w:instrText>
      </w:r>
      <w:r>
        <w:fldChar w:fldCharType="separate"/>
      </w:r>
      <w:r>
        <w:t>32</w:t>
      </w:r>
      <w:r>
        <w:fldChar w:fldCharType="end"/>
      </w:r>
      <w:r>
        <w:fldChar w:fldCharType="end"/>
      </w:r>
    </w:p>
    <w:p>
      <w:pPr>
        <w:pStyle w:val="14"/>
        <w:tabs>
          <w:tab w:val="right" w:leader="dot" w:pos="8788"/>
        </w:tabs>
      </w:pPr>
      <w:r>
        <w:fldChar w:fldCharType="begin"/>
      </w:r>
      <w:r>
        <w:instrText xml:space="preserve"> HYPERLINK \l _Toc976 </w:instrText>
      </w:r>
      <w:r>
        <w:fldChar w:fldCharType="separate"/>
      </w:r>
      <w:r>
        <w:rPr>
          <w:rFonts w:hint="default" w:ascii="宋体" w:hAnsi="宋体" w:eastAsia="宋体" w:cs="宋体"/>
          <w:lang w:val="en-US" w:eastAsia="zh-CN"/>
        </w:rPr>
        <w:t xml:space="preserve">3.1.5. </w:t>
      </w:r>
      <w:r>
        <w:rPr>
          <w:rFonts w:hint="eastAsia"/>
          <w:lang w:val="en-US" w:eastAsia="zh-CN"/>
        </w:rPr>
        <w:t>主要生产设备</w:t>
      </w:r>
      <w:r>
        <w:tab/>
      </w:r>
      <w:r>
        <w:fldChar w:fldCharType="begin"/>
      </w:r>
      <w:r>
        <w:instrText xml:space="preserve"> PAGEREF _Toc976 </w:instrText>
      </w:r>
      <w:r>
        <w:fldChar w:fldCharType="separate"/>
      </w:r>
      <w:r>
        <w:t>35</w:t>
      </w:r>
      <w:r>
        <w:fldChar w:fldCharType="end"/>
      </w:r>
      <w:r>
        <w:fldChar w:fldCharType="end"/>
      </w:r>
    </w:p>
    <w:p>
      <w:pPr>
        <w:pStyle w:val="19"/>
        <w:tabs>
          <w:tab w:val="right" w:leader="dot" w:pos="8788"/>
        </w:tabs>
      </w:pPr>
      <w:r>
        <w:fldChar w:fldCharType="begin"/>
      </w:r>
      <w:r>
        <w:instrText xml:space="preserve"> HYPERLINK \l _Toc2795 </w:instrText>
      </w:r>
      <w:r>
        <w:fldChar w:fldCharType="separate"/>
      </w:r>
      <w:r>
        <w:rPr>
          <w:rFonts w:hint="default" w:ascii="宋体" w:hAnsi="宋体" w:eastAsia="宋体" w:cs="宋体"/>
          <w:lang w:val="en-US" w:eastAsia="zh-CN"/>
        </w:rPr>
        <w:t xml:space="preserve">3.2. </w:t>
      </w:r>
      <w:r>
        <w:rPr>
          <w:lang w:val="en-US" w:eastAsia="zh-CN"/>
        </w:rPr>
        <w:t>公用工程</w:t>
      </w:r>
      <w:r>
        <w:tab/>
      </w:r>
      <w:r>
        <w:fldChar w:fldCharType="begin"/>
      </w:r>
      <w:r>
        <w:instrText xml:space="preserve"> PAGEREF _Toc2795 </w:instrText>
      </w:r>
      <w:r>
        <w:fldChar w:fldCharType="separate"/>
      </w:r>
      <w:r>
        <w:t>35</w:t>
      </w:r>
      <w:r>
        <w:fldChar w:fldCharType="end"/>
      </w:r>
      <w:r>
        <w:fldChar w:fldCharType="end"/>
      </w:r>
    </w:p>
    <w:p>
      <w:pPr>
        <w:pStyle w:val="14"/>
        <w:tabs>
          <w:tab w:val="right" w:leader="dot" w:pos="8788"/>
        </w:tabs>
      </w:pPr>
      <w:r>
        <w:fldChar w:fldCharType="begin"/>
      </w:r>
      <w:r>
        <w:instrText xml:space="preserve"> HYPERLINK \l _Toc7577 </w:instrText>
      </w:r>
      <w:r>
        <w:fldChar w:fldCharType="separate"/>
      </w:r>
      <w:r>
        <w:rPr>
          <w:rFonts w:hint="default" w:ascii="宋体" w:hAnsi="宋体" w:eastAsia="宋体" w:cs="宋体"/>
          <w:lang w:val="en-US" w:eastAsia="zh-CN"/>
        </w:rPr>
        <w:t xml:space="preserve">3.2.1. </w:t>
      </w:r>
      <w:r>
        <w:rPr>
          <w:lang w:val="en-US" w:eastAsia="zh-CN"/>
        </w:rPr>
        <w:t>给排水</w:t>
      </w:r>
      <w:r>
        <w:tab/>
      </w:r>
      <w:r>
        <w:fldChar w:fldCharType="begin"/>
      </w:r>
      <w:r>
        <w:instrText xml:space="preserve"> PAGEREF _Toc7577 </w:instrText>
      </w:r>
      <w:r>
        <w:fldChar w:fldCharType="separate"/>
      </w:r>
      <w:r>
        <w:t>35</w:t>
      </w:r>
      <w:r>
        <w:fldChar w:fldCharType="end"/>
      </w:r>
      <w:r>
        <w:fldChar w:fldCharType="end"/>
      </w:r>
    </w:p>
    <w:p>
      <w:pPr>
        <w:pStyle w:val="14"/>
        <w:tabs>
          <w:tab w:val="right" w:leader="dot" w:pos="8788"/>
        </w:tabs>
      </w:pPr>
      <w:r>
        <w:fldChar w:fldCharType="begin"/>
      </w:r>
      <w:r>
        <w:instrText xml:space="preserve"> HYPERLINK \l _Toc20029 </w:instrText>
      </w:r>
      <w:r>
        <w:fldChar w:fldCharType="separate"/>
      </w:r>
      <w:r>
        <w:rPr>
          <w:rFonts w:hint="default" w:ascii="宋体" w:hAnsi="宋体" w:eastAsia="宋体" w:cs="宋体"/>
          <w:lang w:val="en-US" w:eastAsia="zh-CN"/>
        </w:rPr>
        <w:t xml:space="preserve">3.2.2. </w:t>
      </w:r>
      <w:r>
        <w:rPr>
          <w:lang w:val="en-US" w:eastAsia="zh-CN"/>
        </w:rPr>
        <w:t>供电</w:t>
      </w:r>
      <w:r>
        <w:tab/>
      </w:r>
      <w:r>
        <w:fldChar w:fldCharType="begin"/>
      </w:r>
      <w:r>
        <w:instrText xml:space="preserve"> PAGEREF _Toc20029 </w:instrText>
      </w:r>
      <w:r>
        <w:fldChar w:fldCharType="separate"/>
      </w:r>
      <w:r>
        <w:t>36</w:t>
      </w:r>
      <w:r>
        <w:fldChar w:fldCharType="end"/>
      </w:r>
      <w:r>
        <w:fldChar w:fldCharType="end"/>
      </w:r>
    </w:p>
    <w:p>
      <w:pPr>
        <w:pStyle w:val="14"/>
        <w:tabs>
          <w:tab w:val="right" w:leader="dot" w:pos="8788"/>
        </w:tabs>
      </w:pPr>
      <w:r>
        <w:fldChar w:fldCharType="begin"/>
      </w:r>
      <w:r>
        <w:instrText xml:space="preserve"> HYPERLINK \l _Toc8247 </w:instrText>
      </w:r>
      <w:r>
        <w:fldChar w:fldCharType="separate"/>
      </w:r>
      <w:r>
        <w:rPr>
          <w:rFonts w:hint="default" w:ascii="宋体" w:hAnsi="宋体" w:eastAsia="宋体" w:cs="宋体"/>
          <w:lang w:val="en-US" w:eastAsia="zh-CN"/>
        </w:rPr>
        <w:t xml:space="preserve">3.2.3. </w:t>
      </w:r>
      <w:r>
        <w:rPr>
          <w:rFonts w:hint="eastAsia"/>
          <w:lang w:val="en-US" w:eastAsia="zh-CN"/>
        </w:rPr>
        <w:t>物料储运系统</w:t>
      </w:r>
      <w:r>
        <w:tab/>
      </w:r>
      <w:r>
        <w:fldChar w:fldCharType="begin"/>
      </w:r>
      <w:r>
        <w:instrText xml:space="preserve"> PAGEREF _Toc8247 </w:instrText>
      </w:r>
      <w:r>
        <w:fldChar w:fldCharType="separate"/>
      </w:r>
      <w:r>
        <w:t>36</w:t>
      </w:r>
      <w:r>
        <w:fldChar w:fldCharType="end"/>
      </w:r>
      <w:r>
        <w:fldChar w:fldCharType="end"/>
      </w:r>
    </w:p>
    <w:p>
      <w:pPr>
        <w:pStyle w:val="14"/>
        <w:tabs>
          <w:tab w:val="right" w:leader="dot" w:pos="8788"/>
        </w:tabs>
      </w:pPr>
      <w:r>
        <w:fldChar w:fldCharType="begin"/>
      </w:r>
      <w:r>
        <w:instrText xml:space="preserve"> HYPERLINK \l _Toc25805 </w:instrText>
      </w:r>
      <w:r>
        <w:fldChar w:fldCharType="separate"/>
      </w:r>
      <w:r>
        <w:rPr>
          <w:rFonts w:hint="default" w:ascii="宋体" w:hAnsi="宋体" w:eastAsia="宋体" w:cs="宋体"/>
          <w:lang w:val="en-US" w:eastAsia="zh-CN"/>
        </w:rPr>
        <w:t xml:space="preserve">3.2.4. </w:t>
      </w:r>
      <w:r>
        <w:rPr>
          <w:lang w:val="en-US" w:eastAsia="zh-CN"/>
        </w:rPr>
        <w:t>消防</w:t>
      </w:r>
      <w:r>
        <w:tab/>
      </w:r>
      <w:r>
        <w:fldChar w:fldCharType="begin"/>
      </w:r>
      <w:r>
        <w:instrText xml:space="preserve"> PAGEREF _Toc25805 </w:instrText>
      </w:r>
      <w:r>
        <w:fldChar w:fldCharType="separate"/>
      </w:r>
      <w:r>
        <w:t>36</w:t>
      </w:r>
      <w:r>
        <w:fldChar w:fldCharType="end"/>
      </w:r>
      <w:r>
        <w:fldChar w:fldCharType="end"/>
      </w:r>
    </w:p>
    <w:p>
      <w:pPr>
        <w:pStyle w:val="14"/>
        <w:tabs>
          <w:tab w:val="right" w:leader="dot" w:pos="8788"/>
        </w:tabs>
      </w:pPr>
      <w:r>
        <w:fldChar w:fldCharType="begin"/>
      </w:r>
      <w:r>
        <w:instrText xml:space="preserve"> HYPERLINK \l _Toc29933 </w:instrText>
      </w:r>
      <w:r>
        <w:fldChar w:fldCharType="separate"/>
      </w:r>
      <w:r>
        <w:rPr>
          <w:rFonts w:hint="default" w:ascii="宋体" w:hAnsi="宋体" w:eastAsia="宋体" w:cs="宋体"/>
          <w:lang w:val="en-US" w:eastAsia="zh-CN"/>
        </w:rPr>
        <w:t xml:space="preserve">3.2.5. </w:t>
      </w:r>
      <w:r>
        <w:rPr>
          <w:rFonts w:hint="eastAsia"/>
          <w:lang w:val="en-US" w:eastAsia="zh-CN"/>
        </w:rPr>
        <w:t>工作制度和</w:t>
      </w:r>
      <w:r>
        <w:rPr>
          <w:lang w:val="en-US" w:eastAsia="zh-CN"/>
        </w:rPr>
        <w:t>劳动定员</w:t>
      </w:r>
      <w:r>
        <w:tab/>
      </w:r>
      <w:r>
        <w:fldChar w:fldCharType="begin"/>
      </w:r>
      <w:r>
        <w:instrText xml:space="preserve"> PAGEREF _Toc29933 </w:instrText>
      </w:r>
      <w:r>
        <w:fldChar w:fldCharType="separate"/>
      </w:r>
      <w:r>
        <w:t>37</w:t>
      </w:r>
      <w:r>
        <w:fldChar w:fldCharType="end"/>
      </w:r>
      <w:r>
        <w:fldChar w:fldCharType="end"/>
      </w:r>
    </w:p>
    <w:p>
      <w:pPr>
        <w:pStyle w:val="19"/>
        <w:tabs>
          <w:tab w:val="right" w:leader="dot" w:pos="8788"/>
        </w:tabs>
      </w:pPr>
      <w:r>
        <w:fldChar w:fldCharType="begin"/>
      </w:r>
      <w:r>
        <w:instrText xml:space="preserve"> HYPERLINK \l _Toc17045 </w:instrText>
      </w:r>
      <w:r>
        <w:fldChar w:fldCharType="separate"/>
      </w:r>
      <w:r>
        <w:rPr>
          <w:rFonts w:hint="default" w:ascii="宋体" w:hAnsi="宋体" w:eastAsia="宋体" w:cs="宋体"/>
          <w:lang w:val="en-US" w:eastAsia="zh-CN"/>
        </w:rPr>
        <w:t xml:space="preserve">3.3. </w:t>
      </w:r>
      <w:r>
        <w:rPr>
          <w:lang w:val="en-US" w:eastAsia="zh-CN"/>
        </w:rPr>
        <w:t>工程总图布置</w:t>
      </w:r>
      <w:r>
        <w:tab/>
      </w:r>
      <w:r>
        <w:fldChar w:fldCharType="begin"/>
      </w:r>
      <w:r>
        <w:instrText xml:space="preserve"> PAGEREF _Toc17045 </w:instrText>
      </w:r>
      <w:r>
        <w:fldChar w:fldCharType="separate"/>
      </w:r>
      <w:r>
        <w:t>37</w:t>
      </w:r>
      <w:r>
        <w:fldChar w:fldCharType="end"/>
      </w:r>
      <w:r>
        <w:fldChar w:fldCharType="end"/>
      </w:r>
    </w:p>
    <w:p>
      <w:pPr>
        <w:pStyle w:val="17"/>
        <w:tabs>
          <w:tab w:val="right" w:leader="dot" w:pos="8788"/>
        </w:tabs>
      </w:pPr>
      <w:r>
        <w:fldChar w:fldCharType="begin"/>
      </w:r>
      <w:r>
        <w:instrText xml:space="preserve"> HYPERLINK \l _Toc22642 </w:instrText>
      </w:r>
      <w:r>
        <w:fldChar w:fldCharType="separate"/>
      </w:r>
      <w:r>
        <w:rPr>
          <w:rFonts w:hint="default" w:ascii="宋体" w:hAnsi="宋体" w:eastAsia="宋体" w:cs="宋体"/>
          <w:lang w:val="en-US" w:eastAsia="zh-CN"/>
        </w:rPr>
        <w:t xml:space="preserve">4. </w:t>
      </w:r>
      <w:r>
        <w:rPr>
          <w:rFonts w:hint="default"/>
          <w:lang w:val="en-US" w:eastAsia="zh-CN"/>
        </w:rPr>
        <w:t>工程分析</w:t>
      </w:r>
      <w:r>
        <w:tab/>
      </w:r>
      <w:r>
        <w:fldChar w:fldCharType="begin"/>
      </w:r>
      <w:r>
        <w:instrText xml:space="preserve"> PAGEREF _Toc22642 </w:instrText>
      </w:r>
      <w:r>
        <w:fldChar w:fldCharType="separate"/>
      </w:r>
      <w:r>
        <w:t>38</w:t>
      </w:r>
      <w:r>
        <w:fldChar w:fldCharType="end"/>
      </w:r>
      <w:r>
        <w:fldChar w:fldCharType="end"/>
      </w:r>
    </w:p>
    <w:p>
      <w:pPr>
        <w:pStyle w:val="19"/>
        <w:tabs>
          <w:tab w:val="right" w:leader="dot" w:pos="8788"/>
        </w:tabs>
      </w:pPr>
      <w:r>
        <w:fldChar w:fldCharType="begin"/>
      </w:r>
      <w:r>
        <w:instrText xml:space="preserve"> HYPERLINK \l _Toc28561 </w:instrText>
      </w:r>
      <w:r>
        <w:fldChar w:fldCharType="separate"/>
      </w:r>
      <w:r>
        <w:rPr>
          <w:rFonts w:hint="default" w:ascii="宋体" w:hAnsi="宋体" w:eastAsia="宋体" w:cs="宋体"/>
          <w:lang w:val="en-US" w:eastAsia="zh-CN"/>
        </w:rPr>
        <w:t xml:space="preserve">4.1. </w:t>
      </w:r>
      <w:r>
        <w:rPr>
          <w:lang w:val="en-US" w:eastAsia="zh-CN"/>
        </w:rPr>
        <w:t>工艺流程简介</w:t>
      </w:r>
      <w:r>
        <w:tab/>
      </w:r>
      <w:r>
        <w:fldChar w:fldCharType="begin"/>
      </w:r>
      <w:r>
        <w:instrText xml:space="preserve"> PAGEREF _Toc28561 </w:instrText>
      </w:r>
      <w:r>
        <w:fldChar w:fldCharType="separate"/>
      </w:r>
      <w:r>
        <w:t>38</w:t>
      </w:r>
      <w:r>
        <w:fldChar w:fldCharType="end"/>
      </w:r>
      <w:r>
        <w:fldChar w:fldCharType="end"/>
      </w:r>
    </w:p>
    <w:p>
      <w:pPr>
        <w:pStyle w:val="14"/>
        <w:tabs>
          <w:tab w:val="right" w:leader="dot" w:pos="8788"/>
        </w:tabs>
      </w:pPr>
      <w:r>
        <w:fldChar w:fldCharType="begin"/>
      </w:r>
      <w:r>
        <w:instrText xml:space="preserve"> HYPERLINK \l _Toc24706 </w:instrText>
      </w:r>
      <w:r>
        <w:fldChar w:fldCharType="separate"/>
      </w:r>
      <w:r>
        <w:rPr>
          <w:rFonts w:hint="default" w:ascii="宋体" w:hAnsi="宋体" w:eastAsia="宋体" w:cs="宋体"/>
          <w:lang w:val="en-US" w:eastAsia="zh-CN"/>
        </w:rPr>
        <w:t xml:space="preserve">4.1.1. </w:t>
      </w:r>
      <w:r>
        <w:rPr>
          <w:rFonts w:hint="eastAsia"/>
          <w:lang w:val="en-US" w:eastAsia="zh-CN"/>
        </w:rPr>
        <w:t>生产原理</w:t>
      </w:r>
      <w:r>
        <w:tab/>
      </w:r>
      <w:r>
        <w:fldChar w:fldCharType="begin"/>
      </w:r>
      <w:r>
        <w:instrText xml:space="preserve"> PAGEREF _Toc24706 </w:instrText>
      </w:r>
      <w:r>
        <w:fldChar w:fldCharType="separate"/>
      </w:r>
      <w:r>
        <w:t>38</w:t>
      </w:r>
      <w:r>
        <w:fldChar w:fldCharType="end"/>
      </w:r>
      <w:r>
        <w:fldChar w:fldCharType="end"/>
      </w:r>
    </w:p>
    <w:p>
      <w:pPr>
        <w:pStyle w:val="14"/>
        <w:tabs>
          <w:tab w:val="right" w:leader="dot" w:pos="8788"/>
        </w:tabs>
      </w:pPr>
      <w:r>
        <w:fldChar w:fldCharType="begin"/>
      </w:r>
      <w:r>
        <w:instrText xml:space="preserve"> HYPERLINK \l _Toc32600 </w:instrText>
      </w:r>
      <w:r>
        <w:fldChar w:fldCharType="separate"/>
      </w:r>
      <w:r>
        <w:rPr>
          <w:rFonts w:hint="default" w:ascii="宋体" w:hAnsi="宋体" w:eastAsia="宋体" w:cs="宋体"/>
          <w:lang w:val="en-US" w:eastAsia="zh-CN"/>
        </w:rPr>
        <w:t xml:space="preserve">4.1.2. </w:t>
      </w:r>
      <w:r>
        <w:rPr>
          <w:rFonts w:hint="eastAsia"/>
          <w:lang w:val="en-US" w:eastAsia="zh-CN"/>
        </w:rPr>
        <w:t>生产工艺操作过程</w:t>
      </w:r>
      <w:r>
        <w:tab/>
      </w:r>
      <w:r>
        <w:fldChar w:fldCharType="begin"/>
      </w:r>
      <w:r>
        <w:instrText xml:space="preserve"> PAGEREF _Toc32600 </w:instrText>
      </w:r>
      <w:r>
        <w:fldChar w:fldCharType="separate"/>
      </w:r>
      <w:r>
        <w:t>38</w:t>
      </w:r>
      <w:r>
        <w:fldChar w:fldCharType="end"/>
      </w:r>
      <w:r>
        <w:fldChar w:fldCharType="end"/>
      </w:r>
    </w:p>
    <w:p>
      <w:pPr>
        <w:pStyle w:val="14"/>
        <w:tabs>
          <w:tab w:val="right" w:leader="dot" w:pos="8788"/>
        </w:tabs>
      </w:pPr>
      <w:r>
        <w:fldChar w:fldCharType="begin"/>
      </w:r>
      <w:r>
        <w:instrText xml:space="preserve"> HYPERLINK \l _Toc31632 </w:instrText>
      </w:r>
      <w:r>
        <w:fldChar w:fldCharType="separate"/>
      </w:r>
      <w:r>
        <w:rPr>
          <w:rFonts w:hint="default" w:ascii="宋体" w:hAnsi="宋体" w:eastAsia="宋体" w:cs="宋体"/>
          <w:lang w:val="en-US" w:eastAsia="zh-CN"/>
        </w:rPr>
        <w:t xml:space="preserve">4.1.3. </w:t>
      </w:r>
      <w:r>
        <w:rPr>
          <w:lang w:val="en-US" w:eastAsia="zh-CN"/>
        </w:rPr>
        <w:t>投料</w:t>
      </w:r>
      <w:r>
        <w:rPr>
          <w:rFonts w:hint="eastAsia"/>
          <w:lang w:val="en-US" w:eastAsia="zh-CN"/>
        </w:rPr>
        <w:t>转运</w:t>
      </w:r>
      <w:r>
        <w:rPr>
          <w:lang w:val="en-US" w:eastAsia="zh-CN"/>
        </w:rPr>
        <w:t>方式说明</w:t>
      </w:r>
      <w:r>
        <w:tab/>
      </w:r>
      <w:r>
        <w:fldChar w:fldCharType="begin"/>
      </w:r>
      <w:r>
        <w:instrText xml:space="preserve"> PAGEREF _Toc31632 </w:instrText>
      </w:r>
      <w:r>
        <w:fldChar w:fldCharType="separate"/>
      </w:r>
      <w:r>
        <w:t>39</w:t>
      </w:r>
      <w:r>
        <w:fldChar w:fldCharType="end"/>
      </w:r>
      <w:r>
        <w:fldChar w:fldCharType="end"/>
      </w:r>
    </w:p>
    <w:p>
      <w:pPr>
        <w:pStyle w:val="19"/>
        <w:tabs>
          <w:tab w:val="right" w:leader="dot" w:pos="8788"/>
        </w:tabs>
      </w:pPr>
      <w:r>
        <w:fldChar w:fldCharType="begin"/>
      </w:r>
      <w:r>
        <w:instrText xml:space="preserve"> HYPERLINK \l _Toc18099 </w:instrText>
      </w:r>
      <w:r>
        <w:fldChar w:fldCharType="separate"/>
      </w:r>
      <w:r>
        <w:rPr>
          <w:rFonts w:hint="default" w:ascii="宋体" w:hAnsi="宋体" w:eastAsia="宋体" w:cs="宋体"/>
          <w:lang w:val="en-US" w:eastAsia="zh-CN"/>
        </w:rPr>
        <w:t xml:space="preserve">4.2. </w:t>
      </w:r>
      <w:r>
        <w:rPr>
          <w:lang w:val="en-US" w:eastAsia="zh-CN"/>
        </w:rPr>
        <w:t>工程污染源分析</w:t>
      </w:r>
      <w:r>
        <w:tab/>
      </w:r>
      <w:r>
        <w:fldChar w:fldCharType="begin"/>
      </w:r>
      <w:r>
        <w:instrText xml:space="preserve"> PAGEREF _Toc18099 </w:instrText>
      </w:r>
      <w:r>
        <w:fldChar w:fldCharType="separate"/>
      </w:r>
      <w:r>
        <w:t>39</w:t>
      </w:r>
      <w:r>
        <w:fldChar w:fldCharType="end"/>
      </w:r>
      <w:r>
        <w:fldChar w:fldCharType="end"/>
      </w:r>
    </w:p>
    <w:p>
      <w:pPr>
        <w:pStyle w:val="14"/>
        <w:tabs>
          <w:tab w:val="right" w:leader="dot" w:pos="8788"/>
        </w:tabs>
      </w:pPr>
      <w:r>
        <w:fldChar w:fldCharType="begin"/>
      </w:r>
      <w:r>
        <w:instrText xml:space="preserve"> HYPERLINK \l _Toc18563 </w:instrText>
      </w:r>
      <w:r>
        <w:fldChar w:fldCharType="separate"/>
      </w:r>
      <w:r>
        <w:rPr>
          <w:rFonts w:hint="default" w:ascii="宋体" w:hAnsi="宋体" w:eastAsia="宋体" w:cs="宋体"/>
          <w:lang w:val="en-US" w:eastAsia="zh-CN"/>
        </w:rPr>
        <w:t xml:space="preserve">4.2.1. </w:t>
      </w:r>
      <w:r>
        <w:rPr>
          <w:lang w:val="en-US" w:eastAsia="zh-CN"/>
        </w:rPr>
        <w:t>施工期污染源分析</w:t>
      </w:r>
      <w:r>
        <w:tab/>
      </w:r>
      <w:r>
        <w:fldChar w:fldCharType="begin"/>
      </w:r>
      <w:r>
        <w:instrText xml:space="preserve"> PAGEREF _Toc18563 </w:instrText>
      </w:r>
      <w:r>
        <w:fldChar w:fldCharType="separate"/>
      </w:r>
      <w:r>
        <w:t>39</w:t>
      </w:r>
      <w:r>
        <w:fldChar w:fldCharType="end"/>
      </w:r>
      <w:r>
        <w:fldChar w:fldCharType="end"/>
      </w:r>
    </w:p>
    <w:p>
      <w:pPr>
        <w:pStyle w:val="14"/>
        <w:tabs>
          <w:tab w:val="right" w:leader="dot" w:pos="8788"/>
        </w:tabs>
      </w:pPr>
      <w:r>
        <w:fldChar w:fldCharType="begin"/>
      </w:r>
      <w:r>
        <w:instrText xml:space="preserve"> HYPERLINK \l _Toc23710 </w:instrText>
      </w:r>
      <w:r>
        <w:fldChar w:fldCharType="separate"/>
      </w:r>
      <w:r>
        <w:rPr>
          <w:rFonts w:hint="default" w:ascii="宋体" w:hAnsi="宋体" w:eastAsia="宋体" w:cs="宋体"/>
          <w:lang w:val="en-US" w:eastAsia="zh-CN"/>
        </w:rPr>
        <w:t xml:space="preserve">4.2.2. </w:t>
      </w:r>
      <w:r>
        <w:rPr>
          <w:rFonts w:hint="eastAsia"/>
          <w:lang w:val="en-US" w:eastAsia="zh-CN"/>
        </w:rPr>
        <w:t>运营期</w:t>
      </w:r>
      <w:r>
        <w:rPr>
          <w:lang w:val="en-US" w:eastAsia="zh-CN"/>
        </w:rPr>
        <w:t>污染源分析</w:t>
      </w:r>
      <w:r>
        <w:tab/>
      </w:r>
      <w:r>
        <w:fldChar w:fldCharType="begin"/>
      </w:r>
      <w:r>
        <w:instrText xml:space="preserve"> PAGEREF _Toc23710 </w:instrText>
      </w:r>
      <w:r>
        <w:fldChar w:fldCharType="separate"/>
      </w:r>
      <w:r>
        <w:t>41</w:t>
      </w:r>
      <w:r>
        <w:fldChar w:fldCharType="end"/>
      </w:r>
      <w:r>
        <w:fldChar w:fldCharType="end"/>
      </w:r>
    </w:p>
    <w:p>
      <w:pPr>
        <w:pStyle w:val="19"/>
        <w:tabs>
          <w:tab w:val="right" w:leader="dot" w:pos="8788"/>
        </w:tabs>
      </w:pPr>
      <w:r>
        <w:fldChar w:fldCharType="begin"/>
      </w:r>
      <w:r>
        <w:instrText xml:space="preserve"> HYPERLINK \l _Toc24806 </w:instrText>
      </w:r>
      <w:r>
        <w:fldChar w:fldCharType="separate"/>
      </w:r>
      <w:r>
        <w:rPr>
          <w:rFonts w:hint="default" w:ascii="宋体" w:hAnsi="宋体" w:eastAsia="宋体" w:cs="宋体"/>
          <w:lang w:val="en-US" w:eastAsia="zh-CN"/>
        </w:rPr>
        <w:t xml:space="preserve">4.3. </w:t>
      </w:r>
      <w:r>
        <w:rPr>
          <w:lang w:val="en-US" w:eastAsia="zh-CN"/>
        </w:rPr>
        <w:t>相关工程平衡</w:t>
      </w:r>
      <w:r>
        <w:tab/>
      </w:r>
      <w:r>
        <w:fldChar w:fldCharType="begin"/>
      </w:r>
      <w:r>
        <w:instrText xml:space="preserve"> PAGEREF _Toc24806 </w:instrText>
      </w:r>
      <w:r>
        <w:fldChar w:fldCharType="separate"/>
      </w:r>
      <w:r>
        <w:t>46</w:t>
      </w:r>
      <w:r>
        <w:fldChar w:fldCharType="end"/>
      </w:r>
      <w:r>
        <w:fldChar w:fldCharType="end"/>
      </w:r>
    </w:p>
    <w:p>
      <w:pPr>
        <w:pStyle w:val="14"/>
        <w:tabs>
          <w:tab w:val="right" w:leader="dot" w:pos="8788"/>
        </w:tabs>
      </w:pPr>
      <w:r>
        <w:fldChar w:fldCharType="begin"/>
      </w:r>
      <w:r>
        <w:instrText xml:space="preserve"> HYPERLINK \l _Toc10417 </w:instrText>
      </w:r>
      <w:r>
        <w:fldChar w:fldCharType="separate"/>
      </w:r>
      <w:r>
        <w:rPr>
          <w:rFonts w:hint="default" w:ascii="宋体" w:hAnsi="宋体" w:eastAsia="宋体" w:cs="宋体"/>
          <w:lang w:val="en-US" w:eastAsia="zh-CN"/>
        </w:rPr>
        <w:t xml:space="preserve">4.3.1. </w:t>
      </w:r>
      <w:r>
        <w:rPr>
          <w:lang w:val="en-US" w:eastAsia="zh-CN"/>
        </w:rPr>
        <w:t>物料平衡</w:t>
      </w:r>
      <w:r>
        <w:tab/>
      </w:r>
      <w:r>
        <w:fldChar w:fldCharType="begin"/>
      </w:r>
      <w:r>
        <w:instrText xml:space="preserve"> PAGEREF _Toc10417 </w:instrText>
      </w:r>
      <w:r>
        <w:fldChar w:fldCharType="separate"/>
      </w:r>
      <w:r>
        <w:t>46</w:t>
      </w:r>
      <w:r>
        <w:fldChar w:fldCharType="end"/>
      </w:r>
      <w:r>
        <w:fldChar w:fldCharType="end"/>
      </w:r>
    </w:p>
    <w:p>
      <w:pPr>
        <w:pStyle w:val="14"/>
        <w:tabs>
          <w:tab w:val="right" w:leader="dot" w:pos="8788"/>
        </w:tabs>
      </w:pPr>
      <w:r>
        <w:fldChar w:fldCharType="begin"/>
      </w:r>
      <w:r>
        <w:instrText xml:space="preserve"> HYPERLINK \l _Toc28415 </w:instrText>
      </w:r>
      <w:r>
        <w:fldChar w:fldCharType="separate"/>
      </w:r>
      <w:r>
        <w:rPr>
          <w:rFonts w:hint="default" w:ascii="宋体" w:hAnsi="宋体" w:eastAsia="宋体" w:cs="宋体"/>
          <w:lang w:val="en-US" w:eastAsia="zh-CN"/>
        </w:rPr>
        <w:t xml:space="preserve">4.3.2. </w:t>
      </w:r>
      <w:r>
        <w:rPr>
          <w:lang w:val="en-US" w:eastAsia="zh-CN"/>
        </w:rPr>
        <w:t>水平衡</w:t>
      </w:r>
      <w:r>
        <w:tab/>
      </w:r>
      <w:r>
        <w:fldChar w:fldCharType="begin"/>
      </w:r>
      <w:r>
        <w:instrText xml:space="preserve"> PAGEREF _Toc28415 </w:instrText>
      </w:r>
      <w:r>
        <w:fldChar w:fldCharType="separate"/>
      </w:r>
      <w:r>
        <w:t>47</w:t>
      </w:r>
      <w:r>
        <w:fldChar w:fldCharType="end"/>
      </w:r>
      <w:r>
        <w:fldChar w:fldCharType="end"/>
      </w:r>
    </w:p>
    <w:p>
      <w:pPr>
        <w:pStyle w:val="14"/>
        <w:tabs>
          <w:tab w:val="right" w:leader="dot" w:pos="8788"/>
        </w:tabs>
      </w:pPr>
      <w:r>
        <w:fldChar w:fldCharType="begin"/>
      </w:r>
      <w:r>
        <w:instrText xml:space="preserve"> HYPERLINK \l _Toc15477 </w:instrText>
      </w:r>
      <w:r>
        <w:fldChar w:fldCharType="separate"/>
      </w:r>
      <w:r>
        <w:rPr>
          <w:rFonts w:hint="default" w:ascii="宋体" w:hAnsi="宋体" w:eastAsia="宋体" w:cs="宋体"/>
          <w:lang w:val="en-US" w:eastAsia="zh-CN"/>
        </w:rPr>
        <w:t xml:space="preserve">4.3.3. </w:t>
      </w:r>
      <w:r>
        <w:rPr>
          <w:rFonts w:hint="eastAsia"/>
          <w:lang w:val="en-US" w:eastAsia="zh-CN"/>
        </w:rPr>
        <w:t>VOCs</w:t>
      </w:r>
      <w:r>
        <w:rPr>
          <w:lang w:val="en-US" w:eastAsia="zh-CN"/>
        </w:rPr>
        <w:t>平衡</w:t>
      </w:r>
      <w:r>
        <w:tab/>
      </w:r>
      <w:r>
        <w:fldChar w:fldCharType="begin"/>
      </w:r>
      <w:r>
        <w:instrText xml:space="preserve"> PAGEREF _Toc15477 </w:instrText>
      </w:r>
      <w:r>
        <w:fldChar w:fldCharType="separate"/>
      </w:r>
      <w:r>
        <w:t>47</w:t>
      </w:r>
      <w:r>
        <w:fldChar w:fldCharType="end"/>
      </w:r>
      <w:r>
        <w:fldChar w:fldCharType="end"/>
      </w:r>
    </w:p>
    <w:p>
      <w:pPr>
        <w:pStyle w:val="19"/>
        <w:tabs>
          <w:tab w:val="right" w:leader="dot" w:pos="8788"/>
        </w:tabs>
      </w:pPr>
      <w:r>
        <w:fldChar w:fldCharType="begin"/>
      </w:r>
      <w:r>
        <w:instrText xml:space="preserve"> HYPERLINK \l _Toc5482 </w:instrText>
      </w:r>
      <w:r>
        <w:fldChar w:fldCharType="separate"/>
      </w:r>
      <w:r>
        <w:rPr>
          <w:rFonts w:hint="default" w:ascii="宋体" w:hAnsi="宋体" w:eastAsia="宋体" w:cs="宋体"/>
          <w:lang w:val="en-US" w:eastAsia="zh-CN"/>
        </w:rPr>
        <w:t xml:space="preserve">4.4. </w:t>
      </w:r>
      <w:r>
        <w:rPr>
          <w:lang w:val="en-US" w:eastAsia="zh-CN"/>
        </w:rPr>
        <w:t>污染物排放量汇总</w:t>
      </w:r>
      <w:r>
        <w:tab/>
      </w:r>
      <w:r>
        <w:fldChar w:fldCharType="begin"/>
      </w:r>
      <w:r>
        <w:instrText xml:space="preserve"> PAGEREF _Toc5482 </w:instrText>
      </w:r>
      <w:r>
        <w:fldChar w:fldCharType="separate"/>
      </w:r>
      <w:r>
        <w:t>48</w:t>
      </w:r>
      <w:r>
        <w:fldChar w:fldCharType="end"/>
      </w:r>
      <w:r>
        <w:fldChar w:fldCharType="end"/>
      </w:r>
    </w:p>
    <w:p>
      <w:pPr>
        <w:pStyle w:val="17"/>
        <w:tabs>
          <w:tab w:val="right" w:leader="dot" w:pos="8788"/>
        </w:tabs>
      </w:pPr>
      <w:r>
        <w:fldChar w:fldCharType="begin"/>
      </w:r>
      <w:r>
        <w:instrText xml:space="preserve"> HYPERLINK \l _Toc3076 </w:instrText>
      </w:r>
      <w:r>
        <w:fldChar w:fldCharType="separate"/>
      </w:r>
      <w:r>
        <w:rPr>
          <w:rFonts w:hint="default" w:ascii="宋体" w:hAnsi="宋体" w:eastAsia="宋体" w:cs="宋体"/>
          <w:lang w:val="en-US" w:eastAsia="zh-CN"/>
        </w:rPr>
        <w:t xml:space="preserve">5. </w:t>
      </w:r>
      <w:r>
        <w:rPr>
          <w:rFonts w:hint="default"/>
          <w:lang w:val="en-US" w:eastAsia="zh-CN"/>
        </w:rPr>
        <w:t>建设项目区域环境概况</w:t>
      </w:r>
      <w:r>
        <w:tab/>
      </w:r>
      <w:r>
        <w:fldChar w:fldCharType="begin"/>
      </w:r>
      <w:r>
        <w:instrText xml:space="preserve"> PAGEREF _Toc3076 </w:instrText>
      </w:r>
      <w:r>
        <w:fldChar w:fldCharType="separate"/>
      </w:r>
      <w:r>
        <w:t>49</w:t>
      </w:r>
      <w:r>
        <w:fldChar w:fldCharType="end"/>
      </w:r>
      <w:r>
        <w:fldChar w:fldCharType="end"/>
      </w:r>
    </w:p>
    <w:p>
      <w:pPr>
        <w:pStyle w:val="19"/>
        <w:tabs>
          <w:tab w:val="right" w:leader="dot" w:pos="8788"/>
        </w:tabs>
      </w:pPr>
      <w:r>
        <w:fldChar w:fldCharType="begin"/>
      </w:r>
      <w:r>
        <w:instrText xml:space="preserve"> HYPERLINK \l _Toc2112 </w:instrText>
      </w:r>
      <w:r>
        <w:fldChar w:fldCharType="separate"/>
      </w:r>
      <w:r>
        <w:rPr>
          <w:rFonts w:hint="default" w:ascii="宋体" w:hAnsi="宋体" w:eastAsia="宋体" w:cs="宋体"/>
          <w:lang w:val="en-US" w:eastAsia="zh-CN"/>
        </w:rPr>
        <w:t xml:space="preserve">5.1. </w:t>
      </w:r>
      <w:r>
        <w:rPr>
          <w:lang w:val="en-US" w:eastAsia="zh-CN"/>
        </w:rPr>
        <w:t>自然环境概况</w:t>
      </w:r>
      <w:r>
        <w:tab/>
      </w:r>
      <w:r>
        <w:fldChar w:fldCharType="begin"/>
      </w:r>
      <w:r>
        <w:instrText xml:space="preserve"> PAGEREF _Toc2112 </w:instrText>
      </w:r>
      <w:r>
        <w:fldChar w:fldCharType="separate"/>
      </w:r>
      <w:r>
        <w:t>49</w:t>
      </w:r>
      <w:r>
        <w:fldChar w:fldCharType="end"/>
      </w:r>
      <w:r>
        <w:fldChar w:fldCharType="end"/>
      </w:r>
    </w:p>
    <w:p>
      <w:pPr>
        <w:pStyle w:val="14"/>
        <w:tabs>
          <w:tab w:val="right" w:leader="dot" w:pos="8788"/>
        </w:tabs>
      </w:pPr>
      <w:r>
        <w:fldChar w:fldCharType="begin"/>
      </w:r>
      <w:r>
        <w:instrText xml:space="preserve"> HYPERLINK \l _Toc26595 </w:instrText>
      </w:r>
      <w:r>
        <w:fldChar w:fldCharType="separate"/>
      </w:r>
      <w:r>
        <w:rPr>
          <w:rFonts w:hint="default" w:ascii="宋体" w:hAnsi="宋体" w:eastAsia="宋体" w:cs="宋体"/>
          <w:lang w:val="en-US" w:eastAsia="zh-CN"/>
        </w:rPr>
        <w:t xml:space="preserve">5.1.1. </w:t>
      </w:r>
      <w:r>
        <w:rPr>
          <w:lang w:val="en-US" w:eastAsia="zh-CN"/>
        </w:rPr>
        <w:t>地理位置</w:t>
      </w:r>
      <w:r>
        <w:tab/>
      </w:r>
      <w:r>
        <w:fldChar w:fldCharType="begin"/>
      </w:r>
      <w:r>
        <w:instrText xml:space="preserve"> PAGEREF _Toc26595 </w:instrText>
      </w:r>
      <w:r>
        <w:fldChar w:fldCharType="separate"/>
      </w:r>
      <w:r>
        <w:t>49</w:t>
      </w:r>
      <w:r>
        <w:fldChar w:fldCharType="end"/>
      </w:r>
      <w:r>
        <w:fldChar w:fldCharType="end"/>
      </w:r>
    </w:p>
    <w:p>
      <w:pPr>
        <w:pStyle w:val="14"/>
        <w:tabs>
          <w:tab w:val="right" w:leader="dot" w:pos="8788"/>
        </w:tabs>
      </w:pPr>
      <w:r>
        <w:fldChar w:fldCharType="begin"/>
      </w:r>
      <w:r>
        <w:instrText xml:space="preserve"> HYPERLINK \l _Toc7206 </w:instrText>
      </w:r>
      <w:r>
        <w:fldChar w:fldCharType="separate"/>
      </w:r>
      <w:r>
        <w:rPr>
          <w:rFonts w:hint="default" w:ascii="宋体" w:hAnsi="宋体" w:eastAsia="宋体" w:cs="宋体"/>
          <w:lang w:val="en-US" w:eastAsia="zh-CN"/>
        </w:rPr>
        <w:t xml:space="preserve">5.1.2. </w:t>
      </w:r>
      <w:r>
        <w:rPr>
          <w:rFonts w:hint="eastAsia"/>
          <w:lang w:val="en-US" w:eastAsia="zh-CN"/>
        </w:rPr>
        <w:t>地形、地貌、地质</w:t>
      </w:r>
      <w:r>
        <w:tab/>
      </w:r>
      <w:r>
        <w:fldChar w:fldCharType="begin"/>
      </w:r>
      <w:r>
        <w:instrText xml:space="preserve"> PAGEREF _Toc7206 </w:instrText>
      </w:r>
      <w:r>
        <w:fldChar w:fldCharType="separate"/>
      </w:r>
      <w:r>
        <w:t>49</w:t>
      </w:r>
      <w:r>
        <w:fldChar w:fldCharType="end"/>
      </w:r>
      <w:r>
        <w:fldChar w:fldCharType="end"/>
      </w:r>
    </w:p>
    <w:p>
      <w:pPr>
        <w:pStyle w:val="14"/>
        <w:tabs>
          <w:tab w:val="right" w:leader="dot" w:pos="8788"/>
        </w:tabs>
      </w:pPr>
      <w:r>
        <w:fldChar w:fldCharType="begin"/>
      </w:r>
      <w:r>
        <w:instrText xml:space="preserve"> HYPERLINK \l _Toc21829 </w:instrText>
      </w:r>
      <w:r>
        <w:fldChar w:fldCharType="separate"/>
      </w:r>
      <w:r>
        <w:rPr>
          <w:rFonts w:hint="default" w:ascii="宋体" w:hAnsi="宋体" w:eastAsia="宋体" w:cs="宋体"/>
          <w:lang w:val="en-US" w:eastAsia="zh-CN"/>
        </w:rPr>
        <w:t xml:space="preserve">5.1.3. </w:t>
      </w:r>
      <w:r>
        <w:rPr>
          <w:rFonts w:hint="eastAsia"/>
          <w:lang w:val="en-US" w:eastAsia="zh-CN"/>
        </w:rPr>
        <w:t>气象气候</w:t>
      </w:r>
      <w:r>
        <w:tab/>
      </w:r>
      <w:r>
        <w:fldChar w:fldCharType="begin"/>
      </w:r>
      <w:r>
        <w:instrText xml:space="preserve"> PAGEREF _Toc21829 </w:instrText>
      </w:r>
      <w:r>
        <w:fldChar w:fldCharType="separate"/>
      </w:r>
      <w:r>
        <w:t>49</w:t>
      </w:r>
      <w:r>
        <w:fldChar w:fldCharType="end"/>
      </w:r>
      <w:r>
        <w:fldChar w:fldCharType="end"/>
      </w:r>
    </w:p>
    <w:p>
      <w:pPr>
        <w:pStyle w:val="14"/>
        <w:tabs>
          <w:tab w:val="right" w:leader="dot" w:pos="8788"/>
        </w:tabs>
      </w:pPr>
      <w:r>
        <w:fldChar w:fldCharType="begin"/>
      </w:r>
      <w:r>
        <w:instrText xml:space="preserve"> HYPERLINK \l _Toc31198 </w:instrText>
      </w:r>
      <w:r>
        <w:fldChar w:fldCharType="separate"/>
      </w:r>
      <w:r>
        <w:rPr>
          <w:rFonts w:hint="default" w:ascii="宋体" w:hAnsi="宋体" w:eastAsia="宋体" w:cs="宋体"/>
          <w:lang w:val="en-US" w:eastAsia="zh-CN"/>
        </w:rPr>
        <w:t xml:space="preserve">5.1.4. </w:t>
      </w:r>
      <w:r>
        <w:rPr>
          <w:rFonts w:hint="eastAsia"/>
          <w:lang w:val="en-US" w:eastAsia="zh-CN"/>
        </w:rPr>
        <w:t>水文特征</w:t>
      </w:r>
      <w:r>
        <w:tab/>
      </w:r>
      <w:r>
        <w:fldChar w:fldCharType="begin"/>
      </w:r>
      <w:r>
        <w:instrText xml:space="preserve"> PAGEREF _Toc31198 </w:instrText>
      </w:r>
      <w:r>
        <w:fldChar w:fldCharType="separate"/>
      </w:r>
      <w:r>
        <w:t>50</w:t>
      </w:r>
      <w:r>
        <w:fldChar w:fldCharType="end"/>
      </w:r>
      <w:r>
        <w:fldChar w:fldCharType="end"/>
      </w:r>
    </w:p>
    <w:p>
      <w:pPr>
        <w:pStyle w:val="14"/>
        <w:tabs>
          <w:tab w:val="right" w:leader="dot" w:pos="8788"/>
        </w:tabs>
      </w:pPr>
      <w:r>
        <w:fldChar w:fldCharType="begin"/>
      </w:r>
      <w:r>
        <w:instrText xml:space="preserve"> HYPERLINK \l _Toc26403 </w:instrText>
      </w:r>
      <w:r>
        <w:fldChar w:fldCharType="separate"/>
      </w:r>
      <w:r>
        <w:rPr>
          <w:rFonts w:hint="default" w:ascii="宋体" w:hAnsi="宋体" w:eastAsia="宋体" w:cs="宋体"/>
          <w:lang w:val="en-US" w:eastAsia="zh-CN"/>
        </w:rPr>
        <w:t xml:space="preserve">5.1.5. </w:t>
      </w:r>
      <w:r>
        <w:rPr>
          <w:rFonts w:hint="eastAsia"/>
          <w:lang w:val="en-US" w:eastAsia="zh-CN"/>
        </w:rPr>
        <w:t>植被与生物</w:t>
      </w:r>
      <w:r>
        <w:tab/>
      </w:r>
      <w:r>
        <w:fldChar w:fldCharType="begin"/>
      </w:r>
      <w:r>
        <w:instrText xml:space="preserve"> PAGEREF _Toc26403 </w:instrText>
      </w:r>
      <w:r>
        <w:fldChar w:fldCharType="separate"/>
      </w:r>
      <w:r>
        <w:t>51</w:t>
      </w:r>
      <w:r>
        <w:fldChar w:fldCharType="end"/>
      </w:r>
      <w:r>
        <w:fldChar w:fldCharType="end"/>
      </w:r>
    </w:p>
    <w:p>
      <w:pPr>
        <w:pStyle w:val="19"/>
        <w:tabs>
          <w:tab w:val="right" w:leader="dot" w:pos="8788"/>
        </w:tabs>
      </w:pPr>
      <w:r>
        <w:fldChar w:fldCharType="begin"/>
      </w:r>
      <w:r>
        <w:instrText xml:space="preserve"> HYPERLINK \l _Toc27994 </w:instrText>
      </w:r>
      <w:r>
        <w:fldChar w:fldCharType="separate"/>
      </w:r>
      <w:r>
        <w:rPr>
          <w:rFonts w:hint="default" w:ascii="宋体" w:hAnsi="宋体" w:eastAsia="宋体" w:cs="宋体"/>
          <w:lang w:val="en-US" w:eastAsia="zh-CN"/>
        </w:rPr>
        <w:t xml:space="preserve">5.2. </w:t>
      </w:r>
      <w:r>
        <w:rPr>
          <w:rFonts w:hint="eastAsia"/>
          <w:lang w:val="en-US" w:eastAsia="zh-CN"/>
        </w:rPr>
        <w:t>社会环境概况</w:t>
      </w:r>
      <w:r>
        <w:tab/>
      </w:r>
      <w:r>
        <w:fldChar w:fldCharType="begin"/>
      </w:r>
      <w:r>
        <w:instrText xml:space="preserve"> PAGEREF _Toc27994 </w:instrText>
      </w:r>
      <w:r>
        <w:fldChar w:fldCharType="separate"/>
      </w:r>
      <w:r>
        <w:t>52</w:t>
      </w:r>
      <w:r>
        <w:fldChar w:fldCharType="end"/>
      </w:r>
      <w:r>
        <w:fldChar w:fldCharType="end"/>
      </w:r>
    </w:p>
    <w:p>
      <w:pPr>
        <w:pStyle w:val="14"/>
        <w:tabs>
          <w:tab w:val="right" w:leader="dot" w:pos="8788"/>
        </w:tabs>
      </w:pPr>
      <w:r>
        <w:fldChar w:fldCharType="begin"/>
      </w:r>
      <w:r>
        <w:instrText xml:space="preserve"> HYPERLINK \l _Toc4881 </w:instrText>
      </w:r>
      <w:r>
        <w:fldChar w:fldCharType="separate"/>
      </w:r>
      <w:r>
        <w:rPr>
          <w:rFonts w:hint="default" w:ascii="宋体" w:hAnsi="宋体" w:eastAsia="宋体" w:cs="宋体"/>
          <w:lang w:val="en-US" w:eastAsia="zh-CN"/>
        </w:rPr>
        <w:t xml:space="preserve">5.2.1. </w:t>
      </w:r>
      <w:r>
        <w:rPr>
          <w:rFonts w:hint="eastAsia"/>
          <w:lang w:val="en-US" w:eastAsia="zh-CN"/>
        </w:rPr>
        <w:t>湘阴县基本情况</w:t>
      </w:r>
      <w:r>
        <w:tab/>
      </w:r>
      <w:r>
        <w:fldChar w:fldCharType="begin"/>
      </w:r>
      <w:r>
        <w:instrText xml:space="preserve"> PAGEREF _Toc4881 </w:instrText>
      </w:r>
      <w:r>
        <w:fldChar w:fldCharType="separate"/>
      </w:r>
      <w:r>
        <w:t>52</w:t>
      </w:r>
      <w:r>
        <w:fldChar w:fldCharType="end"/>
      </w:r>
      <w:r>
        <w:fldChar w:fldCharType="end"/>
      </w:r>
    </w:p>
    <w:p>
      <w:pPr>
        <w:pStyle w:val="14"/>
        <w:tabs>
          <w:tab w:val="right" w:leader="dot" w:pos="8788"/>
        </w:tabs>
      </w:pPr>
      <w:r>
        <w:fldChar w:fldCharType="begin"/>
      </w:r>
      <w:r>
        <w:instrText xml:space="preserve"> HYPERLINK \l _Toc20865 </w:instrText>
      </w:r>
      <w:r>
        <w:fldChar w:fldCharType="separate"/>
      </w:r>
      <w:r>
        <w:rPr>
          <w:rFonts w:hint="default" w:ascii="宋体" w:hAnsi="宋体" w:eastAsia="宋体" w:cs="宋体"/>
          <w:lang w:val="en-US" w:eastAsia="zh-CN"/>
        </w:rPr>
        <w:t xml:space="preserve">5.2.2. </w:t>
      </w:r>
      <w:r>
        <w:rPr>
          <w:rFonts w:hint="eastAsia"/>
          <w:lang w:val="en-US" w:eastAsia="zh-CN"/>
        </w:rPr>
        <w:t>金龙镇基本概况</w:t>
      </w:r>
      <w:r>
        <w:tab/>
      </w:r>
      <w:r>
        <w:fldChar w:fldCharType="begin"/>
      </w:r>
      <w:r>
        <w:instrText xml:space="preserve"> PAGEREF _Toc20865 </w:instrText>
      </w:r>
      <w:r>
        <w:fldChar w:fldCharType="separate"/>
      </w:r>
      <w:r>
        <w:t>53</w:t>
      </w:r>
      <w:r>
        <w:fldChar w:fldCharType="end"/>
      </w:r>
      <w:r>
        <w:fldChar w:fldCharType="end"/>
      </w:r>
    </w:p>
    <w:p>
      <w:pPr>
        <w:pStyle w:val="19"/>
        <w:tabs>
          <w:tab w:val="right" w:leader="dot" w:pos="8788"/>
        </w:tabs>
      </w:pPr>
      <w:r>
        <w:fldChar w:fldCharType="begin"/>
      </w:r>
      <w:r>
        <w:instrText xml:space="preserve"> HYPERLINK \l _Toc15716 </w:instrText>
      </w:r>
      <w:r>
        <w:fldChar w:fldCharType="separate"/>
      </w:r>
      <w:r>
        <w:rPr>
          <w:rFonts w:hint="default" w:ascii="宋体" w:hAnsi="宋体" w:eastAsia="宋体" w:cs="宋体"/>
          <w:lang w:val="en-US" w:eastAsia="zh-CN"/>
        </w:rPr>
        <w:t xml:space="preserve">5.3. </w:t>
      </w:r>
      <w:r>
        <w:rPr>
          <w:lang w:val="en-US" w:eastAsia="zh-CN"/>
        </w:rPr>
        <w:t>区域环境质量现状评价</w:t>
      </w:r>
      <w:r>
        <w:tab/>
      </w:r>
      <w:r>
        <w:fldChar w:fldCharType="begin"/>
      </w:r>
      <w:r>
        <w:instrText xml:space="preserve"> PAGEREF _Toc15716 </w:instrText>
      </w:r>
      <w:r>
        <w:fldChar w:fldCharType="separate"/>
      </w:r>
      <w:r>
        <w:t>53</w:t>
      </w:r>
      <w:r>
        <w:fldChar w:fldCharType="end"/>
      </w:r>
      <w:r>
        <w:fldChar w:fldCharType="end"/>
      </w:r>
    </w:p>
    <w:p>
      <w:pPr>
        <w:pStyle w:val="14"/>
        <w:tabs>
          <w:tab w:val="right" w:leader="dot" w:pos="8788"/>
        </w:tabs>
      </w:pPr>
      <w:r>
        <w:fldChar w:fldCharType="begin"/>
      </w:r>
      <w:r>
        <w:instrText xml:space="preserve"> HYPERLINK \l _Toc8790 </w:instrText>
      </w:r>
      <w:r>
        <w:fldChar w:fldCharType="separate"/>
      </w:r>
      <w:r>
        <w:rPr>
          <w:rFonts w:hint="default" w:ascii="宋体" w:hAnsi="宋体" w:eastAsia="宋体" w:cs="宋体"/>
          <w:lang w:val="en-US" w:eastAsia="zh-CN"/>
        </w:rPr>
        <w:t xml:space="preserve">5.3.1. </w:t>
      </w:r>
      <w:r>
        <w:rPr>
          <w:lang w:val="en-US" w:eastAsia="zh-CN"/>
        </w:rPr>
        <w:t>环境空气现状调查与评价</w:t>
      </w:r>
      <w:r>
        <w:tab/>
      </w:r>
      <w:r>
        <w:fldChar w:fldCharType="begin"/>
      </w:r>
      <w:r>
        <w:instrText xml:space="preserve"> PAGEREF _Toc8790 </w:instrText>
      </w:r>
      <w:r>
        <w:fldChar w:fldCharType="separate"/>
      </w:r>
      <w:r>
        <w:t>53</w:t>
      </w:r>
      <w:r>
        <w:fldChar w:fldCharType="end"/>
      </w:r>
      <w:r>
        <w:fldChar w:fldCharType="end"/>
      </w:r>
    </w:p>
    <w:p>
      <w:pPr>
        <w:pStyle w:val="14"/>
        <w:tabs>
          <w:tab w:val="right" w:leader="dot" w:pos="8788"/>
        </w:tabs>
      </w:pPr>
      <w:r>
        <w:fldChar w:fldCharType="begin"/>
      </w:r>
      <w:r>
        <w:instrText xml:space="preserve"> HYPERLINK \l _Toc24352 </w:instrText>
      </w:r>
      <w:r>
        <w:fldChar w:fldCharType="separate"/>
      </w:r>
      <w:r>
        <w:rPr>
          <w:rFonts w:hint="default" w:ascii="宋体" w:hAnsi="宋体" w:eastAsia="宋体" w:cs="宋体"/>
          <w:lang w:val="en-US" w:eastAsia="zh-CN"/>
        </w:rPr>
        <w:t xml:space="preserve">5.3.2. </w:t>
      </w:r>
      <w:r>
        <w:rPr>
          <w:lang w:val="en-US" w:eastAsia="zh-CN"/>
        </w:rPr>
        <w:t>地表水环境现状监测与评价</w:t>
      </w:r>
      <w:r>
        <w:tab/>
      </w:r>
      <w:r>
        <w:fldChar w:fldCharType="begin"/>
      </w:r>
      <w:r>
        <w:instrText xml:space="preserve"> PAGEREF _Toc24352 </w:instrText>
      </w:r>
      <w:r>
        <w:fldChar w:fldCharType="separate"/>
      </w:r>
      <w:r>
        <w:t>55</w:t>
      </w:r>
      <w:r>
        <w:fldChar w:fldCharType="end"/>
      </w:r>
      <w:r>
        <w:fldChar w:fldCharType="end"/>
      </w:r>
    </w:p>
    <w:p>
      <w:pPr>
        <w:pStyle w:val="14"/>
        <w:tabs>
          <w:tab w:val="right" w:leader="dot" w:pos="8788"/>
        </w:tabs>
      </w:pPr>
      <w:r>
        <w:fldChar w:fldCharType="begin"/>
      </w:r>
      <w:r>
        <w:instrText xml:space="preserve"> HYPERLINK \l _Toc30098 </w:instrText>
      </w:r>
      <w:r>
        <w:fldChar w:fldCharType="separate"/>
      </w:r>
      <w:r>
        <w:rPr>
          <w:rFonts w:hint="default" w:ascii="宋体" w:hAnsi="宋体" w:eastAsia="宋体" w:cs="宋体"/>
          <w:lang w:val="en-US" w:eastAsia="zh-CN"/>
        </w:rPr>
        <w:t xml:space="preserve">5.3.3. </w:t>
      </w:r>
      <w:r>
        <w:rPr>
          <w:lang w:val="en-US" w:eastAsia="zh-CN"/>
        </w:rPr>
        <w:t>地下水环境现状监测与评价</w:t>
      </w:r>
      <w:r>
        <w:tab/>
      </w:r>
      <w:r>
        <w:fldChar w:fldCharType="begin"/>
      </w:r>
      <w:r>
        <w:instrText xml:space="preserve"> PAGEREF _Toc30098 </w:instrText>
      </w:r>
      <w:r>
        <w:fldChar w:fldCharType="separate"/>
      </w:r>
      <w:r>
        <w:t>57</w:t>
      </w:r>
      <w:r>
        <w:fldChar w:fldCharType="end"/>
      </w:r>
      <w:r>
        <w:fldChar w:fldCharType="end"/>
      </w:r>
    </w:p>
    <w:p>
      <w:pPr>
        <w:pStyle w:val="14"/>
        <w:tabs>
          <w:tab w:val="right" w:leader="dot" w:pos="8788"/>
        </w:tabs>
      </w:pPr>
      <w:r>
        <w:fldChar w:fldCharType="begin"/>
      </w:r>
      <w:r>
        <w:instrText xml:space="preserve"> HYPERLINK \l _Toc23740 </w:instrText>
      </w:r>
      <w:r>
        <w:fldChar w:fldCharType="separate"/>
      </w:r>
      <w:r>
        <w:rPr>
          <w:rFonts w:hint="default" w:ascii="宋体" w:hAnsi="宋体" w:eastAsia="宋体" w:cs="宋体"/>
          <w:lang w:val="en-US" w:eastAsia="zh-CN"/>
        </w:rPr>
        <w:t xml:space="preserve">5.3.4. </w:t>
      </w:r>
      <w:r>
        <w:rPr>
          <w:lang w:val="en-US" w:eastAsia="zh-CN"/>
        </w:rPr>
        <w:t>声环境现状监测与评价</w:t>
      </w:r>
      <w:r>
        <w:tab/>
      </w:r>
      <w:r>
        <w:fldChar w:fldCharType="begin"/>
      </w:r>
      <w:r>
        <w:instrText xml:space="preserve"> PAGEREF _Toc23740 </w:instrText>
      </w:r>
      <w:r>
        <w:fldChar w:fldCharType="separate"/>
      </w:r>
      <w:r>
        <w:t>60</w:t>
      </w:r>
      <w:r>
        <w:fldChar w:fldCharType="end"/>
      </w:r>
      <w:r>
        <w:fldChar w:fldCharType="end"/>
      </w:r>
    </w:p>
    <w:p>
      <w:pPr>
        <w:pStyle w:val="14"/>
        <w:tabs>
          <w:tab w:val="right" w:leader="dot" w:pos="8788"/>
        </w:tabs>
      </w:pPr>
      <w:r>
        <w:fldChar w:fldCharType="begin"/>
      </w:r>
      <w:r>
        <w:instrText xml:space="preserve"> HYPERLINK \l _Toc13547 </w:instrText>
      </w:r>
      <w:r>
        <w:fldChar w:fldCharType="separate"/>
      </w:r>
      <w:r>
        <w:rPr>
          <w:rFonts w:hint="default" w:ascii="宋体" w:hAnsi="宋体" w:eastAsia="宋体" w:cs="宋体"/>
          <w:lang w:val="en-US" w:eastAsia="zh-CN"/>
        </w:rPr>
        <w:t xml:space="preserve">5.3.5. </w:t>
      </w:r>
      <w:r>
        <w:rPr>
          <w:lang w:val="en-US" w:eastAsia="zh-CN"/>
        </w:rPr>
        <w:t>土壤环境现状监测与评价</w:t>
      </w:r>
      <w:r>
        <w:tab/>
      </w:r>
      <w:r>
        <w:fldChar w:fldCharType="begin"/>
      </w:r>
      <w:r>
        <w:instrText xml:space="preserve"> PAGEREF _Toc13547 </w:instrText>
      </w:r>
      <w:r>
        <w:fldChar w:fldCharType="separate"/>
      </w:r>
      <w:r>
        <w:t>61</w:t>
      </w:r>
      <w:r>
        <w:fldChar w:fldCharType="end"/>
      </w:r>
      <w:r>
        <w:fldChar w:fldCharType="end"/>
      </w:r>
    </w:p>
    <w:p>
      <w:pPr>
        <w:pStyle w:val="14"/>
        <w:tabs>
          <w:tab w:val="right" w:leader="dot" w:pos="8788"/>
        </w:tabs>
      </w:pPr>
      <w:r>
        <w:fldChar w:fldCharType="begin"/>
      </w:r>
      <w:r>
        <w:instrText xml:space="preserve"> HYPERLINK \l _Toc7115 </w:instrText>
      </w:r>
      <w:r>
        <w:fldChar w:fldCharType="separate"/>
      </w:r>
      <w:r>
        <w:rPr>
          <w:rFonts w:hint="default" w:ascii="宋体" w:hAnsi="宋体" w:eastAsia="宋体" w:cs="宋体"/>
          <w:lang w:val="en-US" w:eastAsia="zh-CN"/>
        </w:rPr>
        <w:t xml:space="preserve">5.3.6. </w:t>
      </w:r>
      <w:r>
        <w:rPr>
          <w:rFonts w:hint="eastAsia"/>
          <w:lang w:val="en-US" w:eastAsia="zh-CN"/>
        </w:rPr>
        <w:t>生态环境现状</w:t>
      </w:r>
      <w:r>
        <w:tab/>
      </w:r>
      <w:r>
        <w:fldChar w:fldCharType="begin"/>
      </w:r>
      <w:r>
        <w:instrText xml:space="preserve"> PAGEREF _Toc7115 </w:instrText>
      </w:r>
      <w:r>
        <w:fldChar w:fldCharType="separate"/>
      </w:r>
      <w:r>
        <w:t>62</w:t>
      </w:r>
      <w:r>
        <w:fldChar w:fldCharType="end"/>
      </w:r>
      <w:r>
        <w:fldChar w:fldCharType="end"/>
      </w:r>
    </w:p>
    <w:p>
      <w:pPr>
        <w:pStyle w:val="14"/>
        <w:tabs>
          <w:tab w:val="right" w:leader="dot" w:pos="8788"/>
        </w:tabs>
      </w:pPr>
      <w:r>
        <w:fldChar w:fldCharType="begin"/>
      </w:r>
      <w:r>
        <w:instrText xml:space="preserve"> HYPERLINK \l _Toc3985 </w:instrText>
      </w:r>
      <w:r>
        <w:fldChar w:fldCharType="separate"/>
      </w:r>
      <w:r>
        <w:rPr>
          <w:rFonts w:hint="default" w:ascii="宋体" w:hAnsi="宋体" w:eastAsia="宋体" w:cs="宋体"/>
          <w:lang w:val="en-US" w:eastAsia="zh-CN"/>
        </w:rPr>
        <w:t xml:space="preserve">5.3.7. </w:t>
      </w:r>
      <w:r>
        <w:rPr>
          <w:rFonts w:hint="eastAsia"/>
          <w:lang w:val="en-US" w:eastAsia="zh-CN"/>
        </w:rPr>
        <w:t>区域污染源调查</w:t>
      </w:r>
      <w:r>
        <w:tab/>
      </w:r>
      <w:r>
        <w:fldChar w:fldCharType="begin"/>
      </w:r>
      <w:r>
        <w:instrText xml:space="preserve"> PAGEREF _Toc3985 </w:instrText>
      </w:r>
      <w:r>
        <w:fldChar w:fldCharType="separate"/>
      </w:r>
      <w:r>
        <w:t>62</w:t>
      </w:r>
      <w:r>
        <w:fldChar w:fldCharType="end"/>
      </w:r>
      <w:r>
        <w:fldChar w:fldCharType="end"/>
      </w:r>
    </w:p>
    <w:p>
      <w:pPr>
        <w:pStyle w:val="17"/>
        <w:tabs>
          <w:tab w:val="right" w:leader="dot" w:pos="8788"/>
        </w:tabs>
      </w:pPr>
      <w:r>
        <w:fldChar w:fldCharType="begin"/>
      </w:r>
      <w:r>
        <w:instrText xml:space="preserve"> HYPERLINK \l _Toc5884 </w:instrText>
      </w:r>
      <w:r>
        <w:fldChar w:fldCharType="separate"/>
      </w:r>
      <w:r>
        <w:rPr>
          <w:rFonts w:hint="default" w:ascii="宋体" w:hAnsi="宋体" w:eastAsia="宋体" w:cs="宋体"/>
          <w:lang w:val="en-US" w:eastAsia="zh-CN"/>
        </w:rPr>
        <w:t xml:space="preserve">6. </w:t>
      </w:r>
      <w:r>
        <w:rPr>
          <w:lang w:val="en-US" w:eastAsia="zh-CN"/>
        </w:rPr>
        <w:t>环境影响预测与评价</w:t>
      </w:r>
      <w:r>
        <w:tab/>
      </w:r>
      <w:r>
        <w:fldChar w:fldCharType="begin"/>
      </w:r>
      <w:r>
        <w:instrText xml:space="preserve"> PAGEREF _Toc5884 </w:instrText>
      </w:r>
      <w:r>
        <w:fldChar w:fldCharType="separate"/>
      </w:r>
      <w:r>
        <w:t>65</w:t>
      </w:r>
      <w:r>
        <w:fldChar w:fldCharType="end"/>
      </w:r>
      <w:r>
        <w:fldChar w:fldCharType="end"/>
      </w:r>
    </w:p>
    <w:p>
      <w:pPr>
        <w:pStyle w:val="19"/>
        <w:tabs>
          <w:tab w:val="right" w:leader="dot" w:pos="8788"/>
        </w:tabs>
      </w:pPr>
      <w:r>
        <w:fldChar w:fldCharType="begin"/>
      </w:r>
      <w:r>
        <w:instrText xml:space="preserve"> HYPERLINK \l _Toc1203 </w:instrText>
      </w:r>
      <w:r>
        <w:fldChar w:fldCharType="separate"/>
      </w:r>
      <w:r>
        <w:rPr>
          <w:rFonts w:hint="default" w:ascii="宋体" w:hAnsi="宋体" w:eastAsia="宋体" w:cs="宋体"/>
          <w:lang w:val="en-US" w:eastAsia="zh-CN"/>
        </w:rPr>
        <w:t xml:space="preserve">6.1. </w:t>
      </w:r>
      <w:r>
        <w:rPr>
          <w:lang w:val="en-US" w:eastAsia="zh-CN"/>
        </w:rPr>
        <w:t>施工期环境影响分析</w:t>
      </w:r>
      <w:r>
        <w:tab/>
      </w:r>
      <w:r>
        <w:fldChar w:fldCharType="begin"/>
      </w:r>
      <w:r>
        <w:instrText xml:space="preserve"> PAGEREF _Toc1203 </w:instrText>
      </w:r>
      <w:r>
        <w:fldChar w:fldCharType="separate"/>
      </w:r>
      <w:r>
        <w:t>65</w:t>
      </w:r>
      <w:r>
        <w:fldChar w:fldCharType="end"/>
      </w:r>
      <w:r>
        <w:fldChar w:fldCharType="end"/>
      </w:r>
    </w:p>
    <w:p>
      <w:pPr>
        <w:pStyle w:val="19"/>
        <w:tabs>
          <w:tab w:val="right" w:leader="dot" w:pos="8788"/>
        </w:tabs>
      </w:pPr>
      <w:r>
        <w:fldChar w:fldCharType="begin"/>
      </w:r>
      <w:r>
        <w:instrText xml:space="preserve"> HYPERLINK \l _Toc27414 </w:instrText>
      </w:r>
      <w:r>
        <w:fldChar w:fldCharType="separate"/>
      </w:r>
      <w:r>
        <w:rPr>
          <w:rFonts w:hint="default" w:ascii="宋体" w:hAnsi="宋体" w:eastAsia="宋体" w:cs="宋体"/>
          <w:lang w:val="en-US" w:eastAsia="zh-CN"/>
        </w:rPr>
        <w:t xml:space="preserve">6.2. </w:t>
      </w:r>
      <w:r>
        <w:rPr>
          <w:rFonts w:hint="eastAsia"/>
          <w:lang w:val="en-US" w:eastAsia="zh-CN"/>
        </w:rPr>
        <w:t>运营期</w:t>
      </w:r>
      <w:r>
        <w:rPr>
          <w:lang w:val="en-US" w:eastAsia="zh-CN"/>
        </w:rPr>
        <w:t>环境影响分析</w:t>
      </w:r>
      <w:r>
        <w:tab/>
      </w:r>
      <w:r>
        <w:fldChar w:fldCharType="begin"/>
      </w:r>
      <w:r>
        <w:instrText xml:space="preserve"> PAGEREF _Toc27414 </w:instrText>
      </w:r>
      <w:r>
        <w:fldChar w:fldCharType="separate"/>
      </w:r>
      <w:r>
        <w:t>65</w:t>
      </w:r>
      <w:r>
        <w:fldChar w:fldCharType="end"/>
      </w:r>
      <w:r>
        <w:fldChar w:fldCharType="end"/>
      </w:r>
    </w:p>
    <w:p>
      <w:pPr>
        <w:pStyle w:val="14"/>
        <w:tabs>
          <w:tab w:val="right" w:leader="dot" w:pos="8788"/>
        </w:tabs>
      </w:pPr>
      <w:r>
        <w:fldChar w:fldCharType="begin"/>
      </w:r>
      <w:r>
        <w:instrText xml:space="preserve"> HYPERLINK \l _Toc14087 </w:instrText>
      </w:r>
      <w:r>
        <w:fldChar w:fldCharType="separate"/>
      </w:r>
      <w:r>
        <w:rPr>
          <w:rFonts w:hint="default" w:ascii="宋体" w:hAnsi="宋体" w:eastAsia="宋体" w:cs="宋体"/>
          <w:lang w:val="en-US" w:eastAsia="zh-CN"/>
        </w:rPr>
        <w:t xml:space="preserve">6.2.1. </w:t>
      </w:r>
      <w:r>
        <w:rPr>
          <w:lang w:val="en-US" w:eastAsia="zh-CN"/>
        </w:rPr>
        <w:t>大气环境影响</w:t>
      </w:r>
      <w:r>
        <w:rPr>
          <w:rFonts w:hint="eastAsia"/>
          <w:lang w:val="en-US" w:eastAsia="zh-CN"/>
        </w:rPr>
        <w:t>分析</w:t>
      </w:r>
      <w:r>
        <w:tab/>
      </w:r>
      <w:r>
        <w:fldChar w:fldCharType="begin"/>
      </w:r>
      <w:r>
        <w:instrText xml:space="preserve"> PAGEREF _Toc14087 </w:instrText>
      </w:r>
      <w:r>
        <w:fldChar w:fldCharType="separate"/>
      </w:r>
      <w:r>
        <w:t>65</w:t>
      </w:r>
      <w:r>
        <w:fldChar w:fldCharType="end"/>
      </w:r>
      <w:r>
        <w:fldChar w:fldCharType="end"/>
      </w:r>
    </w:p>
    <w:p>
      <w:pPr>
        <w:pStyle w:val="14"/>
        <w:tabs>
          <w:tab w:val="right" w:leader="dot" w:pos="8788"/>
        </w:tabs>
      </w:pPr>
      <w:r>
        <w:fldChar w:fldCharType="begin"/>
      </w:r>
      <w:r>
        <w:instrText xml:space="preserve"> HYPERLINK \l _Toc27865 </w:instrText>
      </w:r>
      <w:r>
        <w:fldChar w:fldCharType="separate"/>
      </w:r>
      <w:r>
        <w:rPr>
          <w:rFonts w:hint="default" w:ascii="宋体" w:hAnsi="宋体" w:eastAsia="宋体" w:cs="宋体"/>
          <w:lang w:val="en-US" w:eastAsia="zh-CN"/>
        </w:rPr>
        <w:t xml:space="preserve">6.2.2. </w:t>
      </w:r>
      <w:r>
        <w:rPr>
          <w:lang w:val="en-US" w:eastAsia="zh-CN"/>
        </w:rPr>
        <w:t>地表水环境影响分析</w:t>
      </w:r>
      <w:r>
        <w:tab/>
      </w:r>
      <w:r>
        <w:fldChar w:fldCharType="begin"/>
      </w:r>
      <w:r>
        <w:instrText xml:space="preserve"> PAGEREF _Toc27865 </w:instrText>
      </w:r>
      <w:r>
        <w:fldChar w:fldCharType="separate"/>
      </w:r>
      <w:r>
        <w:t>70</w:t>
      </w:r>
      <w:r>
        <w:fldChar w:fldCharType="end"/>
      </w:r>
      <w:r>
        <w:fldChar w:fldCharType="end"/>
      </w:r>
    </w:p>
    <w:p>
      <w:pPr>
        <w:pStyle w:val="14"/>
        <w:tabs>
          <w:tab w:val="right" w:leader="dot" w:pos="8788"/>
        </w:tabs>
      </w:pPr>
      <w:r>
        <w:fldChar w:fldCharType="begin"/>
      </w:r>
      <w:r>
        <w:instrText xml:space="preserve"> HYPERLINK \l _Toc31141 </w:instrText>
      </w:r>
      <w:r>
        <w:fldChar w:fldCharType="separate"/>
      </w:r>
      <w:r>
        <w:rPr>
          <w:rFonts w:hint="default" w:ascii="宋体" w:hAnsi="宋体" w:eastAsia="宋体" w:cs="宋体"/>
          <w:lang w:val="en-US" w:eastAsia="zh-CN"/>
        </w:rPr>
        <w:t xml:space="preserve">6.2.3. </w:t>
      </w:r>
      <w:r>
        <w:rPr>
          <w:lang w:val="en-US" w:eastAsia="zh-CN"/>
        </w:rPr>
        <w:t>地下水环境影响分析</w:t>
      </w:r>
      <w:r>
        <w:tab/>
      </w:r>
      <w:r>
        <w:fldChar w:fldCharType="begin"/>
      </w:r>
      <w:r>
        <w:instrText xml:space="preserve"> PAGEREF _Toc31141 </w:instrText>
      </w:r>
      <w:r>
        <w:fldChar w:fldCharType="separate"/>
      </w:r>
      <w:r>
        <w:t>74</w:t>
      </w:r>
      <w:r>
        <w:fldChar w:fldCharType="end"/>
      </w:r>
      <w:r>
        <w:fldChar w:fldCharType="end"/>
      </w:r>
    </w:p>
    <w:p>
      <w:pPr>
        <w:pStyle w:val="14"/>
        <w:tabs>
          <w:tab w:val="right" w:leader="dot" w:pos="8788"/>
        </w:tabs>
      </w:pPr>
      <w:r>
        <w:fldChar w:fldCharType="begin"/>
      </w:r>
      <w:r>
        <w:instrText xml:space="preserve"> HYPERLINK \l _Toc5869 </w:instrText>
      </w:r>
      <w:r>
        <w:fldChar w:fldCharType="separate"/>
      </w:r>
      <w:r>
        <w:rPr>
          <w:rFonts w:hint="default" w:ascii="宋体" w:hAnsi="宋体" w:eastAsia="宋体" w:cs="宋体"/>
          <w:lang w:val="en-US" w:eastAsia="zh-CN"/>
        </w:rPr>
        <w:t xml:space="preserve">6.2.4. </w:t>
      </w:r>
      <w:r>
        <w:rPr>
          <w:lang w:val="en-US" w:eastAsia="zh-CN"/>
        </w:rPr>
        <w:t>声环境影响</w:t>
      </w:r>
      <w:r>
        <w:rPr>
          <w:rFonts w:hint="eastAsia"/>
          <w:lang w:val="en-US" w:eastAsia="zh-CN"/>
        </w:rPr>
        <w:t>分析</w:t>
      </w:r>
      <w:r>
        <w:tab/>
      </w:r>
      <w:r>
        <w:fldChar w:fldCharType="begin"/>
      </w:r>
      <w:r>
        <w:instrText xml:space="preserve"> PAGEREF _Toc5869 </w:instrText>
      </w:r>
      <w:r>
        <w:fldChar w:fldCharType="separate"/>
      </w:r>
      <w:r>
        <w:t>75</w:t>
      </w:r>
      <w:r>
        <w:fldChar w:fldCharType="end"/>
      </w:r>
      <w:r>
        <w:fldChar w:fldCharType="end"/>
      </w:r>
    </w:p>
    <w:p>
      <w:pPr>
        <w:pStyle w:val="14"/>
        <w:tabs>
          <w:tab w:val="right" w:leader="dot" w:pos="8788"/>
        </w:tabs>
      </w:pPr>
      <w:r>
        <w:fldChar w:fldCharType="begin"/>
      </w:r>
      <w:r>
        <w:instrText xml:space="preserve"> HYPERLINK \l _Toc18620 </w:instrText>
      </w:r>
      <w:r>
        <w:fldChar w:fldCharType="separate"/>
      </w:r>
      <w:r>
        <w:rPr>
          <w:rFonts w:hint="default" w:ascii="宋体" w:hAnsi="宋体" w:eastAsia="宋体" w:cs="宋体"/>
          <w:lang w:val="en-US" w:eastAsia="zh-CN"/>
        </w:rPr>
        <w:t xml:space="preserve">6.2.5. </w:t>
      </w:r>
      <w:r>
        <w:rPr>
          <w:lang w:val="en-US" w:eastAsia="zh-CN"/>
        </w:rPr>
        <w:t>固体废物环境影响评价</w:t>
      </w:r>
      <w:r>
        <w:tab/>
      </w:r>
      <w:r>
        <w:fldChar w:fldCharType="begin"/>
      </w:r>
      <w:r>
        <w:instrText xml:space="preserve"> PAGEREF _Toc18620 </w:instrText>
      </w:r>
      <w:r>
        <w:fldChar w:fldCharType="separate"/>
      </w:r>
      <w:r>
        <w:t>77</w:t>
      </w:r>
      <w:r>
        <w:fldChar w:fldCharType="end"/>
      </w:r>
      <w:r>
        <w:fldChar w:fldCharType="end"/>
      </w:r>
    </w:p>
    <w:p>
      <w:pPr>
        <w:pStyle w:val="14"/>
        <w:tabs>
          <w:tab w:val="right" w:leader="dot" w:pos="8788"/>
        </w:tabs>
      </w:pPr>
      <w:r>
        <w:fldChar w:fldCharType="begin"/>
      </w:r>
      <w:r>
        <w:instrText xml:space="preserve"> HYPERLINK \l _Toc22601 </w:instrText>
      </w:r>
      <w:r>
        <w:fldChar w:fldCharType="separate"/>
      </w:r>
      <w:r>
        <w:rPr>
          <w:rFonts w:hint="default" w:ascii="宋体" w:hAnsi="宋体" w:eastAsia="宋体" w:cs="宋体"/>
          <w:lang w:val="en-US" w:eastAsia="zh-CN"/>
        </w:rPr>
        <w:t xml:space="preserve">6.2.6. </w:t>
      </w:r>
      <w:r>
        <w:rPr>
          <w:lang w:val="en-US" w:eastAsia="zh-CN"/>
        </w:rPr>
        <w:t>生态环境影响分析</w:t>
      </w:r>
      <w:r>
        <w:tab/>
      </w:r>
      <w:r>
        <w:fldChar w:fldCharType="begin"/>
      </w:r>
      <w:r>
        <w:instrText xml:space="preserve"> PAGEREF _Toc22601 </w:instrText>
      </w:r>
      <w:r>
        <w:fldChar w:fldCharType="separate"/>
      </w:r>
      <w:r>
        <w:t>79</w:t>
      </w:r>
      <w:r>
        <w:fldChar w:fldCharType="end"/>
      </w:r>
      <w:r>
        <w:fldChar w:fldCharType="end"/>
      </w:r>
    </w:p>
    <w:p>
      <w:pPr>
        <w:pStyle w:val="17"/>
        <w:tabs>
          <w:tab w:val="right" w:leader="dot" w:pos="8788"/>
        </w:tabs>
      </w:pPr>
      <w:r>
        <w:fldChar w:fldCharType="begin"/>
      </w:r>
      <w:r>
        <w:instrText xml:space="preserve"> HYPERLINK \l _Toc13542 </w:instrText>
      </w:r>
      <w:r>
        <w:fldChar w:fldCharType="separate"/>
      </w:r>
      <w:r>
        <w:rPr>
          <w:rFonts w:hint="default" w:ascii="宋体" w:hAnsi="宋体" w:eastAsia="宋体" w:cs="宋体"/>
          <w:lang w:val="en-US" w:eastAsia="zh-CN"/>
        </w:rPr>
        <w:t xml:space="preserve">7. </w:t>
      </w:r>
      <w:r>
        <w:rPr>
          <w:rFonts w:hint="default"/>
          <w:lang w:val="en-US" w:eastAsia="zh-CN"/>
        </w:rPr>
        <w:t>环境保护措施及其可行性论证</w:t>
      </w:r>
      <w:r>
        <w:tab/>
      </w:r>
      <w:r>
        <w:fldChar w:fldCharType="begin"/>
      </w:r>
      <w:r>
        <w:instrText xml:space="preserve"> PAGEREF _Toc13542 </w:instrText>
      </w:r>
      <w:r>
        <w:fldChar w:fldCharType="separate"/>
      </w:r>
      <w:r>
        <w:t>80</w:t>
      </w:r>
      <w:r>
        <w:fldChar w:fldCharType="end"/>
      </w:r>
      <w:r>
        <w:fldChar w:fldCharType="end"/>
      </w:r>
    </w:p>
    <w:p>
      <w:pPr>
        <w:pStyle w:val="19"/>
        <w:tabs>
          <w:tab w:val="right" w:leader="dot" w:pos="8788"/>
        </w:tabs>
      </w:pPr>
      <w:r>
        <w:fldChar w:fldCharType="begin"/>
      </w:r>
      <w:r>
        <w:instrText xml:space="preserve"> HYPERLINK \l _Toc20142 </w:instrText>
      </w:r>
      <w:r>
        <w:fldChar w:fldCharType="separate"/>
      </w:r>
      <w:r>
        <w:rPr>
          <w:rFonts w:hint="default" w:ascii="宋体" w:hAnsi="宋体" w:eastAsia="宋体" w:cs="宋体"/>
          <w:lang w:val="en-US" w:eastAsia="zh-CN"/>
        </w:rPr>
        <w:t xml:space="preserve">7.1. </w:t>
      </w:r>
      <w:r>
        <w:rPr>
          <w:rFonts w:hint="eastAsia"/>
          <w:lang w:val="en-US" w:eastAsia="zh-CN"/>
        </w:rPr>
        <w:t>施工期污染防治措施</w:t>
      </w:r>
      <w:r>
        <w:tab/>
      </w:r>
      <w:r>
        <w:fldChar w:fldCharType="begin"/>
      </w:r>
      <w:r>
        <w:instrText xml:space="preserve"> PAGEREF _Toc20142 </w:instrText>
      </w:r>
      <w:r>
        <w:fldChar w:fldCharType="separate"/>
      </w:r>
      <w:r>
        <w:t>80</w:t>
      </w:r>
      <w:r>
        <w:fldChar w:fldCharType="end"/>
      </w:r>
      <w:r>
        <w:fldChar w:fldCharType="end"/>
      </w:r>
    </w:p>
    <w:p>
      <w:pPr>
        <w:pStyle w:val="14"/>
        <w:tabs>
          <w:tab w:val="right" w:leader="dot" w:pos="8788"/>
        </w:tabs>
      </w:pPr>
      <w:r>
        <w:fldChar w:fldCharType="begin"/>
      </w:r>
      <w:r>
        <w:instrText xml:space="preserve"> HYPERLINK \l _Toc15913 </w:instrText>
      </w:r>
      <w:r>
        <w:fldChar w:fldCharType="separate"/>
      </w:r>
      <w:r>
        <w:rPr>
          <w:rFonts w:hint="default" w:ascii="宋体" w:hAnsi="宋体" w:eastAsia="宋体" w:cs="宋体"/>
          <w:lang w:val="en-US" w:eastAsia="zh-CN"/>
        </w:rPr>
        <w:t xml:space="preserve">7.1.1. </w:t>
      </w:r>
      <w:r>
        <w:rPr>
          <w:rFonts w:hint="eastAsia"/>
          <w:lang w:val="en-US" w:eastAsia="zh-CN"/>
        </w:rPr>
        <w:t>大气污染防治措施</w:t>
      </w:r>
      <w:r>
        <w:tab/>
      </w:r>
      <w:r>
        <w:fldChar w:fldCharType="begin"/>
      </w:r>
      <w:r>
        <w:instrText xml:space="preserve"> PAGEREF _Toc15913 </w:instrText>
      </w:r>
      <w:r>
        <w:fldChar w:fldCharType="separate"/>
      </w:r>
      <w:r>
        <w:t>80</w:t>
      </w:r>
      <w:r>
        <w:fldChar w:fldCharType="end"/>
      </w:r>
      <w:r>
        <w:fldChar w:fldCharType="end"/>
      </w:r>
    </w:p>
    <w:p>
      <w:pPr>
        <w:pStyle w:val="14"/>
        <w:tabs>
          <w:tab w:val="right" w:leader="dot" w:pos="8788"/>
        </w:tabs>
      </w:pPr>
      <w:r>
        <w:fldChar w:fldCharType="begin"/>
      </w:r>
      <w:r>
        <w:instrText xml:space="preserve"> HYPERLINK \l _Toc5680 </w:instrText>
      </w:r>
      <w:r>
        <w:fldChar w:fldCharType="separate"/>
      </w:r>
      <w:r>
        <w:rPr>
          <w:rFonts w:hint="default" w:ascii="宋体" w:hAnsi="宋体" w:eastAsia="宋体" w:cs="宋体"/>
          <w:lang w:val="en-US" w:eastAsia="zh-CN"/>
        </w:rPr>
        <w:t xml:space="preserve">7.1.2. </w:t>
      </w:r>
      <w:r>
        <w:rPr>
          <w:rFonts w:hint="eastAsia"/>
          <w:lang w:val="en-US" w:eastAsia="zh-CN"/>
        </w:rPr>
        <w:t>水污染防治措施</w:t>
      </w:r>
      <w:r>
        <w:tab/>
      </w:r>
      <w:r>
        <w:fldChar w:fldCharType="begin"/>
      </w:r>
      <w:r>
        <w:instrText xml:space="preserve"> PAGEREF _Toc5680 </w:instrText>
      </w:r>
      <w:r>
        <w:fldChar w:fldCharType="separate"/>
      </w:r>
      <w:r>
        <w:t>80</w:t>
      </w:r>
      <w:r>
        <w:fldChar w:fldCharType="end"/>
      </w:r>
      <w:r>
        <w:fldChar w:fldCharType="end"/>
      </w:r>
    </w:p>
    <w:p>
      <w:pPr>
        <w:pStyle w:val="14"/>
        <w:tabs>
          <w:tab w:val="right" w:leader="dot" w:pos="8788"/>
        </w:tabs>
      </w:pPr>
      <w:r>
        <w:fldChar w:fldCharType="begin"/>
      </w:r>
      <w:r>
        <w:instrText xml:space="preserve"> HYPERLINK \l _Toc17378 </w:instrText>
      </w:r>
      <w:r>
        <w:fldChar w:fldCharType="separate"/>
      </w:r>
      <w:r>
        <w:rPr>
          <w:rFonts w:hint="default" w:ascii="宋体" w:hAnsi="宋体" w:eastAsia="宋体" w:cs="宋体"/>
          <w:lang w:val="en-US" w:eastAsia="zh-CN"/>
        </w:rPr>
        <w:t xml:space="preserve">7.1.3. </w:t>
      </w:r>
      <w:r>
        <w:rPr>
          <w:rFonts w:hint="eastAsia"/>
          <w:lang w:val="en-US" w:eastAsia="zh-CN"/>
        </w:rPr>
        <w:t>噪声防治措施</w:t>
      </w:r>
      <w:r>
        <w:tab/>
      </w:r>
      <w:r>
        <w:fldChar w:fldCharType="begin"/>
      </w:r>
      <w:r>
        <w:instrText xml:space="preserve"> PAGEREF _Toc17378 </w:instrText>
      </w:r>
      <w:r>
        <w:fldChar w:fldCharType="separate"/>
      </w:r>
      <w:r>
        <w:t>81</w:t>
      </w:r>
      <w:r>
        <w:fldChar w:fldCharType="end"/>
      </w:r>
      <w:r>
        <w:fldChar w:fldCharType="end"/>
      </w:r>
    </w:p>
    <w:p>
      <w:pPr>
        <w:pStyle w:val="14"/>
        <w:tabs>
          <w:tab w:val="right" w:leader="dot" w:pos="8788"/>
        </w:tabs>
      </w:pPr>
      <w:r>
        <w:fldChar w:fldCharType="begin"/>
      </w:r>
      <w:r>
        <w:instrText xml:space="preserve"> HYPERLINK \l _Toc24040 </w:instrText>
      </w:r>
      <w:r>
        <w:fldChar w:fldCharType="separate"/>
      </w:r>
      <w:r>
        <w:rPr>
          <w:rFonts w:hint="default" w:ascii="宋体" w:hAnsi="宋体" w:eastAsia="宋体" w:cs="宋体"/>
          <w:lang w:val="en-US" w:eastAsia="zh-CN"/>
        </w:rPr>
        <w:t xml:space="preserve">7.1.4. </w:t>
      </w:r>
      <w:r>
        <w:rPr>
          <w:rFonts w:hint="eastAsia"/>
          <w:lang w:val="en-US" w:eastAsia="zh-CN"/>
        </w:rPr>
        <w:t>固废防治措施</w:t>
      </w:r>
      <w:r>
        <w:tab/>
      </w:r>
      <w:r>
        <w:fldChar w:fldCharType="begin"/>
      </w:r>
      <w:r>
        <w:instrText xml:space="preserve"> PAGEREF _Toc24040 </w:instrText>
      </w:r>
      <w:r>
        <w:fldChar w:fldCharType="separate"/>
      </w:r>
      <w:r>
        <w:t>81</w:t>
      </w:r>
      <w:r>
        <w:fldChar w:fldCharType="end"/>
      </w:r>
      <w:r>
        <w:fldChar w:fldCharType="end"/>
      </w:r>
    </w:p>
    <w:p>
      <w:pPr>
        <w:pStyle w:val="19"/>
        <w:tabs>
          <w:tab w:val="right" w:leader="dot" w:pos="8788"/>
        </w:tabs>
      </w:pPr>
      <w:r>
        <w:fldChar w:fldCharType="begin"/>
      </w:r>
      <w:r>
        <w:instrText xml:space="preserve"> HYPERLINK \l _Toc6448 </w:instrText>
      </w:r>
      <w:r>
        <w:fldChar w:fldCharType="separate"/>
      </w:r>
      <w:r>
        <w:rPr>
          <w:rFonts w:hint="default" w:ascii="宋体" w:hAnsi="宋体" w:eastAsia="宋体" w:cs="宋体"/>
          <w:lang w:val="en-US" w:eastAsia="zh-CN"/>
        </w:rPr>
        <w:t xml:space="preserve">7.2. </w:t>
      </w:r>
      <w:r>
        <w:rPr>
          <w:lang w:val="en-US" w:eastAsia="zh-CN"/>
        </w:rPr>
        <w:t>运营期污染防治措施</w:t>
      </w:r>
      <w:r>
        <w:tab/>
      </w:r>
      <w:r>
        <w:fldChar w:fldCharType="begin"/>
      </w:r>
      <w:r>
        <w:instrText xml:space="preserve"> PAGEREF _Toc6448 </w:instrText>
      </w:r>
      <w:r>
        <w:fldChar w:fldCharType="separate"/>
      </w:r>
      <w:r>
        <w:t>81</w:t>
      </w:r>
      <w:r>
        <w:fldChar w:fldCharType="end"/>
      </w:r>
      <w:r>
        <w:fldChar w:fldCharType="end"/>
      </w:r>
    </w:p>
    <w:p>
      <w:pPr>
        <w:pStyle w:val="14"/>
        <w:tabs>
          <w:tab w:val="right" w:leader="dot" w:pos="8788"/>
        </w:tabs>
      </w:pPr>
      <w:r>
        <w:fldChar w:fldCharType="begin"/>
      </w:r>
      <w:r>
        <w:instrText xml:space="preserve"> HYPERLINK \l _Toc13116 </w:instrText>
      </w:r>
      <w:r>
        <w:fldChar w:fldCharType="separate"/>
      </w:r>
      <w:r>
        <w:rPr>
          <w:rFonts w:hint="default" w:ascii="宋体" w:hAnsi="宋体" w:eastAsia="宋体" w:cs="宋体"/>
          <w:lang w:val="en-US" w:eastAsia="zh-CN"/>
        </w:rPr>
        <w:t xml:space="preserve">7.2.1. </w:t>
      </w:r>
      <w:r>
        <w:rPr>
          <w:lang w:val="en-US" w:eastAsia="zh-CN"/>
        </w:rPr>
        <w:t>废气治理措施及达标可行性分析</w:t>
      </w:r>
      <w:r>
        <w:tab/>
      </w:r>
      <w:r>
        <w:fldChar w:fldCharType="begin"/>
      </w:r>
      <w:r>
        <w:instrText xml:space="preserve"> PAGEREF _Toc13116 </w:instrText>
      </w:r>
      <w:r>
        <w:fldChar w:fldCharType="separate"/>
      </w:r>
      <w:r>
        <w:t>81</w:t>
      </w:r>
      <w:r>
        <w:fldChar w:fldCharType="end"/>
      </w:r>
      <w:r>
        <w:fldChar w:fldCharType="end"/>
      </w:r>
    </w:p>
    <w:p>
      <w:pPr>
        <w:pStyle w:val="14"/>
        <w:tabs>
          <w:tab w:val="right" w:leader="dot" w:pos="8788"/>
        </w:tabs>
      </w:pPr>
      <w:r>
        <w:fldChar w:fldCharType="begin"/>
      </w:r>
      <w:r>
        <w:instrText xml:space="preserve"> HYPERLINK \l _Toc2460 </w:instrText>
      </w:r>
      <w:r>
        <w:fldChar w:fldCharType="separate"/>
      </w:r>
      <w:r>
        <w:rPr>
          <w:rFonts w:hint="default" w:ascii="宋体" w:hAnsi="宋体" w:eastAsia="宋体" w:cs="宋体"/>
          <w:lang w:val="en-US" w:eastAsia="zh-CN"/>
        </w:rPr>
        <w:t xml:space="preserve">7.2.2. </w:t>
      </w:r>
      <w:r>
        <w:rPr>
          <w:lang w:val="en-US" w:eastAsia="zh-CN"/>
        </w:rPr>
        <w:t>废水治理措施及达标可行性分析</w:t>
      </w:r>
      <w:r>
        <w:tab/>
      </w:r>
      <w:r>
        <w:fldChar w:fldCharType="begin"/>
      </w:r>
      <w:r>
        <w:instrText xml:space="preserve"> PAGEREF _Toc2460 </w:instrText>
      </w:r>
      <w:r>
        <w:fldChar w:fldCharType="separate"/>
      </w:r>
      <w:r>
        <w:t>84</w:t>
      </w:r>
      <w:r>
        <w:fldChar w:fldCharType="end"/>
      </w:r>
      <w:r>
        <w:fldChar w:fldCharType="end"/>
      </w:r>
    </w:p>
    <w:p>
      <w:pPr>
        <w:pStyle w:val="14"/>
        <w:tabs>
          <w:tab w:val="right" w:leader="dot" w:pos="8788"/>
        </w:tabs>
      </w:pPr>
      <w:r>
        <w:fldChar w:fldCharType="begin"/>
      </w:r>
      <w:r>
        <w:instrText xml:space="preserve"> HYPERLINK \l _Toc24589 </w:instrText>
      </w:r>
      <w:r>
        <w:fldChar w:fldCharType="separate"/>
      </w:r>
      <w:r>
        <w:rPr>
          <w:rFonts w:hint="default" w:ascii="宋体" w:hAnsi="宋体" w:eastAsia="宋体" w:cs="宋体"/>
          <w:lang w:val="en-US" w:eastAsia="zh-CN"/>
        </w:rPr>
        <w:t xml:space="preserve">7.2.3. </w:t>
      </w:r>
      <w:r>
        <w:rPr>
          <w:lang w:val="en-US" w:eastAsia="zh-CN"/>
        </w:rPr>
        <w:t>噪声治理措施及达标可行性分析</w:t>
      </w:r>
      <w:r>
        <w:tab/>
      </w:r>
      <w:r>
        <w:fldChar w:fldCharType="begin"/>
      </w:r>
      <w:r>
        <w:instrText xml:space="preserve"> PAGEREF _Toc24589 </w:instrText>
      </w:r>
      <w:r>
        <w:fldChar w:fldCharType="separate"/>
      </w:r>
      <w:r>
        <w:t>86</w:t>
      </w:r>
      <w:r>
        <w:fldChar w:fldCharType="end"/>
      </w:r>
      <w:r>
        <w:fldChar w:fldCharType="end"/>
      </w:r>
    </w:p>
    <w:p>
      <w:pPr>
        <w:pStyle w:val="14"/>
        <w:tabs>
          <w:tab w:val="right" w:leader="dot" w:pos="8788"/>
        </w:tabs>
      </w:pPr>
      <w:r>
        <w:fldChar w:fldCharType="begin"/>
      </w:r>
      <w:r>
        <w:instrText xml:space="preserve"> HYPERLINK \l _Toc21058 </w:instrText>
      </w:r>
      <w:r>
        <w:fldChar w:fldCharType="separate"/>
      </w:r>
      <w:r>
        <w:rPr>
          <w:rFonts w:hint="default" w:ascii="宋体" w:hAnsi="宋体" w:eastAsia="宋体" w:cs="宋体"/>
          <w:lang w:val="en-US" w:eastAsia="zh-CN"/>
        </w:rPr>
        <w:t xml:space="preserve">7.2.4. </w:t>
      </w:r>
      <w:r>
        <w:rPr>
          <w:lang w:val="en-US" w:eastAsia="zh-CN"/>
        </w:rPr>
        <w:t>地下水的环境保护措施可行性分析</w:t>
      </w:r>
      <w:r>
        <w:tab/>
      </w:r>
      <w:r>
        <w:fldChar w:fldCharType="begin"/>
      </w:r>
      <w:r>
        <w:instrText xml:space="preserve"> PAGEREF _Toc21058 </w:instrText>
      </w:r>
      <w:r>
        <w:fldChar w:fldCharType="separate"/>
      </w:r>
      <w:r>
        <w:t>86</w:t>
      </w:r>
      <w:r>
        <w:fldChar w:fldCharType="end"/>
      </w:r>
      <w:r>
        <w:fldChar w:fldCharType="end"/>
      </w:r>
    </w:p>
    <w:p>
      <w:pPr>
        <w:pStyle w:val="14"/>
        <w:tabs>
          <w:tab w:val="right" w:leader="dot" w:pos="8788"/>
        </w:tabs>
      </w:pPr>
      <w:r>
        <w:fldChar w:fldCharType="begin"/>
      </w:r>
      <w:r>
        <w:instrText xml:space="preserve"> HYPERLINK \l _Toc14176 </w:instrText>
      </w:r>
      <w:r>
        <w:fldChar w:fldCharType="separate"/>
      </w:r>
      <w:r>
        <w:rPr>
          <w:rFonts w:hint="default" w:ascii="宋体" w:hAnsi="宋体" w:eastAsia="宋体" w:cs="宋体"/>
          <w:lang w:val="en-US" w:eastAsia="zh-CN"/>
        </w:rPr>
        <w:t xml:space="preserve">7.2.5. </w:t>
      </w:r>
      <w:r>
        <w:rPr>
          <w:lang w:val="en-US" w:eastAsia="zh-CN"/>
        </w:rPr>
        <w:t>固体废物治理措施及达标可行性分析</w:t>
      </w:r>
      <w:r>
        <w:tab/>
      </w:r>
      <w:r>
        <w:fldChar w:fldCharType="begin"/>
      </w:r>
      <w:r>
        <w:instrText xml:space="preserve"> PAGEREF _Toc14176 </w:instrText>
      </w:r>
      <w:r>
        <w:fldChar w:fldCharType="separate"/>
      </w:r>
      <w:r>
        <w:t>87</w:t>
      </w:r>
      <w:r>
        <w:fldChar w:fldCharType="end"/>
      </w:r>
      <w:r>
        <w:fldChar w:fldCharType="end"/>
      </w:r>
    </w:p>
    <w:p>
      <w:pPr>
        <w:pStyle w:val="17"/>
        <w:tabs>
          <w:tab w:val="right" w:leader="dot" w:pos="8788"/>
        </w:tabs>
      </w:pPr>
      <w:r>
        <w:fldChar w:fldCharType="begin"/>
      </w:r>
      <w:r>
        <w:instrText xml:space="preserve"> HYPERLINK \l _Toc9603 </w:instrText>
      </w:r>
      <w:r>
        <w:fldChar w:fldCharType="separate"/>
      </w:r>
      <w:r>
        <w:rPr>
          <w:rFonts w:hint="default" w:ascii="宋体" w:hAnsi="宋体" w:eastAsia="宋体" w:cs="宋体"/>
          <w:lang w:val="en-US" w:eastAsia="zh-CN"/>
        </w:rPr>
        <w:t xml:space="preserve">8. </w:t>
      </w:r>
      <w:r>
        <w:rPr>
          <w:rFonts w:hint="default"/>
          <w:lang w:val="en-US" w:eastAsia="zh-CN"/>
        </w:rPr>
        <w:t>环境风险评价</w:t>
      </w:r>
      <w:r>
        <w:tab/>
      </w:r>
      <w:r>
        <w:fldChar w:fldCharType="begin"/>
      </w:r>
      <w:r>
        <w:instrText xml:space="preserve"> PAGEREF _Toc9603 </w:instrText>
      </w:r>
      <w:r>
        <w:fldChar w:fldCharType="separate"/>
      </w:r>
      <w:r>
        <w:t>89</w:t>
      </w:r>
      <w:r>
        <w:fldChar w:fldCharType="end"/>
      </w:r>
      <w:r>
        <w:fldChar w:fldCharType="end"/>
      </w:r>
    </w:p>
    <w:p>
      <w:pPr>
        <w:pStyle w:val="19"/>
        <w:tabs>
          <w:tab w:val="right" w:leader="dot" w:pos="8788"/>
        </w:tabs>
      </w:pPr>
      <w:r>
        <w:fldChar w:fldCharType="begin"/>
      </w:r>
      <w:r>
        <w:instrText xml:space="preserve"> HYPERLINK \l _Toc20634 </w:instrText>
      </w:r>
      <w:r>
        <w:fldChar w:fldCharType="separate"/>
      </w:r>
      <w:r>
        <w:rPr>
          <w:rFonts w:hint="default" w:ascii="宋体" w:hAnsi="宋体" w:eastAsia="宋体" w:cs="宋体"/>
          <w:lang w:val="en-US" w:eastAsia="zh-CN"/>
        </w:rPr>
        <w:t xml:space="preserve">8.1. </w:t>
      </w:r>
      <w:r>
        <w:rPr>
          <w:lang w:val="en-US" w:eastAsia="zh-CN"/>
        </w:rPr>
        <w:t>环境风险评价目的</w:t>
      </w:r>
      <w:r>
        <w:tab/>
      </w:r>
      <w:r>
        <w:fldChar w:fldCharType="begin"/>
      </w:r>
      <w:r>
        <w:instrText xml:space="preserve"> PAGEREF _Toc20634 </w:instrText>
      </w:r>
      <w:r>
        <w:fldChar w:fldCharType="separate"/>
      </w:r>
      <w:r>
        <w:t>89</w:t>
      </w:r>
      <w:r>
        <w:fldChar w:fldCharType="end"/>
      </w:r>
      <w:r>
        <w:fldChar w:fldCharType="end"/>
      </w:r>
    </w:p>
    <w:p>
      <w:pPr>
        <w:pStyle w:val="19"/>
        <w:tabs>
          <w:tab w:val="right" w:leader="dot" w:pos="8788"/>
        </w:tabs>
      </w:pPr>
      <w:r>
        <w:fldChar w:fldCharType="begin"/>
      </w:r>
      <w:r>
        <w:instrText xml:space="preserve"> HYPERLINK \l _Toc17669 </w:instrText>
      </w:r>
      <w:r>
        <w:fldChar w:fldCharType="separate"/>
      </w:r>
      <w:r>
        <w:rPr>
          <w:rFonts w:hint="default" w:ascii="宋体" w:hAnsi="宋体" w:eastAsia="宋体" w:cs="宋体"/>
          <w:lang w:val="en-US" w:eastAsia="zh-CN"/>
        </w:rPr>
        <w:t xml:space="preserve">8.2. </w:t>
      </w:r>
      <w:r>
        <w:rPr>
          <w:lang w:val="en-US" w:eastAsia="zh-CN"/>
        </w:rPr>
        <w:t>评价等级确定</w:t>
      </w:r>
      <w:r>
        <w:tab/>
      </w:r>
      <w:r>
        <w:fldChar w:fldCharType="begin"/>
      </w:r>
      <w:r>
        <w:instrText xml:space="preserve"> PAGEREF _Toc17669 </w:instrText>
      </w:r>
      <w:r>
        <w:fldChar w:fldCharType="separate"/>
      </w:r>
      <w:r>
        <w:t>89</w:t>
      </w:r>
      <w:r>
        <w:fldChar w:fldCharType="end"/>
      </w:r>
      <w:r>
        <w:fldChar w:fldCharType="end"/>
      </w:r>
    </w:p>
    <w:p>
      <w:pPr>
        <w:pStyle w:val="14"/>
        <w:tabs>
          <w:tab w:val="right" w:leader="dot" w:pos="8788"/>
        </w:tabs>
      </w:pPr>
      <w:r>
        <w:fldChar w:fldCharType="begin"/>
      </w:r>
      <w:r>
        <w:instrText xml:space="preserve"> HYPERLINK \l _Toc17441 </w:instrText>
      </w:r>
      <w:r>
        <w:fldChar w:fldCharType="separate"/>
      </w:r>
      <w:r>
        <w:rPr>
          <w:rFonts w:hint="default" w:ascii="宋体" w:hAnsi="宋体" w:eastAsia="宋体" w:cs="宋体"/>
          <w:lang w:val="en-US" w:eastAsia="zh-CN"/>
        </w:rPr>
        <w:t xml:space="preserve">8.2.1. </w:t>
      </w:r>
      <w:r>
        <w:rPr>
          <w:lang w:val="en-US" w:eastAsia="zh-CN"/>
        </w:rPr>
        <w:t>危险物质数量与临界量比值（Q）</w:t>
      </w:r>
      <w:r>
        <w:tab/>
      </w:r>
      <w:r>
        <w:fldChar w:fldCharType="begin"/>
      </w:r>
      <w:r>
        <w:instrText xml:space="preserve"> PAGEREF _Toc17441 </w:instrText>
      </w:r>
      <w:r>
        <w:fldChar w:fldCharType="separate"/>
      </w:r>
      <w:r>
        <w:t>90</w:t>
      </w:r>
      <w:r>
        <w:fldChar w:fldCharType="end"/>
      </w:r>
      <w:r>
        <w:fldChar w:fldCharType="end"/>
      </w:r>
    </w:p>
    <w:p>
      <w:pPr>
        <w:pStyle w:val="14"/>
        <w:tabs>
          <w:tab w:val="right" w:leader="dot" w:pos="8788"/>
        </w:tabs>
      </w:pPr>
      <w:r>
        <w:fldChar w:fldCharType="begin"/>
      </w:r>
      <w:r>
        <w:instrText xml:space="preserve"> HYPERLINK \l _Toc14690 </w:instrText>
      </w:r>
      <w:r>
        <w:fldChar w:fldCharType="separate"/>
      </w:r>
      <w:r>
        <w:rPr>
          <w:rFonts w:hint="default" w:ascii="宋体" w:hAnsi="宋体" w:eastAsia="宋体" w:cs="宋体"/>
          <w:lang w:val="en-US" w:eastAsia="zh-CN"/>
        </w:rPr>
        <w:t xml:space="preserve">8.2.2. </w:t>
      </w:r>
      <w:r>
        <w:rPr>
          <w:rFonts w:hint="eastAsia"/>
          <w:lang w:val="en-US" w:eastAsia="zh-CN"/>
        </w:rPr>
        <w:t>行业及生产工艺（M）</w:t>
      </w:r>
      <w:r>
        <w:tab/>
      </w:r>
      <w:r>
        <w:fldChar w:fldCharType="begin"/>
      </w:r>
      <w:r>
        <w:instrText xml:space="preserve"> PAGEREF _Toc14690 </w:instrText>
      </w:r>
      <w:r>
        <w:fldChar w:fldCharType="separate"/>
      </w:r>
      <w:r>
        <w:t>90</w:t>
      </w:r>
      <w:r>
        <w:fldChar w:fldCharType="end"/>
      </w:r>
      <w:r>
        <w:fldChar w:fldCharType="end"/>
      </w:r>
    </w:p>
    <w:p>
      <w:pPr>
        <w:pStyle w:val="14"/>
        <w:tabs>
          <w:tab w:val="right" w:leader="dot" w:pos="8788"/>
        </w:tabs>
      </w:pPr>
      <w:r>
        <w:fldChar w:fldCharType="begin"/>
      </w:r>
      <w:r>
        <w:instrText xml:space="preserve"> HYPERLINK \l _Toc10960 </w:instrText>
      </w:r>
      <w:r>
        <w:fldChar w:fldCharType="separate"/>
      </w:r>
      <w:r>
        <w:rPr>
          <w:rFonts w:hint="default" w:ascii="宋体" w:hAnsi="宋体" w:eastAsia="宋体" w:cs="宋体"/>
          <w:lang w:val="en-US" w:eastAsia="zh-CN"/>
        </w:rPr>
        <w:t xml:space="preserve">8.2.3. </w:t>
      </w:r>
      <w:r>
        <w:rPr>
          <w:rFonts w:hint="eastAsia"/>
          <w:lang w:val="en-US" w:eastAsia="zh-CN"/>
        </w:rPr>
        <w:t>危险物质及工艺系统危险性（P）分级</w:t>
      </w:r>
      <w:r>
        <w:tab/>
      </w:r>
      <w:r>
        <w:fldChar w:fldCharType="begin"/>
      </w:r>
      <w:r>
        <w:instrText xml:space="preserve"> PAGEREF _Toc10960 </w:instrText>
      </w:r>
      <w:r>
        <w:fldChar w:fldCharType="separate"/>
      </w:r>
      <w:r>
        <w:t>91</w:t>
      </w:r>
      <w:r>
        <w:fldChar w:fldCharType="end"/>
      </w:r>
      <w:r>
        <w:fldChar w:fldCharType="end"/>
      </w:r>
    </w:p>
    <w:p>
      <w:pPr>
        <w:pStyle w:val="14"/>
        <w:tabs>
          <w:tab w:val="right" w:leader="dot" w:pos="8788"/>
        </w:tabs>
      </w:pPr>
      <w:r>
        <w:fldChar w:fldCharType="begin"/>
      </w:r>
      <w:r>
        <w:instrText xml:space="preserve"> HYPERLINK \l _Toc10280 </w:instrText>
      </w:r>
      <w:r>
        <w:fldChar w:fldCharType="separate"/>
      </w:r>
      <w:r>
        <w:rPr>
          <w:rFonts w:hint="default" w:ascii="宋体" w:hAnsi="宋体" w:eastAsia="宋体" w:cs="宋体"/>
          <w:lang w:val="en-US" w:eastAsia="zh-CN"/>
        </w:rPr>
        <w:t xml:space="preserve">8.2.4. </w:t>
      </w:r>
      <w:r>
        <w:rPr>
          <w:rFonts w:hint="eastAsia"/>
          <w:lang w:val="en-US" w:eastAsia="zh-CN"/>
        </w:rPr>
        <w:t>项目各环境要素敏感程度（E）的分级</w:t>
      </w:r>
      <w:r>
        <w:tab/>
      </w:r>
      <w:r>
        <w:fldChar w:fldCharType="begin"/>
      </w:r>
      <w:r>
        <w:instrText xml:space="preserve"> PAGEREF _Toc10280 </w:instrText>
      </w:r>
      <w:r>
        <w:fldChar w:fldCharType="separate"/>
      </w:r>
      <w:r>
        <w:t>91</w:t>
      </w:r>
      <w:r>
        <w:fldChar w:fldCharType="end"/>
      </w:r>
      <w:r>
        <w:fldChar w:fldCharType="end"/>
      </w:r>
    </w:p>
    <w:p>
      <w:pPr>
        <w:pStyle w:val="14"/>
        <w:tabs>
          <w:tab w:val="right" w:leader="dot" w:pos="8788"/>
        </w:tabs>
      </w:pPr>
      <w:r>
        <w:fldChar w:fldCharType="begin"/>
      </w:r>
      <w:r>
        <w:instrText xml:space="preserve"> HYPERLINK \l _Toc11180 </w:instrText>
      </w:r>
      <w:r>
        <w:fldChar w:fldCharType="separate"/>
      </w:r>
      <w:r>
        <w:rPr>
          <w:rFonts w:hint="default" w:ascii="宋体" w:hAnsi="宋体" w:eastAsia="宋体" w:cs="宋体"/>
          <w:lang w:val="en-US" w:eastAsia="zh-CN"/>
        </w:rPr>
        <w:t xml:space="preserve">8.2.5. </w:t>
      </w:r>
      <w:r>
        <w:rPr>
          <w:lang w:val="en-US" w:eastAsia="zh-CN"/>
        </w:rPr>
        <w:t>评价等级判定</w:t>
      </w:r>
      <w:r>
        <w:tab/>
      </w:r>
      <w:r>
        <w:fldChar w:fldCharType="begin"/>
      </w:r>
      <w:r>
        <w:instrText xml:space="preserve"> PAGEREF _Toc11180 </w:instrText>
      </w:r>
      <w:r>
        <w:fldChar w:fldCharType="separate"/>
      </w:r>
      <w:r>
        <w:t>94</w:t>
      </w:r>
      <w:r>
        <w:fldChar w:fldCharType="end"/>
      </w:r>
      <w:r>
        <w:fldChar w:fldCharType="end"/>
      </w:r>
    </w:p>
    <w:p>
      <w:pPr>
        <w:pStyle w:val="19"/>
        <w:tabs>
          <w:tab w:val="right" w:leader="dot" w:pos="8788"/>
        </w:tabs>
      </w:pPr>
      <w:r>
        <w:fldChar w:fldCharType="begin"/>
      </w:r>
      <w:r>
        <w:instrText xml:space="preserve"> HYPERLINK \l _Toc7466 </w:instrText>
      </w:r>
      <w:r>
        <w:fldChar w:fldCharType="separate"/>
      </w:r>
      <w:r>
        <w:rPr>
          <w:rFonts w:hint="default" w:ascii="宋体" w:hAnsi="宋体" w:eastAsia="宋体" w:cs="宋体"/>
          <w:lang w:val="en-US" w:eastAsia="zh-CN"/>
        </w:rPr>
        <w:t xml:space="preserve">8.3. </w:t>
      </w:r>
      <w:r>
        <w:rPr>
          <w:lang w:val="en-US" w:eastAsia="zh-CN"/>
        </w:rPr>
        <w:t>评价内容及重点</w:t>
      </w:r>
      <w:r>
        <w:tab/>
      </w:r>
      <w:r>
        <w:fldChar w:fldCharType="begin"/>
      </w:r>
      <w:r>
        <w:instrText xml:space="preserve"> PAGEREF _Toc7466 </w:instrText>
      </w:r>
      <w:r>
        <w:fldChar w:fldCharType="separate"/>
      </w:r>
      <w:r>
        <w:t>94</w:t>
      </w:r>
      <w:r>
        <w:fldChar w:fldCharType="end"/>
      </w:r>
      <w:r>
        <w:fldChar w:fldCharType="end"/>
      </w:r>
    </w:p>
    <w:p>
      <w:pPr>
        <w:pStyle w:val="19"/>
        <w:tabs>
          <w:tab w:val="right" w:leader="dot" w:pos="8788"/>
        </w:tabs>
      </w:pPr>
      <w:r>
        <w:fldChar w:fldCharType="begin"/>
      </w:r>
      <w:r>
        <w:instrText xml:space="preserve"> HYPERLINK \l _Toc18556 </w:instrText>
      </w:r>
      <w:r>
        <w:fldChar w:fldCharType="separate"/>
      </w:r>
      <w:r>
        <w:rPr>
          <w:rFonts w:hint="default" w:ascii="宋体" w:hAnsi="宋体" w:eastAsia="宋体" w:cs="宋体"/>
          <w:lang w:val="en-US" w:eastAsia="zh-CN"/>
        </w:rPr>
        <w:t xml:space="preserve">8.4. </w:t>
      </w:r>
      <w:r>
        <w:rPr>
          <w:rFonts w:hint="eastAsia"/>
          <w:lang w:val="en-US" w:eastAsia="zh-CN"/>
        </w:rPr>
        <w:t>评价范围及保护目标</w:t>
      </w:r>
      <w:r>
        <w:tab/>
      </w:r>
      <w:r>
        <w:fldChar w:fldCharType="begin"/>
      </w:r>
      <w:r>
        <w:instrText xml:space="preserve"> PAGEREF _Toc18556 </w:instrText>
      </w:r>
      <w:r>
        <w:fldChar w:fldCharType="separate"/>
      </w:r>
      <w:r>
        <w:t>95</w:t>
      </w:r>
      <w:r>
        <w:fldChar w:fldCharType="end"/>
      </w:r>
      <w:r>
        <w:fldChar w:fldCharType="end"/>
      </w:r>
    </w:p>
    <w:p>
      <w:pPr>
        <w:pStyle w:val="19"/>
        <w:tabs>
          <w:tab w:val="right" w:leader="dot" w:pos="8788"/>
        </w:tabs>
      </w:pPr>
      <w:r>
        <w:fldChar w:fldCharType="begin"/>
      </w:r>
      <w:r>
        <w:instrText xml:space="preserve"> HYPERLINK \l _Toc11094 </w:instrText>
      </w:r>
      <w:r>
        <w:fldChar w:fldCharType="separate"/>
      </w:r>
      <w:r>
        <w:rPr>
          <w:rFonts w:hint="default" w:ascii="宋体" w:hAnsi="宋体" w:eastAsia="宋体" w:cs="宋体"/>
          <w:lang w:val="en-US" w:eastAsia="zh-CN"/>
        </w:rPr>
        <w:t xml:space="preserve">8.5. </w:t>
      </w:r>
      <w:r>
        <w:rPr>
          <w:lang w:val="en-US" w:eastAsia="zh-CN"/>
        </w:rPr>
        <w:t>风险识别</w:t>
      </w:r>
      <w:r>
        <w:tab/>
      </w:r>
      <w:r>
        <w:fldChar w:fldCharType="begin"/>
      </w:r>
      <w:r>
        <w:instrText xml:space="preserve"> PAGEREF _Toc11094 </w:instrText>
      </w:r>
      <w:r>
        <w:fldChar w:fldCharType="separate"/>
      </w:r>
      <w:r>
        <w:t>95</w:t>
      </w:r>
      <w:r>
        <w:fldChar w:fldCharType="end"/>
      </w:r>
      <w:r>
        <w:fldChar w:fldCharType="end"/>
      </w:r>
    </w:p>
    <w:p>
      <w:pPr>
        <w:pStyle w:val="19"/>
        <w:tabs>
          <w:tab w:val="right" w:leader="dot" w:pos="8788"/>
        </w:tabs>
      </w:pPr>
      <w:r>
        <w:fldChar w:fldCharType="begin"/>
      </w:r>
      <w:r>
        <w:instrText xml:space="preserve"> HYPERLINK \l _Toc26573 </w:instrText>
      </w:r>
      <w:r>
        <w:fldChar w:fldCharType="separate"/>
      </w:r>
      <w:r>
        <w:rPr>
          <w:rFonts w:hint="default" w:ascii="宋体" w:hAnsi="宋体" w:eastAsia="宋体" w:cs="宋体"/>
          <w:lang w:val="en-US" w:eastAsia="zh-CN"/>
        </w:rPr>
        <w:t xml:space="preserve">8.6. </w:t>
      </w:r>
      <w:r>
        <w:rPr>
          <w:rFonts w:hint="eastAsia"/>
          <w:lang w:val="en-US" w:eastAsia="zh-CN"/>
        </w:rPr>
        <w:t>事故风险防范措施</w:t>
      </w:r>
      <w:r>
        <w:tab/>
      </w:r>
      <w:r>
        <w:fldChar w:fldCharType="begin"/>
      </w:r>
      <w:r>
        <w:instrText xml:space="preserve"> PAGEREF _Toc26573 </w:instrText>
      </w:r>
      <w:r>
        <w:fldChar w:fldCharType="separate"/>
      </w:r>
      <w:r>
        <w:t>98</w:t>
      </w:r>
      <w:r>
        <w:fldChar w:fldCharType="end"/>
      </w:r>
      <w:r>
        <w:fldChar w:fldCharType="end"/>
      </w:r>
    </w:p>
    <w:p>
      <w:pPr>
        <w:pStyle w:val="19"/>
        <w:tabs>
          <w:tab w:val="right" w:leader="dot" w:pos="8788"/>
        </w:tabs>
      </w:pPr>
      <w:r>
        <w:fldChar w:fldCharType="begin"/>
      </w:r>
      <w:r>
        <w:instrText xml:space="preserve"> HYPERLINK \l _Toc2311 </w:instrText>
      </w:r>
      <w:r>
        <w:fldChar w:fldCharType="separate"/>
      </w:r>
      <w:r>
        <w:rPr>
          <w:rFonts w:hint="default" w:ascii="宋体" w:hAnsi="宋体" w:eastAsia="宋体" w:cs="宋体"/>
          <w:lang w:val="en-US" w:eastAsia="zh-CN"/>
        </w:rPr>
        <w:t xml:space="preserve">8.7. </w:t>
      </w:r>
      <w:r>
        <w:rPr>
          <w:lang w:val="en-US" w:eastAsia="zh-CN"/>
        </w:rPr>
        <w:t>应急预案</w:t>
      </w:r>
      <w:r>
        <w:tab/>
      </w:r>
      <w:r>
        <w:fldChar w:fldCharType="begin"/>
      </w:r>
      <w:r>
        <w:instrText xml:space="preserve"> PAGEREF _Toc2311 </w:instrText>
      </w:r>
      <w:r>
        <w:fldChar w:fldCharType="separate"/>
      </w:r>
      <w:r>
        <w:t>106</w:t>
      </w:r>
      <w:r>
        <w:fldChar w:fldCharType="end"/>
      </w:r>
      <w:r>
        <w:fldChar w:fldCharType="end"/>
      </w:r>
    </w:p>
    <w:p>
      <w:pPr>
        <w:pStyle w:val="19"/>
        <w:tabs>
          <w:tab w:val="right" w:leader="dot" w:pos="8788"/>
        </w:tabs>
      </w:pPr>
      <w:r>
        <w:fldChar w:fldCharType="begin"/>
      </w:r>
      <w:r>
        <w:instrText xml:space="preserve"> HYPERLINK \l _Toc20586 </w:instrText>
      </w:r>
      <w:r>
        <w:fldChar w:fldCharType="separate"/>
      </w:r>
      <w:r>
        <w:rPr>
          <w:rFonts w:hint="default" w:ascii="宋体" w:hAnsi="宋体" w:eastAsia="宋体" w:cs="宋体"/>
          <w:lang w:val="en-US" w:eastAsia="zh-CN"/>
        </w:rPr>
        <w:t xml:space="preserve">8.8. </w:t>
      </w:r>
      <w:r>
        <w:rPr>
          <w:lang w:val="en-US" w:eastAsia="zh-CN"/>
        </w:rPr>
        <w:t>环境风险评价结论</w:t>
      </w:r>
      <w:r>
        <w:tab/>
      </w:r>
      <w:r>
        <w:fldChar w:fldCharType="begin"/>
      </w:r>
      <w:r>
        <w:instrText xml:space="preserve"> PAGEREF _Toc20586 </w:instrText>
      </w:r>
      <w:r>
        <w:fldChar w:fldCharType="separate"/>
      </w:r>
      <w:r>
        <w:t>108</w:t>
      </w:r>
      <w:r>
        <w:fldChar w:fldCharType="end"/>
      </w:r>
      <w:r>
        <w:fldChar w:fldCharType="end"/>
      </w:r>
    </w:p>
    <w:p>
      <w:pPr>
        <w:pStyle w:val="17"/>
        <w:tabs>
          <w:tab w:val="right" w:leader="dot" w:pos="8788"/>
        </w:tabs>
      </w:pPr>
      <w:r>
        <w:fldChar w:fldCharType="begin"/>
      </w:r>
      <w:r>
        <w:instrText xml:space="preserve"> HYPERLINK \l _Toc11320 </w:instrText>
      </w:r>
      <w:r>
        <w:fldChar w:fldCharType="separate"/>
      </w:r>
      <w:r>
        <w:rPr>
          <w:rFonts w:hint="default" w:ascii="宋体" w:hAnsi="宋体" w:eastAsia="宋体" w:cs="宋体"/>
          <w:lang w:val="en-US" w:eastAsia="zh-CN"/>
        </w:rPr>
        <w:t xml:space="preserve">9. </w:t>
      </w:r>
      <w:r>
        <w:rPr>
          <w:lang w:val="en-US" w:eastAsia="zh-CN"/>
        </w:rPr>
        <w:t>总量控制分析</w:t>
      </w:r>
      <w:r>
        <w:tab/>
      </w:r>
      <w:r>
        <w:fldChar w:fldCharType="begin"/>
      </w:r>
      <w:r>
        <w:instrText xml:space="preserve"> PAGEREF _Toc11320 </w:instrText>
      </w:r>
      <w:r>
        <w:fldChar w:fldCharType="separate"/>
      </w:r>
      <w:r>
        <w:t>109</w:t>
      </w:r>
      <w:r>
        <w:fldChar w:fldCharType="end"/>
      </w:r>
      <w:r>
        <w:fldChar w:fldCharType="end"/>
      </w:r>
    </w:p>
    <w:p>
      <w:pPr>
        <w:pStyle w:val="19"/>
        <w:tabs>
          <w:tab w:val="right" w:leader="dot" w:pos="8788"/>
        </w:tabs>
      </w:pPr>
      <w:r>
        <w:fldChar w:fldCharType="begin"/>
      </w:r>
      <w:r>
        <w:instrText xml:space="preserve"> HYPERLINK \l _Toc10586 </w:instrText>
      </w:r>
      <w:r>
        <w:fldChar w:fldCharType="separate"/>
      </w:r>
      <w:r>
        <w:rPr>
          <w:rFonts w:hint="default" w:ascii="宋体" w:hAnsi="宋体" w:eastAsia="宋体" w:cs="宋体"/>
          <w:lang w:val="en-US" w:eastAsia="zh-CN"/>
        </w:rPr>
        <w:t xml:space="preserve">9.1. </w:t>
      </w:r>
      <w:r>
        <w:rPr>
          <w:lang w:val="en-US" w:eastAsia="zh-CN"/>
        </w:rPr>
        <w:t>总量控制因子</w:t>
      </w:r>
      <w:r>
        <w:tab/>
      </w:r>
      <w:r>
        <w:fldChar w:fldCharType="begin"/>
      </w:r>
      <w:r>
        <w:instrText xml:space="preserve"> PAGEREF _Toc10586 </w:instrText>
      </w:r>
      <w:r>
        <w:fldChar w:fldCharType="separate"/>
      </w:r>
      <w:r>
        <w:t>109</w:t>
      </w:r>
      <w:r>
        <w:fldChar w:fldCharType="end"/>
      </w:r>
      <w:r>
        <w:fldChar w:fldCharType="end"/>
      </w:r>
    </w:p>
    <w:p>
      <w:pPr>
        <w:pStyle w:val="19"/>
        <w:tabs>
          <w:tab w:val="right" w:leader="dot" w:pos="8788"/>
        </w:tabs>
      </w:pPr>
      <w:r>
        <w:fldChar w:fldCharType="begin"/>
      </w:r>
      <w:r>
        <w:instrText xml:space="preserve"> HYPERLINK \l _Toc19715 </w:instrText>
      </w:r>
      <w:r>
        <w:fldChar w:fldCharType="separate"/>
      </w:r>
      <w:r>
        <w:rPr>
          <w:rFonts w:hint="default" w:ascii="宋体" w:hAnsi="宋体" w:eastAsia="宋体" w:cs="宋体"/>
          <w:lang w:val="en-US" w:eastAsia="zh-CN"/>
        </w:rPr>
        <w:t xml:space="preserve">9.2. </w:t>
      </w:r>
      <w:r>
        <w:rPr>
          <w:lang w:val="en-US" w:eastAsia="zh-CN"/>
        </w:rPr>
        <w:t>废</w:t>
      </w:r>
      <w:r>
        <w:rPr>
          <w:rFonts w:hint="eastAsia"/>
          <w:lang w:val="en-US" w:eastAsia="zh-CN"/>
        </w:rPr>
        <w:t>气</w:t>
      </w:r>
      <w:r>
        <w:rPr>
          <w:lang w:val="en-US" w:eastAsia="zh-CN"/>
        </w:rPr>
        <w:t>污染物排放总量控制分析</w:t>
      </w:r>
      <w:r>
        <w:tab/>
      </w:r>
      <w:r>
        <w:fldChar w:fldCharType="begin"/>
      </w:r>
      <w:r>
        <w:instrText xml:space="preserve"> PAGEREF _Toc19715 </w:instrText>
      </w:r>
      <w:r>
        <w:fldChar w:fldCharType="separate"/>
      </w:r>
      <w:r>
        <w:t>109</w:t>
      </w:r>
      <w:r>
        <w:fldChar w:fldCharType="end"/>
      </w:r>
      <w:r>
        <w:fldChar w:fldCharType="end"/>
      </w:r>
    </w:p>
    <w:p>
      <w:pPr>
        <w:pStyle w:val="17"/>
        <w:tabs>
          <w:tab w:val="right" w:leader="dot" w:pos="8788"/>
        </w:tabs>
      </w:pPr>
      <w:r>
        <w:fldChar w:fldCharType="begin"/>
      </w:r>
      <w:r>
        <w:instrText xml:space="preserve"> HYPERLINK \l _Toc27342 </w:instrText>
      </w:r>
      <w:r>
        <w:fldChar w:fldCharType="separate"/>
      </w:r>
      <w:r>
        <w:rPr>
          <w:rFonts w:hint="default" w:ascii="宋体" w:hAnsi="宋体" w:eastAsia="宋体" w:cs="宋体"/>
          <w:lang w:val="en-US" w:eastAsia="zh-CN"/>
        </w:rPr>
        <w:t xml:space="preserve">10. </w:t>
      </w:r>
      <w:r>
        <w:rPr>
          <w:rFonts w:hint="default"/>
          <w:lang w:val="en-US" w:eastAsia="zh-CN"/>
        </w:rPr>
        <w:t>环境经济损益分析</w:t>
      </w:r>
      <w:r>
        <w:tab/>
      </w:r>
      <w:r>
        <w:fldChar w:fldCharType="begin"/>
      </w:r>
      <w:r>
        <w:instrText xml:space="preserve"> PAGEREF _Toc27342 </w:instrText>
      </w:r>
      <w:r>
        <w:fldChar w:fldCharType="separate"/>
      </w:r>
      <w:r>
        <w:t>110</w:t>
      </w:r>
      <w:r>
        <w:fldChar w:fldCharType="end"/>
      </w:r>
      <w:r>
        <w:fldChar w:fldCharType="end"/>
      </w:r>
    </w:p>
    <w:p>
      <w:pPr>
        <w:pStyle w:val="19"/>
        <w:tabs>
          <w:tab w:val="right" w:leader="dot" w:pos="8788"/>
        </w:tabs>
      </w:pPr>
      <w:r>
        <w:fldChar w:fldCharType="begin"/>
      </w:r>
      <w:r>
        <w:instrText xml:space="preserve"> HYPERLINK \l _Toc10567 </w:instrText>
      </w:r>
      <w:r>
        <w:fldChar w:fldCharType="separate"/>
      </w:r>
      <w:r>
        <w:rPr>
          <w:rFonts w:hint="default" w:ascii="宋体" w:hAnsi="宋体" w:eastAsia="宋体" w:cs="宋体"/>
          <w:lang w:val="en-US" w:eastAsia="zh-CN"/>
        </w:rPr>
        <w:t xml:space="preserve">10.1. </w:t>
      </w:r>
      <w:r>
        <w:rPr>
          <w:lang w:val="en-US" w:eastAsia="zh-CN"/>
        </w:rPr>
        <w:t>环境效益分析</w:t>
      </w:r>
      <w:r>
        <w:tab/>
      </w:r>
      <w:r>
        <w:fldChar w:fldCharType="begin"/>
      </w:r>
      <w:r>
        <w:instrText xml:space="preserve"> PAGEREF _Toc10567 </w:instrText>
      </w:r>
      <w:r>
        <w:fldChar w:fldCharType="separate"/>
      </w:r>
      <w:r>
        <w:t>110</w:t>
      </w:r>
      <w:r>
        <w:fldChar w:fldCharType="end"/>
      </w:r>
      <w:r>
        <w:fldChar w:fldCharType="end"/>
      </w:r>
    </w:p>
    <w:p>
      <w:pPr>
        <w:pStyle w:val="19"/>
        <w:tabs>
          <w:tab w:val="right" w:leader="dot" w:pos="8788"/>
        </w:tabs>
      </w:pPr>
      <w:r>
        <w:fldChar w:fldCharType="begin"/>
      </w:r>
      <w:r>
        <w:instrText xml:space="preserve"> HYPERLINK \l _Toc20410 </w:instrText>
      </w:r>
      <w:r>
        <w:fldChar w:fldCharType="separate"/>
      </w:r>
      <w:r>
        <w:rPr>
          <w:rFonts w:hint="default" w:ascii="宋体" w:hAnsi="宋体" w:eastAsia="宋体" w:cs="宋体"/>
          <w:lang w:val="en-US" w:eastAsia="zh-CN"/>
        </w:rPr>
        <w:t xml:space="preserve">10.2. </w:t>
      </w:r>
      <w:r>
        <w:rPr>
          <w:lang w:val="en-US" w:eastAsia="zh-CN"/>
        </w:rPr>
        <w:t>社会效益分析</w:t>
      </w:r>
      <w:r>
        <w:tab/>
      </w:r>
      <w:r>
        <w:fldChar w:fldCharType="begin"/>
      </w:r>
      <w:r>
        <w:instrText xml:space="preserve"> PAGEREF _Toc20410 </w:instrText>
      </w:r>
      <w:r>
        <w:fldChar w:fldCharType="separate"/>
      </w:r>
      <w:r>
        <w:t>110</w:t>
      </w:r>
      <w:r>
        <w:fldChar w:fldCharType="end"/>
      </w:r>
      <w:r>
        <w:fldChar w:fldCharType="end"/>
      </w:r>
    </w:p>
    <w:p>
      <w:pPr>
        <w:pStyle w:val="19"/>
        <w:tabs>
          <w:tab w:val="right" w:leader="dot" w:pos="8788"/>
        </w:tabs>
      </w:pPr>
      <w:r>
        <w:fldChar w:fldCharType="begin"/>
      </w:r>
      <w:r>
        <w:instrText xml:space="preserve"> HYPERLINK \l _Toc5348 </w:instrText>
      </w:r>
      <w:r>
        <w:fldChar w:fldCharType="separate"/>
      </w:r>
      <w:r>
        <w:rPr>
          <w:rFonts w:hint="default" w:ascii="宋体" w:hAnsi="宋体" w:eastAsia="宋体" w:cs="宋体"/>
          <w:lang w:val="en-US" w:eastAsia="zh-CN"/>
        </w:rPr>
        <w:t xml:space="preserve">10.3. </w:t>
      </w:r>
      <w:r>
        <w:rPr>
          <w:lang w:val="en-US" w:eastAsia="zh-CN"/>
        </w:rPr>
        <w:t>综合分析</w:t>
      </w:r>
      <w:r>
        <w:tab/>
      </w:r>
      <w:r>
        <w:fldChar w:fldCharType="begin"/>
      </w:r>
      <w:r>
        <w:instrText xml:space="preserve"> PAGEREF _Toc5348 </w:instrText>
      </w:r>
      <w:r>
        <w:fldChar w:fldCharType="separate"/>
      </w:r>
      <w:r>
        <w:t>110</w:t>
      </w:r>
      <w:r>
        <w:fldChar w:fldCharType="end"/>
      </w:r>
      <w:r>
        <w:fldChar w:fldCharType="end"/>
      </w:r>
    </w:p>
    <w:p>
      <w:pPr>
        <w:pStyle w:val="17"/>
        <w:tabs>
          <w:tab w:val="right" w:leader="dot" w:pos="8788"/>
        </w:tabs>
      </w:pPr>
      <w:r>
        <w:fldChar w:fldCharType="begin"/>
      </w:r>
      <w:r>
        <w:instrText xml:space="preserve"> HYPERLINK \l _Toc22239 </w:instrText>
      </w:r>
      <w:r>
        <w:fldChar w:fldCharType="separate"/>
      </w:r>
      <w:r>
        <w:rPr>
          <w:rFonts w:hint="default" w:ascii="宋体" w:hAnsi="宋体" w:eastAsia="宋体" w:cs="宋体"/>
          <w:lang w:val="en-US" w:eastAsia="zh-CN"/>
        </w:rPr>
        <w:t xml:space="preserve">11. </w:t>
      </w:r>
      <w:r>
        <w:rPr>
          <w:rFonts w:hint="default"/>
          <w:lang w:val="en-US" w:eastAsia="zh-CN"/>
        </w:rPr>
        <w:t>环境管理与监测</w:t>
      </w:r>
      <w:r>
        <w:tab/>
      </w:r>
      <w:r>
        <w:fldChar w:fldCharType="begin"/>
      </w:r>
      <w:r>
        <w:instrText xml:space="preserve"> PAGEREF _Toc22239 </w:instrText>
      </w:r>
      <w:r>
        <w:fldChar w:fldCharType="separate"/>
      </w:r>
      <w:r>
        <w:t>112</w:t>
      </w:r>
      <w:r>
        <w:fldChar w:fldCharType="end"/>
      </w:r>
      <w:r>
        <w:fldChar w:fldCharType="end"/>
      </w:r>
    </w:p>
    <w:p>
      <w:pPr>
        <w:pStyle w:val="19"/>
        <w:tabs>
          <w:tab w:val="right" w:leader="dot" w:pos="8788"/>
        </w:tabs>
      </w:pPr>
      <w:r>
        <w:fldChar w:fldCharType="begin"/>
      </w:r>
      <w:r>
        <w:instrText xml:space="preserve"> HYPERLINK \l _Toc31144 </w:instrText>
      </w:r>
      <w:r>
        <w:fldChar w:fldCharType="separate"/>
      </w:r>
      <w:r>
        <w:rPr>
          <w:rFonts w:hint="default" w:ascii="宋体" w:hAnsi="宋体" w:eastAsia="宋体" w:cs="宋体"/>
          <w:lang w:val="en-US" w:eastAsia="zh-CN"/>
        </w:rPr>
        <w:t xml:space="preserve">11.1. </w:t>
      </w:r>
      <w:r>
        <w:rPr>
          <w:lang w:val="en-US" w:eastAsia="zh-CN"/>
        </w:rPr>
        <w:t>环境管理</w:t>
      </w:r>
      <w:r>
        <w:tab/>
      </w:r>
      <w:r>
        <w:fldChar w:fldCharType="begin"/>
      </w:r>
      <w:r>
        <w:instrText xml:space="preserve"> PAGEREF _Toc31144 </w:instrText>
      </w:r>
      <w:r>
        <w:fldChar w:fldCharType="separate"/>
      </w:r>
      <w:r>
        <w:t>112</w:t>
      </w:r>
      <w:r>
        <w:fldChar w:fldCharType="end"/>
      </w:r>
      <w:r>
        <w:fldChar w:fldCharType="end"/>
      </w:r>
    </w:p>
    <w:p>
      <w:pPr>
        <w:pStyle w:val="14"/>
        <w:tabs>
          <w:tab w:val="right" w:leader="dot" w:pos="8788"/>
        </w:tabs>
      </w:pPr>
      <w:r>
        <w:fldChar w:fldCharType="begin"/>
      </w:r>
      <w:r>
        <w:instrText xml:space="preserve"> HYPERLINK \l _Toc16844 </w:instrText>
      </w:r>
      <w:r>
        <w:fldChar w:fldCharType="separate"/>
      </w:r>
      <w:r>
        <w:rPr>
          <w:rFonts w:hint="default" w:ascii="宋体" w:hAnsi="宋体" w:eastAsia="宋体" w:cs="宋体"/>
          <w:lang w:val="en-US" w:eastAsia="zh-CN"/>
        </w:rPr>
        <w:t xml:space="preserve">11.1.1. </w:t>
      </w:r>
      <w:r>
        <w:rPr>
          <w:lang w:val="en-US" w:eastAsia="zh-CN"/>
        </w:rPr>
        <w:t>环境管理的重要性</w:t>
      </w:r>
      <w:r>
        <w:tab/>
      </w:r>
      <w:r>
        <w:fldChar w:fldCharType="begin"/>
      </w:r>
      <w:r>
        <w:instrText xml:space="preserve"> PAGEREF _Toc16844 </w:instrText>
      </w:r>
      <w:r>
        <w:fldChar w:fldCharType="separate"/>
      </w:r>
      <w:r>
        <w:t>112</w:t>
      </w:r>
      <w:r>
        <w:fldChar w:fldCharType="end"/>
      </w:r>
      <w:r>
        <w:fldChar w:fldCharType="end"/>
      </w:r>
    </w:p>
    <w:p>
      <w:pPr>
        <w:pStyle w:val="14"/>
        <w:tabs>
          <w:tab w:val="right" w:leader="dot" w:pos="8788"/>
        </w:tabs>
      </w:pPr>
      <w:r>
        <w:fldChar w:fldCharType="begin"/>
      </w:r>
      <w:r>
        <w:instrText xml:space="preserve"> HYPERLINK \l _Toc22484 </w:instrText>
      </w:r>
      <w:r>
        <w:fldChar w:fldCharType="separate"/>
      </w:r>
      <w:r>
        <w:rPr>
          <w:rFonts w:hint="default" w:ascii="宋体" w:hAnsi="宋体" w:eastAsia="宋体" w:cs="宋体"/>
          <w:lang w:val="en-US" w:eastAsia="zh-CN"/>
        </w:rPr>
        <w:t xml:space="preserve">11.1.2. </w:t>
      </w:r>
      <w:r>
        <w:rPr>
          <w:lang w:val="en-US" w:eastAsia="zh-CN"/>
        </w:rPr>
        <w:t>环境管理体系建立的原则</w:t>
      </w:r>
      <w:r>
        <w:tab/>
      </w:r>
      <w:r>
        <w:fldChar w:fldCharType="begin"/>
      </w:r>
      <w:r>
        <w:instrText xml:space="preserve"> PAGEREF _Toc22484 </w:instrText>
      </w:r>
      <w:r>
        <w:fldChar w:fldCharType="separate"/>
      </w:r>
      <w:r>
        <w:t>112</w:t>
      </w:r>
      <w:r>
        <w:fldChar w:fldCharType="end"/>
      </w:r>
      <w:r>
        <w:fldChar w:fldCharType="end"/>
      </w:r>
    </w:p>
    <w:p>
      <w:pPr>
        <w:pStyle w:val="14"/>
        <w:tabs>
          <w:tab w:val="right" w:leader="dot" w:pos="8788"/>
        </w:tabs>
      </w:pPr>
      <w:r>
        <w:fldChar w:fldCharType="begin"/>
      </w:r>
      <w:r>
        <w:instrText xml:space="preserve"> HYPERLINK \l _Toc2709 </w:instrText>
      </w:r>
      <w:r>
        <w:fldChar w:fldCharType="separate"/>
      </w:r>
      <w:r>
        <w:rPr>
          <w:rFonts w:hint="default" w:ascii="宋体" w:hAnsi="宋体" w:eastAsia="宋体" w:cs="宋体"/>
          <w:lang w:val="en-US" w:eastAsia="zh-CN"/>
        </w:rPr>
        <w:t xml:space="preserve">11.1.3. </w:t>
      </w:r>
      <w:r>
        <w:rPr>
          <w:lang w:val="en-US" w:eastAsia="zh-CN"/>
        </w:rPr>
        <w:t>环境管理机构设置</w:t>
      </w:r>
      <w:r>
        <w:tab/>
      </w:r>
      <w:r>
        <w:fldChar w:fldCharType="begin"/>
      </w:r>
      <w:r>
        <w:instrText xml:space="preserve"> PAGEREF _Toc2709 </w:instrText>
      </w:r>
      <w:r>
        <w:fldChar w:fldCharType="separate"/>
      </w:r>
      <w:r>
        <w:t>113</w:t>
      </w:r>
      <w:r>
        <w:fldChar w:fldCharType="end"/>
      </w:r>
      <w:r>
        <w:fldChar w:fldCharType="end"/>
      </w:r>
    </w:p>
    <w:p>
      <w:pPr>
        <w:pStyle w:val="14"/>
        <w:tabs>
          <w:tab w:val="right" w:leader="dot" w:pos="8788"/>
        </w:tabs>
      </w:pPr>
      <w:r>
        <w:fldChar w:fldCharType="begin"/>
      </w:r>
      <w:r>
        <w:instrText xml:space="preserve"> HYPERLINK \l _Toc4917 </w:instrText>
      </w:r>
      <w:r>
        <w:fldChar w:fldCharType="separate"/>
      </w:r>
      <w:r>
        <w:rPr>
          <w:rFonts w:hint="default" w:ascii="宋体" w:hAnsi="宋体" w:eastAsia="宋体" w:cs="宋体"/>
          <w:lang w:val="en-US" w:eastAsia="zh-CN"/>
        </w:rPr>
        <w:t xml:space="preserve">11.1.4. </w:t>
      </w:r>
      <w:r>
        <w:rPr>
          <w:lang w:val="en-US" w:eastAsia="zh-CN"/>
        </w:rPr>
        <w:t>环境管理制度与环境管理计划</w:t>
      </w:r>
      <w:r>
        <w:tab/>
      </w:r>
      <w:r>
        <w:fldChar w:fldCharType="begin"/>
      </w:r>
      <w:r>
        <w:instrText xml:space="preserve"> PAGEREF _Toc4917 </w:instrText>
      </w:r>
      <w:r>
        <w:fldChar w:fldCharType="separate"/>
      </w:r>
      <w:r>
        <w:t>113</w:t>
      </w:r>
      <w:r>
        <w:fldChar w:fldCharType="end"/>
      </w:r>
      <w:r>
        <w:fldChar w:fldCharType="end"/>
      </w:r>
    </w:p>
    <w:p>
      <w:pPr>
        <w:pStyle w:val="19"/>
        <w:tabs>
          <w:tab w:val="right" w:leader="dot" w:pos="8788"/>
        </w:tabs>
      </w:pPr>
      <w:r>
        <w:fldChar w:fldCharType="begin"/>
      </w:r>
      <w:r>
        <w:instrText xml:space="preserve"> HYPERLINK \l _Toc22616 </w:instrText>
      </w:r>
      <w:r>
        <w:fldChar w:fldCharType="separate"/>
      </w:r>
      <w:r>
        <w:rPr>
          <w:rFonts w:hint="default" w:ascii="宋体" w:hAnsi="宋体" w:eastAsia="宋体" w:cs="宋体"/>
          <w:lang w:val="en-US" w:eastAsia="zh-CN"/>
        </w:rPr>
        <w:t xml:space="preserve">11.2. </w:t>
      </w:r>
      <w:r>
        <w:rPr>
          <w:lang w:val="en-US" w:eastAsia="zh-CN"/>
        </w:rPr>
        <w:t>环境监管计划</w:t>
      </w:r>
      <w:r>
        <w:tab/>
      </w:r>
      <w:r>
        <w:fldChar w:fldCharType="begin"/>
      </w:r>
      <w:r>
        <w:instrText xml:space="preserve"> PAGEREF _Toc22616 </w:instrText>
      </w:r>
      <w:r>
        <w:fldChar w:fldCharType="separate"/>
      </w:r>
      <w:r>
        <w:t>115</w:t>
      </w:r>
      <w:r>
        <w:fldChar w:fldCharType="end"/>
      </w:r>
      <w:r>
        <w:fldChar w:fldCharType="end"/>
      </w:r>
    </w:p>
    <w:p>
      <w:pPr>
        <w:pStyle w:val="19"/>
        <w:tabs>
          <w:tab w:val="right" w:leader="dot" w:pos="8788"/>
        </w:tabs>
      </w:pPr>
      <w:r>
        <w:fldChar w:fldCharType="begin"/>
      </w:r>
      <w:r>
        <w:instrText xml:space="preserve"> HYPERLINK \l _Toc26328 </w:instrText>
      </w:r>
      <w:r>
        <w:fldChar w:fldCharType="separate"/>
      </w:r>
      <w:r>
        <w:rPr>
          <w:rFonts w:hint="default" w:ascii="宋体" w:hAnsi="宋体" w:eastAsia="宋体" w:cs="宋体"/>
          <w:lang w:val="en-US" w:eastAsia="zh-CN"/>
        </w:rPr>
        <w:t xml:space="preserve">11.3. </w:t>
      </w:r>
      <w:r>
        <w:rPr>
          <w:lang w:val="en-US" w:eastAsia="zh-CN"/>
        </w:rPr>
        <w:t>排污口管理</w:t>
      </w:r>
      <w:r>
        <w:tab/>
      </w:r>
      <w:r>
        <w:fldChar w:fldCharType="begin"/>
      </w:r>
      <w:r>
        <w:instrText xml:space="preserve"> PAGEREF _Toc26328 </w:instrText>
      </w:r>
      <w:r>
        <w:fldChar w:fldCharType="separate"/>
      </w:r>
      <w:r>
        <w:t>116</w:t>
      </w:r>
      <w:r>
        <w:fldChar w:fldCharType="end"/>
      </w:r>
      <w:r>
        <w:fldChar w:fldCharType="end"/>
      </w:r>
    </w:p>
    <w:p>
      <w:pPr>
        <w:pStyle w:val="14"/>
        <w:tabs>
          <w:tab w:val="right" w:leader="dot" w:pos="8788"/>
        </w:tabs>
      </w:pPr>
      <w:r>
        <w:fldChar w:fldCharType="begin"/>
      </w:r>
      <w:r>
        <w:instrText xml:space="preserve"> HYPERLINK \l _Toc28875 </w:instrText>
      </w:r>
      <w:r>
        <w:fldChar w:fldCharType="separate"/>
      </w:r>
      <w:r>
        <w:rPr>
          <w:rFonts w:hint="default" w:ascii="宋体" w:hAnsi="宋体" w:eastAsia="宋体" w:cs="宋体"/>
          <w:lang w:val="en-US" w:eastAsia="zh-CN"/>
        </w:rPr>
        <w:t xml:space="preserve">11.3.1. </w:t>
      </w:r>
      <w:r>
        <w:rPr>
          <w:lang w:val="en-US" w:eastAsia="zh-CN"/>
        </w:rPr>
        <w:t>排污口规范化管理</w:t>
      </w:r>
      <w:r>
        <w:tab/>
      </w:r>
      <w:r>
        <w:fldChar w:fldCharType="begin"/>
      </w:r>
      <w:r>
        <w:instrText xml:space="preserve"> PAGEREF _Toc28875 </w:instrText>
      </w:r>
      <w:r>
        <w:fldChar w:fldCharType="separate"/>
      </w:r>
      <w:r>
        <w:t>116</w:t>
      </w:r>
      <w:r>
        <w:fldChar w:fldCharType="end"/>
      </w:r>
      <w:r>
        <w:fldChar w:fldCharType="end"/>
      </w:r>
    </w:p>
    <w:p>
      <w:pPr>
        <w:pStyle w:val="14"/>
        <w:tabs>
          <w:tab w:val="right" w:leader="dot" w:pos="8788"/>
        </w:tabs>
      </w:pPr>
      <w:r>
        <w:fldChar w:fldCharType="begin"/>
      </w:r>
      <w:r>
        <w:instrText xml:space="preserve"> HYPERLINK \l _Toc1292 </w:instrText>
      </w:r>
      <w:r>
        <w:fldChar w:fldCharType="separate"/>
      </w:r>
      <w:r>
        <w:rPr>
          <w:rFonts w:hint="default" w:ascii="宋体" w:hAnsi="宋体" w:eastAsia="宋体" w:cs="宋体"/>
          <w:lang w:val="en-US" w:eastAsia="zh-CN"/>
        </w:rPr>
        <w:t xml:space="preserve">11.3.2. </w:t>
      </w:r>
      <w:r>
        <w:rPr>
          <w:lang w:val="en-US" w:eastAsia="zh-CN"/>
        </w:rPr>
        <w:t>排污口标</w:t>
      </w:r>
      <w:r>
        <w:rPr>
          <w:rFonts w:hint="eastAsia"/>
          <w:lang w:val="en-US" w:eastAsia="zh-CN"/>
        </w:rPr>
        <w:t>识</w:t>
      </w:r>
      <w:r>
        <w:rPr>
          <w:lang w:val="en-US" w:eastAsia="zh-CN"/>
        </w:rPr>
        <w:t>管理</w:t>
      </w:r>
      <w:r>
        <w:tab/>
      </w:r>
      <w:r>
        <w:fldChar w:fldCharType="begin"/>
      </w:r>
      <w:r>
        <w:instrText xml:space="preserve"> PAGEREF _Toc1292 </w:instrText>
      </w:r>
      <w:r>
        <w:fldChar w:fldCharType="separate"/>
      </w:r>
      <w:r>
        <w:t>116</w:t>
      </w:r>
      <w:r>
        <w:fldChar w:fldCharType="end"/>
      </w:r>
      <w:r>
        <w:fldChar w:fldCharType="end"/>
      </w:r>
    </w:p>
    <w:p>
      <w:pPr>
        <w:pStyle w:val="14"/>
        <w:tabs>
          <w:tab w:val="right" w:leader="dot" w:pos="8788"/>
        </w:tabs>
      </w:pPr>
      <w:r>
        <w:fldChar w:fldCharType="begin"/>
      </w:r>
      <w:r>
        <w:instrText xml:space="preserve"> HYPERLINK \l _Toc31401 </w:instrText>
      </w:r>
      <w:r>
        <w:fldChar w:fldCharType="separate"/>
      </w:r>
      <w:r>
        <w:rPr>
          <w:rFonts w:hint="default" w:ascii="宋体" w:hAnsi="宋体" w:eastAsia="宋体" w:cs="宋体"/>
          <w:lang w:val="en-US" w:eastAsia="zh-CN"/>
        </w:rPr>
        <w:t xml:space="preserve">11.3.3. </w:t>
      </w:r>
      <w:r>
        <w:rPr>
          <w:lang w:val="en-US" w:eastAsia="zh-CN"/>
        </w:rPr>
        <w:t>排污口建档管理</w:t>
      </w:r>
      <w:r>
        <w:tab/>
      </w:r>
      <w:r>
        <w:fldChar w:fldCharType="begin"/>
      </w:r>
      <w:r>
        <w:instrText xml:space="preserve"> PAGEREF _Toc31401 </w:instrText>
      </w:r>
      <w:r>
        <w:fldChar w:fldCharType="separate"/>
      </w:r>
      <w:r>
        <w:t>118</w:t>
      </w:r>
      <w:r>
        <w:fldChar w:fldCharType="end"/>
      </w:r>
      <w:r>
        <w:fldChar w:fldCharType="end"/>
      </w:r>
    </w:p>
    <w:p>
      <w:pPr>
        <w:pStyle w:val="19"/>
        <w:tabs>
          <w:tab w:val="right" w:leader="dot" w:pos="8788"/>
        </w:tabs>
      </w:pPr>
      <w:r>
        <w:fldChar w:fldCharType="begin"/>
      </w:r>
      <w:r>
        <w:instrText xml:space="preserve"> HYPERLINK \l _Toc26784 </w:instrText>
      </w:r>
      <w:r>
        <w:fldChar w:fldCharType="separate"/>
      </w:r>
      <w:r>
        <w:rPr>
          <w:rFonts w:hint="default" w:ascii="宋体" w:hAnsi="宋体" w:eastAsia="宋体" w:cs="宋体"/>
          <w:lang w:val="en-US" w:eastAsia="zh-CN"/>
        </w:rPr>
        <w:t xml:space="preserve">11.4. </w:t>
      </w:r>
      <w:r>
        <w:rPr>
          <w:lang w:val="en-US" w:eastAsia="zh-CN"/>
        </w:rPr>
        <w:t>环保设施竣工验收</w:t>
      </w:r>
      <w:r>
        <w:tab/>
      </w:r>
      <w:r>
        <w:fldChar w:fldCharType="begin"/>
      </w:r>
      <w:r>
        <w:instrText xml:space="preserve"> PAGEREF _Toc26784 </w:instrText>
      </w:r>
      <w:r>
        <w:fldChar w:fldCharType="separate"/>
      </w:r>
      <w:r>
        <w:t>118</w:t>
      </w:r>
      <w:r>
        <w:fldChar w:fldCharType="end"/>
      </w:r>
      <w:r>
        <w:fldChar w:fldCharType="end"/>
      </w:r>
    </w:p>
    <w:p>
      <w:pPr>
        <w:pStyle w:val="17"/>
        <w:tabs>
          <w:tab w:val="right" w:leader="dot" w:pos="8788"/>
        </w:tabs>
      </w:pPr>
      <w:r>
        <w:fldChar w:fldCharType="begin"/>
      </w:r>
      <w:r>
        <w:instrText xml:space="preserve"> HYPERLINK \l _Toc16514 </w:instrText>
      </w:r>
      <w:r>
        <w:fldChar w:fldCharType="separate"/>
      </w:r>
      <w:r>
        <w:rPr>
          <w:rFonts w:hint="default" w:ascii="宋体" w:hAnsi="宋体" w:eastAsia="宋体" w:cs="宋体"/>
          <w:lang w:val="en-US" w:eastAsia="zh-CN"/>
        </w:rPr>
        <w:t xml:space="preserve">12. </w:t>
      </w:r>
      <w:r>
        <w:rPr>
          <w:rFonts w:hint="default"/>
          <w:lang w:val="en-US" w:eastAsia="zh-CN"/>
        </w:rPr>
        <w:t>建议及结论</w:t>
      </w:r>
      <w:r>
        <w:tab/>
      </w:r>
      <w:r>
        <w:fldChar w:fldCharType="begin"/>
      </w:r>
      <w:r>
        <w:instrText xml:space="preserve"> PAGEREF _Toc16514 </w:instrText>
      </w:r>
      <w:r>
        <w:fldChar w:fldCharType="separate"/>
      </w:r>
      <w:r>
        <w:t>119</w:t>
      </w:r>
      <w:r>
        <w:fldChar w:fldCharType="end"/>
      </w:r>
      <w:r>
        <w:fldChar w:fldCharType="end"/>
      </w:r>
    </w:p>
    <w:p>
      <w:pPr>
        <w:pStyle w:val="19"/>
        <w:tabs>
          <w:tab w:val="right" w:leader="dot" w:pos="8788"/>
        </w:tabs>
      </w:pPr>
      <w:r>
        <w:fldChar w:fldCharType="begin"/>
      </w:r>
      <w:r>
        <w:instrText xml:space="preserve"> HYPERLINK \l _Toc26874 </w:instrText>
      </w:r>
      <w:r>
        <w:fldChar w:fldCharType="separate"/>
      </w:r>
      <w:r>
        <w:rPr>
          <w:rFonts w:hint="default" w:ascii="宋体" w:hAnsi="宋体" w:eastAsia="宋体" w:cs="宋体"/>
          <w:lang w:val="en-US" w:eastAsia="zh-CN"/>
        </w:rPr>
        <w:t xml:space="preserve">12.1. </w:t>
      </w:r>
      <w:r>
        <w:rPr>
          <w:lang w:val="en-US" w:eastAsia="zh-CN"/>
        </w:rPr>
        <w:t>项目概况</w:t>
      </w:r>
      <w:r>
        <w:tab/>
      </w:r>
      <w:r>
        <w:fldChar w:fldCharType="begin"/>
      </w:r>
      <w:r>
        <w:instrText xml:space="preserve"> PAGEREF _Toc26874 </w:instrText>
      </w:r>
      <w:r>
        <w:fldChar w:fldCharType="separate"/>
      </w:r>
      <w:r>
        <w:t>119</w:t>
      </w:r>
      <w:r>
        <w:fldChar w:fldCharType="end"/>
      </w:r>
      <w:r>
        <w:fldChar w:fldCharType="end"/>
      </w:r>
    </w:p>
    <w:p>
      <w:pPr>
        <w:pStyle w:val="19"/>
        <w:tabs>
          <w:tab w:val="right" w:leader="dot" w:pos="8788"/>
        </w:tabs>
      </w:pPr>
      <w:r>
        <w:fldChar w:fldCharType="begin"/>
      </w:r>
      <w:r>
        <w:instrText xml:space="preserve"> HYPERLINK \l _Toc28662 </w:instrText>
      </w:r>
      <w:r>
        <w:fldChar w:fldCharType="separate"/>
      </w:r>
      <w:r>
        <w:rPr>
          <w:rFonts w:hint="default" w:ascii="宋体" w:hAnsi="宋体" w:eastAsia="宋体" w:cs="宋体"/>
          <w:lang w:val="en-US" w:eastAsia="zh-CN"/>
        </w:rPr>
        <w:t xml:space="preserve">12.2. </w:t>
      </w:r>
      <w:r>
        <w:rPr>
          <w:lang w:val="en-US" w:eastAsia="zh-CN"/>
        </w:rPr>
        <w:t>项目由来</w:t>
      </w:r>
      <w:r>
        <w:tab/>
      </w:r>
      <w:r>
        <w:fldChar w:fldCharType="begin"/>
      </w:r>
      <w:r>
        <w:instrText xml:space="preserve"> PAGEREF _Toc28662 </w:instrText>
      </w:r>
      <w:r>
        <w:fldChar w:fldCharType="separate"/>
      </w:r>
      <w:r>
        <w:t>119</w:t>
      </w:r>
      <w:r>
        <w:fldChar w:fldCharType="end"/>
      </w:r>
      <w:r>
        <w:fldChar w:fldCharType="end"/>
      </w:r>
    </w:p>
    <w:p>
      <w:pPr>
        <w:pStyle w:val="19"/>
        <w:tabs>
          <w:tab w:val="right" w:leader="dot" w:pos="8788"/>
        </w:tabs>
      </w:pPr>
      <w:r>
        <w:fldChar w:fldCharType="begin"/>
      </w:r>
      <w:r>
        <w:instrText xml:space="preserve"> HYPERLINK \l _Toc24943 </w:instrText>
      </w:r>
      <w:r>
        <w:fldChar w:fldCharType="separate"/>
      </w:r>
      <w:r>
        <w:rPr>
          <w:rFonts w:hint="default" w:ascii="宋体" w:hAnsi="宋体" w:eastAsia="宋体" w:cs="宋体"/>
          <w:lang w:val="en-US" w:eastAsia="zh-CN"/>
        </w:rPr>
        <w:t xml:space="preserve">12.3. </w:t>
      </w:r>
      <w:r>
        <w:rPr>
          <w:lang w:val="en-US" w:eastAsia="zh-CN"/>
        </w:rPr>
        <w:t>环境质量现状</w:t>
      </w:r>
      <w:r>
        <w:tab/>
      </w:r>
      <w:r>
        <w:fldChar w:fldCharType="begin"/>
      </w:r>
      <w:r>
        <w:instrText xml:space="preserve"> PAGEREF _Toc24943 </w:instrText>
      </w:r>
      <w:r>
        <w:fldChar w:fldCharType="separate"/>
      </w:r>
      <w:r>
        <w:t>119</w:t>
      </w:r>
      <w:r>
        <w:fldChar w:fldCharType="end"/>
      </w:r>
      <w:r>
        <w:fldChar w:fldCharType="end"/>
      </w:r>
    </w:p>
    <w:p>
      <w:pPr>
        <w:pStyle w:val="19"/>
        <w:tabs>
          <w:tab w:val="right" w:leader="dot" w:pos="8788"/>
        </w:tabs>
      </w:pPr>
      <w:r>
        <w:fldChar w:fldCharType="begin"/>
      </w:r>
      <w:r>
        <w:instrText xml:space="preserve"> HYPERLINK \l _Toc26542 </w:instrText>
      </w:r>
      <w:r>
        <w:fldChar w:fldCharType="separate"/>
      </w:r>
      <w:r>
        <w:rPr>
          <w:rFonts w:hint="default" w:ascii="宋体" w:hAnsi="宋体" w:eastAsia="宋体" w:cs="宋体"/>
          <w:lang w:val="en-US" w:eastAsia="zh-CN"/>
        </w:rPr>
        <w:t xml:space="preserve">12.4. </w:t>
      </w:r>
      <w:r>
        <w:rPr>
          <w:lang w:val="en-US" w:eastAsia="zh-CN"/>
        </w:rPr>
        <w:t>环境影响结论</w:t>
      </w:r>
      <w:r>
        <w:tab/>
      </w:r>
      <w:r>
        <w:fldChar w:fldCharType="begin"/>
      </w:r>
      <w:r>
        <w:instrText xml:space="preserve"> PAGEREF _Toc26542 </w:instrText>
      </w:r>
      <w:r>
        <w:fldChar w:fldCharType="separate"/>
      </w:r>
      <w:r>
        <w:t>120</w:t>
      </w:r>
      <w:r>
        <w:fldChar w:fldCharType="end"/>
      </w:r>
      <w:r>
        <w:fldChar w:fldCharType="end"/>
      </w:r>
    </w:p>
    <w:p>
      <w:pPr>
        <w:pStyle w:val="19"/>
        <w:tabs>
          <w:tab w:val="right" w:leader="dot" w:pos="8788"/>
        </w:tabs>
      </w:pPr>
      <w:r>
        <w:fldChar w:fldCharType="begin"/>
      </w:r>
      <w:r>
        <w:instrText xml:space="preserve"> HYPERLINK \l _Toc11170 </w:instrText>
      </w:r>
      <w:r>
        <w:fldChar w:fldCharType="separate"/>
      </w:r>
      <w:r>
        <w:rPr>
          <w:rFonts w:hint="default" w:ascii="宋体" w:hAnsi="宋体" w:eastAsia="宋体" w:cs="宋体"/>
          <w:lang w:val="en-US" w:eastAsia="zh-CN"/>
        </w:rPr>
        <w:t xml:space="preserve">12.5. </w:t>
      </w:r>
      <w:r>
        <w:rPr>
          <w:lang w:val="en-US" w:eastAsia="zh-CN"/>
        </w:rPr>
        <w:t>项目环境可行性</w:t>
      </w:r>
      <w:r>
        <w:tab/>
      </w:r>
      <w:r>
        <w:fldChar w:fldCharType="begin"/>
      </w:r>
      <w:r>
        <w:instrText xml:space="preserve"> PAGEREF _Toc11170 </w:instrText>
      </w:r>
      <w:r>
        <w:fldChar w:fldCharType="separate"/>
      </w:r>
      <w:r>
        <w:t>121</w:t>
      </w:r>
      <w:r>
        <w:fldChar w:fldCharType="end"/>
      </w:r>
      <w:r>
        <w:fldChar w:fldCharType="end"/>
      </w:r>
    </w:p>
    <w:p>
      <w:pPr>
        <w:pStyle w:val="14"/>
        <w:tabs>
          <w:tab w:val="right" w:leader="dot" w:pos="8788"/>
        </w:tabs>
      </w:pPr>
      <w:r>
        <w:fldChar w:fldCharType="begin"/>
      </w:r>
      <w:r>
        <w:instrText xml:space="preserve"> HYPERLINK \l _Toc26526 </w:instrText>
      </w:r>
      <w:r>
        <w:fldChar w:fldCharType="separate"/>
      </w:r>
      <w:r>
        <w:rPr>
          <w:rFonts w:hint="default" w:ascii="宋体" w:hAnsi="宋体" w:eastAsia="宋体" w:cs="宋体"/>
          <w:lang w:val="en-US" w:eastAsia="zh-CN"/>
        </w:rPr>
        <w:t xml:space="preserve">12.5.1. </w:t>
      </w:r>
      <w:r>
        <w:rPr>
          <w:rFonts w:hint="eastAsia"/>
          <w:lang w:val="en-US" w:eastAsia="zh-CN"/>
        </w:rPr>
        <w:t>产业政策符合性</w:t>
      </w:r>
      <w:r>
        <w:tab/>
      </w:r>
      <w:r>
        <w:fldChar w:fldCharType="begin"/>
      </w:r>
      <w:r>
        <w:instrText xml:space="preserve"> PAGEREF _Toc26526 </w:instrText>
      </w:r>
      <w:r>
        <w:fldChar w:fldCharType="separate"/>
      </w:r>
      <w:r>
        <w:t>121</w:t>
      </w:r>
      <w:r>
        <w:fldChar w:fldCharType="end"/>
      </w:r>
      <w:r>
        <w:fldChar w:fldCharType="end"/>
      </w:r>
    </w:p>
    <w:p>
      <w:pPr>
        <w:pStyle w:val="14"/>
        <w:tabs>
          <w:tab w:val="right" w:leader="dot" w:pos="8788"/>
        </w:tabs>
      </w:pPr>
      <w:r>
        <w:fldChar w:fldCharType="begin"/>
      </w:r>
      <w:r>
        <w:instrText xml:space="preserve"> HYPERLINK \l _Toc14416 </w:instrText>
      </w:r>
      <w:r>
        <w:fldChar w:fldCharType="separate"/>
      </w:r>
      <w:r>
        <w:rPr>
          <w:rFonts w:hint="default" w:ascii="宋体" w:hAnsi="宋体" w:eastAsia="宋体" w:cs="宋体"/>
          <w:lang w:val="en-US" w:eastAsia="zh-CN"/>
        </w:rPr>
        <w:t xml:space="preserve">12.5.2. </w:t>
      </w:r>
      <w:r>
        <w:rPr>
          <w:rFonts w:hint="eastAsia"/>
          <w:lang w:val="en-US" w:eastAsia="zh-CN"/>
        </w:rPr>
        <w:t>项目选址合理性</w:t>
      </w:r>
      <w:r>
        <w:tab/>
      </w:r>
      <w:r>
        <w:fldChar w:fldCharType="begin"/>
      </w:r>
      <w:r>
        <w:instrText xml:space="preserve"> PAGEREF _Toc14416 </w:instrText>
      </w:r>
      <w:r>
        <w:fldChar w:fldCharType="separate"/>
      </w:r>
      <w:r>
        <w:t>121</w:t>
      </w:r>
      <w:r>
        <w:fldChar w:fldCharType="end"/>
      </w:r>
      <w:r>
        <w:fldChar w:fldCharType="end"/>
      </w:r>
    </w:p>
    <w:p>
      <w:pPr>
        <w:pStyle w:val="14"/>
        <w:tabs>
          <w:tab w:val="right" w:leader="dot" w:pos="8788"/>
        </w:tabs>
      </w:pPr>
      <w:r>
        <w:fldChar w:fldCharType="begin"/>
      </w:r>
      <w:r>
        <w:instrText xml:space="preserve"> HYPERLINK \l _Toc9149 </w:instrText>
      </w:r>
      <w:r>
        <w:fldChar w:fldCharType="separate"/>
      </w:r>
      <w:r>
        <w:rPr>
          <w:rFonts w:hint="default" w:ascii="宋体" w:hAnsi="宋体" w:eastAsia="宋体" w:cs="宋体"/>
          <w:lang w:val="en-US" w:eastAsia="zh-CN"/>
        </w:rPr>
        <w:t xml:space="preserve">12.5.3. </w:t>
      </w:r>
      <w:r>
        <w:rPr>
          <w:rFonts w:hint="eastAsia"/>
          <w:lang w:val="en-US" w:eastAsia="zh-CN"/>
        </w:rPr>
        <w:t>项目平面布置合理性结论</w:t>
      </w:r>
      <w:r>
        <w:tab/>
      </w:r>
      <w:r>
        <w:fldChar w:fldCharType="begin"/>
      </w:r>
      <w:r>
        <w:instrText xml:space="preserve"> PAGEREF _Toc9149 </w:instrText>
      </w:r>
      <w:r>
        <w:fldChar w:fldCharType="separate"/>
      </w:r>
      <w:r>
        <w:t>122</w:t>
      </w:r>
      <w:r>
        <w:fldChar w:fldCharType="end"/>
      </w:r>
      <w:r>
        <w:fldChar w:fldCharType="end"/>
      </w:r>
    </w:p>
    <w:p>
      <w:pPr>
        <w:pStyle w:val="14"/>
        <w:tabs>
          <w:tab w:val="right" w:leader="dot" w:pos="8788"/>
        </w:tabs>
      </w:pPr>
      <w:r>
        <w:fldChar w:fldCharType="begin"/>
      </w:r>
      <w:r>
        <w:instrText xml:space="preserve"> HYPERLINK \l _Toc18076 </w:instrText>
      </w:r>
      <w:r>
        <w:fldChar w:fldCharType="separate"/>
      </w:r>
      <w:r>
        <w:rPr>
          <w:rFonts w:hint="default" w:ascii="宋体" w:hAnsi="宋体" w:eastAsia="宋体" w:cs="宋体"/>
          <w:lang w:val="en-US" w:eastAsia="zh-CN"/>
        </w:rPr>
        <w:t xml:space="preserve">12.5.4. </w:t>
      </w:r>
      <w:r>
        <w:rPr>
          <w:rFonts w:hint="eastAsia"/>
          <w:lang w:val="en-US" w:eastAsia="zh-CN"/>
        </w:rPr>
        <w:t>环境风险分析可接受性</w:t>
      </w:r>
      <w:r>
        <w:tab/>
      </w:r>
      <w:r>
        <w:fldChar w:fldCharType="begin"/>
      </w:r>
      <w:r>
        <w:instrText xml:space="preserve"> PAGEREF _Toc18076 </w:instrText>
      </w:r>
      <w:r>
        <w:fldChar w:fldCharType="separate"/>
      </w:r>
      <w:r>
        <w:t>122</w:t>
      </w:r>
      <w:r>
        <w:fldChar w:fldCharType="end"/>
      </w:r>
      <w:r>
        <w:fldChar w:fldCharType="end"/>
      </w:r>
    </w:p>
    <w:p>
      <w:pPr>
        <w:pStyle w:val="14"/>
        <w:tabs>
          <w:tab w:val="right" w:leader="dot" w:pos="8788"/>
        </w:tabs>
      </w:pPr>
      <w:r>
        <w:fldChar w:fldCharType="begin"/>
      </w:r>
      <w:r>
        <w:instrText xml:space="preserve"> HYPERLINK \l _Toc30080 </w:instrText>
      </w:r>
      <w:r>
        <w:fldChar w:fldCharType="separate"/>
      </w:r>
      <w:r>
        <w:rPr>
          <w:rFonts w:hint="default" w:ascii="宋体" w:hAnsi="宋体" w:eastAsia="宋体" w:cs="宋体"/>
          <w:lang w:val="en-US" w:eastAsia="zh-CN"/>
        </w:rPr>
        <w:t xml:space="preserve">12.5.5. </w:t>
      </w:r>
      <w:r>
        <w:rPr>
          <w:rFonts w:hint="eastAsia"/>
          <w:lang w:val="en-US" w:eastAsia="zh-CN"/>
        </w:rPr>
        <w:t>总量控制</w:t>
      </w:r>
      <w:r>
        <w:tab/>
      </w:r>
      <w:r>
        <w:fldChar w:fldCharType="begin"/>
      </w:r>
      <w:r>
        <w:instrText xml:space="preserve"> PAGEREF _Toc30080 </w:instrText>
      </w:r>
      <w:r>
        <w:fldChar w:fldCharType="separate"/>
      </w:r>
      <w:r>
        <w:t>122</w:t>
      </w:r>
      <w:r>
        <w:fldChar w:fldCharType="end"/>
      </w:r>
      <w:r>
        <w:fldChar w:fldCharType="end"/>
      </w:r>
    </w:p>
    <w:p>
      <w:pPr>
        <w:pStyle w:val="14"/>
        <w:tabs>
          <w:tab w:val="right" w:leader="dot" w:pos="8788"/>
        </w:tabs>
      </w:pPr>
      <w:r>
        <w:fldChar w:fldCharType="begin"/>
      </w:r>
      <w:r>
        <w:instrText xml:space="preserve"> HYPERLINK \l _Toc3456 </w:instrText>
      </w:r>
      <w:r>
        <w:fldChar w:fldCharType="separate"/>
      </w:r>
      <w:r>
        <w:rPr>
          <w:rFonts w:hint="default" w:ascii="宋体" w:hAnsi="宋体" w:eastAsia="宋体" w:cs="宋体"/>
          <w:lang w:val="en-US" w:eastAsia="zh-CN"/>
        </w:rPr>
        <w:t xml:space="preserve">12.5.6. </w:t>
      </w:r>
      <w:r>
        <w:rPr>
          <w:rFonts w:hint="eastAsia"/>
          <w:lang w:val="en-US" w:eastAsia="zh-CN"/>
        </w:rPr>
        <w:t>公众参与结果</w:t>
      </w:r>
      <w:r>
        <w:tab/>
      </w:r>
      <w:r>
        <w:fldChar w:fldCharType="begin"/>
      </w:r>
      <w:r>
        <w:instrText xml:space="preserve"> PAGEREF _Toc3456 </w:instrText>
      </w:r>
      <w:r>
        <w:fldChar w:fldCharType="separate"/>
      </w:r>
      <w:r>
        <w:t>122</w:t>
      </w:r>
      <w:r>
        <w:fldChar w:fldCharType="end"/>
      </w:r>
      <w:r>
        <w:fldChar w:fldCharType="end"/>
      </w:r>
    </w:p>
    <w:p>
      <w:pPr>
        <w:pStyle w:val="14"/>
        <w:tabs>
          <w:tab w:val="right" w:leader="dot" w:pos="8788"/>
        </w:tabs>
      </w:pPr>
      <w:r>
        <w:fldChar w:fldCharType="begin"/>
      </w:r>
      <w:r>
        <w:instrText xml:space="preserve"> HYPERLINK \l _Toc21993 </w:instrText>
      </w:r>
      <w:r>
        <w:fldChar w:fldCharType="separate"/>
      </w:r>
      <w:r>
        <w:rPr>
          <w:rFonts w:hint="default" w:ascii="宋体" w:hAnsi="宋体" w:eastAsia="宋体" w:cs="宋体"/>
          <w:lang w:val="en-US" w:eastAsia="zh-CN"/>
        </w:rPr>
        <w:t xml:space="preserve">12.5.7. </w:t>
      </w:r>
      <w:r>
        <w:rPr>
          <w:rFonts w:hint="eastAsia"/>
          <w:lang w:val="en-US" w:eastAsia="zh-CN"/>
        </w:rPr>
        <w:t>环境经济损益分析</w:t>
      </w:r>
      <w:r>
        <w:tab/>
      </w:r>
      <w:r>
        <w:fldChar w:fldCharType="begin"/>
      </w:r>
      <w:r>
        <w:instrText xml:space="preserve"> PAGEREF _Toc21993 </w:instrText>
      </w:r>
      <w:r>
        <w:fldChar w:fldCharType="separate"/>
      </w:r>
      <w:r>
        <w:t>123</w:t>
      </w:r>
      <w:r>
        <w:fldChar w:fldCharType="end"/>
      </w:r>
      <w:r>
        <w:fldChar w:fldCharType="end"/>
      </w:r>
    </w:p>
    <w:p>
      <w:pPr>
        <w:pStyle w:val="19"/>
        <w:tabs>
          <w:tab w:val="right" w:leader="dot" w:pos="8788"/>
        </w:tabs>
      </w:pPr>
      <w:r>
        <w:fldChar w:fldCharType="begin"/>
      </w:r>
      <w:r>
        <w:instrText xml:space="preserve"> HYPERLINK \l _Toc4131 </w:instrText>
      </w:r>
      <w:r>
        <w:fldChar w:fldCharType="separate"/>
      </w:r>
      <w:r>
        <w:rPr>
          <w:rFonts w:hint="default" w:ascii="宋体" w:hAnsi="宋体" w:eastAsia="宋体" w:cs="宋体"/>
          <w:lang w:val="en-US" w:eastAsia="zh-CN"/>
        </w:rPr>
        <w:t xml:space="preserve">12.6. </w:t>
      </w:r>
      <w:r>
        <w:rPr>
          <w:lang w:val="en-US" w:eastAsia="zh-CN"/>
        </w:rPr>
        <w:t>总结论</w:t>
      </w:r>
      <w:r>
        <w:tab/>
      </w:r>
      <w:r>
        <w:fldChar w:fldCharType="begin"/>
      </w:r>
      <w:r>
        <w:instrText xml:space="preserve"> PAGEREF _Toc4131 </w:instrText>
      </w:r>
      <w:r>
        <w:fldChar w:fldCharType="separate"/>
      </w:r>
      <w:r>
        <w:t>123</w:t>
      </w:r>
      <w:r>
        <w:fldChar w:fldCharType="end"/>
      </w:r>
      <w:r>
        <w:fldChar w:fldCharType="end"/>
      </w:r>
    </w:p>
    <w:p>
      <w:pPr>
        <w:pStyle w:val="19"/>
        <w:tabs>
          <w:tab w:val="right" w:leader="dot" w:pos="8788"/>
        </w:tabs>
      </w:pPr>
      <w:r>
        <w:fldChar w:fldCharType="begin"/>
      </w:r>
      <w:r>
        <w:instrText xml:space="preserve"> HYPERLINK \l _Toc6409 </w:instrText>
      </w:r>
      <w:r>
        <w:fldChar w:fldCharType="separate"/>
      </w:r>
      <w:r>
        <w:rPr>
          <w:rFonts w:hint="default" w:ascii="宋体" w:hAnsi="宋体" w:eastAsia="宋体" w:cs="宋体"/>
          <w:lang w:val="en-US" w:eastAsia="zh-CN"/>
        </w:rPr>
        <w:t xml:space="preserve">12.7. </w:t>
      </w:r>
      <w:r>
        <w:rPr>
          <w:lang w:val="en-US" w:eastAsia="zh-CN"/>
        </w:rPr>
        <w:t>建议</w:t>
      </w:r>
      <w:r>
        <w:tab/>
      </w:r>
      <w:r>
        <w:fldChar w:fldCharType="begin"/>
      </w:r>
      <w:r>
        <w:instrText xml:space="preserve"> PAGEREF _Toc6409 </w:instrText>
      </w:r>
      <w:r>
        <w:fldChar w:fldCharType="separate"/>
      </w:r>
      <w:r>
        <w:t>123</w:t>
      </w:r>
      <w:r>
        <w:fldChar w:fldCharType="end"/>
      </w:r>
      <w:r>
        <w:fldChar w:fldCharType="end"/>
      </w:r>
    </w:p>
    <w:p>
      <w:r>
        <w:fldChar w:fldCharType="end"/>
      </w:r>
      <w:r>
        <w:br w:type="page"/>
      </w:r>
    </w:p>
    <w:p>
      <w:pPr>
        <w:keepNext w:val="0"/>
        <w:keepLines w:val="0"/>
        <w:pageBreakBefore w:val="0"/>
        <w:widowControl w:val="0"/>
        <w:kinsoku/>
        <w:wordWrap/>
        <w:overflowPunct/>
        <w:topLinePunct w:val="0"/>
        <w:autoSpaceDE/>
        <w:autoSpaceDN/>
        <w:bidi w:val="0"/>
        <w:adjustRightInd/>
        <w:snapToGrid/>
        <w:spacing w:line="312" w:lineRule="auto"/>
        <w:textAlignment w:val="auto"/>
        <w:rPr>
          <w:b/>
          <w:bCs/>
          <w:szCs w:val="28"/>
        </w:rPr>
      </w:pPr>
      <w:bookmarkStart w:id="6" w:name="_Toc18441_WPSOffice_Level1"/>
      <w:bookmarkStart w:id="7" w:name="_Toc25605_WPSOffice_Level1"/>
      <w:r>
        <w:rPr>
          <w:b/>
          <w:bCs/>
          <w:szCs w:val="28"/>
        </w:rPr>
        <w:t>附件：</w:t>
      </w:r>
      <w:bookmarkEnd w:id="6"/>
      <w:bookmarkEnd w:id="7"/>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ascii="Times New Roman" w:hAnsi="Times New Roman" w:eastAsia="宋体" w:cs="宋体"/>
          <w:kern w:val="2"/>
          <w:szCs w:val="24"/>
          <w:lang w:val="en-US" w:eastAsia="zh-CN" w:bidi="ar-SA"/>
        </w:rPr>
      </w:pPr>
      <w:bookmarkStart w:id="8" w:name="_Toc7778_WPSOffice_Level1"/>
      <w:bookmarkStart w:id="9" w:name="_Toc19332_WPSOffice_Level1"/>
      <w:bookmarkStart w:id="10" w:name="_Toc29377_WPSOffice_Level1"/>
      <w:r>
        <w:rPr>
          <w:rFonts w:ascii="Times New Roman" w:hAnsi="Times New Roman" w:eastAsia="宋体" w:cs="宋体"/>
          <w:kern w:val="2"/>
          <w:szCs w:val="24"/>
          <w:lang w:val="en-US" w:eastAsia="zh-CN" w:bidi="ar-SA"/>
        </w:rPr>
        <w:t xml:space="preserve">附件1 </w:t>
      </w:r>
      <w:r>
        <w:rPr>
          <w:rFonts w:hint="eastAsia" w:ascii="Times New Roman" w:hAnsi="Times New Roman" w:eastAsia="宋体" w:cs="宋体"/>
          <w:kern w:val="2"/>
          <w:szCs w:val="24"/>
          <w:lang w:val="en-US" w:eastAsia="zh-CN" w:bidi="ar-SA"/>
        </w:rPr>
        <w:t>项目</w:t>
      </w:r>
      <w:r>
        <w:rPr>
          <w:rFonts w:ascii="Times New Roman" w:hAnsi="Times New Roman" w:eastAsia="宋体" w:cs="宋体"/>
          <w:kern w:val="2"/>
          <w:szCs w:val="24"/>
          <w:lang w:val="en-US" w:eastAsia="zh-CN" w:bidi="ar-SA"/>
        </w:rPr>
        <w:t>环评委托书</w:t>
      </w:r>
      <w:bookmarkEnd w:id="8"/>
      <w:bookmarkEnd w:id="9"/>
      <w:bookmarkEnd w:id="10"/>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hint="eastAsia" w:ascii="Times New Roman" w:hAnsi="Times New Roman" w:eastAsia="宋体" w:cs="宋体"/>
          <w:kern w:val="2"/>
          <w:szCs w:val="24"/>
          <w:lang w:val="en-US" w:eastAsia="zh-CN" w:bidi="ar-SA"/>
        </w:rPr>
      </w:pPr>
      <w:bookmarkStart w:id="11" w:name="_Toc27868_WPSOffice_Level1"/>
      <w:bookmarkStart w:id="12" w:name="_Toc30867_WPSOffice_Level1"/>
      <w:bookmarkStart w:id="13" w:name="_Toc4722_WPSOffice_Level1"/>
      <w:r>
        <w:rPr>
          <w:rFonts w:ascii="Times New Roman" w:hAnsi="Times New Roman" w:eastAsia="宋体" w:cs="宋体"/>
          <w:kern w:val="2"/>
          <w:szCs w:val="24"/>
          <w:lang w:val="en-US" w:eastAsia="zh-CN" w:bidi="ar-SA"/>
        </w:rPr>
        <w:t xml:space="preserve">附件2 </w:t>
      </w:r>
      <w:r>
        <w:rPr>
          <w:rFonts w:hint="eastAsia" w:ascii="Times New Roman" w:hAnsi="Times New Roman" w:eastAsia="宋体" w:cs="宋体"/>
          <w:kern w:val="2"/>
          <w:szCs w:val="24"/>
          <w:lang w:val="en-US" w:eastAsia="zh-CN" w:bidi="ar-SA"/>
        </w:rPr>
        <w:t>建设单位</w:t>
      </w:r>
      <w:r>
        <w:rPr>
          <w:rFonts w:ascii="Times New Roman" w:hAnsi="Times New Roman" w:eastAsia="宋体" w:cs="宋体"/>
          <w:kern w:val="2"/>
          <w:szCs w:val="24"/>
          <w:lang w:val="en-US" w:eastAsia="zh-CN" w:bidi="ar-SA"/>
        </w:rPr>
        <w:t>营业执照</w:t>
      </w:r>
      <w:bookmarkEnd w:id="11"/>
      <w:bookmarkEnd w:id="12"/>
      <w:bookmarkEnd w:id="13"/>
      <w:r>
        <w:rPr>
          <w:rFonts w:hint="eastAsia" w:ascii="Times New Roman" w:hAnsi="Times New Roman" w:eastAsia="宋体" w:cs="宋体"/>
          <w:kern w:val="2"/>
          <w:szCs w:val="24"/>
          <w:lang w:val="en-US" w:eastAsia="zh-CN" w:bidi="ar-SA"/>
        </w:rPr>
        <w:t>及法人身份证件</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ascii="Times New Roman" w:hAnsi="Times New Roman" w:eastAsia="宋体" w:cs="宋体"/>
          <w:kern w:val="2"/>
          <w:szCs w:val="24"/>
          <w:lang w:val="en-US" w:eastAsia="zh-CN" w:bidi="ar-SA"/>
        </w:rPr>
      </w:pPr>
      <w:bookmarkStart w:id="14" w:name="_Toc1770_WPSOffice_Level1"/>
      <w:bookmarkStart w:id="15" w:name="_Toc13020_WPSOffice_Level1"/>
      <w:bookmarkStart w:id="16" w:name="_Toc13724_WPSOffice_Level1"/>
      <w:r>
        <w:rPr>
          <w:rFonts w:ascii="Times New Roman" w:hAnsi="Times New Roman" w:eastAsia="宋体" w:cs="宋体"/>
          <w:kern w:val="2"/>
          <w:szCs w:val="24"/>
          <w:lang w:val="en-US" w:eastAsia="zh-CN" w:bidi="ar-SA"/>
        </w:rPr>
        <w:t>附件</w:t>
      </w:r>
      <w:r>
        <w:rPr>
          <w:rFonts w:hint="eastAsia" w:ascii="Times New Roman" w:hAnsi="Times New Roman" w:eastAsia="宋体" w:cs="宋体"/>
          <w:kern w:val="2"/>
          <w:szCs w:val="24"/>
          <w:lang w:val="en-US" w:eastAsia="zh-CN" w:bidi="ar-SA"/>
        </w:rPr>
        <w:t>3</w:t>
      </w:r>
      <w:r>
        <w:rPr>
          <w:rFonts w:ascii="Times New Roman" w:hAnsi="Times New Roman" w:eastAsia="宋体" w:cs="宋体"/>
          <w:kern w:val="2"/>
          <w:szCs w:val="24"/>
          <w:lang w:val="en-US" w:eastAsia="zh-CN" w:bidi="ar-SA"/>
        </w:rPr>
        <w:t xml:space="preserve"> </w:t>
      </w:r>
      <w:r>
        <w:rPr>
          <w:rFonts w:hint="eastAsia" w:ascii="Times New Roman" w:hAnsi="Times New Roman" w:eastAsia="宋体" w:cs="宋体"/>
          <w:kern w:val="2"/>
          <w:szCs w:val="24"/>
          <w:lang w:val="en-US" w:eastAsia="zh-CN" w:bidi="ar-SA"/>
        </w:rPr>
        <w:t>关于聚氨酯材料生产项目的联审意见</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hint="eastAsia" w:ascii="Times New Roman" w:hAnsi="Times New Roman" w:eastAsia="宋体" w:cs="宋体"/>
          <w:kern w:val="2"/>
          <w:szCs w:val="24"/>
          <w:lang w:val="en-US" w:eastAsia="zh-CN" w:bidi="ar-SA"/>
        </w:rPr>
      </w:pPr>
      <w:r>
        <w:rPr>
          <w:rFonts w:ascii="Times New Roman" w:hAnsi="Times New Roman" w:eastAsia="宋体" w:cs="宋体"/>
          <w:kern w:val="2"/>
          <w:szCs w:val="24"/>
          <w:lang w:val="en-US" w:eastAsia="zh-CN" w:bidi="ar-SA"/>
        </w:rPr>
        <w:t>附件</w:t>
      </w:r>
      <w:r>
        <w:rPr>
          <w:rFonts w:hint="eastAsia" w:ascii="Times New Roman" w:hAnsi="Times New Roman" w:eastAsia="宋体" w:cs="宋体"/>
          <w:kern w:val="2"/>
          <w:szCs w:val="24"/>
          <w:lang w:val="en-US" w:eastAsia="zh-CN" w:bidi="ar-SA"/>
        </w:rPr>
        <w:t>4</w:t>
      </w:r>
      <w:r>
        <w:rPr>
          <w:rFonts w:ascii="Times New Roman" w:hAnsi="Times New Roman" w:eastAsia="宋体" w:cs="宋体"/>
          <w:kern w:val="2"/>
          <w:szCs w:val="24"/>
          <w:lang w:val="en-US" w:eastAsia="zh-CN" w:bidi="ar-SA"/>
        </w:rPr>
        <w:t xml:space="preserve"> </w:t>
      </w:r>
      <w:r>
        <w:rPr>
          <w:rFonts w:hint="eastAsia" w:ascii="Times New Roman" w:hAnsi="Times New Roman" w:eastAsia="宋体" w:cs="宋体"/>
          <w:kern w:val="2"/>
          <w:szCs w:val="24"/>
          <w:lang w:val="en-US" w:eastAsia="zh-CN" w:bidi="ar-SA"/>
        </w:rPr>
        <w:t>厂房购买协议</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hint="eastAsia" w:ascii="Times New Roman" w:hAnsi="Times New Roman" w:eastAsia="宋体" w:cs="宋体"/>
          <w:kern w:val="2"/>
          <w:szCs w:val="24"/>
          <w:lang w:val="en-US" w:eastAsia="zh-CN" w:bidi="ar-SA"/>
        </w:rPr>
      </w:pPr>
      <w:r>
        <w:rPr>
          <w:rFonts w:ascii="Times New Roman" w:hAnsi="Times New Roman" w:eastAsia="宋体" w:cs="宋体"/>
          <w:kern w:val="2"/>
          <w:szCs w:val="24"/>
          <w:lang w:val="en-US" w:eastAsia="zh-CN" w:bidi="ar-SA"/>
        </w:rPr>
        <w:t>附件</w:t>
      </w:r>
      <w:r>
        <w:rPr>
          <w:rFonts w:hint="eastAsia" w:ascii="Times New Roman" w:hAnsi="Times New Roman" w:eastAsia="宋体" w:cs="宋体"/>
          <w:kern w:val="2"/>
          <w:szCs w:val="24"/>
          <w:lang w:val="en-US" w:eastAsia="zh-CN" w:bidi="ar-SA"/>
        </w:rPr>
        <w:t>5</w:t>
      </w:r>
      <w:r>
        <w:rPr>
          <w:rFonts w:ascii="Times New Roman" w:hAnsi="Times New Roman" w:eastAsia="宋体" w:cs="宋体"/>
          <w:kern w:val="2"/>
          <w:szCs w:val="24"/>
          <w:lang w:val="en-US" w:eastAsia="zh-CN" w:bidi="ar-SA"/>
        </w:rPr>
        <w:t xml:space="preserve"> </w:t>
      </w:r>
      <w:bookmarkEnd w:id="14"/>
      <w:bookmarkEnd w:id="15"/>
      <w:bookmarkEnd w:id="16"/>
      <w:r>
        <w:rPr>
          <w:rFonts w:hint="eastAsia" w:ascii="Times New Roman" w:hAnsi="Times New Roman" w:eastAsia="宋体" w:cs="宋体"/>
          <w:kern w:val="2"/>
          <w:szCs w:val="24"/>
          <w:lang w:val="en-US" w:eastAsia="zh-CN" w:bidi="ar-SA"/>
        </w:rPr>
        <w:t>中骏公司资质及监测数据质量保证单</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hint="eastAsia" w:ascii="Times New Roman" w:hAnsi="Times New Roman" w:eastAsia="宋体" w:cs="宋体"/>
          <w:kern w:val="2"/>
          <w:szCs w:val="24"/>
          <w:lang w:val="en-US" w:eastAsia="zh-CN" w:bidi="ar-SA"/>
        </w:rPr>
      </w:pPr>
      <w:bookmarkStart w:id="17" w:name="_Toc21976_WPSOffice_Level1"/>
      <w:bookmarkStart w:id="18" w:name="_Toc13240_WPSOffice_Level1"/>
      <w:bookmarkStart w:id="19" w:name="_Toc17510_WPSOffice_Level1"/>
      <w:r>
        <w:rPr>
          <w:rFonts w:ascii="Times New Roman" w:hAnsi="Times New Roman" w:eastAsia="宋体" w:cs="宋体"/>
          <w:kern w:val="2"/>
          <w:szCs w:val="24"/>
          <w:lang w:val="en-US" w:eastAsia="zh-CN" w:bidi="ar-SA"/>
        </w:rPr>
        <w:t>附件</w:t>
      </w:r>
      <w:r>
        <w:rPr>
          <w:rFonts w:hint="eastAsia" w:ascii="Times New Roman" w:hAnsi="Times New Roman" w:eastAsia="宋体" w:cs="宋体"/>
          <w:kern w:val="2"/>
          <w:szCs w:val="24"/>
          <w:lang w:val="en-US" w:eastAsia="zh-CN" w:bidi="ar-SA"/>
        </w:rPr>
        <w:t>6</w:t>
      </w:r>
      <w:r>
        <w:rPr>
          <w:rFonts w:ascii="Times New Roman" w:hAnsi="Times New Roman" w:eastAsia="宋体" w:cs="宋体"/>
          <w:kern w:val="2"/>
          <w:szCs w:val="24"/>
          <w:lang w:val="en-US" w:eastAsia="zh-CN" w:bidi="ar-SA"/>
        </w:rPr>
        <w:t xml:space="preserve"> </w:t>
      </w:r>
      <w:bookmarkEnd w:id="17"/>
      <w:bookmarkEnd w:id="18"/>
      <w:bookmarkEnd w:id="19"/>
      <w:r>
        <w:rPr>
          <w:rFonts w:hint="eastAsia" w:ascii="Times New Roman" w:hAnsi="Times New Roman" w:eastAsia="宋体" w:cs="宋体"/>
          <w:kern w:val="2"/>
          <w:szCs w:val="24"/>
          <w:lang w:val="en-US" w:eastAsia="zh-CN" w:bidi="ar-SA"/>
        </w:rPr>
        <w:t>金龙新区工业区规划环评审查意见</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hint="eastAsia" w:ascii="Times New Roman" w:hAnsi="Times New Roman" w:eastAsia="宋体" w:cs="宋体"/>
          <w:kern w:val="2"/>
          <w:szCs w:val="24"/>
          <w:lang w:val="en-US" w:eastAsia="zh-CN" w:bidi="ar-SA"/>
        </w:rPr>
      </w:pPr>
      <w:r>
        <w:rPr>
          <w:rFonts w:hint="eastAsia" w:ascii="Times New Roman" w:hAnsi="Times New Roman" w:eastAsia="宋体" w:cs="宋体"/>
          <w:kern w:val="2"/>
          <w:szCs w:val="24"/>
          <w:lang w:val="en-US" w:eastAsia="zh-CN" w:bidi="ar-SA"/>
        </w:rPr>
        <w:t>附件7 湘阴20万m</w:t>
      </w:r>
      <w:r>
        <w:rPr>
          <w:rFonts w:hint="eastAsia" w:ascii="Times New Roman" w:hAnsi="Times New Roman" w:eastAsia="宋体" w:cs="宋体"/>
          <w:kern w:val="2"/>
          <w:szCs w:val="24"/>
          <w:vertAlign w:val="superscript"/>
          <w:lang w:val="en-US" w:eastAsia="zh-CN" w:bidi="ar-SA"/>
        </w:rPr>
        <w:t>2</w:t>
      </w:r>
      <w:r>
        <w:rPr>
          <w:rFonts w:hint="eastAsia" w:ascii="Times New Roman" w:hAnsi="Times New Roman" w:eastAsia="宋体" w:cs="宋体"/>
          <w:kern w:val="2"/>
          <w:szCs w:val="24"/>
          <w:lang w:val="en-US" w:eastAsia="zh-CN" w:bidi="ar-SA"/>
        </w:rPr>
        <w:t>集中工业厂房建设项目环评报告书批复</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hint="eastAsia" w:ascii="Times New Roman" w:hAnsi="Times New Roman" w:eastAsia="宋体" w:cs="宋体"/>
          <w:kern w:val="2"/>
          <w:szCs w:val="24"/>
          <w:lang w:val="en-US" w:eastAsia="zh-CN" w:bidi="ar-SA"/>
        </w:rPr>
      </w:pPr>
      <w:r>
        <w:rPr>
          <w:rFonts w:hint="eastAsia"/>
          <w:lang w:val="en-US" w:eastAsia="zh-CN"/>
        </w:rPr>
        <w:t>附件8 湖南聚特新材料有限公司产品销售合同</w:t>
      </w:r>
    </w:p>
    <w:p>
      <w:pPr>
        <w:pStyle w:val="25"/>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lang w:val="en-US" w:eastAsia="zh-CN"/>
        </w:rPr>
      </w:pPr>
      <w:r>
        <w:rPr>
          <w:rFonts w:hint="default"/>
          <w:lang w:val="en-US" w:eastAsia="zh-CN"/>
        </w:rPr>
        <w:t>附件</w:t>
      </w:r>
      <w:r>
        <w:rPr>
          <w:rFonts w:hint="eastAsia"/>
          <w:lang w:val="en-US" w:eastAsia="zh-CN"/>
        </w:rPr>
        <w:t>9</w:t>
      </w:r>
      <w:r>
        <w:rPr>
          <w:rFonts w:hint="default"/>
          <w:lang w:val="en-US" w:eastAsia="zh-CN"/>
        </w:rPr>
        <w:t xml:space="preserve"> </w:t>
      </w:r>
      <w:r>
        <w:rPr>
          <w:rFonts w:hint="eastAsia"/>
          <w:lang w:val="en-US" w:eastAsia="zh-CN"/>
        </w:rPr>
        <w:t>湘阴县工业和信息化局文件</w:t>
      </w:r>
    </w:p>
    <w:p>
      <w:pPr>
        <w:pStyle w:val="25"/>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lang w:val="en-US" w:eastAsia="zh-CN"/>
        </w:rPr>
      </w:pPr>
      <w:r>
        <w:rPr>
          <w:rFonts w:hint="default"/>
          <w:lang w:val="en-US" w:eastAsia="zh-CN"/>
        </w:rPr>
        <w:t>附件</w:t>
      </w:r>
      <w:r>
        <w:rPr>
          <w:rFonts w:hint="eastAsia"/>
          <w:lang w:val="en-US" w:eastAsia="zh-CN"/>
        </w:rPr>
        <w:t>10</w:t>
      </w:r>
      <w:r>
        <w:rPr>
          <w:rFonts w:hint="default"/>
          <w:lang w:val="en-US" w:eastAsia="zh-CN"/>
        </w:rPr>
        <w:t xml:space="preserve"> </w:t>
      </w:r>
      <w:r>
        <w:rPr>
          <w:rFonts w:hint="eastAsia"/>
          <w:lang w:val="en-US" w:eastAsia="zh-CN"/>
        </w:rPr>
        <w:t>湘阴县发展和改革局文件</w:t>
      </w:r>
    </w:p>
    <w:p>
      <w:pPr>
        <w:pStyle w:val="25"/>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s="宋体"/>
          <w:kern w:val="2"/>
          <w:szCs w:val="24"/>
          <w:lang w:val="en-US" w:eastAsia="zh-CN" w:bidi="ar-SA"/>
        </w:rPr>
      </w:pPr>
      <w:r>
        <w:rPr>
          <w:rFonts w:hint="eastAsia" w:ascii="Times New Roman" w:hAnsi="Times New Roman" w:eastAsia="宋体" w:cs="宋体"/>
          <w:kern w:val="2"/>
          <w:szCs w:val="24"/>
          <w:lang w:val="en-US" w:eastAsia="zh-CN" w:bidi="ar-SA"/>
        </w:rPr>
        <w:t>附件</w:t>
      </w:r>
      <w:r>
        <w:rPr>
          <w:rFonts w:hint="eastAsia" w:cs="宋体"/>
          <w:kern w:val="2"/>
          <w:szCs w:val="24"/>
          <w:lang w:val="en-US" w:eastAsia="zh-CN" w:bidi="ar-SA"/>
        </w:rPr>
        <w:t>11</w:t>
      </w:r>
      <w:r>
        <w:rPr>
          <w:rFonts w:hint="eastAsia" w:ascii="Times New Roman" w:hAnsi="Times New Roman" w:eastAsia="宋体" w:cs="宋体"/>
          <w:kern w:val="2"/>
          <w:szCs w:val="24"/>
          <w:lang w:val="en-US" w:eastAsia="zh-CN" w:bidi="ar-SA"/>
        </w:rPr>
        <w:t xml:space="preserve"> 环评执行</w:t>
      </w:r>
      <w:r>
        <w:rPr>
          <w:rFonts w:hint="eastAsia" w:cs="宋体"/>
          <w:kern w:val="2"/>
          <w:szCs w:val="24"/>
          <w:lang w:val="en-US" w:eastAsia="zh-CN" w:bidi="ar-SA"/>
        </w:rPr>
        <w:t>标准函</w:t>
      </w:r>
    </w:p>
    <w:p>
      <w:pPr>
        <w:pStyle w:val="25"/>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s="宋体"/>
          <w:kern w:val="2"/>
          <w:szCs w:val="24"/>
          <w:lang w:val="en-US" w:eastAsia="zh-CN" w:bidi="ar-SA"/>
        </w:rPr>
      </w:pPr>
      <w:r>
        <w:rPr>
          <w:rFonts w:hint="eastAsia" w:ascii="Times New Roman" w:hAnsi="Times New Roman" w:eastAsia="宋体" w:cs="宋体"/>
          <w:kern w:val="2"/>
          <w:szCs w:val="24"/>
          <w:lang w:val="en-US" w:eastAsia="zh-CN" w:bidi="ar-SA"/>
        </w:rPr>
        <w:t>附件</w:t>
      </w:r>
      <w:r>
        <w:rPr>
          <w:rFonts w:hint="eastAsia" w:cs="宋体"/>
          <w:kern w:val="2"/>
          <w:szCs w:val="24"/>
          <w:lang w:val="en-US" w:eastAsia="zh-CN" w:bidi="ar-SA"/>
        </w:rPr>
        <w:t>12</w:t>
      </w:r>
      <w:r>
        <w:rPr>
          <w:rFonts w:hint="eastAsia" w:ascii="Times New Roman" w:hAnsi="Times New Roman" w:eastAsia="宋体" w:cs="宋体"/>
          <w:kern w:val="2"/>
          <w:szCs w:val="24"/>
          <w:lang w:val="en-US" w:eastAsia="zh-CN" w:bidi="ar-SA"/>
        </w:rPr>
        <w:t xml:space="preserve"> </w:t>
      </w:r>
      <w:r>
        <w:rPr>
          <w:rFonts w:hint="eastAsia" w:cs="宋体"/>
          <w:kern w:val="2"/>
          <w:szCs w:val="24"/>
          <w:lang w:val="en-US" w:eastAsia="zh-CN" w:bidi="ar-SA"/>
        </w:rPr>
        <w:t>湖南聚特新材料公司企业入园协议</w:t>
      </w:r>
    </w:p>
    <w:p>
      <w:pPr>
        <w:pStyle w:val="25"/>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cs="宋体"/>
          <w:kern w:val="2"/>
          <w:szCs w:val="24"/>
          <w:lang w:val="en-US" w:eastAsia="zh-CN" w:bidi="ar-SA"/>
        </w:rPr>
      </w:pPr>
      <w:r>
        <w:rPr>
          <w:rFonts w:hint="eastAsia" w:cs="宋体"/>
          <w:kern w:val="2"/>
          <w:szCs w:val="24"/>
          <w:lang w:val="en-US" w:eastAsia="zh-CN" w:bidi="ar-SA"/>
        </w:rPr>
        <w:t>附件13 环境影响报告书技术审查意见</w:t>
      </w:r>
    </w:p>
    <w:p>
      <w:pPr>
        <w:pStyle w:val="25"/>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cs="宋体"/>
          <w:kern w:val="2"/>
          <w:szCs w:val="24"/>
          <w:lang w:val="en-US" w:eastAsia="zh-CN" w:bidi="ar-SA"/>
        </w:rPr>
      </w:pPr>
      <w:r>
        <w:rPr>
          <w:rFonts w:hint="eastAsia" w:ascii="Times New Roman" w:hAnsi="Times New Roman" w:eastAsia="宋体" w:cs="宋体"/>
          <w:kern w:val="2"/>
          <w:szCs w:val="24"/>
          <w:lang w:val="en-US" w:eastAsia="zh-CN" w:bidi="ar-SA"/>
        </w:rPr>
        <w:t>附件1</w:t>
      </w:r>
      <w:r>
        <w:rPr>
          <w:rFonts w:hint="eastAsia" w:cs="宋体"/>
          <w:kern w:val="2"/>
          <w:szCs w:val="24"/>
          <w:lang w:val="en-US" w:eastAsia="zh-CN" w:bidi="ar-SA"/>
        </w:rPr>
        <w:t>4 环境影响报告书技术审查会专家签到表</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hint="eastAsia"/>
          <w:b/>
          <w:bCs/>
          <w:szCs w:val="28"/>
          <w:lang w:eastAsia="zh-CN"/>
        </w:rPr>
      </w:pPr>
      <w:bookmarkStart w:id="20" w:name="_Toc22781_WPSOffice_Level1"/>
      <w:bookmarkStart w:id="21" w:name="_Toc9961_WPSOffice_Level1"/>
      <w:r>
        <w:rPr>
          <w:b/>
          <w:bCs/>
          <w:szCs w:val="28"/>
        </w:rPr>
        <w:t>附图</w:t>
      </w:r>
      <w:bookmarkEnd w:id="20"/>
      <w:bookmarkEnd w:id="21"/>
      <w:r>
        <w:rPr>
          <w:rFonts w:hint="eastAsia" w:eastAsia="宋体"/>
          <w:b/>
          <w:bCs/>
          <w:szCs w:val="28"/>
          <w:lang w:eastAsia="zh-CN"/>
        </w:rPr>
        <w:t>：</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ascii="Times New Roman" w:hAnsi="Times New Roman" w:eastAsia="宋体" w:cs="宋体"/>
          <w:kern w:val="2"/>
          <w:szCs w:val="24"/>
          <w:lang w:val="en-US" w:eastAsia="zh-CN" w:bidi="ar-SA"/>
        </w:rPr>
      </w:pPr>
      <w:bookmarkStart w:id="22" w:name="_Toc699_WPSOffice_Level1"/>
      <w:bookmarkStart w:id="23" w:name="_Toc590_WPSOffice_Level1"/>
      <w:bookmarkStart w:id="24" w:name="_Toc29074_WPSOffice_Level1"/>
      <w:r>
        <w:rPr>
          <w:rFonts w:ascii="Times New Roman" w:hAnsi="Times New Roman" w:eastAsia="宋体" w:cs="宋体"/>
          <w:kern w:val="2"/>
          <w:szCs w:val="24"/>
          <w:lang w:val="en-US" w:eastAsia="zh-CN" w:bidi="ar-SA"/>
        </w:rPr>
        <w:t>附图</w:t>
      </w:r>
      <w:r>
        <w:rPr>
          <w:rFonts w:hint="eastAsia" w:ascii="Times New Roman" w:hAnsi="Times New Roman" w:eastAsia="宋体" w:cs="宋体"/>
          <w:kern w:val="2"/>
          <w:szCs w:val="24"/>
          <w:lang w:val="en-US" w:eastAsia="zh-CN" w:bidi="ar-SA"/>
        </w:rPr>
        <w:t>1 建设项目</w:t>
      </w:r>
      <w:r>
        <w:rPr>
          <w:rFonts w:ascii="Times New Roman" w:hAnsi="Times New Roman" w:eastAsia="宋体" w:cs="宋体"/>
          <w:kern w:val="2"/>
          <w:szCs w:val="24"/>
          <w:lang w:val="en-US" w:eastAsia="zh-CN" w:bidi="ar-SA"/>
        </w:rPr>
        <w:t>地理位置图</w:t>
      </w:r>
      <w:bookmarkEnd w:id="22"/>
      <w:bookmarkEnd w:id="23"/>
      <w:bookmarkEnd w:id="24"/>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hint="eastAsia" w:ascii="Times New Roman" w:hAnsi="Times New Roman" w:eastAsia="宋体" w:cs="宋体"/>
          <w:kern w:val="2"/>
          <w:szCs w:val="24"/>
          <w:lang w:val="en-US" w:eastAsia="zh-CN" w:bidi="ar-SA"/>
        </w:rPr>
      </w:pPr>
      <w:bookmarkStart w:id="25" w:name="_Toc14731_WPSOffice_Level1"/>
      <w:bookmarkStart w:id="26" w:name="_Toc30496_WPSOffice_Level1"/>
      <w:bookmarkStart w:id="27" w:name="_Toc4741_WPSOffice_Level1"/>
      <w:r>
        <w:rPr>
          <w:rFonts w:ascii="Times New Roman" w:hAnsi="Times New Roman" w:eastAsia="宋体" w:cs="宋体"/>
          <w:kern w:val="2"/>
          <w:szCs w:val="24"/>
          <w:lang w:val="en-US" w:eastAsia="zh-CN" w:bidi="ar-SA"/>
        </w:rPr>
        <w:t xml:space="preserve">附图2 </w:t>
      </w:r>
      <w:bookmarkEnd w:id="25"/>
      <w:bookmarkEnd w:id="26"/>
      <w:bookmarkEnd w:id="27"/>
      <w:r>
        <w:rPr>
          <w:rFonts w:hint="eastAsia" w:ascii="Times New Roman" w:hAnsi="Times New Roman" w:eastAsia="宋体" w:cs="宋体"/>
          <w:kern w:val="2"/>
          <w:szCs w:val="24"/>
          <w:lang w:val="en-US" w:eastAsia="zh-CN" w:bidi="ar-SA"/>
        </w:rPr>
        <w:t>建设项目在卓达金谷创业园的位置及近周企业分布图</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hint="eastAsia" w:ascii="Times New Roman" w:hAnsi="Times New Roman" w:eastAsia="宋体" w:cs="宋体"/>
          <w:kern w:val="2"/>
          <w:szCs w:val="24"/>
          <w:lang w:val="en-US" w:eastAsia="zh-CN" w:bidi="ar-SA"/>
        </w:rPr>
      </w:pPr>
      <w:r>
        <w:rPr>
          <w:rFonts w:ascii="Times New Roman" w:hAnsi="Times New Roman" w:eastAsia="宋体" w:cs="宋体"/>
          <w:kern w:val="2"/>
          <w:szCs w:val="24"/>
          <w:lang w:val="en-US" w:eastAsia="zh-CN" w:bidi="ar-SA"/>
        </w:rPr>
        <w:t>附图</w:t>
      </w:r>
      <w:r>
        <w:rPr>
          <w:rFonts w:hint="eastAsia" w:ascii="Times New Roman" w:hAnsi="Times New Roman" w:eastAsia="宋体" w:cs="宋体"/>
          <w:kern w:val="2"/>
          <w:szCs w:val="24"/>
          <w:lang w:val="en-US" w:eastAsia="zh-CN" w:bidi="ar-SA"/>
        </w:rPr>
        <w:t>3 建设项目周边企业分布图</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hint="eastAsia" w:ascii="Times New Roman" w:hAnsi="Times New Roman" w:eastAsia="宋体" w:cs="宋体"/>
          <w:kern w:val="2"/>
          <w:szCs w:val="24"/>
          <w:lang w:val="en-US" w:eastAsia="zh-CN" w:bidi="ar-SA"/>
        </w:rPr>
      </w:pPr>
      <w:bookmarkStart w:id="28" w:name="_Toc29096_WPSOffice_Level1"/>
      <w:bookmarkStart w:id="29" w:name="_Toc16247_WPSOffice_Level1"/>
      <w:bookmarkStart w:id="30" w:name="_Toc7000_WPSOffice_Level1"/>
      <w:r>
        <w:rPr>
          <w:rFonts w:ascii="Times New Roman" w:hAnsi="Times New Roman" w:eastAsia="宋体" w:cs="宋体"/>
          <w:kern w:val="2"/>
          <w:szCs w:val="24"/>
          <w:lang w:val="en-US" w:eastAsia="zh-CN" w:bidi="ar-SA"/>
        </w:rPr>
        <w:t>附图</w:t>
      </w:r>
      <w:bookmarkEnd w:id="28"/>
      <w:bookmarkEnd w:id="29"/>
      <w:bookmarkEnd w:id="30"/>
      <w:r>
        <w:rPr>
          <w:rFonts w:hint="eastAsia" w:ascii="Times New Roman" w:hAnsi="Times New Roman" w:eastAsia="宋体" w:cs="宋体"/>
          <w:kern w:val="2"/>
          <w:szCs w:val="24"/>
          <w:lang w:val="en-US" w:eastAsia="zh-CN" w:bidi="ar-SA"/>
        </w:rPr>
        <w:t xml:space="preserve">4 </w:t>
      </w:r>
      <w:bookmarkStart w:id="31" w:name="_Toc12924_WPSOffice_Level1"/>
      <w:bookmarkStart w:id="32" w:name="_Toc6974_WPSOffice_Level1"/>
      <w:bookmarkStart w:id="33" w:name="_Toc23723_WPSOffice_Level1"/>
      <w:r>
        <w:rPr>
          <w:rFonts w:hint="eastAsia" w:ascii="Times New Roman" w:hAnsi="Times New Roman" w:eastAsia="宋体" w:cs="宋体"/>
          <w:kern w:val="2"/>
          <w:szCs w:val="24"/>
          <w:lang w:val="en-US" w:eastAsia="zh-CN" w:bidi="ar-SA"/>
        </w:rPr>
        <w:t>建设项目厂区一层平面布置图</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hint="eastAsia" w:ascii="Times New Roman" w:hAnsi="Times New Roman" w:eastAsia="宋体" w:cs="宋体"/>
          <w:kern w:val="2"/>
          <w:szCs w:val="24"/>
          <w:lang w:val="en-US" w:eastAsia="zh-CN" w:bidi="ar-SA"/>
        </w:rPr>
      </w:pPr>
      <w:r>
        <w:rPr>
          <w:rFonts w:hint="eastAsia" w:ascii="Times New Roman" w:hAnsi="Times New Roman" w:eastAsia="宋体" w:cs="宋体"/>
          <w:kern w:val="2"/>
          <w:szCs w:val="24"/>
          <w:lang w:val="en-US" w:eastAsia="zh-CN" w:bidi="ar-SA"/>
        </w:rPr>
        <w:t>附图5 建设项目厂区二层平面布置图</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hint="eastAsia" w:ascii="Times New Roman" w:hAnsi="Times New Roman" w:eastAsia="宋体" w:cs="宋体"/>
          <w:kern w:val="2"/>
          <w:szCs w:val="24"/>
          <w:lang w:val="en-US" w:eastAsia="zh-CN" w:bidi="ar-SA"/>
        </w:rPr>
      </w:pPr>
      <w:r>
        <w:rPr>
          <w:rFonts w:ascii="Times New Roman" w:hAnsi="Times New Roman" w:eastAsia="宋体" w:cs="宋体"/>
          <w:kern w:val="2"/>
          <w:szCs w:val="24"/>
          <w:lang w:val="en-US" w:eastAsia="zh-CN" w:bidi="ar-SA"/>
        </w:rPr>
        <w:t>附图</w:t>
      </w:r>
      <w:r>
        <w:rPr>
          <w:rFonts w:hint="eastAsia" w:ascii="Times New Roman" w:hAnsi="Times New Roman" w:eastAsia="宋体" w:cs="宋体"/>
          <w:kern w:val="2"/>
          <w:szCs w:val="24"/>
          <w:lang w:val="en-US" w:eastAsia="zh-CN" w:bidi="ar-SA"/>
        </w:rPr>
        <w:t>6</w:t>
      </w:r>
      <w:r>
        <w:rPr>
          <w:rFonts w:ascii="Times New Roman" w:hAnsi="Times New Roman" w:eastAsia="宋体" w:cs="宋体"/>
          <w:kern w:val="2"/>
          <w:szCs w:val="24"/>
          <w:lang w:val="en-US" w:eastAsia="zh-CN" w:bidi="ar-SA"/>
        </w:rPr>
        <w:t xml:space="preserve"> </w:t>
      </w:r>
      <w:bookmarkEnd w:id="31"/>
      <w:bookmarkEnd w:id="32"/>
      <w:r>
        <w:rPr>
          <w:rFonts w:hint="eastAsia" w:ascii="Times New Roman" w:hAnsi="Times New Roman" w:eastAsia="宋体" w:cs="宋体"/>
          <w:kern w:val="2"/>
          <w:szCs w:val="24"/>
          <w:lang w:val="en-US" w:eastAsia="zh-CN" w:bidi="ar-SA"/>
        </w:rPr>
        <w:t>建设项目环境敏感点分布图</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hint="eastAsia" w:ascii="Times New Roman" w:hAnsi="Times New Roman" w:eastAsia="宋体" w:cs="宋体"/>
          <w:kern w:val="2"/>
          <w:szCs w:val="24"/>
          <w:lang w:val="en-US" w:eastAsia="zh-CN" w:bidi="ar-SA"/>
        </w:rPr>
      </w:pPr>
      <w:bookmarkStart w:id="34" w:name="_Toc11765_WPSOffice_Level1"/>
      <w:bookmarkStart w:id="35" w:name="_Toc2471_WPSOffice_Level1"/>
      <w:r>
        <w:rPr>
          <w:rFonts w:ascii="Times New Roman" w:hAnsi="Times New Roman" w:eastAsia="宋体" w:cs="宋体"/>
          <w:kern w:val="2"/>
          <w:szCs w:val="24"/>
          <w:lang w:val="en-US" w:eastAsia="zh-CN" w:bidi="ar-SA"/>
        </w:rPr>
        <w:t>附图</w:t>
      </w:r>
      <w:r>
        <w:rPr>
          <w:rFonts w:hint="eastAsia" w:ascii="Times New Roman" w:hAnsi="Times New Roman" w:eastAsia="宋体" w:cs="宋体"/>
          <w:kern w:val="2"/>
          <w:szCs w:val="24"/>
          <w:lang w:val="en-US" w:eastAsia="zh-CN" w:bidi="ar-SA"/>
        </w:rPr>
        <w:t>7</w:t>
      </w:r>
      <w:r>
        <w:rPr>
          <w:rFonts w:ascii="Times New Roman" w:hAnsi="Times New Roman" w:eastAsia="宋体" w:cs="宋体"/>
          <w:kern w:val="2"/>
          <w:szCs w:val="24"/>
          <w:lang w:val="en-US" w:eastAsia="zh-CN" w:bidi="ar-SA"/>
        </w:rPr>
        <w:t xml:space="preserve"> </w:t>
      </w:r>
      <w:bookmarkEnd w:id="34"/>
      <w:bookmarkEnd w:id="35"/>
      <w:r>
        <w:rPr>
          <w:rFonts w:hint="eastAsia" w:ascii="Times New Roman" w:hAnsi="Times New Roman" w:eastAsia="宋体" w:cs="宋体"/>
          <w:kern w:val="2"/>
          <w:szCs w:val="24"/>
          <w:lang w:val="en-US" w:eastAsia="zh-CN" w:bidi="ar-SA"/>
        </w:rPr>
        <w:t>建设项目监测点位图</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hint="eastAsia" w:ascii="Times New Roman" w:hAnsi="Times New Roman" w:eastAsia="宋体" w:cs="宋体"/>
          <w:kern w:val="2"/>
          <w:szCs w:val="24"/>
          <w:lang w:val="en-US" w:eastAsia="zh-CN" w:bidi="ar-SA"/>
        </w:rPr>
      </w:pPr>
      <w:bookmarkStart w:id="36" w:name="_Toc30620_WPSOffice_Level1"/>
      <w:bookmarkStart w:id="37" w:name="_Toc23056_WPSOffice_Level1"/>
      <w:r>
        <w:rPr>
          <w:rFonts w:hint="eastAsia" w:ascii="Times New Roman" w:hAnsi="Times New Roman" w:eastAsia="宋体" w:cs="宋体"/>
          <w:kern w:val="2"/>
          <w:szCs w:val="24"/>
          <w:lang w:val="en-US" w:eastAsia="zh-CN" w:bidi="ar-SA"/>
        </w:rPr>
        <w:t>附图8 建设项目引用环评监测布点图</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hint="eastAsia" w:ascii="Times New Roman" w:hAnsi="Times New Roman" w:eastAsia="宋体" w:cs="宋体"/>
          <w:kern w:val="2"/>
          <w:szCs w:val="24"/>
          <w:lang w:val="en-US" w:eastAsia="zh-CN" w:bidi="ar-SA"/>
        </w:rPr>
      </w:pPr>
      <w:r>
        <w:rPr>
          <w:rFonts w:ascii="Times New Roman" w:hAnsi="Times New Roman" w:eastAsia="宋体" w:cs="宋体"/>
          <w:kern w:val="2"/>
          <w:szCs w:val="24"/>
          <w:lang w:val="en-US" w:eastAsia="zh-CN" w:bidi="ar-SA"/>
        </w:rPr>
        <w:t>附图</w:t>
      </w:r>
      <w:bookmarkEnd w:id="33"/>
      <w:bookmarkStart w:id="38" w:name="_Toc22334_WPSOffice_Level1"/>
      <w:r>
        <w:rPr>
          <w:rFonts w:hint="eastAsia" w:ascii="Times New Roman" w:hAnsi="Times New Roman" w:eastAsia="宋体" w:cs="宋体"/>
          <w:kern w:val="2"/>
          <w:szCs w:val="24"/>
          <w:lang w:val="en-US" w:eastAsia="zh-CN" w:bidi="ar-SA"/>
        </w:rPr>
        <w:t>9</w:t>
      </w:r>
      <w:r>
        <w:rPr>
          <w:rFonts w:ascii="Times New Roman" w:hAnsi="Times New Roman" w:eastAsia="宋体" w:cs="宋体"/>
          <w:kern w:val="2"/>
          <w:szCs w:val="24"/>
          <w:lang w:val="en-US" w:eastAsia="zh-CN" w:bidi="ar-SA"/>
        </w:rPr>
        <w:t xml:space="preserve"> </w:t>
      </w:r>
      <w:bookmarkEnd w:id="36"/>
      <w:bookmarkEnd w:id="37"/>
      <w:bookmarkEnd w:id="38"/>
      <w:r>
        <w:rPr>
          <w:rFonts w:hint="eastAsia" w:ascii="Times New Roman" w:hAnsi="Times New Roman" w:eastAsia="宋体" w:cs="宋体"/>
          <w:kern w:val="2"/>
          <w:szCs w:val="24"/>
          <w:lang w:val="en-US" w:eastAsia="zh-CN" w:bidi="ar-SA"/>
        </w:rPr>
        <w:t>建设项目所在区域水功能区划图</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hint="eastAsia" w:ascii="Times New Roman" w:hAnsi="Times New Roman" w:eastAsia="宋体" w:cs="宋体"/>
          <w:kern w:val="2"/>
          <w:szCs w:val="24"/>
          <w:lang w:val="en-US" w:eastAsia="zh-CN" w:bidi="ar-SA"/>
        </w:rPr>
      </w:pPr>
      <w:r>
        <w:rPr>
          <w:rFonts w:hint="eastAsia" w:ascii="Times New Roman" w:hAnsi="Times New Roman" w:eastAsia="宋体" w:cs="宋体"/>
          <w:kern w:val="2"/>
          <w:szCs w:val="24"/>
          <w:lang w:val="en-US" w:eastAsia="zh-CN" w:bidi="ar-SA"/>
        </w:rPr>
        <w:t>附图10 建设项目用地类型分布图</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hint="eastAsia" w:ascii="Times New Roman" w:hAnsi="Times New Roman" w:eastAsia="宋体" w:cs="宋体"/>
          <w:kern w:val="2"/>
          <w:szCs w:val="24"/>
          <w:lang w:val="en-US" w:eastAsia="zh-CN" w:bidi="ar-SA"/>
        </w:rPr>
      </w:pPr>
      <w:r>
        <w:rPr>
          <w:rFonts w:hint="eastAsia" w:ascii="Times New Roman" w:hAnsi="Times New Roman" w:eastAsia="宋体" w:cs="宋体"/>
          <w:kern w:val="2"/>
          <w:szCs w:val="24"/>
          <w:lang w:val="en-US" w:eastAsia="zh-CN" w:bidi="ar-SA"/>
        </w:rPr>
        <w:t>附图11 岳阳市生态红线划定结果及卓达金谷创业园聚特公司所处位置图</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hint="default" w:ascii="Times New Roman" w:hAnsi="Times New Roman" w:eastAsia="宋体" w:cs="宋体"/>
          <w:kern w:val="2"/>
          <w:szCs w:val="24"/>
          <w:lang w:val="en-US" w:eastAsia="zh-CN" w:bidi="ar-SA"/>
        </w:rPr>
      </w:pPr>
      <w:r>
        <w:rPr>
          <w:rFonts w:hint="eastAsia" w:ascii="Times New Roman" w:hAnsi="Times New Roman" w:eastAsia="宋体" w:cs="宋体"/>
          <w:kern w:val="2"/>
          <w:szCs w:val="24"/>
          <w:lang w:val="en-US" w:eastAsia="zh-CN" w:bidi="ar-SA"/>
        </w:rPr>
        <w:t>附图12 网络平台、报纸、张贴公告的公示照片</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hint="eastAsia"/>
        </w:rPr>
      </w:pPr>
      <w:r>
        <w:rPr>
          <w:rFonts w:hint="eastAsia" w:ascii="Times New Roman" w:hAnsi="Times New Roman" w:eastAsia="宋体" w:cs="宋体"/>
          <w:kern w:val="2"/>
          <w:szCs w:val="24"/>
          <w:lang w:val="en-US" w:eastAsia="zh-CN" w:bidi="ar-SA"/>
        </w:rPr>
        <w:t>附图13 建设单位周边环境及现场监测照片</w:t>
      </w:r>
    </w:p>
    <w:p>
      <w:pPr>
        <w:keepNext w:val="0"/>
        <w:keepLines w:val="0"/>
        <w:pageBreakBefore w:val="0"/>
        <w:widowControl w:val="0"/>
        <w:kinsoku/>
        <w:wordWrap/>
        <w:overflowPunct/>
        <w:topLinePunct w:val="0"/>
        <w:autoSpaceDE/>
        <w:autoSpaceDN/>
        <w:bidi w:val="0"/>
        <w:adjustRightInd/>
        <w:snapToGrid/>
        <w:spacing w:line="312" w:lineRule="auto"/>
        <w:textAlignment w:val="auto"/>
        <w:rPr>
          <w:b/>
          <w:bCs/>
          <w:szCs w:val="28"/>
        </w:rPr>
      </w:pPr>
      <w:bookmarkStart w:id="39" w:name="_Toc33_WPSOffice_Level1"/>
      <w:bookmarkStart w:id="40" w:name="_Toc20571_WPSOffice_Level1"/>
      <w:r>
        <w:rPr>
          <w:b/>
          <w:bCs/>
          <w:szCs w:val="28"/>
        </w:rPr>
        <w:t>附表：</w:t>
      </w:r>
      <w:bookmarkEnd w:id="39"/>
      <w:bookmarkEnd w:id="40"/>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ascii="Times New Roman" w:hAnsi="Times New Roman" w:eastAsia="宋体" w:cs="宋体"/>
          <w:kern w:val="2"/>
          <w:szCs w:val="24"/>
          <w:lang w:val="en-US" w:eastAsia="zh-CN" w:bidi="ar-SA"/>
        </w:rPr>
      </w:pPr>
      <w:r>
        <w:rPr>
          <w:rFonts w:hint="eastAsia" w:ascii="Times New Roman" w:hAnsi="Times New Roman" w:eastAsia="宋体" w:cs="宋体"/>
          <w:kern w:val="2"/>
          <w:szCs w:val="24"/>
          <w:lang w:val="en-US" w:eastAsia="zh-CN" w:bidi="ar-SA"/>
        </w:rPr>
        <w:t>附表1 建设项目环评审批</w:t>
      </w:r>
      <w:r>
        <w:rPr>
          <w:rFonts w:ascii="Times New Roman" w:hAnsi="Times New Roman" w:eastAsia="宋体" w:cs="宋体"/>
          <w:kern w:val="2"/>
          <w:szCs w:val="24"/>
          <w:lang w:val="en-US" w:eastAsia="zh-CN" w:bidi="ar-SA"/>
        </w:rPr>
        <w:t>基础信息表</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ascii="Times New Roman" w:hAnsi="Times New Roman" w:eastAsia="宋体" w:cs="宋体"/>
          <w:kern w:val="2"/>
          <w:szCs w:val="24"/>
          <w:lang w:val="en-US" w:eastAsia="zh-CN" w:bidi="ar-SA"/>
        </w:rPr>
      </w:pPr>
      <w:r>
        <w:rPr>
          <w:rFonts w:hint="eastAsia" w:ascii="Times New Roman" w:hAnsi="Times New Roman" w:eastAsia="宋体" w:cs="宋体"/>
          <w:kern w:val="2"/>
          <w:szCs w:val="24"/>
          <w:lang w:val="en-US" w:eastAsia="zh-CN" w:bidi="ar-SA"/>
        </w:rPr>
        <w:t>附表2 建设项目大气环境影响评价自查表</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ascii="Times New Roman" w:hAnsi="Times New Roman" w:eastAsia="宋体" w:cs="宋体"/>
          <w:kern w:val="2"/>
          <w:szCs w:val="24"/>
          <w:lang w:val="en-US" w:eastAsia="zh-CN" w:bidi="ar-SA"/>
        </w:rPr>
      </w:pPr>
      <w:r>
        <w:rPr>
          <w:rFonts w:hint="eastAsia" w:ascii="Times New Roman" w:hAnsi="Times New Roman" w:eastAsia="宋体" w:cs="宋体"/>
          <w:kern w:val="2"/>
          <w:szCs w:val="24"/>
          <w:lang w:val="en-US" w:eastAsia="zh-CN" w:bidi="ar-SA"/>
        </w:rPr>
        <w:t>附表3 建设项目地表水环境影响评价自查表</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hint="eastAsia" w:ascii="Times New Roman" w:hAnsi="Times New Roman" w:eastAsia="宋体" w:cs="宋体"/>
          <w:kern w:val="2"/>
          <w:szCs w:val="24"/>
          <w:lang w:val="en-US" w:eastAsia="zh-CN" w:bidi="ar-SA"/>
        </w:rPr>
      </w:pPr>
      <w:r>
        <w:rPr>
          <w:rFonts w:hint="eastAsia" w:ascii="Times New Roman" w:hAnsi="Times New Roman" w:eastAsia="宋体" w:cs="宋体"/>
          <w:kern w:val="2"/>
          <w:szCs w:val="24"/>
          <w:lang w:val="en-US" w:eastAsia="zh-CN" w:bidi="ar-SA"/>
        </w:rPr>
        <w:t>附表4 建设项目环境风险评价自查表</w:t>
      </w:r>
    </w:p>
    <w:p>
      <w:pPr>
        <w:pStyle w:val="2"/>
        <w:pageBreakBefore w:val="0"/>
        <w:widowControl w:val="0"/>
        <w:kinsoku/>
        <w:wordWrap/>
        <w:overflowPunct/>
        <w:topLinePunct w:val="0"/>
        <w:autoSpaceDE/>
        <w:autoSpaceDN/>
        <w:bidi w:val="0"/>
        <w:adjustRightInd/>
        <w:snapToGrid/>
        <w:spacing w:line="312" w:lineRule="auto"/>
        <w:textAlignment w:val="auto"/>
        <w:rPr>
          <w:rFonts w:hint="eastAsia"/>
        </w:rPr>
        <w:sectPr>
          <w:footerReference r:id="rId13" w:type="default"/>
          <w:pgSz w:w="11906" w:h="16838"/>
          <w:pgMar w:top="1417" w:right="1417" w:bottom="1134" w:left="1701" w:header="851" w:footer="992" w:gutter="0"/>
          <w:pgBorders>
            <w:top w:val="none" w:sz="0" w:space="0"/>
            <w:left w:val="none" w:sz="0" w:space="0"/>
            <w:bottom w:val="none" w:sz="0" w:space="0"/>
            <w:right w:val="none" w:sz="0" w:space="0"/>
          </w:pgBorders>
          <w:pgNumType w:fmt="lowerRoman" w:start="1"/>
          <w:cols w:space="0" w:num="1"/>
          <w:rtlGutter w:val="0"/>
          <w:docGrid w:linePitch="312" w:charSpace="0"/>
        </w:sectPr>
      </w:pPr>
    </w:p>
    <w:bookmarkEnd w:id="0"/>
    <w:bookmarkEnd w:id="1"/>
    <w:p>
      <w:pPr>
        <w:pStyle w:val="3"/>
        <w:numPr>
          <w:ilvl w:val="0"/>
          <w:numId w:val="3"/>
        </w:numPr>
        <w:bidi w:val="0"/>
        <w:ind w:leftChars="0"/>
        <w:rPr>
          <w:lang w:val="en-US" w:eastAsia="zh-CN"/>
        </w:rPr>
      </w:pPr>
      <w:bookmarkStart w:id="41" w:name="_Toc17186"/>
      <w:bookmarkStart w:id="42" w:name="_Toc27962"/>
      <w:bookmarkStart w:id="43" w:name="_Toc29632"/>
      <w:r>
        <w:rPr>
          <w:lang w:val="en-US" w:eastAsia="zh-CN"/>
        </w:rPr>
        <w:t>概述</w:t>
      </w:r>
      <w:bookmarkEnd w:id="41"/>
      <w:bookmarkEnd w:id="42"/>
      <w:bookmarkEnd w:id="43"/>
    </w:p>
    <w:p>
      <w:pPr>
        <w:pStyle w:val="2"/>
        <w:bidi w:val="0"/>
        <w:rPr>
          <w:lang w:val="en-US" w:eastAsia="zh-CN"/>
        </w:rPr>
      </w:pPr>
      <w:bookmarkStart w:id="44" w:name="_Toc22577_WPSOffice_Level2"/>
      <w:bookmarkStart w:id="45" w:name="_Toc8589"/>
      <w:bookmarkStart w:id="46" w:name="_Toc2510"/>
      <w:bookmarkStart w:id="47" w:name="_Toc6220_WPSOffice_Level2"/>
      <w:bookmarkStart w:id="48" w:name="_Toc4740_WPSOffice_Level2"/>
      <w:bookmarkStart w:id="49" w:name="_Toc7361"/>
      <w:bookmarkStart w:id="50" w:name="_Toc22837"/>
      <w:bookmarkStart w:id="51" w:name="_Toc12666_WPSOffice_Level2"/>
      <w:bookmarkStart w:id="52" w:name="_Toc29062_WPSOffice_Level2"/>
      <w:bookmarkStart w:id="53" w:name="_Toc146"/>
      <w:bookmarkStart w:id="54" w:name="_Toc30831"/>
      <w:bookmarkStart w:id="55" w:name="_Toc1734_WPSOffice_Level2"/>
      <w:bookmarkStart w:id="56" w:name="_Toc7342_WPSOffice_Level2"/>
      <w:r>
        <w:rPr>
          <w:lang w:val="en-US" w:eastAsia="zh-CN"/>
        </w:rPr>
        <w:t>项目由来</w:t>
      </w:r>
      <w:bookmarkEnd w:id="44"/>
      <w:bookmarkEnd w:id="45"/>
      <w:bookmarkEnd w:id="46"/>
      <w:bookmarkEnd w:id="47"/>
      <w:bookmarkEnd w:id="48"/>
      <w:bookmarkEnd w:id="49"/>
      <w:bookmarkEnd w:id="50"/>
      <w:bookmarkEnd w:id="51"/>
      <w:bookmarkEnd w:id="52"/>
      <w:bookmarkEnd w:id="53"/>
      <w:bookmarkEnd w:id="54"/>
      <w:bookmarkEnd w:id="55"/>
      <w:bookmarkEnd w:id="56"/>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bookmarkStart w:id="57" w:name="_Toc19521_WPSOffice_Level2"/>
      <w:bookmarkStart w:id="58" w:name="_Toc471286039"/>
      <w:bookmarkStart w:id="59" w:name="_Toc2127"/>
      <w:bookmarkStart w:id="60" w:name="_Toc481738340"/>
      <w:bookmarkStart w:id="61" w:name="_Toc24737"/>
      <w:r>
        <w:rPr>
          <w:rFonts w:hint="eastAsia" w:ascii="Times New Roman" w:hAnsi="Times New Roman" w:eastAsia="宋体" w:cs="宋体"/>
          <w:kern w:val="2"/>
          <w:sz w:val="24"/>
          <w:szCs w:val="24"/>
          <w:lang w:val="en-US" w:eastAsia="zh-CN" w:bidi="ar-SA"/>
        </w:rPr>
        <w:t>聚氨酯泡沫塑料（液态称泡沫胶，固态称泡沫塑料）应用广泛。</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HYPERLINK "https://baike.sogou.com/lemma/ShowInnerLink.htm?lemmaId=7880783&amp;ss_c=ssc.citiao.link" \t "https://baike.sogou.com/_blank" </w:instrText>
      </w:r>
      <w:r>
        <w:rPr>
          <w:rFonts w:hint="eastAsia" w:ascii="Times New Roman" w:hAnsi="Times New Roman" w:eastAsia="宋体" w:cs="宋体"/>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软泡沫塑料</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主要用于家具及交通工具各种垫材、隔音材料等；硬泡沫塑料主要用于家用电器隔热层、屋墙面保温防水喷涂泡沫、</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HYPERLINK "https://baike.sogou.com/lemma/ShowInnerLink.htm?lemmaId=10279707" \t "https://baike.sogou.com/_blank" </w:instrText>
      </w:r>
      <w:r>
        <w:rPr>
          <w:rFonts w:hint="eastAsia" w:ascii="Times New Roman" w:hAnsi="Times New Roman" w:eastAsia="宋体" w:cs="宋体"/>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管道保温</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材料、建筑板材、</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HYPERLINK "https://baike.sogou.com/lemma/ShowInnerLink.htm?lemmaId=7841257" \t "https://baike.sogou.com/_blank" </w:instrText>
      </w:r>
      <w:r>
        <w:rPr>
          <w:rFonts w:hint="eastAsia" w:ascii="Times New Roman" w:hAnsi="Times New Roman" w:eastAsia="宋体" w:cs="宋体"/>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冷藏车</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及冷库隔热材等；半硬泡沫塑料用于汽车仪表板、方向盘等。市场上已有各种规格用途的泡沫塑料组合料(双组分</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HYPERLINK "https://baike.sogou.com/lemma/ShowInnerLink.htm?lemmaId=7559838" \t "https://baike.sogou.com/_blank" </w:instrText>
      </w:r>
      <w:r>
        <w:rPr>
          <w:rFonts w:hint="eastAsia" w:ascii="Times New Roman" w:hAnsi="Times New Roman" w:eastAsia="宋体" w:cs="宋体"/>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预混料</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)，主要用于冷熟化</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HYPERLINK "https://baike.sogou.com/lemma/ShowInnerLink.htm?lemmaId=139255317&amp;ss_c=ssc.citiao.link" \t "https://baike.sogou.com/_blank" </w:instrText>
      </w:r>
      <w:r>
        <w:rPr>
          <w:rFonts w:hint="eastAsia" w:ascii="Times New Roman" w:hAnsi="Times New Roman" w:eastAsia="宋体" w:cs="宋体"/>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高回弹泡沫塑料</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、半硬泡沫塑料、浇铸及喷涂硬泡沫塑料等。聚氨酯被誉为“第五大塑料”。</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湖南聚特新材料有限公司主要从事塑料制品研发和合成橡胶制造。为了扩大聚氨酯泡沫塑料的生产，公司拟在湘阴金龙新区卓达金谷创业园投资新建年产6500吨</w:t>
      </w:r>
      <w:r>
        <w:rPr>
          <w:rFonts w:hint="eastAsia" w:cs="宋体"/>
          <w:kern w:val="2"/>
          <w:sz w:val="24"/>
          <w:szCs w:val="24"/>
          <w:lang w:val="en-US" w:eastAsia="zh-CN" w:bidi="ar-SA"/>
        </w:rPr>
        <w:t>聚氨酯发泡胶材料</w:t>
      </w:r>
      <w:r>
        <w:rPr>
          <w:rFonts w:hint="eastAsia" w:ascii="Times New Roman" w:hAnsi="Times New Roman" w:eastAsia="宋体" w:cs="宋体"/>
          <w:kern w:val="2"/>
          <w:sz w:val="24"/>
          <w:szCs w:val="24"/>
          <w:lang w:val="en-US" w:eastAsia="zh-CN" w:bidi="ar-SA"/>
        </w:rPr>
        <w:t>生产项目。</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湘阴县项目联审联办工作领导小组2019年11月25日，以湘阴项目联审[2019]23号文《关于聚氨酯合成材料生产项目联审的意见》批准湖南聚特新材料有限公司</w:t>
      </w:r>
      <w:r>
        <w:rPr>
          <w:rFonts w:hint="eastAsia" w:cs="宋体"/>
          <w:kern w:val="2"/>
          <w:sz w:val="24"/>
          <w:szCs w:val="24"/>
          <w:lang w:val="en-US" w:eastAsia="zh-CN" w:bidi="ar-SA"/>
        </w:rPr>
        <w:t>聚氨酯发泡胶材料</w:t>
      </w:r>
      <w:r>
        <w:rPr>
          <w:rFonts w:hint="eastAsia" w:ascii="Times New Roman" w:hAnsi="Times New Roman" w:eastAsia="宋体" w:cs="宋体"/>
          <w:kern w:val="2"/>
          <w:sz w:val="24"/>
          <w:szCs w:val="24"/>
          <w:lang w:val="en-US" w:eastAsia="zh-CN" w:bidi="ar-SA"/>
        </w:rPr>
        <w:t>生产项目落户湖南省湘阴县高新区金龙片区卓达工业地产一期8号栋厂房。详</w:t>
      </w:r>
      <w:r>
        <w:rPr>
          <w:rFonts w:hint="eastAsia" w:ascii="Times New Roman" w:hAnsi="Times New Roman" w:eastAsia="宋体" w:cs="宋体"/>
          <w:kern w:val="2"/>
          <w:sz w:val="24"/>
          <w:szCs w:val="24"/>
          <w:highlight w:val="none"/>
          <w:lang w:val="en-US" w:eastAsia="zh-CN" w:bidi="ar-SA"/>
        </w:rPr>
        <w:t>见</w:t>
      </w:r>
      <w:r>
        <w:rPr>
          <w:rFonts w:hint="eastAsia" w:ascii="Times New Roman" w:hAnsi="Times New Roman" w:eastAsia="宋体" w:cs="宋体"/>
          <w:color w:val="auto"/>
          <w:kern w:val="2"/>
          <w:sz w:val="24"/>
          <w:szCs w:val="24"/>
          <w:highlight w:val="none"/>
          <w:lang w:val="en-US" w:eastAsia="zh-CN" w:bidi="ar-SA"/>
        </w:rPr>
        <w:t>附件3</w:t>
      </w:r>
      <w:r>
        <w:rPr>
          <w:rFonts w:hint="eastAsia" w:ascii="Times New Roman" w:hAnsi="Times New Roman" w:eastAsia="宋体" w:cs="宋体"/>
          <w:kern w:val="2"/>
          <w:sz w:val="24"/>
          <w:szCs w:val="24"/>
          <w:highlight w:val="none"/>
          <w:lang w:val="en-US" w:eastAsia="zh-CN" w:bidi="ar-SA"/>
        </w:rPr>
        <w:t>。</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根据中华人民共和国主席第48号令《中华人民共和国环境影响评价法》和中华人民共和国国务院第682号令《建设项目环境保护管理条例》的有关规定，本项目进行</w:t>
      </w:r>
      <w:r>
        <w:rPr>
          <w:rFonts w:hint="eastAsia" w:cs="宋体"/>
          <w:kern w:val="2"/>
          <w:sz w:val="24"/>
          <w:szCs w:val="24"/>
          <w:lang w:val="en-US" w:eastAsia="zh-CN" w:bidi="ar-SA"/>
        </w:rPr>
        <w:t>聚氨酯发泡胶材料</w:t>
      </w:r>
      <w:r>
        <w:rPr>
          <w:rFonts w:hint="eastAsia" w:ascii="Times New Roman" w:hAnsi="Times New Roman" w:eastAsia="宋体" w:cs="宋体"/>
          <w:kern w:val="2"/>
          <w:sz w:val="24"/>
          <w:szCs w:val="24"/>
          <w:lang w:val="en-US" w:eastAsia="zh-CN" w:bidi="ar-SA"/>
        </w:rPr>
        <w:t>生产，必须进行环境影响评价。</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国家工信部2018年第66号公告，《产业发展与转移指导目录（2018年本）》，</w:t>
      </w:r>
      <w:r>
        <w:rPr>
          <w:rFonts w:hint="eastAsia" w:cs="宋体"/>
          <w:kern w:val="2"/>
          <w:sz w:val="24"/>
          <w:szCs w:val="24"/>
          <w:lang w:val="en-US" w:eastAsia="zh-CN" w:bidi="ar-SA"/>
        </w:rPr>
        <w:t>聚氨酯发泡胶材料</w:t>
      </w:r>
      <w:r>
        <w:rPr>
          <w:rFonts w:hint="eastAsia" w:ascii="Times New Roman" w:hAnsi="Times New Roman" w:eastAsia="宋体" w:cs="宋体"/>
          <w:kern w:val="2"/>
          <w:sz w:val="24"/>
          <w:szCs w:val="24"/>
          <w:lang w:val="en-US" w:eastAsia="zh-CN" w:bidi="ar-SA"/>
        </w:rPr>
        <w:t>生产项目属于生产发展指导目录中湖南省第五类第6项初级形态塑料及合成树脂，岳阳市是工信部文件确定的湖南省唯一的产业承接地，工信部公告指出，产业发展指导目录促进产业合理有序转移，是贯彻落实党中央、国务院决策部署，促进区域协调发展的重要举措。根据国家发改委、工业和信息化部、自然资源部和生态环境部印发的《绿色产业指导目录(2019年版）》发改环资[2019]293号，本项目属于绿色产业2类清洁生产产业中的2.2.1无毒无害原料生产与代替使用。对照湖南省发改委《湖南省新材料产业产品统计指导目录（2017）》，本项目归入新材料产业第5.6.1聚氨酯大类中26512111新型聚氨酯泡沫塑料。本</w:t>
      </w:r>
      <w:r>
        <w:rPr>
          <w:rFonts w:hint="eastAsia" w:cs="宋体"/>
          <w:kern w:val="2"/>
          <w:sz w:val="24"/>
          <w:szCs w:val="24"/>
          <w:lang w:val="en-US" w:eastAsia="zh-CN" w:bidi="ar-SA"/>
        </w:rPr>
        <w:t>聚氨酯发泡胶材料</w:t>
      </w:r>
      <w:r>
        <w:rPr>
          <w:rFonts w:hint="eastAsia" w:ascii="Times New Roman" w:hAnsi="Times New Roman" w:eastAsia="宋体" w:cs="宋体"/>
          <w:kern w:val="2"/>
          <w:sz w:val="24"/>
          <w:szCs w:val="24"/>
          <w:lang w:val="en-US" w:eastAsia="zh-CN" w:bidi="ar-SA"/>
        </w:rPr>
        <w:t>生产项目属于国家工信部规定的岳阳市产业发展指导项目和湖南省新材料产业项目，属于绿色产业中的清洁生产产业。</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对照《国民经济行业分类》（GB/T4754-2017），项目归入第29大类橡胶和塑料制品业中2924小类泡沫塑料制造。</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对照《建设项目环境影响评价分类管理名录》，湖南聚特新材料有限公司年产6500吨</w:t>
      </w:r>
      <w:r>
        <w:rPr>
          <w:rFonts w:hint="eastAsia" w:cs="宋体"/>
          <w:kern w:val="2"/>
          <w:sz w:val="24"/>
          <w:szCs w:val="24"/>
          <w:lang w:val="en-US" w:eastAsia="zh-CN" w:bidi="ar-SA"/>
        </w:rPr>
        <w:t>聚氨酯发泡胶材料</w:t>
      </w:r>
      <w:r>
        <w:rPr>
          <w:rFonts w:hint="eastAsia" w:ascii="Times New Roman" w:hAnsi="Times New Roman" w:eastAsia="宋体" w:cs="宋体"/>
          <w:kern w:val="2"/>
          <w:sz w:val="24"/>
          <w:szCs w:val="24"/>
          <w:lang w:val="en-US" w:eastAsia="zh-CN" w:bidi="ar-SA"/>
        </w:rPr>
        <w:t>生产项目归入《建设项目环境影响评价分类管理名录（2018年）》十八大类橡胶和塑料制品业第47类塑料制品制造中的“发泡胶产业涉及有毒原材料的”按要求应当编制环境影响报告书。建设单位委托长沙水天净化技术工程有限公司承担该项目的环境影响评价编制工作。环评公司在资料收集分析研究、现场踏勘、同类工程类比调查、走访，并对项目所在地环境质量现状调查的基础上，依据国家环保部颁布的《环境影响评价技术导则》的技术要求，进行预测分析与评价，编制完成了该生产项目环境影响报告书。</w:t>
      </w:r>
    </w:p>
    <w:p>
      <w:pPr>
        <w:pStyle w:val="2"/>
        <w:bidi w:val="0"/>
        <w:rPr>
          <w:lang w:val="en-US" w:eastAsia="zh-CN"/>
        </w:rPr>
      </w:pPr>
      <w:bookmarkStart w:id="62" w:name="_Toc28383"/>
      <w:bookmarkStart w:id="63" w:name="_Toc7141"/>
      <w:bookmarkStart w:id="64" w:name="_Toc2826_WPSOffice_Level2"/>
      <w:bookmarkStart w:id="65" w:name="_Toc5485"/>
      <w:bookmarkStart w:id="66" w:name="_Toc31517_WPSOffice_Level2"/>
      <w:bookmarkStart w:id="67" w:name="_Toc29989"/>
      <w:bookmarkStart w:id="68" w:name="_Toc5470_WPSOffice_Level2"/>
      <w:bookmarkStart w:id="69" w:name="_Toc2361_WPSOffice_Level2"/>
      <w:bookmarkStart w:id="70" w:name="_Toc17469_WPSOffice_Level2"/>
      <w:bookmarkStart w:id="71" w:name="_Toc25032_WPSOffice_Level2"/>
      <w:r>
        <w:rPr>
          <w:lang w:val="en-US" w:eastAsia="zh-CN"/>
        </w:rPr>
        <w:t>评价目的</w:t>
      </w:r>
      <w:bookmarkEnd w:id="62"/>
      <w:bookmarkEnd w:id="63"/>
      <w:bookmarkEnd w:id="64"/>
      <w:bookmarkEnd w:id="65"/>
      <w:bookmarkEnd w:id="66"/>
      <w:bookmarkEnd w:id="67"/>
      <w:bookmarkEnd w:id="68"/>
      <w:bookmarkEnd w:id="69"/>
      <w:bookmarkEnd w:id="70"/>
      <w:bookmarkEnd w:id="71"/>
    </w:p>
    <w:p>
      <w:pPr>
        <w:keepNext w:val="0"/>
        <w:keepLines w:val="0"/>
        <w:pageBreakBefore w:val="0"/>
        <w:widowControl w:val="0"/>
        <w:kinsoku/>
        <w:wordWrap/>
        <w:overflowPunct/>
        <w:topLinePunct w:val="0"/>
        <w:autoSpaceDE/>
        <w:autoSpaceDN/>
        <w:bidi w:val="0"/>
        <w:adjustRightInd/>
        <w:snapToGrid/>
        <w:ind w:firstLine="480" w:firstLineChars="200"/>
        <w:textAlignment w:val="auto"/>
      </w:pPr>
      <w:r>
        <w:t>（1）通过环境现状调查，了解评价区域的环境质量状况，分析评价区域存在的主要环境问题。</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t>（2）通过工程分析，查清项目污染类型、排污节点、污染物种类、各项污染物的排放规律及排放量，确定污染因子、环境影响因素，并分析其清洁生产水平。</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t>（3）在现状评价及工程分析的基础上，预测评价或分析项目建设对环境的影响程度和范围。</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t>（4）从经济、技术角度分析论证拟采用的环保措施的可行性。必要时提出改善或改进措施的替代方案。</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t>（5）根据环境功能要求和环境容量，提出污染物排放总量控制建议指标。</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t>（6）根据当地的发展规划、环境功能区划以及影响评价结果，论证项目选址的合理性。</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t>（7）依据环保法规、产业政策和区域环境现状、工艺排污情况、污染防治措施等综合分析结果，从环境保护角度对项目的可行性给出明确结论，确保环境影响报告书为主管部门提供决策依据，为环境管理提供科学依据。</w:t>
      </w:r>
    </w:p>
    <w:p>
      <w:pPr>
        <w:pStyle w:val="2"/>
        <w:bidi w:val="0"/>
        <w:rPr>
          <w:lang w:val="en-US" w:eastAsia="zh-CN"/>
        </w:rPr>
      </w:pPr>
      <w:bookmarkStart w:id="72" w:name="_Toc23478_WPSOffice_Level2"/>
      <w:bookmarkStart w:id="73" w:name="_Toc4549_WPSOffice_Level2"/>
      <w:bookmarkStart w:id="74" w:name="_Toc30571_WPSOffice_Level2"/>
      <w:bookmarkStart w:id="75" w:name="_Toc14333"/>
      <w:bookmarkStart w:id="76" w:name="_Toc23671_WPSOffice_Level2"/>
      <w:bookmarkStart w:id="77" w:name="_Toc14391"/>
      <w:bookmarkStart w:id="78" w:name="_Toc27078_WPSOffice_Level2"/>
      <w:bookmarkStart w:id="79" w:name="_Toc25402_WPSOffice_Level2"/>
      <w:bookmarkStart w:id="80" w:name="_Toc4082"/>
      <w:bookmarkStart w:id="81" w:name="_Toc18955"/>
      <w:r>
        <w:rPr>
          <w:lang w:val="en-US" w:eastAsia="zh-CN"/>
        </w:rPr>
        <w:t>评价原则</w:t>
      </w:r>
      <w:bookmarkEnd w:id="72"/>
      <w:bookmarkEnd w:id="73"/>
      <w:bookmarkEnd w:id="74"/>
      <w:bookmarkEnd w:id="75"/>
      <w:bookmarkEnd w:id="76"/>
      <w:bookmarkEnd w:id="77"/>
      <w:bookmarkEnd w:id="78"/>
      <w:bookmarkEnd w:id="79"/>
      <w:bookmarkEnd w:id="80"/>
      <w:bookmarkEnd w:id="81"/>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按照以人为本、建设资源节约型、环境友好型社会和科学发展的要求，遵循以下原则开展环境影响评价工作：</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82" w:name="_Toc32050_WPSOffice_Level3"/>
      <w:bookmarkStart w:id="83" w:name="_Toc22622_WPSOffice_Level3"/>
      <w:r>
        <w:rPr>
          <w:rFonts w:ascii="Times New Roman" w:hAnsi="Times New Roman" w:eastAsia="宋体" w:cs="宋体"/>
          <w:kern w:val="2"/>
          <w:sz w:val="24"/>
          <w:szCs w:val="24"/>
          <w:lang w:val="en-US" w:eastAsia="zh-CN" w:bidi="ar-SA"/>
        </w:rPr>
        <w:t>（1）依法评价</w:t>
      </w:r>
      <w:bookmarkEnd w:id="82"/>
      <w:bookmarkEnd w:id="83"/>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贯彻执行我国环境保护相关法律法规、标准、政策和规划等，优化项目建设，服务环境管理。</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84" w:name="_Toc4012_WPSOffice_Level3"/>
      <w:bookmarkStart w:id="85" w:name="_Toc4858_WPSOffice_Level3"/>
      <w:r>
        <w:rPr>
          <w:rFonts w:ascii="Times New Roman" w:hAnsi="Times New Roman" w:eastAsia="宋体" w:cs="宋体"/>
          <w:kern w:val="2"/>
          <w:sz w:val="24"/>
          <w:szCs w:val="24"/>
          <w:lang w:val="en-US" w:eastAsia="zh-CN" w:bidi="ar-SA"/>
        </w:rPr>
        <w:t>（2）科学评价</w:t>
      </w:r>
      <w:bookmarkEnd w:id="84"/>
      <w:bookmarkEnd w:id="85"/>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规范环境影响评价方法，科学分析项目建设对环境质量的影响。</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86" w:name="_Toc17709_WPSOffice_Level3"/>
      <w:bookmarkStart w:id="87" w:name="_Toc12925_WPSOffice_Level3"/>
      <w:r>
        <w:rPr>
          <w:rFonts w:ascii="Times New Roman" w:hAnsi="Times New Roman" w:eastAsia="宋体" w:cs="宋体"/>
          <w:kern w:val="2"/>
          <w:sz w:val="24"/>
          <w:szCs w:val="24"/>
          <w:lang w:val="en-US" w:eastAsia="zh-CN" w:bidi="ar-SA"/>
        </w:rPr>
        <w:t>（3）突出重点</w:t>
      </w:r>
      <w:bookmarkEnd w:id="86"/>
      <w:bookmarkEnd w:id="87"/>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根据建设项目的工程内容及其特点，明确与环境要素间的作用效应关系，根据规划环境影响评价结论和审查意见，充分利用符合时效的数据资料及成果，对建设项目主要环境影响予以重点分析和评价。</w:t>
      </w:r>
    </w:p>
    <w:p>
      <w:pPr>
        <w:pStyle w:val="2"/>
        <w:bidi w:val="0"/>
        <w:rPr>
          <w:lang w:val="en-US" w:eastAsia="zh-CN"/>
        </w:rPr>
      </w:pPr>
      <w:bookmarkStart w:id="88" w:name="_Toc23635_WPSOffice_Level2"/>
      <w:bookmarkStart w:id="89" w:name="_Toc21676"/>
      <w:bookmarkStart w:id="90" w:name="_Toc19873_WPSOffice_Level2"/>
      <w:bookmarkStart w:id="91" w:name="_Toc12184"/>
      <w:bookmarkStart w:id="92" w:name="_Toc26692"/>
      <w:bookmarkStart w:id="93" w:name="_Toc18215"/>
      <w:bookmarkStart w:id="94" w:name="_Toc18434_WPSOffice_Level2"/>
      <w:bookmarkStart w:id="95" w:name="_Toc26293_WPSOffice_Level2"/>
      <w:bookmarkStart w:id="96" w:name="_Toc9127_WPSOffice_Level2"/>
      <w:bookmarkStart w:id="97" w:name="_Toc4491_WPSOffice_Level2"/>
      <w:r>
        <w:rPr>
          <w:lang w:val="en-US" w:eastAsia="zh-CN"/>
        </w:rPr>
        <w:t>环境影响评价的工作过程</w:t>
      </w:r>
      <w:bookmarkEnd w:id="88"/>
      <w:bookmarkEnd w:id="89"/>
      <w:bookmarkEnd w:id="90"/>
      <w:bookmarkEnd w:id="91"/>
      <w:bookmarkEnd w:id="92"/>
      <w:bookmarkEnd w:id="93"/>
      <w:bookmarkEnd w:id="94"/>
      <w:bookmarkEnd w:id="95"/>
      <w:bookmarkEnd w:id="96"/>
      <w:bookmarkEnd w:id="97"/>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20</w:t>
      </w:r>
      <w:r>
        <w:rPr>
          <w:rFonts w:hint="eastAsia" w:ascii="Times New Roman" w:hAnsi="Times New Roman" w:eastAsia="宋体" w:cs="宋体"/>
          <w:kern w:val="2"/>
          <w:sz w:val="24"/>
          <w:szCs w:val="24"/>
          <w:lang w:val="en-US" w:eastAsia="zh-CN" w:bidi="ar-SA"/>
        </w:rPr>
        <w:t>20</w:t>
      </w:r>
      <w:r>
        <w:rPr>
          <w:rFonts w:ascii="Times New Roman" w:hAnsi="Times New Roman" w:eastAsia="宋体" w:cs="宋体"/>
          <w:kern w:val="2"/>
          <w:sz w:val="24"/>
          <w:szCs w:val="24"/>
          <w:lang w:val="en-US" w:eastAsia="zh-CN" w:bidi="ar-SA"/>
        </w:rPr>
        <w:t>年</w:t>
      </w:r>
      <w:r>
        <w:rPr>
          <w:rFonts w:hint="eastAsia"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t>月，</w:t>
      </w:r>
      <w:r>
        <w:rPr>
          <w:rFonts w:hint="eastAsia" w:ascii="Times New Roman" w:hAnsi="Times New Roman" w:eastAsia="宋体" w:cs="宋体"/>
          <w:kern w:val="2"/>
          <w:sz w:val="24"/>
          <w:szCs w:val="24"/>
          <w:lang w:val="en-US" w:eastAsia="zh-CN" w:bidi="ar-SA"/>
        </w:rPr>
        <w:t>湖南聚特新材料有限公司</w:t>
      </w:r>
      <w:r>
        <w:rPr>
          <w:rFonts w:ascii="Times New Roman" w:hAnsi="Times New Roman" w:eastAsia="宋体" w:cs="宋体"/>
          <w:kern w:val="2"/>
          <w:sz w:val="24"/>
          <w:szCs w:val="24"/>
          <w:lang w:val="en-US" w:eastAsia="zh-CN" w:bidi="ar-SA"/>
        </w:rPr>
        <w:t>委托</w:t>
      </w:r>
      <w:r>
        <w:rPr>
          <w:rFonts w:hint="eastAsia" w:ascii="Times New Roman" w:hAnsi="Times New Roman" w:eastAsia="宋体" w:cs="宋体"/>
          <w:kern w:val="2"/>
          <w:sz w:val="24"/>
          <w:szCs w:val="24"/>
          <w:lang w:val="en-US" w:eastAsia="zh-CN" w:bidi="ar-SA"/>
        </w:rPr>
        <w:t>长沙水天净化技术工程有限公司</w:t>
      </w:r>
      <w:r>
        <w:rPr>
          <w:rFonts w:ascii="Times New Roman" w:hAnsi="Times New Roman" w:eastAsia="宋体" w:cs="宋体"/>
          <w:kern w:val="2"/>
          <w:sz w:val="24"/>
          <w:szCs w:val="24"/>
          <w:lang w:val="en-US" w:eastAsia="zh-CN" w:bidi="ar-SA"/>
        </w:rPr>
        <w:t>承担</w:t>
      </w:r>
      <w:r>
        <w:rPr>
          <w:rFonts w:hint="eastAsia" w:ascii="Times New Roman" w:hAnsi="Times New Roman" w:eastAsia="宋体" w:cs="宋体"/>
          <w:kern w:val="2"/>
          <w:sz w:val="24"/>
          <w:szCs w:val="24"/>
          <w:lang w:val="en-US" w:eastAsia="zh-CN" w:bidi="ar-SA"/>
        </w:rPr>
        <w:t>湖南聚特新材料有限公司年产6500吨</w:t>
      </w:r>
      <w:r>
        <w:rPr>
          <w:rFonts w:hint="eastAsia" w:cs="宋体"/>
          <w:kern w:val="2"/>
          <w:sz w:val="24"/>
          <w:szCs w:val="24"/>
          <w:lang w:val="en-US" w:eastAsia="zh-CN" w:bidi="ar-SA"/>
        </w:rPr>
        <w:t>聚氨酯发泡胶材料</w:t>
      </w:r>
      <w:r>
        <w:rPr>
          <w:rFonts w:hint="eastAsia" w:ascii="Times New Roman" w:hAnsi="Times New Roman" w:eastAsia="宋体" w:cs="宋体"/>
          <w:kern w:val="2"/>
          <w:sz w:val="24"/>
          <w:szCs w:val="24"/>
          <w:lang w:val="en-US" w:eastAsia="zh-CN" w:bidi="ar-SA"/>
        </w:rPr>
        <w:t>生产项目</w:t>
      </w:r>
      <w:r>
        <w:rPr>
          <w:rFonts w:ascii="Times New Roman" w:hAnsi="Times New Roman" w:eastAsia="宋体" w:cs="宋体"/>
          <w:kern w:val="2"/>
          <w:sz w:val="24"/>
          <w:szCs w:val="24"/>
          <w:lang w:val="en-US" w:eastAsia="zh-CN" w:bidi="ar-SA"/>
        </w:rPr>
        <w:t>的环境影响评价工作</w:t>
      </w:r>
      <w:r>
        <w:rPr>
          <w:rFonts w:ascii="Times New Roman" w:hAnsi="Times New Roman" w:eastAsia="宋体" w:cs="宋体"/>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宋体"/>
          <w:color w:val="000000" w:themeColor="text1"/>
          <w:kern w:val="2"/>
          <w:sz w:val="24"/>
          <w:szCs w:val="24"/>
          <w:highlight w:val="none"/>
          <w:lang w:val="en-US" w:eastAsia="zh-CN" w:bidi="ar-SA"/>
          <w14:textFill>
            <w14:solidFill>
              <w14:schemeClr w14:val="tx1"/>
            </w14:solidFill>
          </w14:textFill>
        </w:rPr>
        <w:t>环评</w:t>
      </w:r>
      <w:r>
        <w:rPr>
          <w:rFonts w:ascii="Times New Roman" w:hAnsi="Times New Roman" w:eastAsia="宋体" w:cs="宋体"/>
          <w:color w:val="000000" w:themeColor="text1"/>
          <w:kern w:val="2"/>
          <w:sz w:val="24"/>
          <w:szCs w:val="24"/>
          <w:highlight w:val="none"/>
          <w:lang w:val="en-US" w:eastAsia="zh-CN" w:bidi="ar-SA"/>
          <w14:textFill>
            <w14:solidFill>
              <w14:schemeClr w14:val="tx1"/>
            </w14:solidFill>
          </w14:textFill>
        </w:rPr>
        <w:t>委托书见附件1）</w:t>
      </w:r>
      <w:r>
        <w:rPr>
          <w:rFonts w:ascii="Times New Roman" w:hAnsi="Times New Roman" w:eastAsia="宋体" w:cs="宋体"/>
          <w:kern w:val="2"/>
          <w:sz w:val="24"/>
          <w:szCs w:val="24"/>
          <w:lang w:val="en-US" w:eastAsia="zh-CN" w:bidi="ar-SA"/>
        </w:rPr>
        <w:t>。我单位承接任务后，组成环境影响评价工作</w:t>
      </w:r>
      <w:r>
        <w:rPr>
          <w:rFonts w:hint="eastAsia" w:ascii="Times New Roman" w:hAnsi="Times New Roman" w:eastAsia="宋体" w:cs="宋体"/>
          <w:kern w:val="2"/>
          <w:sz w:val="24"/>
          <w:szCs w:val="24"/>
          <w:lang w:val="en-US" w:eastAsia="zh-CN" w:bidi="ar-SA"/>
        </w:rPr>
        <w:t>小</w:t>
      </w:r>
      <w:r>
        <w:rPr>
          <w:rFonts w:ascii="Times New Roman" w:hAnsi="Times New Roman" w:eastAsia="宋体" w:cs="宋体"/>
          <w:kern w:val="2"/>
          <w:sz w:val="24"/>
          <w:szCs w:val="24"/>
          <w:lang w:val="en-US" w:eastAsia="zh-CN" w:bidi="ar-SA"/>
        </w:rPr>
        <w:t>组</w:t>
      </w:r>
      <w:r>
        <w:rPr>
          <w:rFonts w:hint="eastAsia" w:ascii="Times New Roman" w:hAnsi="Times New Roman" w:eastAsia="宋体" w:cs="宋体"/>
          <w:kern w:val="2"/>
          <w:sz w:val="24"/>
          <w:szCs w:val="24"/>
          <w:lang w:val="en-US" w:eastAsia="zh-CN" w:bidi="ar-SA"/>
        </w:rPr>
        <w:t>。2020年3月</w:t>
      </w:r>
      <w:r>
        <w:rPr>
          <w:rFonts w:hint="eastAsia" w:cs="宋体"/>
          <w:kern w:val="2"/>
          <w:sz w:val="24"/>
          <w:szCs w:val="24"/>
          <w:lang w:val="en-US" w:eastAsia="zh-CN" w:bidi="ar-SA"/>
        </w:rPr>
        <w:t>2</w:t>
      </w:r>
      <w:r>
        <w:rPr>
          <w:rFonts w:hint="eastAsia" w:ascii="Times New Roman" w:hAnsi="Times New Roman" w:eastAsia="宋体" w:cs="宋体"/>
          <w:kern w:val="2"/>
          <w:sz w:val="24"/>
          <w:szCs w:val="24"/>
          <w:lang w:val="en-US" w:eastAsia="zh-CN" w:bidi="ar-SA"/>
        </w:rPr>
        <w:t>4日，在环境影响信息公示平台完成了项目环评的信息公开。</w:t>
      </w:r>
      <w:r>
        <w:rPr>
          <w:rFonts w:ascii="Times New Roman" w:hAnsi="Times New Roman" w:eastAsia="宋体" w:cs="宋体"/>
          <w:kern w:val="2"/>
          <w:sz w:val="24"/>
          <w:szCs w:val="24"/>
          <w:lang w:val="en-US" w:eastAsia="zh-CN" w:bidi="ar-SA"/>
        </w:rPr>
        <w:t>随即安排有关环评技术人员赴现场进行调查，收集有关资料，调查厂址周围的地表水、环境空气、声环境</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地下水</w:t>
      </w:r>
      <w:r>
        <w:rPr>
          <w:rFonts w:hint="eastAsia" w:ascii="Times New Roman" w:hAnsi="Times New Roman" w:eastAsia="宋体" w:cs="宋体"/>
          <w:kern w:val="2"/>
          <w:sz w:val="24"/>
          <w:szCs w:val="24"/>
          <w:lang w:val="en-US" w:eastAsia="zh-CN" w:bidi="ar-SA"/>
        </w:rPr>
        <w:t>和土壤</w:t>
      </w:r>
      <w:r>
        <w:rPr>
          <w:rFonts w:ascii="Times New Roman" w:hAnsi="Times New Roman" w:eastAsia="宋体" w:cs="宋体"/>
          <w:kern w:val="2"/>
          <w:sz w:val="24"/>
          <w:szCs w:val="24"/>
          <w:lang w:val="en-US" w:eastAsia="zh-CN" w:bidi="ar-SA"/>
        </w:rPr>
        <w:t>环境质量现状资料，收集了项目所在区域近期环境质量现状监测数据以及业主征询当地群众及企业单位的意见；并根据项目的规模、污染物排放量及其</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三废</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处理措施，分析和预测项目可能对周围环境产生的影响程度和范围，提出相应的减缓环境影响的对策和措施。在以上基础上，根据国家、省市的有关环保法规及环境影响评价技术导则的要求，并结合本项目的工程特点，编制完成了《</w:t>
      </w:r>
      <w:r>
        <w:rPr>
          <w:rFonts w:hint="eastAsia" w:ascii="Times New Roman" w:hAnsi="Times New Roman" w:eastAsia="宋体" w:cs="宋体"/>
          <w:kern w:val="2"/>
          <w:sz w:val="24"/>
          <w:szCs w:val="24"/>
          <w:lang w:val="en-US" w:eastAsia="zh-CN" w:bidi="ar-SA"/>
        </w:rPr>
        <w:t>湖南聚特新材料有限公司年产6500吨</w:t>
      </w:r>
      <w:r>
        <w:rPr>
          <w:rFonts w:hint="eastAsia" w:cs="宋体"/>
          <w:kern w:val="2"/>
          <w:sz w:val="24"/>
          <w:szCs w:val="24"/>
          <w:lang w:val="en-US" w:eastAsia="zh-CN" w:bidi="ar-SA"/>
        </w:rPr>
        <w:t>聚氨酯发泡胶材料</w:t>
      </w:r>
      <w:r>
        <w:rPr>
          <w:rFonts w:hint="eastAsia" w:ascii="Times New Roman" w:hAnsi="Times New Roman" w:eastAsia="宋体" w:cs="宋体"/>
          <w:kern w:val="2"/>
          <w:sz w:val="24"/>
          <w:szCs w:val="24"/>
          <w:lang w:val="en-US" w:eastAsia="zh-CN" w:bidi="ar-SA"/>
        </w:rPr>
        <w:t>生产项目</w:t>
      </w:r>
      <w:r>
        <w:rPr>
          <w:rFonts w:ascii="Times New Roman" w:hAnsi="Times New Roman" w:eastAsia="宋体" w:cs="宋体"/>
          <w:kern w:val="2"/>
          <w:sz w:val="24"/>
          <w:szCs w:val="24"/>
          <w:lang w:val="en-US" w:eastAsia="zh-CN" w:bidi="ar-SA"/>
        </w:rPr>
        <w:t>环境影响报告书》（</w:t>
      </w:r>
      <w:r>
        <w:rPr>
          <w:rFonts w:hint="eastAsia" w:cs="宋体"/>
          <w:kern w:val="2"/>
          <w:sz w:val="24"/>
          <w:szCs w:val="24"/>
          <w:lang w:val="en-US" w:eastAsia="zh-CN" w:bidi="ar-SA"/>
        </w:rPr>
        <w:t>报批稿</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2020年</w:t>
      </w:r>
      <w:r>
        <w:rPr>
          <w:rFonts w:hint="eastAsia" w:cs="宋体"/>
          <w:kern w:val="2"/>
          <w:sz w:val="24"/>
          <w:szCs w:val="24"/>
          <w:lang w:val="en-US" w:eastAsia="zh-CN" w:bidi="ar-SA"/>
        </w:rPr>
        <w:t>4</w:t>
      </w:r>
      <w:r>
        <w:rPr>
          <w:rFonts w:hint="eastAsia" w:ascii="Times New Roman" w:hAnsi="Times New Roman" w:eastAsia="宋体" w:cs="宋体"/>
          <w:kern w:val="2"/>
          <w:sz w:val="24"/>
          <w:szCs w:val="24"/>
          <w:lang w:val="en-US" w:eastAsia="zh-CN" w:bidi="ar-SA"/>
        </w:rPr>
        <w:t>月</w:t>
      </w:r>
      <w:r>
        <w:rPr>
          <w:rFonts w:hint="eastAsia" w:cs="宋体"/>
          <w:kern w:val="2"/>
          <w:sz w:val="24"/>
          <w:szCs w:val="24"/>
          <w:lang w:val="en-US" w:eastAsia="zh-CN" w:bidi="ar-SA"/>
        </w:rPr>
        <w:t>10</w:t>
      </w:r>
      <w:r>
        <w:rPr>
          <w:rFonts w:hint="eastAsia" w:ascii="Times New Roman" w:hAnsi="Times New Roman" w:eastAsia="宋体" w:cs="宋体"/>
          <w:kern w:val="2"/>
          <w:sz w:val="24"/>
          <w:szCs w:val="24"/>
          <w:lang w:val="en-US" w:eastAsia="zh-CN" w:bidi="ar-SA"/>
        </w:rPr>
        <w:t>日，通过网络在环境影响信息公示平台公开</w:t>
      </w:r>
      <w:r>
        <w:rPr>
          <w:rFonts w:hint="eastAsia" w:cs="宋体"/>
          <w:kern w:val="2"/>
          <w:sz w:val="24"/>
          <w:szCs w:val="24"/>
          <w:lang w:val="en-US" w:eastAsia="zh-CN" w:bidi="ar-SA"/>
        </w:rPr>
        <w:t>报批稿</w:t>
      </w:r>
      <w:r>
        <w:rPr>
          <w:rFonts w:hint="eastAsia" w:ascii="Times New Roman" w:hAnsi="Times New Roman" w:eastAsia="宋体" w:cs="宋体"/>
          <w:kern w:val="2"/>
          <w:sz w:val="24"/>
          <w:szCs w:val="24"/>
          <w:lang w:val="en-US" w:eastAsia="zh-CN" w:bidi="ar-SA"/>
        </w:rPr>
        <w:t>，同日，在《湖南工人报》登载了环评项目信息，并在湘阴县金龙高新区公众</w:t>
      </w:r>
      <w:r>
        <w:rPr>
          <w:rFonts w:hint="eastAsia" w:cs="宋体"/>
          <w:kern w:val="2"/>
          <w:sz w:val="24"/>
          <w:szCs w:val="24"/>
          <w:lang w:val="en-US" w:eastAsia="zh-CN" w:bidi="ar-SA"/>
        </w:rPr>
        <w:t>易</w:t>
      </w:r>
      <w:r>
        <w:rPr>
          <w:rFonts w:hint="eastAsia" w:ascii="Times New Roman" w:hAnsi="Times New Roman" w:eastAsia="宋体" w:cs="宋体"/>
          <w:kern w:val="2"/>
          <w:sz w:val="24"/>
          <w:szCs w:val="24"/>
          <w:lang w:val="en-US" w:eastAsia="zh-CN" w:bidi="ar-SA"/>
        </w:rPr>
        <w:t>于知悉的场所张贴公告（见</w:t>
      </w:r>
      <w:r>
        <w:rPr>
          <w:rFonts w:hint="eastAsia" w:ascii="Times New Roman" w:hAnsi="Times New Roman" w:eastAsia="宋体" w:cs="宋体"/>
          <w:color w:val="auto"/>
          <w:kern w:val="2"/>
          <w:sz w:val="24"/>
          <w:szCs w:val="24"/>
          <w:highlight w:val="none"/>
          <w:lang w:val="en-US" w:eastAsia="zh-CN" w:bidi="ar-SA"/>
        </w:rPr>
        <w:t>附图12</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现提交《</w:t>
      </w:r>
      <w:r>
        <w:rPr>
          <w:rFonts w:hint="eastAsia" w:ascii="Times New Roman" w:hAnsi="Times New Roman" w:eastAsia="宋体" w:cs="宋体"/>
          <w:kern w:val="2"/>
          <w:sz w:val="24"/>
          <w:szCs w:val="24"/>
          <w:lang w:val="en-US" w:eastAsia="zh-CN" w:bidi="ar-SA"/>
        </w:rPr>
        <w:t>湖南聚特新材料有限公司年产6500吨</w:t>
      </w:r>
      <w:r>
        <w:rPr>
          <w:rFonts w:hint="eastAsia" w:cs="宋体"/>
          <w:kern w:val="2"/>
          <w:sz w:val="24"/>
          <w:szCs w:val="24"/>
          <w:lang w:val="en-US" w:eastAsia="zh-CN" w:bidi="ar-SA"/>
        </w:rPr>
        <w:t>聚氨酯发泡胶材料</w:t>
      </w:r>
      <w:r>
        <w:rPr>
          <w:rFonts w:hint="eastAsia" w:ascii="Times New Roman" w:hAnsi="Times New Roman" w:eastAsia="宋体" w:cs="宋体"/>
          <w:kern w:val="2"/>
          <w:sz w:val="24"/>
          <w:szCs w:val="24"/>
          <w:lang w:val="en-US" w:eastAsia="zh-CN" w:bidi="ar-SA"/>
        </w:rPr>
        <w:t>生产项目</w:t>
      </w:r>
      <w:r>
        <w:rPr>
          <w:rFonts w:ascii="Times New Roman" w:hAnsi="Times New Roman" w:eastAsia="宋体" w:cs="宋体"/>
          <w:kern w:val="2"/>
          <w:sz w:val="24"/>
          <w:szCs w:val="24"/>
          <w:lang w:val="en-US" w:eastAsia="zh-CN" w:bidi="ar-SA"/>
        </w:rPr>
        <w:t>环境影响报告书》（</w:t>
      </w:r>
      <w:r>
        <w:rPr>
          <w:rFonts w:hint="eastAsia" w:cs="宋体"/>
          <w:kern w:val="2"/>
          <w:sz w:val="24"/>
          <w:szCs w:val="24"/>
          <w:lang w:val="en-US" w:eastAsia="zh-CN" w:bidi="ar-SA"/>
        </w:rPr>
        <w:t>报批稿</w:t>
      </w:r>
      <w:r>
        <w:rPr>
          <w:rFonts w:ascii="Times New Roman" w:hAnsi="Times New Roman" w:eastAsia="宋体" w:cs="宋体"/>
          <w:kern w:val="2"/>
          <w:sz w:val="24"/>
          <w:szCs w:val="24"/>
          <w:lang w:val="en-US" w:eastAsia="zh-CN" w:bidi="ar-SA"/>
        </w:rPr>
        <w:t>）呈送环保主管部门审查。</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本项目环境影响评价程序</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_Ref20392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图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1</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w:t>
      </w:r>
      <w:r>
        <w:rPr>
          <w:rFonts w:hint="default"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所示。</w:t>
      </w:r>
    </w:p>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drawing>
          <wp:anchor distT="0" distB="0" distL="114300" distR="114300" simplePos="0" relativeHeight="251669504" behindDoc="0" locked="0" layoutInCell="1" allowOverlap="1">
            <wp:simplePos x="0" y="0"/>
            <wp:positionH relativeFrom="column">
              <wp:posOffset>517525</wp:posOffset>
            </wp:positionH>
            <wp:positionV relativeFrom="paragraph">
              <wp:posOffset>0</wp:posOffset>
            </wp:positionV>
            <wp:extent cx="4714875" cy="6229350"/>
            <wp:effectExtent l="0" t="0" r="9525" b="0"/>
            <wp:wrapTopAndBottom/>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5"/>
                    <a:stretch>
                      <a:fillRect/>
                    </a:stretch>
                  </pic:blipFill>
                  <pic:spPr>
                    <a:xfrm>
                      <a:off x="0" y="0"/>
                      <a:ext cx="4714875" cy="6229350"/>
                    </a:xfrm>
                    <a:prstGeom prst="rect">
                      <a:avLst/>
                    </a:prstGeom>
                    <a:noFill/>
                    <a:ln>
                      <a:noFill/>
                    </a:ln>
                  </pic:spPr>
                </pic:pic>
              </a:graphicData>
            </a:graphic>
          </wp:anchor>
        </w:drawing>
      </w:r>
    </w:p>
    <w:p>
      <w:pPr>
        <w:widowControl w:val="0"/>
        <w:bidi w:val="0"/>
        <w:spacing w:line="360" w:lineRule="auto"/>
        <w:ind w:firstLine="0" w:firstLineChars="0"/>
        <w:jc w:val="center"/>
        <w:rPr>
          <w:rFonts w:ascii="Times New Roman" w:hAnsi="Times New Roman" w:eastAsia="宋体" w:cs="Times New Roman"/>
          <w:b/>
          <w:bCs/>
          <w:kern w:val="2"/>
          <w:sz w:val="21"/>
          <w:szCs w:val="21"/>
          <w:lang w:val="en-US" w:eastAsia="zh-CN" w:bidi="ar-SA"/>
        </w:rPr>
      </w:pPr>
      <w:bookmarkStart w:id="98" w:name="_Ref20392"/>
      <w:r>
        <w:rPr>
          <w:rFonts w:ascii="Times New Roman" w:hAnsi="Times New Roman" w:eastAsia="宋体" w:cs="Times New Roman"/>
          <w:b/>
          <w:bCs/>
          <w:kern w:val="2"/>
          <w:sz w:val="21"/>
          <w:szCs w:val="21"/>
          <w:lang w:val="en-US" w:eastAsia="zh-CN" w:bidi="ar-SA"/>
        </w:rPr>
        <w:t xml:space="preserve">图 </w:t>
      </w:r>
      <w:r>
        <w:rPr>
          <w:rFonts w:ascii="Times New Roman" w:hAnsi="Times New Roman" w:eastAsia="宋体" w:cs="Times New Roman"/>
          <w:b/>
          <w:bCs/>
          <w:kern w:val="2"/>
          <w:sz w:val="21"/>
          <w:szCs w:val="21"/>
          <w:lang w:val="en-US" w:eastAsia="zh-CN" w:bidi="ar-SA"/>
        </w:rPr>
        <w:fldChar w:fldCharType="begin"/>
      </w:r>
      <w:r>
        <w:rPr>
          <w:rFonts w:ascii="Times New Roman" w:hAnsi="Times New Roman" w:eastAsia="宋体" w:cs="Times New Roman"/>
          <w:b/>
          <w:bCs/>
          <w:kern w:val="2"/>
          <w:sz w:val="21"/>
          <w:szCs w:val="21"/>
          <w:lang w:val="en-US" w:eastAsia="zh-CN" w:bidi="ar-SA"/>
        </w:rPr>
        <w:instrText xml:space="preserve"> STYLEREF 1 \s </w:instrText>
      </w:r>
      <w:r>
        <w:rPr>
          <w:rFonts w:ascii="Times New Roman" w:hAnsi="Times New Roman" w:eastAsia="宋体" w:cs="Times New Roman"/>
          <w:b/>
          <w:bCs/>
          <w:kern w:val="2"/>
          <w:sz w:val="21"/>
          <w:szCs w:val="21"/>
          <w:lang w:val="en-US" w:eastAsia="zh-CN" w:bidi="ar-SA"/>
        </w:rPr>
        <w:fldChar w:fldCharType="separate"/>
      </w:r>
      <w:r>
        <w:rPr>
          <w:rFonts w:ascii="Times New Roman" w:hAnsi="Times New Roman" w:eastAsia="宋体" w:cs="Times New Roman"/>
          <w:b/>
          <w:bCs/>
          <w:kern w:val="2"/>
          <w:sz w:val="21"/>
          <w:szCs w:val="21"/>
          <w:lang w:val="en-US" w:eastAsia="zh-CN" w:bidi="ar-SA"/>
        </w:rPr>
        <w:t>1</w:t>
      </w:r>
      <w:r>
        <w:rPr>
          <w:rFonts w:ascii="Times New Roman" w:hAnsi="Times New Roman" w:eastAsia="宋体" w:cs="Times New Roman"/>
          <w:b/>
          <w:bCs/>
          <w:kern w:val="2"/>
          <w:sz w:val="21"/>
          <w:szCs w:val="21"/>
          <w:lang w:val="en-US" w:eastAsia="zh-CN" w:bidi="ar-SA"/>
        </w:rPr>
        <w:fldChar w:fldCharType="end"/>
      </w:r>
      <w:r>
        <w:rPr>
          <w:rFonts w:hint="eastAsia" w:ascii="Times New Roman" w:hAnsi="Times New Roman" w:eastAsia="宋体" w:cs="Times New Roman"/>
          <w:b/>
          <w:bCs/>
          <w:kern w:val="2"/>
          <w:sz w:val="21"/>
          <w:szCs w:val="21"/>
          <w:lang w:val="en-US" w:eastAsia="zh-CN" w:bidi="ar-SA"/>
        </w:rPr>
        <w:t>-</w:t>
      </w:r>
      <w:r>
        <w:rPr>
          <w:rFonts w:ascii="Times New Roman" w:hAnsi="Times New Roman" w:eastAsia="宋体" w:cs="Times New Roman"/>
          <w:b/>
          <w:bCs/>
          <w:kern w:val="2"/>
          <w:sz w:val="21"/>
          <w:szCs w:val="21"/>
          <w:lang w:val="en-US" w:eastAsia="zh-CN" w:bidi="ar-SA"/>
        </w:rPr>
        <w:fldChar w:fldCharType="begin"/>
      </w:r>
      <w:r>
        <w:rPr>
          <w:rFonts w:ascii="Times New Roman" w:hAnsi="Times New Roman" w:eastAsia="宋体" w:cs="Times New Roman"/>
          <w:b/>
          <w:bCs/>
          <w:kern w:val="2"/>
          <w:sz w:val="21"/>
          <w:szCs w:val="21"/>
          <w:lang w:val="en-US" w:eastAsia="zh-CN" w:bidi="ar-SA"/>
        </w:rPr>
        <w:instrText xml:space="preserve"> SEQ 图 \* ARABIC \s 1 </w:instrText>
      </w:r>
      <w:r>
        <w:rPr>
          <w:rFonts w:ascii="Times New Roman" w:hAnsi="Times New Roman" w:eastAsia="宋体" w:cs="Times New Roman"/>
          <w:b/>
          <w:bCs/>
          <w:kern w:val="2"/>
          <w:sz w:val="21"/>
          <w:szCs w:val="21"/>
          <w:lang w:val="en-US" w:eastAsia="zh-CN" w:bidi="ar-SA"/>
        </w:rPr>
        <w:fldChar w:fldCharType="separate"/>
      </w:r>
      <w:r>
        <w:rPr>
          <w:rFonts w:ascii="Times New Roman" w:hAnsi="Times New Roman" w:eastAsia="宋体" w:cs="Times New Roman"/>
          <w:b/>
          <w:bCs/>
          <w:kern w:val="2"/>
          <w:sz w:val="21"/>
          <w:szCs w:val="21"/>
          <w:lang w:val="en-US" w:eastAsia="zh-CN" w:bidi="ar-SA"/>
        </w:rPr>
        <w:t>1</w:t>
      </w:r>
      <w:r>
        <w:rPr>
          <w:rFonts w:ascii="Times New Roman" w:hAnsi="Times New Roman" w:eastAsia="宋体" w:cs="Times New Roman"/>
          <w:b/>
          <w:bCs/>
          <w:kern w:val="2"/>
          <w:sz w:val="21"/>
          <w:szCs w:val="21"/>
          <w:lang w:val="en-US" w:eastAsia="zh-CN" w:bidi="ar-SA"/>
        </w:rPr>
        <w:fldChar w:fldCharType="end"/>
      </w:r>
      <w:bookmarkEnd w:id="98"/>
      <w:r>
        <w:rPr>
          <w:rFonts w:ascii="Times New Roman" w:hAnsi="Times New Roman" w:eastAsia="宋体" w:cs="Times New Roman"/>
          <w:b/>
          <w:bCs/>
          <w:kern w:val="2"/>
          <w:sz w:val="21"/>
          <w:szCs w:val="21"/>
          <w:lang w:val="en-US" w:eastAsia="zh-CN" w:bidi="ar-SA"/>
        </w:rPr>
        <w:t>环境影响评价程序图</w:t>
      </w:r>
    </w:p>
    <w:p>
      <w:pPr>
        <w:pStyle w:val="2"/>
        <w:bidi w:val="0"/>
        <w:rPr>
          <w:lang w:val="en-US" w:eastAsia="zh-CN"/>
        </w:rPr>
      </w:pPr>
      <w:bookmarkStart w:id="99" w:name="_Toc20940"/>
      <w:bookmarkStart w:id="100" w:name="_Toc19518"/>
      <w:bookmarkStart w:id="101" w:name="_Toc1561_WPSOffice_Level2"/>
      <w:bookmarkStart w:id="102" w:name="_Toc18074"/>
      <w:bookmarkStart w:id="103" w:name="_Toc6173_WPSOffice_Level2"/>
      <w:bookmarkStart w:id="104" w:name="_Toc10450_WPSOffice_Level2"/>
      <w:bookmarkStart w:id="105" w:name="_Toc13460_WPSOffice_Level2"/>
      <w:bookmarkStart w:id="106" w:name="_Toc31780"/>
      <w:bookmarkStart w:id="107" w:name="_Toc1015_WPSOffice_Level2"/>
      <w:bookmarkStart w:id="108" w:name="_Toc372124975"/>
      <w:bookmarkStart w:id="109" w:name="_Toc29683_WPSOffice_Level2"/>
      <w:bookmarkStart w:id="110" w:name="_Toc6427"/>
      <w:bookmarkStart w:id="111" w:name="_Toc4867"/>
      <w:bookmarkStart w:id="112" w:name="_Toc4971"/>
      <w:bookmarkStart w:id="113" w:name="_Toc9919"/>
      <w:bookmarkStart w:id="114" w:name="_Toc343691364"/>
      <w:bookmarkStart w:id="115" w:name="_Toc25794_WPSOffice_Level2"/>
      <w:r>
        <w:rPr>
          <w:lang w:val="en-US" w:eastAsia="zh-CN"/>
        </w:rPr>
        <w:t>分析判定相关环保政策</w:t>
      </w:r>
      <w:bookmarkEnd w:id="99"/>
      <w:bookmarkEnd w:id="100"/>
      <w:bookmarkEnd w:id="101"/>
      <w:bookmarkEnd w:id="102"/>
      <w:bookmarkEnd w:id="103"/>
      <w:bookmarkEnd w:id="104"/>
      <w:bookmarkEnd w:id="105"/>
    </w:p>
    <w:p>
      <w:pPr>
        <w:pStyle w:val="4"/>
        <w:bidi w:val="0"/>
        <w:rPr>
          <w:lang w:val="en-US" w:eastAsia="zh-CN"/>
        </w:rPr>
      </w:pPr>
      <w:bookmarkStart w:id="116" w:name="_Toc19886"/>
      <w:bookmarkStart w:id="117" w:name="_Toc10187"/>
      <w:bookmarkStart w:id="118" w:name="_Toc15335"/>
      <w:bookmarkStart w:id="119" w:name="_Toc9826"/>
      <w:bookmarkStart w:id="120" w:name="_Toc29991"/>
      <w:bookmarkStart w:id="121" w:name="_Toc13333"/>
      <w:bookmarkStart w:id="122" w:name="_Toc10090"/>
      <w:bookmarkStart w:id="123" w:name="_Toc29756"/>
      <w:bookmarkStart w:id="124" w:name="_Toc13273"/>
      <w:bookmarkStart w:id="125" w:name="_Toc23585"/>
      <w:bookmarkStart w:id="126" w:name="_Toc14284"/>
      <w:bookmarkStart w:id="127" w:name="_Toc2149"/>
      <w:r>
        <w:rPr>
          <w:lang w:val="en-US" w:eastAsia="zh-CN"/>
        </w:rPr>
        <w:t>产业政策相符性分析</w:t>
      </w:r>
      <w:bookmarkEnd w:id="106"/>
      <w:bookmarkEnd w:id="116"/>
      <w:bookmarkEnd w:id="117"/>
      <w:bookmarkEnd w:id="118"/>
      <w:bookmarkEnd w:id="119"/>
      <w:bookmarkEnd w:id="120"/>
      <w:bookmarkEnd w:id="121"/>
      <w:bookmarkEnd w:id="122"/>
      <w:bookmarkEnd w:id="123"/>
      <w:bookmarkEnd w:id="124"/>
      <w:bookmarkEnd w:id="125"/>
      <w:bookmarkEnd w:id="126"/>
      <w:bookmarkEnd w:id="127"/>
    </w:p>
    <w:p>
      <w:pPr>
        <w:keepNext w:val="0"/>
        <w:keepLines w:val="0"/>
        <w:pageBreakBefore w:val="0"/>
        <w:widowControl w:val="0"/>
        <w:numPr>
          <w:ilvl w:val="0"/>
          <w:numId w:val="4"/>
        </w:numPr>
        <w:kinsoku/>
        <w:wordWrap/>
        <w:overflowPunct/>
        <w:topLinePunct w:val="0"/>
        <w:autoSpaceDE/>
        <w:autoSpaceDN/>
        <w:bidi w:val="0"/>
        <w:adjustRightInd/>
        <w:snapToGrid/>
        <w:ind w:left="0" w:firstLine="480" w:firstLineChars="200"/>
        <w:textAlignment w:val="auto"/>
      </w:pPr>
      <w:bookmarkStart w:id="128" w:name="_Toc2594_WPSOffice_Level3"/>
      <w:bookmarkStart w:id="129" w:name="_Toc17572_WPSOffice_Level3"/>
      <w:r>
        <w:rPr>
          <w:u w:val="single"/>
        </w:rPr>
        <w:t>与</w:t>
      </w:r>
      <w:r>
        <w:rPr>
          <w:rFonts w:hint="eastAsia"/>
          <w:u w:val="single"/>
          <w:lang w:val="en-US" w:eastAsia="zh-CN"/>
        </w:rPr>
        <w:t>《产业结构调整指导目录》（2019年本）</w:t>
      </w:r>
      <w:r>
        <w:rPr>
          <w:u w:val="single"/>
        </w:rPr>
        <w:t>相符性</w:t>
      </w:r>
      <w:bookmarkEnd w:id="128"/>
      <w:bookmarkEnd w:id="129"/>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本项目主要产品为</w:t>
      </w:r>
      <w:r>
        <w:rPr>
          <w:rFonts w:hint="eastAsia" w:cs="宋体"/>
          <w:kern w:val="2"/>
          <w:sz w:val="24"/>
          <w:szCs w:val="24"/>
          <w:lang w:val="en-US" w:eastAsia="zh-CN" w:bidi="ar-SA"/>
        </w:rPr>
        <w:t>聚氨酯发泡胶材料</w:t>
      </w:r>
      <w:r>
        <w:rPr>
          <w:rFonts w:hint="eastAsia" w:ascii="Times New Roman" w:hAnsi="Times New Roman" w:eastAsia="宋体" w:cs="宋体"/>
          <w:kern w:val="2"/>
          <w:sz w:val="24"/>
          <w:szCs w:val="24"/>
          <w:lang w:val="en-US" w:eastAsia="zh-CN" w:bidi="ar-SA"/>
        </w:rPr>
        <w:t>，主要生产设备如</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_Ref8847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1</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所示。由</w:t>
      </w:r>
      <w:r>
        <w:rPr>
          <w:rFonts w:hint="eastAsia" w:cs="宋体"/>
          <w:kern w:val="2"/>
          <w:sz w:val="24"/>
          <w:szCs w:val="24"/>
          <w:lang w:val="en-US" w:eastAsia="zh-CN" w:bidi="ar-SA"/>
        </w:rPr>
        <w:t>《产业结构调整指导目录》（2019年本）</w:t>
      </w:r>
      <w:r>
        <w:rPr>
          <w:rFonts w:hint="eastAsia" w:ascii="Times New Roman" w:hAnsi="Times New Roman" w:eastAsia="宋体" w:cs="宋体"/>
          <w:kern w:val="2"/>
          <w:sz w:val="24"/>
          <w:szCs w:val="24"/>
          <w:lang w:val="en-US" w:eastAsia="zh-CN" w:bidi="ar-SA"/>
        </w:rPr>
        <w:t>和《部分工业行业淘汰落后生产工艺装备和产品指导目录（2010年本）》可知，本项目不属于国家限制及淘汰类中提及的内容。因此项目建设符合国家现行产业政策。</w:t>
      </w:r>
    </w:p>
    <w:p>
      <w:pPr>
        <w:keepNext w:val="0"/>
        <w:keepLines w:val="0"/>
        <w:pageBreakBefore w:val="0"/>
        <w:widowControl w:val="0"/>
        <w:numPr>
          <w:ilvl w:val="0"/>
          <w:numId w:val="4"/>
        </w:numPr>
        <w:kinsoku/>
        <w:wordWrap/>
        <w:overflowPunct/>
        <w:topLinePunct w:val="0"/>
        <w:autoSpaceDE/>
        <w:autoSpaceDN/>
        <w:bidi w:val="0"/>
        <w:adjustRightInd/>
        <w:snapToGrid/>
        <w:ind w:left="0" w:firstLine="480" w:firstLineChars="200"/>
        <w:textAlignment w:val="auto"/>
      </w:pPr>
      <w:r>
        <w:t>与《环境保护综合名录（201</w:t>
      </w:r>
      <w:r>
        <w:rPr>
          <w:rFonts w:hint="eastAsia"/>
        </w:rPr>
        <w:t>7</w:t>
      </w:r>
      <w:r>
        <w:t>年版）》相符性分析</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本项目不属于《环境保护综合名录（201</w:t>
      </w:r>
      <w:r>
        <w:rPr>
          <w:rFonts w:hint="eastAsia" w:ascii="Times New Roman" w:hAnsi="Times New Roman" w:eastAsia="宋体" w:cs="宋体"/>
          <w:kern w:val="2"/>
          <w:sz w:val="24"/>
          <w:szCs w:val="24"/>
          <w:lang w:val="en-US" w:eastAsia="zh-CN" w:bidi="ar-SA"/>
        </w:rPr>
        <w:t>7</w:t>
      </w:r>
      <w:r>
        <w:rPr>
          <w:rFonts w:ascii="Times New Roman" w:hAnsi="Times New Roman" w:eastAsia="宋体" w:cs="宋体"/>
          <w:kern w:val="2"/>
          <w:sz w:val="24"/>
          <w:szCs w:val="24"/>
          <w:lang w:val="en-US" w:eastAsia="zh-CN" w:bidi="ar-SA"/>
        </w:rPr>
        <w:t>年版）》中</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一、高污染、高环境风险产品名录</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之类，符合《环境保护综合名录（201</w:t>
      </w:r>
      <w:r>
        <w:rPr>
          <w:rFonts w:hint="eastAsia" w:ascii="Times New Roman" w:hAnsi="Times New Roman" w:eastAsia="宋体" w:cs="宋体"/>
          <w:kern w:val="2"/>
          <w:sz w:val="24"/>
          <w:szCs w:val="24"/>
          <w:lang w:val="en-US" w:eastAsia="zh-CN" w:bidi="ar-SA"/>
        </w:rPr>
        <w:t>7</w:t>
      </w:r>
      <w:r>
        <w:rPr>
          <w:rFonts w:ascii="Times New Roman" w:hAnsi="Times New Roman" w:eastAsia="宋体" w:cs="宋体"/>
          <w:kern w:val="2"/>
          <w:sz w:val="24"/>
          <w:szCs w:val="24"/>
          <w:lang w:val="en-US" w:eastAsia="zh-CN" w:bidi="ar-SA"/>
        </w:rPr>
        <w:t>年版）》相关要求。</w:t>
      </w:r>
    </w:p>
    <w:p>
      <w:pPr>
        <w:keepNext w:val="0"/>
        <w:keepLines w:val="0"/>
        <w:pageBreakBefore w:val="0"/>
        <w:widowControl w:val="0"/>
        <w:numPr>
          <w:ilvl w:val="0"/>
          <w:numId w:val="4"/>
        </w:numPr>
        <w:kinsoku/>
        <w:wordWrap/>
        <w:overflowPunct/>
        <w:topLinePunct w:val="0"/>
        <w:autoSpaceDE/>
        <w:autoSpaceDN/>
        <w:bidi w:val="0"/>
        <w:adjustRightInd/>
        <w:snapToGrid/>
        <w:ind w:left="0" w:firstLine="480" w:firstLineChars="200"/>
        <w:textAlignment w:val="auto"/>
        <w:rPr>
          <w:rFonts w:hint="eastAsia"/>
        </w:rPr>
      </w:pPr>
      <w:r>
        <w:rPr>
          <w:rFonts w:hint="eastAsia"/>
        </w:rPr>
        <w:t>与国家土地政策的符合性分析</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根据《限制用地项目目录（2012年本）》和《禁止用地项目目录（2012年本）》的通知（国土资发[2012]98号），本项目均不属于其中项目。符合湘阴县金龙新区工业区规划二类工业用地要求。本项目符合国家土地供应政策及用地要求。</w:t>
      </w:r>
    </w:p>
    <w:p>
      <w:pPr>
        <w:keepNext w:val="0"/>
        <w:keepLines w:val="0"/>
        <w:pageBreakBefore w:val="0"/>
        <w:widowControl w:val="0"/>
        <w:numPr>
          <w:ilvl w:val="0"/>
          <w:numId w:val="4"/>
        </w:numPr>
        <w:kinsoku/>
        <w:wordWrap/>
        <w:overflowPunct/>
        <w:topLinePunct w:val="0"/>
        <w:autoSpaceDE/>
        <w:autoSpaceDN/>
        <w:bidi w:val="0"/>
        <w:adjustRightInd/>
        <w:snapToGrid/>
        <w:ind w:left="0" w:firstLine="480" w:firstLineChars="200"/>
        <w:textAlignment w:val="auto"/>
        <w:rPr>
          <w:rFonts w:hint="eastAsia"/>
        </w:rPr>
      </w:pPr>
      <w:r>
        <w:rPr>
          <w:rFonts w:hint="eastAsia"/>
        </w:rPr>
        <w:t>与《大气污染防治行动计划》（气十条）符合性分析</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2013年国务院向各省、自治区、直辖市人民政府，国务院各部委、各直属机构印发了《大气污染防治行动计划》（简称气十条），该文件是目前我国大气污染防治工作的指导性文件，本评价逐条对照气十条条文，就本项目与该文件的符合性分析</w:t>
      </w:r>
      <w:r>
        <w:rPr>
          <w:rFonts w:ascii="Times New Roman" w:hAnsi="Times New Roman" w:eastAsia="宋体" w:cs="宋体"/>
          <w:color w:val="auto"/>
          <w:kern w:val="2"/>
          <w:sz w:val="24"/>
          <w:szCs w:val="24"/>
          <w:highlight w:val="none"/>
          <w:lang w:val="en-US" w:eastAsia="zh-CN" w:bidi="ar-SA"/>
        </w:rPr>
        <w:t>如</w:t>
      </w:r>
      <w:r>
        <w:rPr>
          <w:rFonts w:ascii="Times New Roman" w:hAnsi="Times New Roman" w:eastAsia="宋体" w:cs="宋体"/>
          <w:color w:val="auto"/>
          <w:kern w:val="2"/>
          <w:sz w:val="24"/>
          <w:szCs w:val="24"/>
          <w:highlight w:val="none"/>
          <w:shd w:val="clear" w:color="auto" w:fill="auto"/>
          <w:lang w:val="en-US" w:eastAsia="zh-CN" w:bidi="ar-SA"/>
        </w:rPr>
        <w:fldChar w:fldCharType="begin"/>
      </w:r>
      <w:r>
        <w:rPr>
          <w:rFonts w:ascii="Times New Roman" w:hAnsi="Times New Roman" w:eastAsia="宋体" w:cs="宋体"/>
          <w:color w:val="auto"/>
          <w:kern w:val="2"/>
          <w:sz w:val="24"/>
          <w:szCs w:val="24"/>
          <w:highlight w:val="none"/>
          <w:shd w:val="clear" w:color="auto" w:fill="auto"/>
          <w:lang w:val="en-US" w:eastAsia="zh-CN" w:bidi="ar-SA"/>
        </w:rPr>
        <w:instrText xml:space="preserve"> REF _Ref8847 \h </w:instrText>
      </w:r>
      <w:r>
        <w:rPr>
          <w:rFonts w:ascii="Times New Roman" w:hAnsi="Times New Roman" w:eastAsia="宋体" w:cs="宋体"/>
          <w:color w:val="auto"/>
          <w:kern w:val="2"/>
          <w:sz w:val="24"/>
          <w:szCs w:val="24"/>
          <w:highlight w:val="none"/>
          <w:shd w:val="clear" w:color="auto" w:fill="auto"/>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1</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w:t>
      </w:r>
      <w:r>
        <w:rPr>
          <w:rFonts w:ascii="Times New Roman" w:hAnsi="Times New Roman" w:eastAsia="宋体" w:cs="宋体"/>
          <w:color w:val="auto"/>
          <w:kern w:val="2"/>
          <w:sz w:val="24"/>
          <w:szCs w:val="24"/>
          <w:highlight w:val="none"/>
          <w:shd w:val="clear" w:color="auto" w:fill="auto"/>
          <w:lang w:val="en-US" w:eastAsia="zh-CN" w:bidi="ar-SA"/>
        </w:rPr>
        <w:fldChar w:fldCharType="end"/>
      </w:r>
      <w:r>
        <w:rPr>
          <w:rFonts w:ascii="Times New Roman" w:hAnsi="Times New Roman" w:eastAsia="宋体" w:cs="宋体"/>
          <w:kern w:val="2"/>
          <w:sz w:val="24"/>
          <w:szCs w:val="24"/>
          <w:lang w:val="en-US" w:eastAsia="zh-CN" w:bidi="ar-SA"/>
        </w:rPr>
        <w:t>。</w:t>
      </w:r>
    </w:p>
    <w:p>
      <w:pPr>
        <w:widowControl w:val="0"/>
        <w:bidi w:val="0"/>
        <w:spacing w:line="360" w:lineRule="auto"/>
        <w:ind w:firstLine="0" w:firstLineChars="0"/>
        <w:jc w:val="center"/>
        <w:rPr>
          <w:rFonts w:ascii="Times New Roman" w:hAnsi="Times New Roman" w:eastAsia="宋体" w:cs="Times New Roman"/>
          <w:b/>
          <w:bCs/>
          <w:kern w:val="2"/>
          <w:sz w:val="21"/>
          <w:szCs w:val="21"/>
          <w:lang w:val="en-US" w:eastAsia="zh-CN" w:bidi="ar-SA"/>
        </w:rPr>
      </w:pPr>
      <w:bookmarkStart w:id="130" w:name="_Ref8847"/>
      <w:r>
        <w:rPr>
          <w:rFonts w:ascii="Times New Roman" w:hAnsi="Times New Roman" w:eastAsia="宋体" w:cs="Times New Roman"/>
          <w:b/>
          <w:bCs/>
          <w:kern w:val="2"/>
          <w:sz w:val="21"/>
          <w:szCs w:val="21"/>
          <w:lang w:val="en-US" w:eastAsia="zh-CN" w:bidi="ar-SA"/>
        </w:rPr>
        <w:t xml:space="preserve">表 </w:t>
      </w:r>
      <w:r>
        <w:rPr>
          <w:rFonts w:ascii="Times New Roman" w:hAnsi="Times New Roman" w:eastAsia="宋体" w:cs="Times New Roman"/>
          <w:b/>
          <w:bCs/>
          <w:kern w:val="2"/>
          <w:sz w:val="21"/>
          <w:szCs w:val="21"/>
          <w:lang w:val="en-US" w:eastAsia="zh-CN" w:bidi="ar-SA"/>
        </w:rPr>
        <w:fldChar w:fldCharType="begin"/>
      </w:r>
      <w:r>
        <w:rPr>
          <w:rFonts w:ascii="Times New Roman" w:hAnsi="Times New Roman" w:eastAsia="宋体" w:cs="Times New Roman"/>
          <w:b/>
          <w:bCs/>
          <w:kern w:val="2"/>
          <w:sz w:val="21"/>
          <w:szCs w:val="21"/>
          <w:lang w:val="en-US" w:eastAsia="zh-CN" w:bidi="ar-SA"/>
        </w:rPr>
        <w:instrText xml:space="preserve"> STYLEREF 1 \s </w:instrText>
      </w:r>
      <w:r>
        <w:rPr>
          <w:rFonts w:ascii="Times New Roman" w:hAnsi="Times New Roman" w:eastAsia="宋体" w:cs="Times New Roman"/>
          <w:b/>
          <w:bCs/>
          <w:kern w:val="2"/>
          <w:sz w:val="21"/>
          <w:szCs w:val="21"/>
          <w:lang w:val="en-US" w:eastAsia="zh-CN" w:bidi="ar-SA"/>
        </w:rPr>
        <w:fldChar w:fldCharType="separate"/>
      </w:r>
      <w:r>
        <w:rPr>
          <w:rFonts w:ascii="Times New Roman" w:hAnsi="Times New Roman" w:eastAsia="宋体" w:cs="Times New Roman"/>
          <w:b/>
          <w:bCs/>
          <w:kern w:val="2"/>
          <w:sz w:val="21"/>
          <w:szCs w:val="21"/>
          <w:lang w:val="en-US" w:eastAsia="zh-CN" w:bidi="ar-SA"/>
        </w:rPr>
        <w:t>1</w:t>
      </w:r>
      <w:r>
        <w:rPr>
          <w:rFonts w:ascii="Times New Roman" w:hAnsi="Times New Roman" w:eastAsia="宋体" w:cs="Times New Roman"/>
          <w:b/>
          <w:bCs/>
          <w:kern w:val="2"/>
          <w:sz w:val="21"/>
          <w:szCs w:val="21"/>
          <w:lang w:val="en-US" w:eastAsia="zh-CN" w:bidi="ar-SA"/>
        </w:rPr>
        <w:fldChar w:fldCharType="end"/>
      </w:r>
      <w:r>
        <w:rPr>
          <w:rFonts w:hint="eastAsia" w:ascii="Times New Roman" w:hAnsi="Times New Roman" w:eastAsia="宋体" w:cs="Times New Roman"/>
          <w:b/>
          <w:bCs/>
          <w:kern w:val="2"/>
          <w:sz w:val="21"/>
          <w:szCs w:val="21"/>
          <w:lang w:val="en-US" w:eastAsia="zh-CN" w:bidi="ar-SA"/>
        </w:rPr>
        <w:t>-</w:t>
      </w:r>
      <w:r>
        <w:rPr>
          <w:rFonts w:ascii="Times New Roman" w:hAnsi="Times New Roman" w:eastAsia="宋体" w:cs="Times New Roman"/>
          <w:b/>
          <w:bCs/>
          <w:kern w:val="2"/>
          <w:sz w:val="21"/>
          <w:szCs w:val="21"/>
          <w:lang w:val="en-US" w:eastAsia="zh-CN" w:bidi="ar-SA"/>
        </w:rPr>
        <w:fldChar w:fldCharType="begin"/>
      </w:r>
      <w:r>
        <w:rPr>
          <w:rFonts w:ascii="Times New Roman" w:hAnsi="Times New Roman" w:eastAsia="宋体" w:cs="Times New Roman"/>
          <w:b/>
          <w:bCs/>
          <w:kern w:val="2"/>
          <w:sz w:val="21"/>
          <w:szCs w:val="21"/>
          <w:lang w:val="en-US" w:eastAsia="zh-CN" w:bidi="ar-SA"/>
        </w:rPr>
        <w:instrText xml:space="preserve"> SEQ 表 \* ARABIC \s 1 </w:instrText>
      </w:r>
      <w:r>
        <w:rPr>
          <w:rFonts w:ascii="Times New Roman" w:hAnsi="Times New Roman" w:eastAsia="宋体" w:cs="Times New Roman"/>
          <w:b/>
          <w:bCs/>
          <w:kern w:val="2"/>
          <w:sz w:val="21"/>
          <w:szCs w:val="21"/>
          <w:lang w:val="en-US" w:eastAsia="zh-CN" w:bidi="ar-SA"/>
        </w:rPr>
        <w:fldChar w:fldCharType="separate"/>
      </w:r>
      <w:r>
        <w:rPr>
          <w:rFonts w:ascii="Times New Roman" w:hAnsi="Times New Roman" w:eastAsia="宋体" w:cs="Times New Roman"/>
          <w:b/>
          <w:bCs/>
          <w:kern w:val="2"/>
          <w:sz w:val="21"/>
          <w:szCs w:val="21"/>
          <w:lang w:val="en-US" w:eastAsia="zh-CN" w:bidi="ar-SA"/>
        </w:rPr>
        <w:t>1</w:t>
      </w:r>
      <w:r>
        <w:rPr>
          <w:rFonts w:ascii="Times New Roman" w:hAnsi="Times New Roman" w:eastAsia="宋体" w:cs="Times New Roman"/>
          <w:b/>
          <w:bCs/>
          <w:kern w:val="2"/>
          <w:sz w:val="21"/>
          <w:szCs w:val="21"/>
          <w:lang w:val="en-US" w:eastAsia="zh-CN" w:bidi="ar-SA"/>
        </w:rPr>
        <w:fldChar w:fldCharType="end"/>
      </w:r>
      <w:bookmarkEnd w:id="130"/>
      <w:r>
        <w:rPr>
          <w:rFonts w:ascii="Times New Roman" w:hAnsi="Times New Roman" w:eastAsia="宋体" w:cs="Times New Roman"/>
          <w:b/>
          <w:bCs/>
          <w:kern w:val="2"/>
          <w:sz w:val="21"/>
          <w:szCs w:val="21"/>
          <w:lang w:val="en-US" w:eastAsia="zh-CN" w:bidi="ar-SA"/>
        </w:rPr>
        <w:t>本项目与气十条有关条款符合性分析</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34"/>
        <w:gridCol w:w="1800"/>
        <w:gridCol w:w="10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834" w:type="dxa"/>
            <w:noWrap w:val="0"/>
            <w:vAlign w:val="center"/>
          </w:tcPr>
          <w:p>
            <w:pPr>
              <w:spacing w:line="240" w:lineRule="auto"/>
              <w:jc w:val="center"/>
            </w:pPr>
            <w:r>
              <w:t>与本项目相关的</w:t>
            </w:r>
            <w:r>
              <w:rPr>
                <w:rFonts w:hint="eastAsia" w:eastAsia="宋体"/>
                <w:lang w:eastAsia="zh-CN"/>
              </w:rPr>
              <w:t>气</w:t>
            </w:r>
            <w:r>
              <w:t>十条要求</w:t>
            </w:r>
          </w:p>
        </w:tc>
        <w:tc>
          <w:tcPr>
            <w:tcW w:w="1800" w:type="dxa"/>
            <w:noWrap w:val="0"/>
            <w:vAlign w:val="center"/>
          </w:tcPr>
          <w:p>
            <w:pPr>
              <w:spacing w:line="240" w:lineRule="auto"/>
              <w:jc w:val="center"/>
            </w:pPr>
            <w:r>
              <w:t>本项目情况</w:t>
            </w:r>
          </w:p>
        </w:tc>
        <w:tc>
          <w:tcPr>
            <w:tcW w:w="1018" w:type="dxa"/>
            <w:noWrap w:val="0"/>
            <w:vAlign w:val="center"/>
          </w:tcPr>
          <w:p>
            <w:pPr>
              <w:spacing w:line="240" w:lineRule="auto"/>
              <w:jc w:val="center"/>
            </w:pPr>
            <w: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34" w:type="dxa"/>
            <w:noWrap w:val="0"/>
            <w:vAlign w:val="center"/>
          </w:tcPr>
          <w:p>
            <w:pPr>
              <w:spacing w:line="240" w:lineRule="auto"/>
              <w:jc w:val="center"/>
            </w:pPr>
            <w:r>
              <w:t>一、加大综合治理力度，减少多污染物排放</w:t>
            </w:r>
          </w:p>
        </w:tc>
        <w:tc>
          <w:tcPr>
            <w:tcW w:w="1800" w:type="dxa"/>
            <w:noWrap w:val="0"/>
            <w:vAlign w:val="center"/>
          </w:tcPr>
          <w:p>
            <w:pPr>
              <w:spacing w:line="240" w:lineRule="auto"/>
              <w:jc w:val="center"/>
            </w:pPr>
          </w:p>
        </w:tc>
        <w:tc>
          <w:tcPr>
            <w:tcW w:w="1018" w:type="dxa"/>
            <w:noWrap w:val="0"/>
            <w:vAlign w:val="center"/>
          </w:tcPr>
          <w:p>
            <w:pPr>
              <w:spacing w:line="240" w:lineRule="auto"/>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8" w:hRule="atLeast"/>
          <w:jc w:val="center"/>
        </w:trPr>
        <w:tc>
          <w:tcPr>
            <w:tcW w:w="5834" w:type="dxa"/>
            <w:noWrap w:val="0"/>
            <w:vAlign w:val="center"/>
          </w:tcPr>
          <w:p>
            <w:pPr>
              <w:spacing w:line="240" w:lineRule="auto"/>
              <w:jc w:val="left"/>
            </w:pPr>
            <w:r>
              <w:t>（一）加强工业企业大气污染综合治理</w:t>
            </w:r>
          </w:p>
          <w:p>
            <w:pPr>
              <w:spacing w:line="240" w:lineRule="auto"/>
              <w:jc w:val="left"/>
              <w:rPr>
                <w:rFonts w:hint="eastAsia" w:eastAsia="宋体"/>
                <w:lang w:eastAsia="zh-CN"/>
              </w:rPr>
            </w:pPr>
            <w:r>
              <w:t>推进挥发性有机物污染治理。在石化、有机化工、表面涂装、包装印刷等行业实施挥发性有机物综合整治，在石化行业开展</w:t>
            </w:r>
            <w:r>
              <w:rPr>
                <w:rFonts w:hint="eastAsia" w:eastAsia="宋体"/>
                <w:lang w:eastAsia="zh-CN"/>
              </w:rPr>
              <w:t>“</w:t>
            </w:r>
            <w:r>
              <w:t>泄漏检测与修复</w:t>
            </w:r>
            <w:r>
              <w:rPr>
                <w:rFonts w:hint="eastAsia" w:eastAsia="宋体"/>
                <w:lang w:eastAsia="zh-CN"/>
              </w:rPr>
              <w:t>”</w:t>
            </w:r>
            <w:r>
              <w:t>技术改造。限时完成加油站、储油库、油罐车的油气回收治理，在原油成品油码头积极开展油气回收治理。完善涂料、胶粘剂等产品挥发性有机物限值标准，推广使用水性涂料，鼓励生产、销售和使用低毒、低挥发性有机溶剂</w:t>
            </w:r>
            <w:r>
              <w:rPr>
                <w:rFonts w:hint="eastAsia" w:eastAsia="宋体"/>
                <w:lang w:eastAsia="zh-CN"/>
              </w:rPr>
              <w:t>。</w:t>
            </w:r>
          </w:p>
        </w:tc>
        <w:tc>
          <w:tcPr>
            <w:tcW w:w="1800" w:type="dxa"/>
            <w:noWrap w:val="0"/>
            <w:vAlign w:val="center"/>
          </w:tcPr>
          <w:p>
            <w:pPr>
              <w:spacing w:line="240" w:lineRule="auto"/>
              <w:jc w:val="center"/>
            </w:pPr>
            <w:r>
              <w:t>本项目暂未列入挥发性有机物综合整治的行业，生产</w:t>
            </w:r>
            <w:r>
              <w:rPr>
                <w:rFonts w:hint="eastAsia"/>
                <w:lang w:eastAsia="zh-CN"/>
              </w:rPr>
              <w:t>聚氨酯发泡胶材料</w:t>
            </w:r>
            <w:r>
              <w:t>，未使用毒性较大的有机溶剂</w:t>
            </w:r>
          </w:p>
        </w:tc>
        <w:tc>
          <w:tcPr>
            <w:tcW w:w="1018" w:type="dxa"/>
            <w:noWrap w:val="0"/>
            <w:vAlign w:val="center"/>
          </w:tcPr>
          <w:p>
            <w:pPr>
              <w:spacing w:line="240" w:lineRule="auto"/>
              <w:jc w:val="center"/>
            </w:pPr>
            <w: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34" w:type="dxa"/>
            <w:noWrap w:val="0"/>
            <w:vAlign w:val="center"/>
          </w:tcPr>
          <w:p>
            <w:pPr>
              <w:spacing w:line="240" w:lineRule="auto"/>
              <w:jc w:val="center"/>
            </w:pPr>
            <w:r>
              <w:t>二、调整优化产业结构，推动产业转型升级</w:t>
            </w:r>
          </w:p>
        </w:tc>
        <w:tc>
          <w:tcPr>
            <w:tcW w:w="1800" w:type="dxa"/>
            <w:noWrap w:val="0"/>
            <w:vAlign w:val="center"/>
          </w:tcPr>
          <w:p>
            <w:pPr>
              <w:spacing w:line="240" w:lineRule="auto"/>
              <w:jc w:val="center"/>
            </w:pPr>
          </w:p>
        </w:tc>
        <w:tc>
          <w:tcPr>
            <w:tcW w:w="1018" w:type="dxa"/>
            <w:noWrap w:val="0"/>
            <w:vAlign w:val="center"/>
          </w:tcPr>
          <w:p>
            <w:pPr>
              <w:spacing w:line="240" w:lineRule="auto"/>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5834" w:type="dxa"/>
            <w:noWrap w:val="0"/>
            <w:vAlign w:val="center"/>
          </w:tcPr>
          <w:p>
            <w:pPr>
              <w:spacing w:line="240" w:lineRule="auto"/>
              <w:jc w:val="left"/>
            </w:pPr>
            <w:r>
              <w:t>（四）严控</w:t>
            </w:r>
            <w:r>
              <w:rPr>
                <w:rFonts w:hint="eastAsia" w:eastAsia="宋体"/>
                <w:lang w:eastAsia="zh-CN"/>
              </w:rPr>
              <w:t>“</w:t>
            </w:r>
            <w:r>
              <w:t>两高</w:t>
            </w:r>
            <w:r>
              <w:rPr>
                <w:rFonts w:hint="eastAsia" w:eastAsia="宋体"/>
                <w:lang w:eastAsia="zh-CN"/>
              </w:rPr>
              <w:t>”</w:t>
            </w:r>
            <w:r>
              <w:t>行业新增产能。</w:t>
            </w:r>
          </w:p>
          <w:p>
            <w:pPr>
              <w:spacing w:line="240" w:lineRule="auto"/>
              <w:jc w:val="left"/>
            </w:pPr>
            <w:r>
              <w:t>修订高耗能、高污染和资源性行业准入条件，明确资源能源节约和污染物排放等指标。有条件的地区要制定符合当地功能定位、严于国家要求的产业准入目录。严格控制</w:t>
            </w:r>
            <w:r>
              <w:rPr>
                <w:rFonts w:hint="eastAsia" w:eastAsia="宋体"/>
                <w:lang w:eastAsia="zh-CN"/>
              </w:rPr>
              <w:t>“</w:t>
            </w:r>
            <w:r>
              <w:t>两高</w:t>
            </w:r>
            <w:r>
              <w:rPr>
                <w:rFonts w:hint="eastAsia" w:eastAsia="宋体"/>
                <w:lang w:eastAsia="zh-CN"/>
              </w:rPr>
              <w:t>”</w:t>
            </w:r>
            <w:r>
              <w:t>行业新增产能，新、改、扩建项目要实行产能等量或减量置换。</w:t>
            </w:r>
          </w:p>
        </w:tc>
        <w:tc>
          <w:tcPr>
            <w:tcW w:w="1800" w:type="dxa"/>
            <w:noWrap w:val="0"/>
            <w:vAlign w:val="center"/>
          </w:tcPr>
          <w:p>
            <w:pPr>
              <w:spacing w:line="240" w:lineRule="auto"/>
              <w:jc w:val="center"/>
            </w:pPr>
            <w:r>
              <w:t>本项目不属于两高行业，符合国家产业准入要求</w:t>
            </w:r>
          </w:p>
        </w:tc>
        <w:tc>
          <w:tcPr>
            <w:tcW w:w="1018" w:type="dxa"/>
            <w:noWrap w:val="0"/>
            <w:vAlign w:val="center"/>
          </w:tcPr>
          <w:p>
            <w:pPr>
              <w:spacing w:line="240" w:lineRule="auto"/>
              <w:jc w:val="center"/>
            </w:pPr>
            <w: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9" w:hRule="atLeast"/>
          <w:jc w:val="center"/>
        </w:trPr>
        <w:tc>
          <w:tcPr>
            <w:tcW w:w="5834" w:type="dxa"/>
            <w:noWrap w:val="0"/>
            <w:vAlign w:val="center"/>
          </w:tcPr>
          <w:p>
            <w:pPr>
              <w:spacing w:line="240" w:lineRule="auto"/>
              <w:jc w:val="left"/>
            </w:pPr>
            <w:r>
              <w:t>（五）加快淘汰落后产能。</w:t>
            </w:r>
          </w:p>
          <w:p>
            <w:pPr>
              <w:spacing w:line="240" w:lineRule="auto"/>
              <w:jc w:val="left"/>
            </w:pPr>
            <w:r>
              <w:t>结合产业发展实际和环境质量状况，进一步提高环保、能耗、安全、质量等标准，分区域明确落后产能淘汰任务，倒逼产业转型升级。</w:t>
            </w:r>
          </w:p>
          <w:p>
            <w:pPr>
              <w:spacing w:line="240" w:lineRule="auto"/>
              <w:jc w:val="left"/>
            </w:pPr>
            <w:r>
              <w:t>按照《部分工业行业淘汰落后生产工艺装备和产品指导目录（2010年本）》、</w:t>
            </w:r>
            <w:r>
              <w:rPr>
                <w:rFonts w:hint="eastAsia"/>
                <w:lang w:val="en-US" w:eastAsia="zh-CN"/>
              </w:rPr>
              <w:t>《产业结构调整指导目录》（2019年本）</w:t>
            </w:r>
            <w:r>
              <w:t>的要求，采取经济、技术、法律和必要的行政手段，提前一年完成钢铁、水泥、电解铝、平板玻璃等21个重点行业的</w:t>
            </w:r>
            <w:r>
              <w:rPr>
                <w:rFonts w:hint="eastAsia" w:eastAsia="宋体"/>
                <w:lang w:eastAsia="zh-CN"/>
              </w:rPr>
              <w:t>“</w:t>
            </w:r>
            <w:r>
              <w:t>十二五</w:t>
            </w:r>
            <w:r>
              <w:rPr>
                <w:rFonts w:hint="eastAsia" w:eastAsia="宋体"/>
                <w:lang w:eastAsia="zh-CN"/>
              </w:rPr>
              <w:t>”</w:t>
            </w:r>
            <w:r>
              <w:t>落后产能淘汰任务。2015年再淘汰炼铁1500万吨、炼钢1500万吨、水泥（熟料及粉磨能力）1亿吨、平板玻璃2000万重量箱。对未按期完成淘汰任务的地区，严格控制国家安排的投资项目，暂停对该地区重点行业建设项目办理审批、核准和备案手续。2016年、2017年，各地区要制定范围更宽、标准更高的落后产能淘汰政策，再淘汰一批落后产能。对布局分散、装备水平低、环保设施差的小型工业企业进行全面排查，制定综合整改方案，实施分类治理。</w:t>
            </w:r>
          </w:p>
        </w:tc>
        <w:tc>
          <w:tcPr>
            <w:tcW w:w="1800" w:type="dxa"/>
            <w:noWrap w:val="0"/>
            <w:vAlign w:val="center"/>
          </w:tcPr>
          <w:p>
            <w:pPr>
              <w:spacing w:line="240" w:lineRule="auto"/>
              <w:jc w:val="center"/>
            </w:pPr>
            <w:r>
              <w:t>本项目</w:t>
            </w:r>
            <w:r>
              <w:rPr>
                <w:rFonts w:hint="eastAsia"/>
              </w:rPr>
              <w:t>选址经过相关</w:t>
            </w:r>
            <w:r>
              <w:rPr>
                <w:rFonts w:hint="eastAsia"/>
                <w:lang w:eastAsia="zh-CN"/>
              </w:rPr>
              <w:t>部门批准同意</w:t>
            </w:r>
            <w:r>
              <w:t>，新增的产能不属于要求淘汰的范围</w:t>
            </w:r>
          </w:p>
        </w:tc>
        <w:tc>
          <w:tcPr>
            <w:tcW w:w="1018" w:type="dxa"/>
            <w:noWrap w:val="0"/>
            <w:vAlign w:val="center"/>
          </w:tcPr>
          <w:p>
            <w:pPr>
              <w:spacing w:line="240" w:lineRule="auto"/>
              <w:jc w:val="center"/>
            </w:pPr>
            <w: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834" w:type="dxa"/>
            <w:noWrap w:val="0"/>
            <w:vAlign w:val="center"/>
          </w:tcPr>
          <w:p>
            <w:pPr>
              <w:spacing w:line="240" w:lineRule="auto"/>
              <w:jc w:val="left"/>
            </w:pPr>
            <w:r>
              <w:t>（六）压缩过剩产能。</w:t>
            </w:r>
          </w:p>
          <w:p>
            <w:pPr>
              <w:spacing w:line="240" w:lineRule="auto"/>
              <w:jc w:val="left"/>
            </w:pPr>
            <w:r>
              <w:t>严禁核准产能严重过剩行业新增产能项目。</w:t>
            </w:r>
          </w:p>
        </w:tc>
        <w:tc>
          <w:tcPr>
            <w:tcW w:w="1800" w:type="dxa"/>
            <w:noWrap w:val="0"/>
            <w:vAlign w:val="center"/>
          </w:tcPr>
          <w:p>
            <w:pPr>
              <w:spacing w:line="240" w:lineRule="auto"/>
              <w:jc w:val="center"/>
            </w:pPr>
            <w:r>
              <w:t>本项目不属于产能过剩行业</w:t>
            </w:r>
          </w:p>
        </w:tc>
        <w:tc>
          <w:tcPr>
            <w:tcW w:w="1018" w:type="dxa"/>
            <w:noWrap w:val="0"/>
            <w:vAlign w:val="center"/>
          </w:tcPr>
          <w:p>
            <w:pPr>
              <w:spacing w:line="240" w:lineRule="auto"/>
              <w:jc w:val="center"/>
            </w:pPr>
            <w: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34" w:type="dxa"/>
            <w:noWrap w:val="0"/>
            <w:vAlign w:val="center"/>
          </w:tcPr>
          <w:p>
            <w:pPr>
              <w:spacing w:line="240" w:lineRule="auto"/>
              <w:jc w:val="center"/>
            </w:pPr>
            <w:r>
              <w:t>三、加快企业技术改造，提高科技创新能力</w:t>
            </w:r>
          </w:p>
        </w:tc>
        <w:tc>
          <w:tcPr>
            <w:tcW w:w="1800" w:type="dxa"/>
            <w:noWrap w:val="0"/>
            <w:vAlign w:val="center"/>
          </w:tcPr>
          <w:p>
            <w:pPr>
              <w:spacing w:line="240" w:lineRule="auto"/>
              <w:jc w:val="center"/>
            </w:pPr>
          </w:p>
        </w:tc>
        <w:tc>
          <w:tcPr>
            <w:tcW w:w="1018" w:type="dxa"/>
            <w:noWrap w:val="0"/>
            <w:vAlign w:val="center"/>
          </w:tcPr>
          <w:p>
            <w:pPr>
              <w:spacing w:line="240" w:lineRule="auto"/>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5834" w:type="dxa"/>
            <w:noWrap w:val="0"/>
            <w:vAlign w:val="center"/>
          </w:tcPr>
          <w:p>
            <w:pPr>
              <w:spacing w:line="240" w:lineRule="auto"/>
              <w:jc w:val="left"/>
            </w:pPr>
            <w:r>
              <w:t>（九）全面推行清洁生产。</w:t>
            </w:r>
          </w:p>
          <w:p>
            <w:pPr>
              <w:spacing w:line="240" w:lineRule="auto"/>
              <w:jc w:val="left"/>
            </w:pPr>
            <w:r>
              <w:t>对钢铁、水泥、化工、石化、有色金属冶炼等重点行业进行清洁生产审核，针对节能减排关键领域和薄弱环节，采用先进适用的技术、工艺和装备，实施清洁生产技术改造；到2017年，重点行业排污强度比2012年下降30%以上。推进非有机溶剂型涂料和农药等产品创新，减少生产和使用过程中挥发性有机物排放。</w:t>
            </w:r>
          </w:p>
        </w:tc>
        <w:tc>
          <w:tcPr>
            <w:tcW w:w="1800" w:type="dxa"/>
            <w:noWrap w:val="0"/>
            <w:vAlign w:val="center"/>
          </w:tcPr>
          <w:p>
            <w:pPr>
              <w:spacing w:line="240" w:lineRule="auto"/>
              <w:jc w:val="center"/>
            </w:pPr>
            <w:r>
              <w:t>本项目属于清洁生产</w:t>
            </w:r>
            <w:r>
              <w:rPr>
                <w:rFonts w:hint="eastAsia"/>
                <w:lang w:eastAsia="zh-CN"/>
              </w:rPr>
              <w:t>产业</w:t>
            </w:r>
            <w:r>
              <w:t>，生产</w:t>
            </w:r>
            <w:r>
              <w:rPr>
                <w:rFonts w:hint="eastAsia"/>
              </w:rPr>
              <w:t>塑料制品</w:t>
            </w:r>
            <w:r>
              <w:t>，未使用毒性较高的有机溶剂，产品符合国家标准</w:t>
            </w:r>
          </w:p>
        </w:tc>
        <w:tc>
          <w:tcPr>
            <w:tcW w:w="1018" w:type="dxa"/>
            <w:noWrap w:val="0"/>
            <w:vAlign w:val="center"/>
          </w:tcPr>
          <w:p>
            <w:pPr>
              <w:spacing w:line="240" w:lineRule="auto"/>
              <w:jc w:val="center"/>
            </w:pPr>
            <w: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34" w:type="dxa"/>
            <w:noWrap w:val="0"/>
            <w:vAlign w:val="center"/>
          </w:tcPr>
          <w:p>
            <w:pPr>
              <w:spacing w:line="240" w:lineRule="auto"/>
              <w:jc w:val="center"/>
            </w:pPr>
            <w:r>
              <w:t>四、加快调整能源结构，增加清洁能源供应</w:t>
            </w:r>
          </w:p>
        </w:tc>
        <w:tc>
          <w:tcPr>
            <w:tcW w:w="1800" w:type="dxa"/>
            <w:noWrap w:val="0"/>
            <w:vAlign w:val="center"/>
          </w:tcPr>
          <w:p>
            <w:pPr>
              <w:spacing w:line="240" w:lineRule="auto"/>
              <w:jc w:val="center"/>
            </w:pPr>
          </w:p>
        </w:tc>
        <w:tc>
          <w:tcPr>
            <w:tcW w:w="1018" w:type="dxa"/>
            <w:noWrap w:val="0"/>
            <w:vAlign w:val="center"/>
          </w:tcPr>
          <w:p>
            <w:pPr>
              <w:spacing w:line="240" w:lineRule="auto"/>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834" w:type="dxa"/>
            <w:noWrap w:val="0"/>
            <w:vAlign w:val="center"/>
          </w:tcPr>
          <w:p>
            <w:pPr>
              <w:spacing w:line="240" w:lineRule="auto"/>
              <w:jc w:val="left"/>
            </w:pPr>
            <w:r>
              <w:t>（十二）控制煤炭消费总量。</w:t>
            </w:r>
          </w:p>
          <w:p>
            <w:pPr>
              <w:spacing w:line="240" w:lineRule="auto"/>
              <w:jc w:val="left"/>
              <w:rPr>
                <w:rFonts w:hint="eastAsia" w:eastAsia="宋体"/>
                <w:lang w:eastAsia="zh-CN"/>
              </w:rPr>
            </w:pPr>
            <w:r>
              <w:t>制定国家煤炭消费总量中长期控制目标，实行目标责任管理。到2017年，煤炭占能源消费总量比重降低到65%以下。京津冀、长三角、珠三角等区域力争实现煤炭消费总量负增长，通过逐步提高接受外输电比例、增加天然气供应、加大非化石能源利用强度等措施替代燃煤</w:t>
            </w:r>
            <w:r>
              <w:rPr>
                <w:rFonts w:hint="eastAsia" w:eastAsia="宋体"/>
                <w:lang w:eastAsia="zh-CN"/>
              </w:rPr>
              <w:t>。</w:t>
            </w:r>
          </w:p>
        </w:tc>
        <w:tc>
          <w:tcPr>
            <w:tcW w:w="1800" w:type="dxa"/>
            <w:noWrap w:val="0"/>
            <w:vAlign w:val="center"/>
          </w:tcPr>
          <w:p>
            <w:pPr>
              <w:spacing w:line="240" w:lineRule="auto"/>
              <w:jc w:val="center"/>
            </w:pPr>
            <w:r>
              <w:t>本项目</w:t>
            </w:r>
            <w:r>
              <w:rPr>
                <w:rFonts w:hint="eastAsia"/>
                <w:lang w:eastAsia="zh-CN"/>
              </w:rPr>
              <w:t>不</w:t>
            </w:r>
            <w:r>
              <w:t>消耗燃煤</w:t>
            </w:r>
          </w:p>
        </w:tc>
        <w:tc>
          <w:tcPr>
            <w:tcW w:w="1018" w:type="dxa"/>
            <w:noWrap w:val="0"/>
            <w:vAlign w:val="center"/>
          </w:tcPr>
          <w:p>
            <w:pPr>
              <w:spacing w:line="240" w:lineRule="auto"/>
              <w:jc w:val="center"/>
            </w:pPr>
            <w: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5834" w:type="dxa"/>
            <w:noWrap w:val="0"/>
            <w:vAlign w:val="center"/>
          </w:tcPr>
          <w:p>
            <w:pPr>
              <w:spacing w:line="240" w:lineRule="auto"/>
              <w:jc w:val="left"/>
            </w:pPr>
            <w:r>
              <w:t>（十三）加快清洁能源替代利用</w:t>
            </w:r>
          </w:p>
          <w:p>
            <w:pPr>
              <w:spacing w:line="240" w:lineRule="auto"/>
              <w:jc w:val="left"/>
              <w:rPr>
                <w:rFonts w:hint="eastAsia" w:eastAsia="宋体"/>
                <w:lang w:eastAsia="zh-CN"/>
              </w:rPr>
            </w:pPr>
            <w:r>
              <w:t>加大天然气、煤制天然气、煤层气供应。到2015年，新增天然气干线管输能力1500亿m³以上，覆盖京津冀、长三角、珠三角等区域。优化天然气使用方式，新增天然气应优先保障居民生活或用于替代燃煤；鼓励发展天然气分布式能源等高效利用项目，限制发展天然气化工项目；有序发展天然气调峰电站，原则上不再新建天然气发电项目</w:t>
            </w:r>
            <w:r>
              <w:rPr>
                <w:rFonts w:hint="eastAsia" w:eastAsia="宋体"/>
                <w:lang w:eastAsia="zh-CN"/>
              </w:rPr>
              <w:t>。</w:t>
            </w:r>
          </w:p>
        </w:tc>
        <w:tc>
          <w:tcPr>
            <w:tcW w:w="1800" w:type="dxa"/>
            <w:noWrap w:val="0"/>
            <w:vAlign w:val="center"/>
          </w:tcPr>
          <w:p>
            <w:pPr>
              <w:spacing w:line="240" w:lineRule="auto"/>
              <w:jc w:val="center"/>
            </w:pPr>
            <w:r>
              <w:t>本项目以电能为能源</w:t>
            </w:r>
          </w:p>
        </w:tc>
        <w:tc>
          <w:tcPr>
            <w:tcW w:w="1018" w:type="dxa"/>
            <w:noWrap w:val="0"/>
            <w:vAlign w:val="center"/>
          </w:tcPr>
          <w:p>
            <w:pPr>
              <w:spacing w:line="240" w:lineRule="auto"/>
              <w:jc w:val="center"/>
            </w:pPr>
            <w: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34" w:type="dxa"/>
            <w:noWrap w:val="0"/>
            <w:vAlign w:val="center"/>
          </w:tcPr>
          <w:p>
            <w:pPr>
              <w:spacing w:line="240" w:lineRule="auto"/>
              <w:jc w:val="center"/>
            </w:pPr>
            <w:r>
              <w:t>五、严格节能环保准入，优化产业空间布局</w:t>
            </w:r>
          </w:p>
        </w:tc>
        <w:tc>
          <w:tcPr>
            <w:tcW w:w="1800" w:type="dxa"/>
            <w:noWrap w:val="0"/>
            <w:vAlign w:val="center"/>
          </w:tcPr>
          <w:p>
            <w:pPr>
              <w:spacing w:line="240" w:lineRule="auto"/>
              <w:jc w:val="center"/>
            </w:pPr>
          </w:p>
        </w:tc>
        <w:tc>
          <w:tcPr>
            <w:tcW w:w="1018" w:type="dxa"/>
            <w:noWrap w:val="0"/>
            <w:vAlign w:val="center"/>
          </w:tcPr>
          <w:p>
            <w:pPr>
              <w:spacing w:line="240" w:lineRule="auto"/>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5834" w:type="dxa"/>
            <w:noWrap w:val="0"/>
            <w:vAlign w:val="center"/>
          </w:tcPr>
          <w:p>
            <w:pPr>
              <w:spacing w:line="240" w:lineRule="auto"/>
              <w:jc w:val="left"/>
            </w:pPr>
            <w:r>
              <w:t>（十六）调整产业布局</w:t>
            </w:r>
          </w:p>
          <w:p>
            <w:pPr>
              <w:spacing w:line="240" w:lineRule="auto"/>
              <w:jc w:val="left"/>
              <w:rPr>
                <w:rFonts w:hint="eastAsia" w:eastAsia="宋体"/>
                <w:lang w:eastAsia="zh-CN"/>
              </w:rPr>
            </w:pPr>
            <w:r>
              <w:t>所有新、改、扩建项目，必须全部进行环境影响评价；未通过环境影响评价审批的，一律不准开工建设；违规建设的，要依法进行处罚。加强产业政策在产业转移过程中的引导与约束作用，严格限制在生态脆弱或环境敏感地区建设</w:t>
            </w:r>
            <w:r>
              <w:rPr>
                <w:rFonts w:hint="eastAsia" w:eastAsia="宋体"/>
                <w:lang w:eastAsia="zh-CN"/>
              </w:rPr>
              <w:t>“</w:t>
            </w:r>
            <w:r>
              <w:t>两高</w:t>
            </w:r>
            <w:r>
              <w:rPr>
                <w:rFonts w:hint="eastAsia" w:eastAsia="宋体"/>
                <w:lang w:eastAsia="zh-CN"/>
              </w:rPr>
              <w:t>”</w:t>
            </w:r>
            <w:r>
              <w:t>行业项目。加强对各类产业发展规划的环境影响评价</w:t>
            </w:r>
            <w:r>
              <w:rPr>
                <w:rFonts w:hint="eastAsia" w:eastAsia="宋体"/>
                <w:lang w:eastAsia="zh-CN"/>
              </w:rPr>
              <w:t>。</w:t>
            </w:r>
          </w:p>
        </w:tc>
        <w:tc>
          <w:tcPr>
            <w:tcW w:w="1800" w:type="dxa"/>
            <w:noWrap w:val="0"/>
            <w:vAlign w:val="center"/>
          </w:tcPr>
          <w:p>
            <w:pPr>
              <w:spacing w:line="240" w:lineRule="auto"/>
              <w:jc w:val="center"/>
            </w:pPr>
            <w:r>
              <w:t>本项目不属于两高行业，按照要求正在进行环境影响评价，不涉及环境敏感区域</w:t>
            </w:r>
          </w:p>
        </w:tc>
        <w:tc>
          <w:tcPr>
            <w:tcW w:w="1018" w:type="dxa"/>
            <w:noWrap w:val="0"/>
            <w:vAlign w:val="center"/>
          </w:tcPr>
          <w:p>
            <w:pPr>
              <w:spacing w:line="240" w:lineRule="auto"/>
              <w:jc w:val="center"/>
            </w:pPr>
            <w: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8" w:hRule="atLeast"/>
          <w:jc w:val="center"/>
        </w:trPr>
        <w:tc>
          <w:tcPr>
            <w:tcW w:w="5834" w:type="dxa"/>
            <w:noWrap w:val="0"/>
            <w:vAlign w:val="center"/>
          </w:tcPr>
          <w:p>
            <w:pPr>
              <w:spacing w:line="240" w:lineRule="auto"/>
              <w:jc w:val="left"/>
            </w:pPr>
            <w:r>
              <w:t>（十七）强化节能环保指标约束</w:t>
            </w:r>
          </w:p>
          <w:p>
            <w:pPr>
              <w:spacing w:line="240" w:lineRule="auto"/>
              <w:jc w:val="left"/>
              <w:rPr>
                <w:rFonts w:hint="eastAsia" w:eastAsia="宋体"/>
                <w:lang w:eastAsia="zh-CN"/>
              </w:rPr>
            </w:pPr>
            <w:r>
              <w:t>京津冀、长三角、珠三角区域以及辽宁中部、山东、武汉及其周边、长株潭、成渝、海峡西岸、山西中北部、陕西关中、甘宁、乌鲁木齐城市群等</w:t>
            </w:r>
            <w:r>
              <w:rPr>
                <w:rFonts w:hint="eastAsia" w:eastAsia="宋体"/>
                <w:lang w:eastAsia="zh-CN"/>
              </w:rPr>
              <w:t>“</w:t>
            </w:r>
            <w:r>
              <w:t>三区十群</w:t>
            </w:r>
            <w:r>
              <w:rPr>
                <w:rFonts w:hint="eastAsia" w:eastAsia="宋体"/>
                <w:lang w:eastAsia="zh-CN"/>
              </w:rPr>
              <w:t>”</w:t>
            </w:r>
            <w:r>
              <w:t>中的47个城市，新建火电、钢铁、石化、水泥、有色、化工等企业以及燃煤锅炉项目要执行大气污染物特别排放限值。各地区可根据环境质量改善的需要，扩大特别排放限值实施的范围</w:t>
            </w:r>
            <w:r>
              <w:rPr>
                <w:rFonts w:hint="eastAsia" w:eastAsia="宋体"/>
                <w:lang w:eastAsia="zh-CN"/>
              </w:rPr>
              <w:t>。</w:t>
            </w:r>
          </w:p>
        </w:tc>
        <w:tc>
          <w:tcPr>
            <w:tcW w:w="1800" w:type="dxa"/>
            <w:noWrap w:val="0"/>
            <w:vAlign w:val="center"/>
          </w:tcPr>
          <w:p>
            <w:pPr>
              <w:spacing w:line="240" w:lineRule="auto"/>
              <w:jc w:val="center"/>
            </w:pPr>
            <w:r>
              <w:rPr>
                <w:rFonts w:hint="eastAsia" w:eastAsia="宋体"/>
                <w:highlight w:val="none"/>
                <w:lang w:eastAsia="zh-CN"/>
              </w:rPr>
              <w:t>本</w:t>
            </w:r>
            <w:r>
              <w:rPr>
                <w:rFonts w:hint="eastAsia"/>
                <w:highlight w:val="none"/>
              </w:rPr>
              <w:t>项目</w:t>
            </w:r>
            <w:r>
              <w:rPr>
                <w:highlight w:val="none"/>
              </w:rPr>
              <w:t>未使用锅炉</w:t>
            </w:r>
          </w:p>
        </w:tc>
        <w:tc>
          <w:tcPr>
            <w:tcW w:w="1018" w:type="dxa"/>
            <w:noWrap w:val="0"/>
            <w:vAlign w:val="center"/>
          </w:tcPr>
          <w:p>
            <w:pPr>
              <w:spacing w:line="240" w:lineRule="auto"/>
              <w:jc w:val="center"/>
            </w:pPr>
            <w: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834" w:type="dxa"/>
            <w:noWrap w:val="0"/>
            <w:vAlign w:val="center"/>
          </w:tcPr>
          <w:p>
            <w:pPr>
              <w:spacing w:line="240" w:lineRule="auto"/>
              <w:jc w:val="center"/>
            </w:pPr>
            <w:r>
              <w:t>十、明确政府企业和社会的责任，动员全民参与环境保护</w:t>
            </w:r>
          </w:p>
        </w:tc>
        <w:tc>
          <w:tcPr>
            <w:tcW w:w="1800" w:type="dxa"/>
            <w:noWrap w:val="0"/>
            <w:vAlign w:val="center"/>
          </w:tcPr>
          <w:p>
            <w:pPr>
              <w:spacing w:line="240" w:lineRule="auto"/>
              <w:jc w:val="center"/>
            </w:pPr>
          </w:p>
        </w:tc>
        <w:tc>
          <w:tcPr>
            <w:tcW w:w="1018" w:type="dxa"/>
            <w:noWrap w:val="0"/>
            <w:vAlign w:val="center"/>
          </w:tcPr>
          <w:p>
            <w:pPr>
              <w:spacing w:line="240" w:lineRule="auto"/>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5834" w:type="dxa"/>
            <w:noWrap w:val="0"/>
            <w:vAlign w:val="center"/>
          </w:tcPr>
          <w:p>
            <w:pPr>
              <w:spacing w:line="240" w:lineRule="auto"/>
              <w:jc w:val="left"/>
            </w:pPr>
            <w:r>
              <w:t>（三十四）强化企业施治。</w:t>
            </w:r>
          </w:p>
          <w:p>
            <w:pPr>
              <w:spacing w:line="240" w:lineRule="auto"/>
              <w:jc w:val="left"/>
              <w:rPr>
                <w:rFonts w:hint="eastAsia" w:eastAsia="宋体"/>
                <w:lang w:eastAsia="zh-CN"/>
              </w:rPr>
            </w:pPr>
            <w:r>
              <w:t>企业是大气污染治理的责任主体，要按照环保规范要求，加强内部管理，增加资金投入，采用先进的生产工艺和治理技术，确保达标排放，甚至达到</w:t>
            </w:r>
            <w:r>
              <w:rPr>
                <w:rFonts w:hint="eastAsia" w:eastAsia="宋体"/>
                <w:lang w:eastAsia="zh-CN"/>
              </w:rPr>
              <w:t>“</w:t>
            </w:r>
            <w:r>
              <w:t>零排放</w:t>
            </w:r>
            <w:r>
              <w:rPr>
                <w:rFonts w:hint="eastAsia" w:eastAsia="宋体"/>
                <w:lang w:eastAsia="zh-CN"/>
              </w:rPr>
              <w:t>”</w:t>
            </w:r>
            <w:r>
              <w:t>；要自觉履行环境保护的社会责任，接受社会监督</w:t>
            </w:r>
            <w:r>
              <w:rPr>
                <w:rFonts w:hint="eastAsia" w:eastAsia="宋体"/>
                <w:lang w:eastAsia="zh-CN"/>
              </w:rPr>
              <w:t>。</w:t>
            </w:r>
          </w:p>
        </w:tc>
        <w:tc>
          <w:tcPr>
            <w:tcW w:w="1800" w:type="dxa"/>
            <w:noWrap w:val="0"/>
            <w:vAlign w:val="center"/>
          </w:tcPr>
          <w:p>
            <w:pPr>
              <w:spacing w:line="240" w:lineRule="auto"/>
              <w:jc w:val="center"/>
            </w:pPr>
            <w:r>
              <w:rPr>
                <w:highlight w:val="none"/>
              </w:rPr>
              <w:t>本项目有机废气采用</w:t>
            </w:r>
            <w:r>
              <w:rPr>
                <w:rFonts w:hint="eastAsia" w:eastAsia="宋体"/>
                <w:highlight w:val="none"/>
                <w:lang w:eastAsia="zh-CN"/>
              </w:rPr>
              <w:t>集气罩收集</w:t>
            </w:r>
            <w:r>
              <w:rPr>
                <w:rFonts w:hint="eastAsia"/>
                <w:highlight w:val="none"/>
              </w:rPr>
              <w:t>+</w:t>
            </w:r>
            <w:r>
              <w:rPr>
                <w:color w:val="000000"/>
              </w:rPr>
              <w:t>UV光解净化器</w:t>
            </w:r>
            <w:r>
              <w:rPr>
                <w:rFonts w:hint="eastAsia"/>
                <w:color w:val="000000"/>
                <w:lang w:val="en-US" w:eastAsia="zh-CN"/>
              </w:rPr>
              <w:t>+</w:t>
            </w:r>
            <w:r>
              <w:rPr>
                <w:rFonts w:hint="eastAsia"/>
                <w:highlight w:val="none"/>
              </w:rPr>
              <w:t>活性炭吸附</w:t>
            </w:r>
            <w:r>
              <w:rPr>
                <w:rFonts w:hint="eastAsia" w:eastAsia="宋体"/>
                <w:highlight w:val="none"/>
                <w:lang w:eastAsia="zh-CN"/>
              </w:rPr>
              <w:t>装置处理</w:t>
            </w:r>
            <w:r>
              <w:rPr>
                <w:rFonts w:hint="eastAsia"/>
                <w:highlight w:val="none"/>
              </w:rPr>
              <w:t>+</w:t>
            </w:r>
            <w:r>
              <w:rPr>
                <w:rFonts w:hint="eastAsia"/>
                <w:highlight w:val="none"/>
                <w:lang w:val="en-US" w:eastAsia="zh-CN"/>
              </w:rPr>
              <w:t>21m排气筒</w:t>
            </w:r>
            <w:r>
              <w:rPr>
                <w:rFonts w:hint="eastAsia" w:eastAsia="宋体"/>
                <w:highlight w:val="none"/>
                <w:lang w:eastAsia="zh-CN"/>
              </w:rPr>
              <w:t>，</w:t>
            </w:r>
            <w:r>
              <w:rPr>
                <w:highlight w:val="none"/>
              </w:rPr>
              <w:t>能达标排放</w:t>
            </w:r>
          </w:p>
        </w:tc>
        <w:tc>
          <w:tcPr>
            <w:tcW w:w="1018" w:type="dxa"/>
            <w:noWrap w:val="0"/>
            <w:vAlign w:val="center"/>
          </w:tcPr>
          <w:p>
            <w:pPr>
              <w:spacing w:line="240" w:lineRule="auto"/>
              <w:jc w:val="center"/>
            </w:pPr>
            <w:r>
              <w:t>符合</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与气十条文件对照后可见，本项目较好的落实了气十条中提出的各项要求。</w:t>
      </w:r>
    </w:p>
    <w:p>
      <w:pPr>
        <w:pStyle w:val="38"/>
        <w:keepNext w:val="0"/>
        <w:keepLines w:val="0"/>
        <w:pageBreakBefore w:val="0"/>
        <w:widowControl w:val="0"/>
        <w:numPr>
          <w:ilvl w:val="0"/>
          <w:numId w:val="4"/>
        </w:numPr>
        <w:kinsoku/>
        <w:wordWrap/>
        <w:overflowPunct/>
        <w:topLinePunct w:val="0"/>
        <w:autoSpaceDE/>
        <w:autoSpaceDN/>
        <w:bidi w:val="0"/>
        <w:adjustRightInd/>
        <w:snapToGrid/>
        <w:ind w:left="0" w:leftChars="0" w:firstLine="480" w:firstLineChars="200"/>
        <w:textAlignment w:val="auto"/>
        <w:rPr>
          <w:color w:val="000000"/>
        </w:rPr>
      </w:pPr>
      <w:r>
        <w:rPr>
          <w:color w:val="000000"/>
        </w:rPr>
        <w:t>与《挥发性有机物（VOCs）污染防治技术政策》相关要求</w:t>
      </w:r>
    </w:p>
    <w:p>
      <w:pPr>
        <w:pStyle w:val="38"/>
        <w:ind w:firstLine="480"/>
        <w:rPr>
          <w:color w:val="000000"/>
        </w:rPr>
      </w:pPr>
      <w:r>
        <w:rPr>
          <w:color w:val="000000"/>
        </w:rPr>
        <w:t>本项目与《挥发性有机物（VOCs）污染防治技术政策》相关要求见下表：</w:t>
      </w:r>
    </w:p>
    <w:p>
      <w:pPr>
        <w:pStyle w:val="27"/>
        <w:bidi w:val="0"/>
        <w:rPr>
          <w:lang w:val="en-US" w:eastAsia="zh-CN"/>
        </w:rPr>
        <w:sectPr>
          <w:footerReference r:id="rId14" w:type="default"/>
          <w:pgSz w:w="11906" w:h="16838"/>
          <w:pgMar w:top="1587" w:right="1361" w:bottom="1474" w:left="1474" w:header="851" w:footer="992" w:gutter="0"/>
          <w:pgBorders>
            <w:top w:val="none" w:sz="0" w:space="0"/>
            <w:left w:val="none" w:sz="0" w:space="0"/>
            <w:bottom w:val="none" w:sz="0" w:space="0"/>
            <w:right w:val="none" w:sz="0" w:space="0"/>
          </w:pgBorders>
          <w:pgNumType w:fmt="decimal" w:start="1"/>
          <w:cols w:space="0" w:num="1"/>
          <w:rtlGutter w:val="0"/>
          <w:docGrid w:linePitch="312" w:charSpace="0"/>
        </w:sectPr>
      </w:pPr>
    </w:p>
    <w:p>
      <w:pPr>
        <w:pStyle w:val="27"/>
        <w:bidi w:val="0"/>
      </w:pPr>
      <w:r>
        <w:rPr>
          <w:lang w:val="en-US" w:eastAsia="zh-CN"/>
        </w:rPr>
        <w:t xml:space="preserve">表 </w:t>
      </w:r>
      <w:r>
        <w:rPr>
          <w:lang w:val="en-US" w:eastAsia="zh-CN"/>
        </w:rPr>
        <w:fldChar w:fldCharType="begin"/>
      </w:r>
      <w:r>
        <w:rPr>
          <w:lang w:val="en-US" w:eastAsia="zh-CN"/>
        </w:rPr>
        <w:instrText xml:space="preserve"> STYLEREF 1 \s </w:instrText>
      </w:r>
      <w:r>
        <w:rPr>
          <w:lang w:val="en-US" w:eastAsia="zh-CN"/>
        </w:rPr>
        <w:fldChar w:fldCharType="separate"/>
      </w:r>
      <w:r>
        <w:rPr>
          <w:lang w:val="en-US" w:eastAsia="zh-CN"/>
        </w:rPr>
        <w:t>1</w:t>
      </w:r>
      <w:r>
        <w:rPr>
          <w:lang w:val="en-US" w:eastAsia="zh-CN"/>
        </w:rPr>
        <w:fldChar w:fldCharType="end"/>
      </w:r>
      <w:r>
        <w:rPr>
          <w:rFonts w:hint="eastAsia"/>
          <w:lang w:val="en-US" w:eastAsia="zh-CN"/>
        </w:rPr>
        <w:t>-2</w:t>
      </w:r>
      <w:r>
        <w:t>本项目与《挥发性有机物（VOCs）污染防治技术政策》相关要求表</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492"/>
        <w:gridCol w:w="37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701" w:type="dxa"/>
            <w:noWrap w:val="0"/>
            <w:vAlign w:val="center"/>
          </w:tcPr>
          <w:p>
            <w:pPr>
              <w:pStyle w:val="26"/>
              <w:bidi w:val="0"/>
              <w:jc w:val="center"/>
            </w:pPr>
            <w:r>
              <w:t>相关政策要求</w:t>
            </w:r>
          </w:p>
        </w:tc>
        <w:tc>
          <w:tcPr>
            <w:tcW w:w="3492" w:type="dxa"/>
            <w:noWrap w:val="0"/>
            <w:vAlign w:val="center"/>
          </w:tcPr>
          <w:p>
            <w:pPr>
              <w:pStyle w:val="26"/>
              <w:bidi w:val="0"/>
              <w:jc w:val="center"/>
            </w:pPr>
            <w:r>
              <w:t>相关规定</w:t>
            </w:r>
          </w:p>
        </w:tc>
        <w:tc>
          <w:tcPr>
            <w:tcW w:w="3798" w:type="dxa"/>
            <w:noWrap w:val="0"/>
            <w:vAlign w:val="center"/>
          </w:tcPr>
          <w:p>
            <w:pPr>
              <w:pStyle w:val="26"/>
              <w:bidi w:val="0"/>
              <w:jc w:val="center"/>
            </w:pPr>
            <w:r>
              <w:t>本项目已采取的措施及改进建议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3" w:hRule="atLeast"/>
          <w:jc w:val="center"/>
        </w:trPr>
        <w:tc>
          <w:tcPr>
            <w:tcW w:w="1701" w:type="dxa"/>
            <w:noWrap w:val="0"/>
            <w:vAlign w:val="center"/>
          </w:tcPr>
          <w:p>
            <w:pPr>
              <w:pStyle w:val="26"/>
              <w:bidi w:val="0"/>
              <w:jc w:val="center"/>
            </w:pPr>
            <w:r>
              <w:t>挥发性有机物（VOCs）污染防治技术政策</w:t>
            </w:r>
          </w:p>
        </w:tc>
        <w:tc>
          <w:tcPr>
            <w:tcW w:w="3492" w:type="dxa"/>
            <w:noWrap w:val="0"/>
            <w:vAlign w:val="center"/>
          </w:tcPr>
          <w:p>
            <w:pPr>
              <w:pStyle w:val="26"/>
              <w:bidi w:val="0"/>
              <w:jc w:val="center"/>
            </w:pPr>
            <w:r>
              <w:t>鼓励采用先进的清洁生产技术，提高转化和利用效率；对泵、压缩机、阀门、法兰等易发生泄漏的设备与管线组件，制定泄漏检测与修复（LDAR）计划，定期检测、及时修复，防止或减少跑、冒、滴、漏现象；对生产装置排放的含VOCs工艺排气宜优先回收利用，不能（或不能完全）回收利用的经处理后达标排放；</w:t>
            </w:r>
          </w:p>
        </w:tc>
        <w:tc>
          <w:tcPr>
            <w:tcW w:w="3798" w:type="dxa"/>
            <w:noWrap w:val="0"/>
            <w:vAlign w:val="center"/>
          </w:tcPr>
          <w:p>
            <w:pPr>
              <w:pStyle w:val="26"/>
              <w:bidi w:val="0"/>
              <w:jc w:val="center"/>
            </w:pPr>
            <w:r>
              <w:t>已采取的措施：项目工艺较为先进，满足清洁生产要求；项目拟按要求进行泄漏检测与修复（LDAR），定期检测、及时修复，防止或减少跑、冒、滴、漏现象；项目对生产中排放的废气进行收集后</w:t>
            </w:r>
            <w:r>
              <w:rPr>
                <w:rFonts w:hint="eastAsia"/>
                <w:lang w:eastAsia="zh-CN"/>
              </w:rPr>
              <w:t>用</w:t>
            </w:r>
            <w:r>
              <w:t>UV光解处理</w:t>
            </w:r>
            <w:r>
              <w:rPr>
                <w:rFonts w:hint="eastAsia"/>
              </w:rPr>
              <w:t>+活性炭吸附</w:t>
            </w:r>
            <w:r>
              <w:t>，再通过</w:t>
            </w:r>
            <w:r>
              <w:rPr>
                <w:rFonts w:hint="eastAsia"/>
              </w:rPr>
              <w:t>2</w:t>
            </w:r>
            <w:r>
              <w:rPr>
                <w:rFonts w:hint="eastAsia"/>
                <w:lang w:val="en-US" w:eastAsia="zh-CN"/>
              </w:rPr>
              <w:t>1</w:t>
            </w:r>
            <w:r>
              <w:rPr>
                <w:rFonts w:hint="eastAsia"/>
              </w:rPr>
              <w:t>m</w:t>
            </w:r>
            <w:r>
              <w:t>高排气筒达标排放</w:t>
            </w:r>
          </w:p>
        </w:tc>
      </w:tr>
    </w:tbl>
    <w:p>
      <w:pPr>
        <w:pStyle w:val="38"/>
        <w:ind w:firstLine="480"/>
        <w:rPr>
          <w:color w:val="000000"/>
        </w:rPr>
      </w:pPr>
    </w:p>
    <w:p>
      <w:pPr>
        <w:pStyle w:val="38"/>
        <w:ind w:firstLine="480"/>
        <w:rPr>
          <w:lang w:val="en-US" w:eastAsia="zh-CN"/>
        </w:rPr>
      </w:pPr>
      <w:r>
        <w:rPr>
          <w:color w:val="000000"/>
        </w:rPr>
        <w:t>通过上表分析，项目基本符合《挥发性有机物（VOCs）污染防治技术政策》相关要求。</w:t>
      </w:r>
    </w:p>
    <w:p>
      <w:pPr>
        <w:keepNext w:val="0"/>
        <w:keepLines w:val="0"/>
        <w:pageBreakBefore w:val="0"/>
        <w:widowControl w:val="0"/>
        <w:numPr>
          <w:ilvl w:val="0"/>
          <w:numId w:val="4"/>
        </w:numPr>
        <w:kinsoku/>
        <w:wordWrap/>
        <w:overflowPunct/>
        <w:topLinePunct w:val="0"/>
        <w:autoSpaceDE/>
        <w:autoSpaceDN/>
        <w:bidi w:val="0"/>
        <w:adjustRightInd/>
        <w:snapToGrid/>
        <w:ind w:left="0" w:firstLine="480" w:firstLineChars="200"/>
        <w:textAlignment w:val="auto"/>
        <w:rPr>
          <w:rFonts w:hint="eastAsia"/>
          <w:lang w:val="en-US" w:eastAsia="zh-CN"/>
        </w:rPr>
      </w:pPr>
      <w:bookmarkStart w:id="131" w:name="_Toc11564"/>
      <w:bookmarkStart w:id="132" w:name="_Toc2415"/>
      <w:bookmarkStart w:id="133" w:name="_Toc18601"/>
      <w:bookmarkStart w:id="134" w:name="_Toc30753"/>
      <w:bookmarkStart w:id="135" w:name="_Toc17340"/>
      <w:r>
        <w:rPr>
          <w:rFonts w:hint="eastAsia"/>
          <w:lang w:val="en-US" w:eastAsia="zh-CN"/>
        </w:rPr>
        <w:t>与《关于以改善环境质量为核心加强环境影响评价管理的通知》相符性分析</w:t>
      </w:r>
      <w:bookmarkEnd w:id="131"/>
      <w:bookmarkEnd w:id="132"/>
      <w:bookmarkEnd w:id="133"/>
      <w:bookmarkEnd w:id="134"/>
      <w:bookmarkEnd w:id="135"/>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根据《岳阳市生态保护红线划定方案》，本项目位于</w:t>
      </w:r>
      <w:r>
        <w:rPr>
          <w:rFonts w:hint="eastAsia" w:ascii="Times New Roman" w:hAnsi="Times New Roman" w:eastAsia="宋体" w:cs="宋体"/>
          <w:kern w:val="2"/>
          <w:sz w:val="24"/>
          <w:szCs w:val="24"/>
          <w:lang w:val="en-US" w:eastAsia="zh-CN" w:bidi="ar-SA"/>
        </w:rPr>
        <w:t>湖南湘阴县金龙新区工业区卓达金谷创业园8栋</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湘阴县金龙新区工业区</w:t>
      </w:r>
      <w:r>
        <w:rPr>
          <w:rFonts w:ascii="Times New Roman" w:hAnsi="Times New Roman" w:eastAsia="宋体" w:cs="宋体"/>
          <w:kern w:val="2"/>
          <w:sz w:val="24"/>
          <w:szCs w:val="24"/>
          <w:lang w:val="en-US" w:eastAsia="zh-CN" w:bidi="ar-SA"/>
        </w:rPr>
        <w:t>不属于</w:t>
      </w:r>
      <w:r>
        <w:rPr>
          <w:rFonts w:hint="eastAsia" w:ascii="Times New Roman" w:hAnsi="Times New Roman" w:eastAsia="宋体" w:cs="宋体"/>
          <w:kern w:val="2"/>
          <w:sz w:val="24"/>
          <w:szCs w:val="24"/>
          <w:lang w:val="en-US" w:eastAsia="zh-CN" w:bidi="ar-SA"/>
        </w:rPr>
        <w:t>湘阴县</w:t>
      </w:r>
      <w:r>
        <w:rPr>
          <w:rFonts w:ascii="Times New Roman" w:hAnsi="Times New Roman" w:eastAsia="宋体" w:cs="宋体"/>
          <w:kern w:val="2"/>
          <w:sz w:val="24"/>
          <w:szCs w:val="24"/>
          <w:lang w:val="en-US" w:eastAsia="zh-CN" w:bidi="ar-SA"/>
        </w:rPr>
        <w:t>生态保护红线范围。</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由第5章环境质量现状调查与评价可知，本项目</w:t>
      </w:r>
      <w:r>
        <w:rPr>
          <w:rFonts w:hint="eastAsia" w:ascii="Times New Roman" w:hAnsi="Times New Roman" w:eastAsia="宋体" w:cs="宋体"/>
          <w:kern w:val="2"/>
          <w:sz w:val="24"/>
          <w:szCs w:val="24"/>
          <w:lang w:val="en-US" w:eastAsia="zh-CN" w:bidi="ar-SA"/>
        </w:rPr>
        <w:t>所在区域大气部分因子超标但湘阴县近期采取产业和能源结构调整措施、大气污染治理的措施等一系列措施，湘阴县环境空气质量正在逐步改善。</w:t>
      </w:r>
      <w:r>
        <w:rPr>
          <w:rFonts w:ascii="Times New Roman" w:hAnsi="Times New Roman" w:eastAsia="宋体" w:cs="宋体"/>
          <w:kern w:val="2"/>
          <w:sz w:val="24"/>
          <w:szCs w:val="24"/>
          <w:lang w:val="en-US" w:eastAsia="zh-CN" w:bidi="ar-SA"/>
        </w:rPr>
        <w:t>所在区域大气、地表水、地下水、土壤环境质量现状均满足相关环境质量标准，项目拟建地环境质量状况良好，符合《关于以改善环境质量为核心加强环境影响评价管理的通知》（环环评[2016]150号）中的环境质量底线要求。</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本项目为塑料制品制造行业中的发泡胶产业，</w:t>
      </w:r>
      <w:r>
        <w:rPr>
          <w:rFonts w:ascii="Times New Roman" w:hAnsi="Times New Roman" w:eastAsia="宋体" w:cs="宋体"/>
          <w:kern w:val="2"/>
          <w:sz w:val="24"/>
          <w:szCs w:val="24"/>
          <w:lang w:val="en-US" w:eastAsia="zh-CN" w:bidi="ar-SA"/>
        </w:rPr>
        <w:t>项目营运过程中</w:t>
      </w:r>
      <w:r>
        <w:rPr>
          <w:rFonts w:hint="eastAsia" w:ascii="Times New Roman" w:hAnsi="Times New Roman" w:eastAsia="宋体" w:cs="宋体"/>
          <w:kern w:val="2"/>
          <w:sz w:val="24"/>
          <w:szCs w:val="24"/>
          <w:lang w:val="en-US" w:eastAsia="zh-CN" w:bidi="ar-SA"/>
        </w:rPr>
        <w:t>只</w:t>
      </w:r>
      <w:r>
        <w:rPr>
          <w:rFonts w:ascii="Times New Roman" w:hAnsi="Times New Roman" w:eastAsia="宋体" w:cs="宋体"/>
          <w:kern w:val="2"/>
          <w:sz w:val="24"/>
          <w:szCs w:val="24"/>
          <w:lang w:val="en-US" w:eastAsia="zh-CN" w:bidi="ar-SA"/>
        </w:rPr>
        <w:t>消耗一定量的电</w:t>
      </w:r>
      <w:r>
        <w:rPr>
          <w:rFonts w:hint="eastAsia" w:ascii="Times New Roman" w:hAnsi="Times New Roman" w:eastAsia="宋体" w:cs="宋体"/>
          <w:kern w:val="2"/>
          <w:sz w:val="24"/>
          <w:szCs w:val="24"/>
          <w:lang w:val="en-US" w:eastAsia="zh-CN" w:bidi="ar-SA"/>
        </w:rPr>
        <w:t>能</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不使用产生污染的其他能源，符合</w:t>
      </w:r>
      <w:r>
        <w:rPr>
          <w:rFonts w:ascii="Times New Roman" w:hAnsi="Times New Roman" w:eastAsia="宋体" w:cs="宋体"/>
          <w:kern w:val="2"/>
          <w:sz w:val="24"/>
          <w:szCs w:val="24"/>
          <w:lang w:val="en-US" w:eastAsia="zh-CN" w:bidi="ar-SA"/>
        </w:rPr>
        <w:t>清洁生产</w:t>
      </w:r>
      <w:r>
        <w:rPr>
          <w:rFonts w:hint="eastAsia" w:ascii="Times New Roman" w:hAnsi="Times New Roman" w:eastAsia="宋体" w:cs="宋体"/>
          <w:kern w:val="2"/>
          <w:sz w:val="24"/>
          <w:szCs w:val="24"/>
          <w:lang w:val="en-US" w:eastAsia="zh-CN" w:bidi="ar-SA"/>
        </w:rPr>
        <w:t>要求</w:t>
      </w:r>
      <w:r>
        <w:rPr>
          <w:rFonts w:ascii="Times New Roman" w:hAnsi="Times New Roman" w:eastAsia="宋体" w:cs="宋体"/>
          <w:kern w:val="2"/>
          <w:sz w:val="24"/>
          <w:szCs w:val="24"/>
          <w:lang w:val="en-US" w:eastAsia="zh-CN" w:bidi="ar-SA"/>
        </w:rPr>
        <w:t>，项目资源消耗量相对区域资源利用总量较少，符合《关于以改善环境质量为核心加强环境影响评价管理的通知》中的资源利用上线要求。</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金龙新区工业园严格执行环境准入负面清单，不得引进国家明令淘汰和禁止发展的不合产业政策的建设项目，禁止引进多晶硅、单晶硅、造纸、石化、治全、皮革、医药、纺印染、酒类、查禽初加工、电镀和火力发电等行业，限制发展食品制造，饲料加工行业，本项目为塑料制品制造行业中的发泡胶产业，属于初级形态塑料，而且属于国家工信部规定的岳阳市产业发展指导项目和湖南省新材料产业项目，</w:t>
      </w:r>
      <w:r>
        <w:rPr>
          <w:rFonts w:ascii="Times New Roman" w:hAnsi="Times New Roman" w:eastAsia="宋体" w:cs="宋体"/>
          <w:kern w:val="2"/>
          <w:sz w:val="24"/>
          <w:szCs w:val="24"/>
          <w:lang w:val="en-US" w:eastAsia="zh-CN" w:bidi="ar-SA"/>
        </w:rPr>
        <w:t>不在</w:t>
      </w:r>
      <w:r>
        <w:rPr>
          <w:rFonts w:hint="eastAsia" w:ascii="Times New Roman" w:hAnsi="Times New Roman" w:eastAsia="宋体" w:cs="宋体"/>
          <w:kern w:val="2"/>
          <w:sz w:val="24"/>
          <w:szCs w:val="24"/>
          <w:lang w:val="en-US" w:eastAsia="zh-CN" w:bidi="ar-SA"/>
        </w:rPr>
        <w:t>金龙新区工业园</w:t>
      </w:r>
      <w:r>
        <w:rPr>
          <w:rFonts w:ascii="Times New Roman" w:hAnsi="Times New Roman" w:eastAsia="宋体" w:cs="宋体"/>
          <w:kern w:val="2"/>
          <w:sz w:val="24"/>
          <w:szCs w:val="24"/>
          <w:lang w:val="en-US" w:eastAsia="zh-CN" w:bidi="ar-SA"/>
        </w:rPr>
        <w:t>负面清单内，符合差别化环境准入条件和要求。</w:t>
      </w:r>
    </w:p>
    <w:p>
      <w:pPr>
        <w:pStyle w:val="25"/>
        <w:bidi w:val="0"/>
        <w:rPr>
          <w:lang w:val="en-US" w:eastAsia="zh-CN"/>
        </w:rPr>
      </w:pPr>
      <w:r>
        <w:rPr>
          <w:rFonts w:hint="eastAsia" w:ascii="Times New Roman" w:hAnsi="Times New Roman" w:eastAsia="宋体" w:cs="宋体"/>
          <w:kern w:val="2"/>
          <w:sz w:val="24"/>
          <w:szCs w:val="24"/>
          <w:lang w:val="en-US" w:eastAsia="zh-CN" w:bidi="ar-SA"/>
        </w:rPr>
        <w:t>综上</w:t>
      </w:r>
      <w:r>
        <w:rPr>
          <w:rFonts w:ascii="Times New Roman" w:hAnsi="Times New Roman" w:eastAsia="宋体" w:cs="宋体"/>
          <w:kern w:val="2"/>
          <w:sz w:val="24"/>
          <w:szCs w:val="24"/>
          <w:lang w:val="en-US" w:eastAsia="zh-CN" w:bidi="ar-SA"/>
        </w:rPr>
        <w:t>，本项目符合《关于以改善环境质量为核心加强环境影响评价管理的通知》（环环评[2016]150号）中</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三线一单</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的相关要求。</w:t>
      </w:r>
    </w:p>
    <w:p>
      <w:pPr>
        <w:widowControl w:val="0"/>
        <w:bidi w:val="0"/>
        <w:spacing w:line="360" w:lineRule="auto"/>
        <w:ind w:firstLine="0" w:firstLineChars="0"/>
        <w:jc w:val="center"/>
        <w:rPr>
          <w:rFonts w:ascii="Times New Roman" w:hAnsi="Times New Roman" w:eastAsia="宋体" w:cs="Times New Roman"/>
          <w:b/>
          <w:bCs/>
          <w:kern w:val="2"/>
          <w:sz w:val="21"/>
          <w:szCs w:val="21"/>
          <w:lang w:val="en-US" w:eastAsia="zh-CN" w:bidi="ar-SA"/>
        </w:rPr>
      </w:pPr>
      <w:bookmarkStart w:id="136" w:name="_Toc23517"/>
      <w:bookmarkStart w:id="137" w:name="_Toc18806"/>
      <w:bookmarkStart w:id="138" w:name="_Toc21640"/>
      <w:bookmarkStart w:id="139" w:name="_Toc29056"/>
      <w:bookmarkStart w:id="140" w:name="_Toc2280"/>
      <w:bookmarkStart w:id="141" w:name="_Toc6280"/>
      <w:bookmarkStart w:id="142" w:name="_Toc10513"/>
      <w:bookmarkStart w:id="143" w:name="_Toc16969"/>
      <w:bookmarkStart w:id="144" w:name="_Toc28856"/>
      <w:bookmarkStart w:id="145" w:name="_Toc22463"/>
      <w:bookmarkStart w:id="146" w:name="_Toc1044"/>
      <w:bookmarkStart w:id="147" w:name="_Toc17001"/>
      <w:r>
        <w:rPr>
          <w:rFonts w:ascii="Times New Roman" w:hAnsi="Times New Roman" w:eastAsia="宋体" w:cs="Times New Roman"/>
          <w:b/>
          <w:bCs/>
          <w:kern w:val="2"/>
          <w:sz w:val="21"/>
          <w:szCs w:val="21"/>
          <w:lang w:val="en-US" w:eastAsia="zh-CN" w:bidi="ar-SA"/>
        </w:rPr>
        <w:t xml:space="preserve">表 </w:t>
      </w:r>
      <w:r>
        <w:rPr>
          <w:rFonts w:ascii="Times New Roman" w:hAnsi="Times New Roman" w:eastAsia="宋体" w:cs="Times New Roman"/>
          <w:b/>
          <w:bCs/>
          <w:kern w:val="2"/>
          <w:sz w:val="21"/>
          <w:szCs w:val="21"/>
          <w:lang w:val="en-US" w:eastAsia="zh-CN" w:bidi="ar-SA"/>
        </w:rPr>
        <w:fldChar w:fldCharType="begin"/>
      </w:r>
      <w:r>
        <w:rPr>
          <w:rFonts w:ascii="Times New Roman" w:hAnsi="Times New Roman" w:eastAsia="宋体" w:cs="Times New Roman"/>
          <w:b/>
          <w:bCs/>
          <w:kern w:val="2"/>
          <w:sz w:val="21"/>
          <w:szCs w:val="21"/>
          <w:lang w:val="en-US" w:eastAsia="zh-CN" w:bidi="ar-SA"/>
        </w:rPr>
        <w:instrText xml:space="preserve"> STYLEREF 1 \s </w:instrText>
      </w:r>
      <w:r>
        <w:rPr>
          <w:rFonts w:ascii="Times New Roman" w:hAnsi="Times New Roman" w:eastAsia="宋体" w:cs="Times New Roman"/>
          <w:b/>
          <w:bCs/>
          <w:kern w:val="2"/>
          <w:sz w:val="21"/>
          <w:szCs w:val="21"/>
          <w:lang w:val="en-US" w:eastAsia="zh-CN" w:bidi="ar-SA"/>
        </w:rPr>
        <w:fldChar w:fldCharType="separate"/>
      </w:r>
      <w:r>
        <w:rPr>
          <w:rFonts w:ascii="Times New Roman" w:hAnsi="Times New Roman" w:eastAsia="宋体" w:cs="Times New Roman"/>
          <w:b/>
          <w:bCs/>
          <w:kern w:val="2"/>
          <w:sz w:val="21"/>
          <w:szCs w:val="21"/>
          <w:lang w:val="en-US" w:eastAsia="zh-CN" w:bidi="ar-SA"/>
        </w:rPr>
        <w:t>1</w:t>
      </w:r>
      <w:r>
        <w:rPr>
          <w:rFonts w:ascii="Times New Roman" w:hAnsi="Times New Roman" w:eastAsia="宋体" w:cs="Times New Roman"/>
          <w:b/>
          <w:bCs/>
          <w:kern w:val="2"/>
          <w:sz w:val="21"/>
          <w:szCs w:val="21"/>
          <w:lang w:val="en-US" w:eastAsia="zh-CN" w:bidi="ar-SA"/>
        </w:rPr>
        <w:fldChar w:fldCharType="end"/>
      </w:r>
      <w:r>
        <w:rPr>
          <w:rFonts w:hint="eastAsia" w:cs="Times New Roman"/>
          <w:b/>
          <w:bCs/>
          <w:kern w:val="2"/>
          <w:sz w:val="21"/>
          <w:szCs w:val="21"/>
          <w:lang w:val="en-US" w:eastAsia="zh-CN" w:bidi="ar-SA"/>
        </w:rPr>
        <w:t>-3</w:t>
      </w:r>
      <w:r>
        <w:rPr>
          <w:rFonts w:hint="eastAsia" w:ascii="Times New Roman" w:hAnsi="Times New Roman" w:eastAsia="宋体" w:cs="Times New Roman"/>
          <w:b/>
          <w:bCs/>
          <w:kern w:val="2"/>
          <w:sz w:val="21"/>
          <w:szCs w:val="21"/>
          <w:lang w:val="en-US" w:eastAsia="zh-CN" w:bidi="ar-SA"/>
        </w:rPr>
        <w:t>“</w:t>
      </w:r>
      <w:r>
        <w:rPr>
          <w:rFonts w:ascii="Times New Roman" w:hAnsi="Times New Roman" w:eastAsia="宋体" w:cs="Times New Roman"/>
          <w:b/>
          <w:bCs/>
          <w:kern w:val="2"/>
          <w:sz w:val="21"/>
          <w:szCs w:val="21"/>
          <w:lang w:val="en-US" w:eastAsia="zh-CN" w:bidi="ar-SA"/>
        </w:rPr>
        <w:t>三线一单</w:t>
      </w:r>
      <w:r>
        <w:rPr>
          <w:rFonts w:hint="eastAsia" w:ascii="Times New Roman" w:hAnsi="Times New Roman" w:eastAsia="宋体" w:cs="Times New Roman"/>
          <w:b/>
          <w:bCs/>
          <w:kern w:val="2"/>
          <w:sz w:val="21"/>
          <w:szCs w:val="21"/>
          <w:lang w:val="en-US" w:eastAsia="zh-CN" w:bidi="ar-SA"/>
        </w:rPr>
        <w:t>”</w:t>
      </w:r>
      <w:r>
        <w:rPr>
          <w:rFonts w:ascii="Times New Roman" w:hAnsi="Times New Roman" w:eastAsia="宋体" w:cs="Times New Roman"/>
          <w:b/>
          <w:bCs/>
          <w:kern w:val="2"/>
          <w:sz w:val="21"/>
          <w:szCs w:val="21"/>
          <w:lang w:val="en-US" w:eastAsia="zh-CN" w:bidi="ar-SA"/>
        </w:rPr>
        <w:t>符合性分析</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92"/>
        <w:gridCol w:w="69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9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内容</w:t>
            </w:r>
          </w:p>
        </w:tc>
        <w:tc>
          <w:tcPr>
            <w:tcW w:w="696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9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生态保护红线</w:t>
            </w:r>
          </w:p>
        </w:tc>
        <w:tc>
          <w:tcPr>
            <w:tcW w:w="6967" w:type="dxa"/>
            <w:noWrap w:val="0"/>
            <w:vAlign w:val="center"/>
          </w:tcPr>
          <w:p>
            <w:pPr>
              <w:widowControl w:val="0"/>
              <w:bidi w:val="0"/>
              <w:adjustRightInd w:val="0"/>
              <w:snapToGrid w:val="0"/>
              <w:spacing w:line="240" w:lineRule="auto"/>
              <w:jc w:val="left"/>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项目位于</w:t>
            </w:r>
            <w:r>
              <w:rPr>
                <w:rFonts w:hint="eastAsia" w:ascii="Times New Roman" w:hAnsi="Times New Roman" w:eastAsia="宋体" w:cs="Times New Roman"/>
                <w:kern w:val="2"/>
                <w:sz w:val="24"/>
                <w:szCs w:val="24"/>
                <w:lang w:val="en-US" w:eastAsia="zh-CN" w:bidi="ar-SA"/>
              </w:rPr>
              <w:t>湖南湘阴县金龙新区工业区卓达金谷创业园8栋</w:t>
            </w:r>
            <w:r>
              <w:rPr>
                <w:rFonts w:ascii="Times New Roman" w:hAnsi="Times New Roman" w:eastAsia="宋体" w:cs="Times New Roman"/>
                <w:kern w:val="2"/>
                <w:sz w:val="24"/>
                <w:szCs w:val="24"/>
                <w:lang w:val="en-US" w:eastAsia="zh-CN" w:bidi="ar-SA"/>
              </w:rPr>
              <w:t>，不属于</w:t>
            </w:r>
            <w:r>
              <w:rPr>
                <w:rFonts w:hint="eastAsia" w:ascii="Times New Roman" w:hAnsi="Times New Roman" w:eastAsia="宋体" w:cs="Times New Roman"/>
                <w:kern w:val="2"/>
                <w:sz w:val="24"/>
                <w:szCs w:val="24"/>
                <w:lang w:val="en-US" w:eastAsia="zh-CN" w:bidi="ar-SA"/>
              </w:rPr>
              <w:t>湘阴县</w:t>
            </w:r>
            <w:r>
              <w:rPr>
                <w:rFonts w:ascii="Times New Roman" w:hAnsi="Times New Roman" w:eastAsia="宋体" w:cs="Times New Roman"/>
                <w:kern w:val="2"/>
                <w:sz w:val="24"/>
                <w:szCs w:val="24"/>
                <w:lang w:val="en-US" w:eastAsia="zh-CN" w:bidi="ar-SA"/>
              </w:rPr>
              <w:t>生态保护红线范围，符合生态保护红线要求</w:t>
            </w:r>
            <w:r>
              <w:rPr>
                <w:rFonts w:hint="eastAsia" w:ascii="Times New Roman" w:hAnsi="Times New Roman" w:eastAsia="宋体" w:cs="Times New Roman"/>
                <w:kern w:val="2"/>
                <w:sz w:val="24"/>
                <w:szCs w:val="24"/>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9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环境质量底线</w:t>
            </w:r>
          </w:p>
        </w:tc>
        <w:tc>
          <w:tcPr>
            <w:tcW w:w="6967" w:type="dxa"/>
            <w:noWrap w:val="0"/>
            <w:vAlign w:val="center"/>
          </w:tcPr>
          <w:p>
            <w:pPr>
              <w:widowControl w:val="0"/>
              <w:bidi w:val="0"/>
              <w:adjustRightInd w:val="0"/>
              <w:snapToGrid w:val="0"/>
              <w:spacing w:line="240" w:lineRule="auto"/>
              <w:jc w:val="left"/>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本项目</w:t>
            </w:r>
            <w:r>
              <w:rPr>
                <w:rFonts w:hint="eastAsia" w:ascii="Times New Roman" w:hAnsi="Times New Roman" w:eastAsia="宋体" w:cs="Times New Roman"/>
                <w:kern w:val="2"/>
                <w:sz w:val="24"/>
                <w:szCs w:val="24"/>
                <w:lang w:val="en-US" w:eastAsia="zh-CN" w:bidi="ar-SA"/>
              </w:rPr>
              <w:t>区域</w:t>
            </w:r>
            <w:r>
              <w:rPr>
                <w:rFonts w:ascii="Times New Roman" w:hAnsi="Times New Roman" w:eastAsia="宋体" w:cs="Times New Roman"/>
                <w:kern w:val="2"/>
                <w:sz w:val="24"/>
                <w:szCs w:val="24"/>
                <w:lang w:val="en-US" w:eastAsia="zh-CN" w:bidi="ar-SA"/>
              </w:rPr>
              <w:t>大气环境</w:t>
            </w:r>
            <w:r>
              <w:rPr>
                <w:rFonts w:hint="eastAsia" w:ascii="Times New Roman" w:hAnsi="Times New Roman" w:eastAsia="宋体" w:cs="Times New Roman"/>
                <w:kern w:val="2"/>
                <w:sz w:val="24"/>
                <w:szCs w:val="24"/>
                <w:lang w:val="en-US" w:eastAsia="zh-CN" w:bidi="ar-SA"/>
              </w:rPr>
              <w:t>质量部分超标（PM</w:t>
            </w:r>
            <w:r>
              <w:rPr>
                <w:rFonts w:hint="eastAsia" w:ascii="Times New Roman" w:hAnsi="Times New Roman" w:eastAsia="宋体" w:cs="Times New Roman"/>
                <w:kern w:val="2"/>
                <w:sz w:val="24"/>
                <w:szCs w:val="24"/>
                <w:vertAlign w:val="subscript"/>
                <w:lang w:val="en-US" w:eastAsia="zh-CN" w:bidi="ar-SA"/>
              </w:rPr>
              <w:t>2.5</w:t>
            </w:r>
            <w:r>
              <w:rPr>
                <w:rFonts w:hint="eastAsia" w:ascii="Times New Roman" w:hAnsi="Times New Roman" w:eastAsia="宋体" w:cs="Times New Roman"/>
                <w:kern w:val="2"/>
                <w:sz w:val="24"/>
                <w:szCs w:val="24"/>
                <w:lang w:val="en-US" w:eastAsia="zh-CN" w:bidi="ar-SA"/>
              </w:rPr>
              <w:t>），但正在改善</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其余</w:t>
            </w:r>
            <w:r>
              <w:rPr>
                <w:rFonts w:ascii="Times New Roman" w:hAnsi="Times New Roman" w:eastAsia="宋体" w:cs="Times New Roman"/>
                <w:kern w:val="2"/>
                <w:sz w:val="24"/>
                <w:szCs w:val="24"/>
                <w:lang w:val="en-US" w:eastAsia="zh-CN" w:bidi="ar-SA"/>
              </w:rPr>
              <w:t>地表水环境、地下水环境、声环境质量均能满足</w:t>
            </w:r>
            <w:r>
              <w:rPr>
                <w:rFonts w:hint="eastAsia" w:ascii="Times New Roman" w:hAnsi="Times New Roman" w:eastAsia="宋体" w:cs="Times New Roman"/>
                <w:kern w:val="2"/>
                <w:sz w:val="24"/>
                <w:szCs w:val="24"/>
                <w:lang w:val="en-US" w:eastAsia="zh-CN" w:bidi="ar-SA"/>
              </w:rPr>
              <w:t>功能区</w:t>
            </w:r>
            <w:r>
              <w:rPr>
                <w:rFonts w:ascii="Times New Roman" w:hAnsi="Times New Roman" w:eastAsia="宋体" w:cs="Times New Roman"/>
                <w:kern w:val="2"/>
                <w:sz w:val="24"/>
                <w:szCs w:val="24"/>
                <w:lang w:val="en-US" w:eastAsia="zh-CN" w:bidi="ar-SA"/>
              </w:rPr>
              <w:t>相应标准要求。项目废气经相应处理措施处理后对周围环境</w:t>
            </w:r>
            <w:r>
              <w:rPr>
                <w:rFonts w:hint="eastAsia" w:ascii="Times New Roman" w:hAnsi="Times New Roman" w:eastAsia="宋体" w:cs="Times New Roman"/>
                <w:kern w:val="2"/>
                <w:sz w:val="24"/>
                <w:szCs w:val="24"/>
                <w:lang w:val="en-US" w:eastAsia="zh-CN" w:bidi="ar-SA"/>
              </w:rPr>
              <w:t>影响</w:t>
            </w:r>
            <w:r>
              <w:rPr>
                <w:rFonts w:ascii="Times New Roman" w:hAnsi="Times New Roman" w:eastAsia="宋体" w:cs="Times New Roman"/>
                <w:kern w:val="2"/>
                <w:sz w:val="24"/>
                <w:szCs w:val="24"/>
                <w:lang w:val="en-US" w:eastAsia="zh-CN" w:bidi="ar-SA"/>
              </w:rPr>
              <w:t>很小。符合环境质量底线要求</w:t>
            </w:r>
            <w:r>
              <w:rPr>
                <w:rFonts w:hint="eastAsia" w:ascii="Times New Roman" w:hAnsi="Times New Roman" w:eastAsia="宋体" w:cs="Times New Roman"/>
                <w:kern w:val="2"/>
                <w:sz w:val="24"/>
                <w:szCs w:val="24"/>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9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资源利用上线</w:t>
            </w:r>
          </w:p>
        </w:tc>
        <w:tc>
          <w:tcPr>
            <w:tcW w:w="6967" w:type="dxa"/>
            <w:noWrap w:val="0"/>
            <w:vAlign w:val="center"/>
          </w:tcPr>
          <w:p>
            <w:pPr>
              <w:widowControl w:val="0"/>
              <w:bidi w:val="0"/>
              <w:adjustRightInd w:val="0"/>
              <w:snapToGrid w:val="0"/>
              <w:spacing w:line="240" w:lineRule="auto"/>
              <w:jc w:val="left"/>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项目营运过程中消耗一定量的电</w:t>
            </w:r>
            <w:r>
              <w:rPr>
                <w:rFonts w:hint="eastAsia" w:ascii="Times New Roman" w:hAnsi="Times New Roman" w:eastAsia="宋体" w:cs="Times New Roman"/>
                <w:kern w:val="2"/>
                <w:sz w:val="24"/>
                <w:szCs w:val="24"/>
                <w:lang w:val="en-US" w:eastAsia="zh-CN" w:bidi="ar-SA"/>
              </w:rPr>
              <w:t>能</w:t>
            </w:r>
            <w:r>
              <w:rPr>
                <w:rFonts w:ascii="Times New Roman" w:hAnsi="Times New Roman" w:eastAsia="宋体" w:cs="Times New Roman"/>
                <w:kern w:val="2"/>
                <w:sz w:val="24"/>
                <w:szCs w:val="24"/>
                <w:lang w:val="en-US" w:eastAsia="zh-CN" w:bidi="ar-SA"/>
              </w:rPr>
              <w:t>，属于清洁生产企业，项目资源消耗量相对区域资源利用总量较少，符合资源利用上限要求</w:t>
            </w:r>
            <w:r>
              <w:rPr>
                <w:rFonts w:hint="eastAsia" w:ascii="Times New Roman" w:hAnsi="Times New Roman" w:eastAsia="宋体" w:cs="Times New Roman"/>
                <w:kern w:val="2"/>
                <w:sz w:val="24"/>
                <w:szCs w:val="24"/>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69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负面清单</w:t>
            </w:r>
          </w:p>
        </w:tc>
        <w:tc>
          <w:tcPr>
            <w:tcW w:w="6967" w:type="dxa"/>
            <w:noWrap w:val="0"/>
            <w:vAlign w:val="center"/>
          </w:tcPr>
          <w:p>
            <w:pPr>
              <w:widowControl w:val="0"/>
              <w:bidi w:val="0"/>
              <w:adjustRightInd w:val="0"/>
              <w:snapToGrid w:val="0"/>
              <w:spacing w:line="240" w:lineRule="auto"/>
              <w:jc w:val="left"/>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本项目不在</w:t>
            </w:r>
            <w:r>
              <w:rPr>
                <w:rFonts w:hint="eastAsia" w:ascii="Times New Roman" w:hAnsi="Times New Roman" w:eastAsia="宋体" w:cs="Times New Roman"/>
                <w:kern w:val="2"/>
                <w:sz w:val="24"/>
                <w:szCs w:val="24"/>
                <w:lang w:val="en-US" w:eastAsia="zh-CN" w:bidi="ar-SA"/>
              </w:rPr>
              <w:t>金龙新区工业园</w:t>
            </w:r>
            <w:r>
              <w:rPr>
                <w:rFonts w:ascii="Times New Roman" w:hAnsi="Times New Roman" w:eastAsia="宋体" w:cs="Times New Roman"/>
                <w:kern w:val="2"/>
                <w:sz w:val="24"/>
                <w:szCs w:val="24"/>
                <w:lang w:val="en-US" w:eastAsia="zh-CN" w:bidi="ar-SA"/>
              </w:rPr>
              <w:t>负面清单内，符合差别化环境准入条件和要求</w:t>
            </w:r>
            <w:r>
              <w:rPr>
                <w:rFonts w:hint="eastAsia" w:ascii="Times New Roman" w:hAnsi="Times New Roman" w:eastAsia="宋体" w:cs="Times New Roman"/>
                <w:kern w:val="2"/>
                <w:sz w:val="24"/>
                <w:szCs w:val="24"/>
                <w:lang w:val="en-US" w:eastAsia="zh-CN" w:bidi="ar-SA"/>
              </w:rPr>
              <w:t>。</w:t>
            </w:r>
          </w:p>
        </w:tc>
      </w:tr>
    </w:tbl>
    <w:p>
      <w:pPr>
        <w:pStyle w:val="25"/>
        <w:bidi w:val="0"/>
        <w:rPr>
          <w:lang w:val="en-US" w:eastAsia="zh-CN"/>
        </w:rPr>
      </w:pPr>
      <w:bookmarkStart w:id="148" w:name="_Toc20301"/>
    </w:p>
    <w:p>
      <w:pPr>
        <w:pStyle w:val="4"/>
        <w:bidi w:val="0"/>
        <w:rPr>
          <w:lang w:val="en-US" w:eastAsia="zh-CN"/>
        </w:rPr>
      </w:pPr>
      <w:r>
        <w:rPr>
          <w:lang w:val="en-US" w:eastAsia="zh-CN"/>
        </w:rPr>
        <w:t>项目选址合理性分析</w:t>
      </w:r>
      <w:bookmarkEnd w:id="136"/>
      <w:bookmarkEnd w:id="137"/>
      <w:bookmarkEnd w:id="138"/>
      <w:bookmarkEnd w:id="139"/>
      <w:bookmarkEnd w:id="140"/>
      <w:bookmarkEnd w:id="141"/>
      <w:bookmarkEnd w:id="142"/>
      <w:bookmarkEnd w:id="143"/>
      <w:bookmarkEnd w:id="144"/>
      <w:bookmarkEnd w:id="145"/>
      <w:bookmarkEnd w:id="146"/>
      <w:bookmarkEnd w:id="147"/>
      <w:bookmarkEnd w:id="148"/>
    </w:p>
    <w:p>
      <w:pPr>
        <w:numPr>
          <w:ilvl w:val="0"/>
          <w:numId w:val="5"/>
        </w:numPr>
        <w:ind w:left="425" w:leftChars="0" w:hanging="425" w:firstLineChars="0"/>
        <w:rPr>
          <w:u w:val="none"/>
        </w:rPr>
      </w:pPr>
      <w:r>
        <w:rPr>
          <w:rFonts w:ascii="Times New Roman" w:hAnsi="Times New Roman" w:eastAsia="宋体" w:cs="宋体"/>
          <w:kern w:val="2"/>
          <w:sz w:val="24"/>
          <w:szCs w:val="24"/>
          <w:u w:val="none"/>
          <w:lang w:val="en-US" w:eastAsia="zh-CN" w:bidi="ar-SA"/>
        </w:rPr>
        <w:t>湘阴县金龙新区</w:t>
      </w:r>
      <w:r>
        <w:rPr>
          <w:rFonts w:hint="eastAsia" w:cs="宋体"/>
          <w:kern w:val="2"/>
          <w:sz w:val="24"/>
          <w:szCs w:val="24"/>
          <w:u w:val="none"/>
          <w:lang w:val="en-US" w:eastAsia="zh-CN" w:bidi="ar-SA"/>
        </w:rPr>
        <w:t>产业定位</w:t>
      </w:r>
      <w:r>
        <w:rPr>
          <w:rFonts w:hint="eastAsia"/>
          <w:u w:val="none"/>
        </w:rPr>
        <w:t>相符</w:t>
      </w:r>
      <w:r>
        <w:rPr>
          <w:u w:val="none"/>
        </w:rPr>
        <w:t>性分析</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本项目位于</w:t>
      </w:r>
      <w:r>
        <w:rPr>
          <w:rFonts w:ascii="Times New Roman" w:hAnsi="Times New Roman" w:eastAsia="宋体" w:cs="宋体"/>
          <w:kern w:val="2"/>
          <w:sz w:val="24"/>
          <w:szCs w:val="24"/>
          <w:lang w:val="en-US" w:eastAsia="zh-CN" w:bidi="ar-SA"/>
        </w:rPr>
        <w:t>湖南湘阴县金龙新区工业区</w:t>
      </w:r>
      <w:r>
        <w:rPr>
          <w:rFonts w:hint="eastAsia" w:ascii="Times New Roman" w:hAnsi="Times New Roman" w:eastAsia="宋体" w:cs="宋体"/>
          <w:kern w:val="2"/>
          <w:sz w:val="24"/>
          <w:szCs w:val="24"/>
          <w:lang w:val="en-US" w:eastAsia="zh-CN" w:bidi="ar-SA"/>
        </w:rPr>
        <w:t>卓达金谷创业园8栋，所在厂房为建设方所购置，现为空置场地和厂房，根据工业区区域土地利用规划图可知，建设用地为二类工业用地，未占用基本农业用地和林地，符合国家现行的土地使用政策。</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根据《湘阴县金龙新区工业区规划环境影响报告书》可知园区禁止引进多晶硅、单晶硅，造纸、石化</w:t>
      </w:r>
      <w:r>
        <w:rPr>
          <w:rFonts w:hint="eastAsia" w:cs="宋体"/>
          <w:kern w:val="2"/>
          <w:sz w:val="24"/>
          <w:szCs w:val="24"/>
          <w:lang w:val="en-US" w:eastAsia="zh-CN" w:bidi="ar-SA"/>
        </w:rPr>
        <w:t>（注：环评批复时间2017年5月26日，执行2015年国家环保部第33号令公布的《建设项目环境影响评价分类管理名录》，其中“L石化、化工”中，84项为石化类，85项为化工类。石化类为原油加工、天然气加工等石油加工类别）</w:t>
      </w:r>
      <w:r>
        <w:rPr>
          <w:rFonts w:hint="eastAsia" w:ascii="Times New Roman" w:hAnsi="Times New Roman" w:eastAsia="宋体" w:cs="宋体"/>
          <w:kern w:val="2"/>
          <w:sz w:val="24"/>
          <w:szCs w:val="24"/>
          <w:lang w:val="en-US" w:eastAsia="zh-CN" w:bidi="ar-SA"/>
        </w:rPr>
        <w:t>、</w:t>
      </w:r>
      <w:r>
        <w:rPr>
          <w:rFonts w:hint="eastAsia" w:cs="宋体"/>
          <w:kern w:val="2"/>
          <w:sz w:val="24"/>
          <w:szCs w:val="24"/>
          <w:lang w:val="en-US" w:eastAsia="zh-CN" w:bidi="ar-SA"/>
        </w:rPr>
        <w:t>冶</w:t>
      </w:r>
      <w:r>
        <w:rPr>
          <w:rFonts w:hint="eastAsia" w:ascii="Times New Roman" w:hAnsi="Times New Roman" w:eastAsia="宋体" w:cs="宋体"/>
          <w:kern w:val="2"/>
          <w:sz w:val="24"/>
          <w:szCs w:val="24"/>
          <w:lang w:val="en-US" w:eastAsia="zh-CN" w:bidi="ar-SA"/>
        </w:rPr>
        <w:t>金、皮革、医药、纺织印染、酒类、畜禽初加工、电镀和火力发电等行业，限制发展食品制造、饲料加工行业；本项目属于塑料制品制造行业中的发泡胶产业，不属于上述禁止及限制类产业，且已取得湘阴县政府各个部门的联审意见，故本项目与园区的产业定位无冲突。</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湖南聚特新材料有限公司位于</w:t>
      </w:r>
      <w:r>
        <w:rPr>
          <w:rFonts w:ascii="Times New Roman" w:hAnsi="Times New Roman" w:eastAsia="宋体" w:cs="宋体"/>
          <w:kern w:val="2"/>
          <w:sz w:val="24"/>
          <w:szCs w:val="24"/>
          <w:lang w:val="en-US" w:eastAsia="zh-CN" w:bidi="ar-SA"/>
        </w:rPr>
        <w:t>湖南湘阴县金龙新区工业区</w:t>
      </w:r>
      <w:r>
        <w:rPr>
          <w:rFonts w:hint="eastAsia" w:ascii="Times New Roman" w:hAnsi="Times New Roman" w:eastAsia="宋体" w:cs="宋体"/>
          <w:kern w:val="2"/>
          <w:sz w:val="24"/>
          <w:szCs w:val="24"/>
          <w:lang w:val="en-US" w:eastAsia="zh-CN" w:bidi="ar-SA"/>
        </w:rPr>
        <w:t>，根据岳阳市环境保护局关于《湘阴县金龙新区工业区规划环境影响报告书》的审查意见要求，与本项目的相符性分析</w:t>
      </w:r>
      <w:r>
        <w:rPr>
          <w:rFonts w:hint="eastAsia" w:ascii="Times New Roman" w:hAnsi="Times New Roman" w:eastAsia="宋体" w:cs="宋体"/>
          <w:kern w:val="2"/>
          <w:sz w:val="24"/>
          <w:szCs w:val="24"/>
          <w:highlight w:val="none"/>
          <w:lang w:val="en-US" w:eastAsia="zh-CN" w:bidi="ar-SA"/>
        </w:rPr>
        <w:t>见</w:t>
      </w:r>
      <w:r>
        <w:rPr>
          <w:rFonts w:hint="eastAsia" w:ascii="Times New Roman" w:hAnsi="Times New Roman" w:eastAsia="宋体" w:cs="宋体"/>
          <w:kern w:val="2"/>
          <w:sz w:val="24"/>
          <w:szCs w:val="24"/>
          <w:highlight w:val="none"/>
          <w:lang w:val="en-US" w:eastAsia="zh-CN" w:bidi="ar-SA"/>
        </w:rPr>
        <w:fldChar w:fldCharType="begin"/>
      </w:r>
      <w:r>
        <w:rPr>
          <w:rFonts w:hint="eastAsia" w:ascii="Times New Roman" w:hAnsi="Times New Roman" w:eastAsia="宋体" w:cs="宋体"/>
          <w:kern w:val="2"/>
          <w:sz w:val="24"/>
          <w:szCs w:val="24"/>
          <w:highlight w:val="none"/>
          <w:lang w:val="en-US" w:eastAsia="zh-CN" w:bidi="ar-SA"/>
        </w:rPr>
        <w:instrText xml:space="preserve"> REF _Ref10192 \h </w:instrText>
      </w:r>
      <w:r>
        <w:rPr>
          <w:rFonts w:hint="eastAsia" w:ascii="Times New Roman" w:hAnsi="Times New Roman" w:eastAsia="宋体" w:cs="宋体"/>
          <w:kern w:val="2"/>
          <w:sz w:val="24"/>
          <w:szCs w:val="24"/>
          <w:highlight w:val="none"/>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1</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hint="eastAsia" w:cs="宋体"/>
          <w:kern w:val="2"/>
          <w:sz w:val="24"/>
          <w:szCs w:val="24"/>
          <w:lang w:val="en-US" w:eastAsia="zh-CN" w:bidi="ar-SA"/>
        </w:rPr>
        <w:t>4</w:t>
      </w:r>
      <w:r>
        <w:rPr>
          <w:rFonts w:hint="eastAsia" w:ascii="Times New Roman" w:hAnsi="Times New Roman" w:eastAsia="宋体" w:cs="宋体"/>
          <w:kern w:val="2"/>
          <w:sz w:val="24"/>
          <w:szCs w:val="24"/>
          <w:highlight w:val="none"/>
          <w:lang w:val="en-US" w:eastAsia="zh-CN" w:bidi="ar-SA"/>
        </w:rPr>
        <w:fldChar w:fldCharType="end"/>
      </w:r>
      <w:r>
        <w:rPr>
          <w:rFonts w:hint="eastAsia" w:ascii="Times New Roman" w:hAnsi="Times New Roman" w:eastAsia="宋体" w:cs="宋体"/>
          <w:kern w:val="2"/>
          <w:sz w:val="24"/>
          <w:szCs w:val="24"/>
          <w:lang w:val="en-US" w:eastAsia="zh-CN" w:bidi="ar-SA"/>
        </w:rPr>
        <w:t>。</w:t>
      </w:r>
    </w:p>
    <w:p>
      <w:pPr>
        <w:widowControl w:val="0"/>
        <w:bidi w:val="0"/>
        <w:spacing w:line="360" w:lineRule="auto"/>
        <w:jc w:val="center"/>
        <w:rPr>
          <w:rFonts w:ascii="Times New Roman" w:hAnsi="Times New Roman" w:eastAsia="宋体" w:cs="Times New Roman"/>
          <w:b/>
          <w:kern w:val="2"/>
          <w:sz w:val="21"/>
          <w:szCs w:val="21"/>
          <w:lang w:val="en-US" w:eastAsia="zh-CN" w:bidi="ar-SA"/>
        </w:rPr>
        <w:sectPr>
          <w:pgSz w:w="11906" w:h="16838"/>
          <w:pgMar w:top="1587" w:right="1361" w:bottom="1474" w:left="1474"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pPr>
        <w:widowControl w:val="0"/>
        <w:bidi w:val="0"/>
        <w:spacing w:line="360" w:lineRule="auto"/>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hint="eastAsia"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t>本项目与</w:t>
      </w:r>
      <w:r>
        <w:rPr>
          <w:rFonts w:hint="eastAsia" w:ascii="Times New Roman" w:hAnsi="Times New Roman" w:eastAsia="宋体" w:cs="Times New Roman"/>
          <w:b/>
          <w:kern w:val="2"/>
          <w:sz w:val="21"/>
          <w:szCs w:val="21"/>
          <w:lang w:val="en-US" w:eastAsia="zh-CN" w:bidi="ar-SA"/>
        </w:rPr>
        <w:t>湘阴县金龙新区工业区规划环评批复相符性分析</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3"/>
        <w:gridCol w:w="3921"/>
        <w:gridCol w:w="2465"/>
        <w:gridCol w:w="14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43"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序号</w:t>
            </w:r>
          </w:p>
        </w:tc>
        <w:tc>
          <w:tcPr>
            <w:tcW w:w="392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规划环评批复要求</w:t>
            </w:r>
          </w:p>
        </w:tc>
        <w:tc>
          <w:tcPr>
            <w:tcW w:w="246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项目情况</w:t>
            </w:r>
          </w:p>
        </w:tc>
        <w:tc>
          <w:tcPr>
            <w:tcW w:w="148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66" w:hRule="atLeast"/>
          <w:jc w:val="center"/>
        </w:trPr>
        <w:tc>
          <w:tcPr>
            <w:tcW w:w="843"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1" w:type="dxa"/>
            <w:noWrap w:val="0"/>
            <w:vAlign w:val="center"/>
          </w:tcPr>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严格落实项目准入条件，入区项目必须符合园区总体发展规划、用地规划、环保规划及主导产业定位要求，严格执行环境准入负面清单，不得引进国家明令淘汰和禁止发展的不符合产业政策的建设项目；禁止引进多晶硅、单晶硅，造纸、石化、</w:t>
            </w:r>
            <w:r>
              <w:rPr>
                <w:rFonts w:hint="eastAsia" w:cs="Times New Roman"/>
                <w:kern w:val="2"/>
                <w:sz w:val="24"/>
                <w:szCs w:val="24"/>
                <w:lang w:val="en-US" w:eastAsia="zh-CN" w:bidi="ar-SA"/>
              </w:rPr>
              <w:t>冶金</w:t>
            </w:r>
            <w:r>
              <w:rPr>
                <w:rFonts w:hint="eastAsia" w:ascii="Times New Roman" w:hAnsi="Times New Roman" w:eastAsia="宋体" w:cs="Times New Roman"/>
                <w:kern w:val="2"/>
                <w:sz w:val="24"/>
                <w:szCs w:val="24"/>
                <w:lang w:val="en-US" w:eastAsia="zh-CN" w:bidi="ar-SA"/>
              </w:rPr>
              <w:t>、皮革、医药、纺织印染、酒类、畜禽初加工、电镀和火力发电等行业，限制发展食品制造、饲料加工行业；项目入区前期、建设运营期，必须严格执行和落实环评制度和要求，其排污浓度、速率、总量必须满足达标排放和总量控制要求；并对入区企业推行清洁生产管理。对现已入园但与工业区产业定位不符的同源食品、湖南沙博安五季丰生物科技等2家企业酌情予以保留，但后续不得扩大生产规模。</w:t>
            </w:r>
          </w:p>
        </w:tc>
        <w:tc>
          <w:tcPr>
            <w:tcW w:w="2465" w:type="dxa"/>
            <w:noWrap w:val="0"/>
            <w:vAlign w:val="center"/>
          </w:tcPr>
          <w:p>
            <w:pPr>
              <w:widowControl w:val="0"/>
              <w:bidi w:val="0"/>
              <w:adjustRightInd w:val="0"/>
              <w:snapToGrid w:val="0"/>
              <w:spacing w:line="240" w:lineRule="auto"/>
              <w:jc w:val="left"/>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①项目属于塑料制品制造行业中的发泡胶产业，属于清洁生产产业</w:t>
            </w:r>
            <w:r>
              <w:rPr>
                <w:rFonts w:hint="eastAsia"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与园区的产业定位无冲突；</w:t>
            </w:r>
          </w:p>
          <w:p>
            <w:pPr>
              <w:widowControl w:val="0"/>
              <w:bidi w:val="0"/>
              <w:adjustRightInd w:val="0"/>
              <w:snapToGrid w:val="0"/>
              <w:spacing w:line="240" w:lineRule="auto"/>
              <w:jc w:val="left"/>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②项目严格执行环评制度和要求。</w:t>
            </w:r>
          </w:p>
        </w:tc>
        <w:tc>
          <w:tcPr>
            <w:tcW w:w="148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843"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p>
        </w:tc>
        <w:tc>
          <w:tcPr>
            <w:tcW w:w="3921" w:type="dxa"/>
            <w:noWrap w:val="0"/>
            <w:vAlign w:val="center"/>
          </w:tcPr>
          <w:p>
            <w:pPr>
              <w:widowControl w:val="0"/>
              <w:bidi w:val="0"/>
              <w:adjustRightInd w:val="0"/>
              <w:snapToGrid w:val="0"/>
              <w:spacing w:line="240" w:lineRule="auto"/>
              <w:jc w:val="left"/>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严格控制污染物排放规划的实施，应严格执行污染物排放总量控制制度，采取调整能源结构、加强污染治理等措施，入驻企业须使用清洁能源作为燃料，减少各类污染物的排放。</w:t>
            </w:r>
          </w:p>
        </w:tc>
        <w:tc>
          <w:tcPr>
            <w:tcW w:w="2465" w:type="dxa"/>
            <w:noWrap w:val="0"/>
            <w:vAlign w:val="center"/>
          </w:tcPr>
          <w:p>
            <w:pPr>
              <w:widowControl w:val="0"/>
              <w:bidi w:val="0"/>
              <w:adjustRightInd w:val="0"/>
              <w:snapToGrid w:val="0"/>
              <w:spacing w:line="240" w:lineRule="auto"/>
              <w:jc w:val="left"/>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highlight w:val="none"/>
                <w:lang w:val="en-US" w:eastAsia="zh-CN" w:bidi="ar-SA"/>
              </w:rPr>
              <w:t>本项目主体设备混合搅拌罐使用电能，属于清洁能源。</w:t>
            </w:r>
          </w:p>
        </w:tc>
        <w:tc>
          <w:tcPr>
            <w:tcW w:w="148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3"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w:t>
            </w:r>
          </w:p>
        </w:tc>
        <w:tc>
          <w:tcPr>
            <w:tcW w:w="3921" w:type="dxa"/>
            <w:noWrap w:val="0"/>
            <w:vAlign w:val="center"/>
          </w:tcPr>
          <w:p>
            <w:pPr>
              <w:widowControl w:val="0"/>
              <w:bidi w:val="0"/>
              <w:adjustRightInd w:val="0"/>
              <w:snapToGrid w:val="0"/>
              <w:spacing w:line="240" w:lineRule="auto"/>
              <w:jc w:val="left"/>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加强固体废物管理、做好工业区工业固体废物和生活垃圾的收集、处置工作，生活垃圾分类收集、转运、综合利用和无害化处理，收集、贮存、运输、综合利用和安全处置的运营管理体系。推行清洁生产，减少固体废物产生量，实行减量化、资源化，提高固体废物综合利用率；规范固体废物收集、处置，严防二次污染发生</w:t>
            </w:r>
          </w:p>
        </w:tc>
        <w:tc>
          <w:tcPr>
            <w:tcW w:w="2465" w:type="dxa"/>
            <w:noWrap w:val="0"/>
            <w:vAlign w:val="center"/>
          </w:tcPr>
          <w:p>
            <w:pPr>
              <w:widowControl w:val="0"/>
              <w:bidi w:val="0"/>
              <w:adjustRightInd w:val="0"/>
              <w:snapToGrid w:val="0"/>
              <w:spacing w:line="240" w:lineRule="auto"/>
              <w:jc w:val="left"/>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highlight w:val="none"/>
                <w:lang w:val="en-US" w:eastAsia="zh-CN" w:bidi="ar-SA"/>
              </w:rPr>
              <w:t>本项目建立统一的固废收集、贮存、运输、综合利用和安全处置的管理体系，工业固体废物按照国家有关规定综合利用和妥善处置，生活垃圾分类收集、转运、综合利用和无害化处理，且总体清洁生产水平较高。</w:t>
            </w:r>
          </w:p>
        </w:tc>
        <w:tc>
          <w:tcPr>
            <w:tcW w:w="148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符合</w:t>
            </w:r>
          </w:p>
        </w:tc>
      </w:tr>
    </w:tbl>
    <w:p>
      <w:pPr>
        <w:pStyle w:val="25"/>
        <w:bidi w:val="0"/>
        <w:rPr>
          <w:lang w:val="en-US" w:eastAsia="zh-CN"/>
        </w:rPr>
      </w:pPr>
    </w:p>
    <w:p>
      <w:pPr>
        <w:rPr>
          <w:rFonts w:hint="eastAsia"/>
        </w:rPr>
      </w:pPr>
      <w:r>
        <w:rPr>
          <w:rFonts w:hint="eastAsia"/>
        </w:rPr>
        <w:t>（2）与环境功能区划分的相容性</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根据规划，项目所在区域属于大气环境质量二类区，区域地表水环境质量III类水体，声环境3类功能区。</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本项目排放一定量的有机废气，有机废气经过处理，执行</w:t>
      </w:r>
      <w:r>
        <w:rPr>
          <w:rFonts w:hint="eastAsia"/>
          <w:color w:val="000000"/>
        </w:rPr>
        <w:t>天津市《工业企业挥发性有机物排放控制标准》（DB12/524-2014）</w:t>
      </w:r>
      <w:r>
        <w:rPr>
          <w:rFonts w:hint="eastAsia" w:ascii="Times New Roman" w:hAnsi="Times New Roman" w:eastAsia="宋体" w:cs="宋体"/>
          <w:kern w:val="2"/>
          <w:sz w:val="24"/>
          <w:szCs w:val="24"/>
          <w:highlight w:val="none"/>
          <w:lang w:val="en-US" w:eastAsia="zh-CN" w:bidi="ar-SA"/>
        </w:rPr>
        <w:t>表</w:t>
      </w:r>
      <w:r>
        <w:rPr>
          <w:rFonts w:hint="eastAsia" w:cs="宋体"/>
          <w:kern w:val="2"/>
          <w:sz w:val="24"/>
          <w:szCs w:val="24"/>
          <w:highlight w:val="none"/>
          <w:lang w:val="en-US" w:eastAsia="zh-CN" w:bidi="ar-SA"/>
        </w:rPr>
        <w:t>2新建企业排气筒污染物排放限值</w:t>
      </w:r>
      <w:r>
        <w:rPr>
          <w:rFonts w:hint="eastAsia" w:ascii="Times New Roman" w:hAnsi="Times New Roman" w:eastAsia="宋体" w:cs="宋体"/>
          <w:kern w:val="2"/>
          <w:sz w:val="24"/>
          <w:szCs w:val="24"/>
          <w:highlight w:val="none"/>
          <w:lang w:val="en-US" w:eastAsia="zh-CN" w:bidi="ar-SA"/>
        </w:rPr>
        <w:t>以及表5厂界监控点浓度限值</w:t>
      </w:r>
      <w:r>
        <w:rPr>
          <w:rFonts w:hint="eastAsia"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无工业废水排放。</w:t>
      </w:r>
      <w:r>
        <w:rPr>
          <w:rFonts w:hint="eastAsia" w:ascii="Times New Roman" w:hAnsi="Times New Roman" w:eastAsia="宋体" w:cs="宋体"/>
          <w:kern w:val="2"/>
          <w:sz w:val="24"/>
          <w:szCs w:val="24"/>
          <w:u w:val="single"/>
          <w:lang w:val="en-US" w:eastAsia="zh-CN" w:bidi="ar-SA"/>
        </w:rPr>
        <w:t>生活污水</w:t>
      </w:r>
      <w:r>
        <w:rPr>
          <w:rFonts w:hint="eastAsia" w:cs="宋体"/>
          <w:kern w:val="2"/>
          <w:sz w:val="24"/>
          <w:szCs w:val="24"/>
          <w:u w:val="single"/>
          <w:lang w:val="en-US" w:eastAsia="zh-CN" w:bidi="ar-SA"/>
        </w:rPr>
        <w:t>经园区化粪池处理后达到《污水综合排放标准》（GB8978-1996）三级后</w:t>
      </w:r>
      <w:r>
        <w:rPr>
          <w:rFonts w:hint="eastAsia" w:ascii="Times New Roman" w:hAnsi="Times New Roman" w:eastAsia="宋体" w:cs="宋体"/>
          <w:kern w:val="2"/>
          <w:sz w:val="24"/>
          <w:szCs w:val="24"/>
          <w:u w:val="single"/>
          <w:lang w:val="en-US" w:eastAsia="zh-CN" w:bidi="ar-SA"/>
        </w:rPr>
        <w:t>排入卓达金谷创业园污水处理站，</w:t>
      </w:r>
      <w:r>
        <w:rPr>
          <w:rFonts w:hint="eastAsia" w:cs="宋体"/>
          <w:kern w:val="2"/>
          <w:sz w:val="24"/>
          <w:szCs w:val="24"/>
          <w:u w:val="single"/>
          <w:lang w:val="en-US" w:eastAsia="zh-CN" w:bidi="ar-SA"/>
        </w:rPr>
        <w:t>达到《城镇污水处理厂污染物排放标准》（GB18918-2002）一级A类标准</w:t>
      </w:r>
      <w:r>
        <w:rPr>
          <w:rFonts w:hint="eastAsia" w:ascii="Times New Roman" w:hAnsi="Times New Roman" w:eastAsia="宋体" w:cs="宋体"/>
          <w:kern w:val="2"/>
          <w:sz w:val="24"/>
          <w:szCs w:val="24"/>
          <w:u w:val="single"/>
          <w:lang w:val="en-US" w:eastAsia="zh-CN" w:bidi="ar-SA"/>
        </w:rPr>
        <w:t>后排入洋沙河至洋沙湖，最终受纳水体为湘江。</w:t>
      </w:r>
      <w:r>
        <w:rPr>
          <w:rFonts w:hint="eastAsia" w:ascii="Times New Roman" w:hAnsi="Times New Roman" w:eastAsia="宋体" w:cs="宋体"/>
          <w:kern w:val="2"/>
          <w:sz w:val="24"/>
          <w:szCs w:val="24"/>
          <w:lang w:val="en-US" w:eastAsia="zh-CN" w:bidi="ar-SA"/>
        </w:rPr>
        <w:t>水量小对纳污水体影响小，因此本项目的建设符合其水域功能要求。</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本项目使用的生产设备位于车间内部，通过减震、隔声等措施可以满足《工业企业噪声排放标准》（GB12348-2008）中的3类功能区标准的要求。</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因此本项目的选址与所在地的环境功能区划分相容。</w:t>
      </w:r>
    </w:p>
    <w:p>
      <w:pPr>
        <w:rPr>
          <w:rFonts w:hint="eastAsia"/>
        </w:rPr>
      </w:pPr>
      <w:r>
        <w:rPr>
          <w:rFonts w:hint="eastAsia"/>
        </w:rPr>
        <w:t>（3）企业相容性分析</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本项目位于湖南湘阴县金龙新区工业区卓达金谷创业园8栋空置厂房，</w:t>
      </w:r>
      <w:r>
        <w:rPr>
          <w:rFonts w:hint="eastAsia" w:ascii="Times New Roman" w:hAnsi="Times New Roman" w:eastAsia="宋体" w:cs="宋体"/>
          <w:kern w:val="2"/>
          <w:sz w:val="24"/>
          <w:szCs w:val="24"/>
          <w:highlight w:val="none"/>
          <w:lang w:val="en-US" w:eastAsia="zh-CN" w:bidi="ar-SA"/>
        </w:rPr>
        <w:t>东面为湖南斯迪儿展览展示有限责任公司（11A栋），南面为湖南木之玖家具有限公司（9A栋），西面为湖南威邦新材料有限公司（1A栋、2A栋），北面为空置厂房（7A栋）。</w:t>
      </w:r>
      <w:r>
        <w:rPr>
          <w:rFonts w:hint="eastAsia" w:ascii="Times New Roman" w:hAnsi="Times New Roman" w:eastAsia="宋体" w:cs="宋体"/>
          <w:kern w:val="2"/>
          <w:sz w:val="24"/>
          <w:szCs w:val="24"/>
          <w:lang w:val="en-US" w:eastAsia="zh-CN" w:bidi="ar-SA"/>
        </w:rPr>
        <w:t>本项目的污染物主要有：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ascii="Times New Roman" w:hAnsi="Times New Roman" w:eastAsia="宋体" w:cs="宋体"/>
          <w:kern w:val="2"/>
          <w:sz w:val="24"/>
          <w:szCs w:val="24"/>
          <w:lang w:val="en-US" w:eastAsia="zh-CN" w:bidi="ar-SA"/>
        </w:rPr>
      </w:pPr>
      <w:r>
        <w:rPr>
          <w:rFonts w:hint="eastAsia" w:ascii="宋体" w:hAnsi="宋体" w:eastAsia="宋体" w:cs="宋体"/>
          <w:kern w:val="2"/>
          <w:sz w:val="24"/>
          <w:szCs w:val="24"/>
          <w:lang w:val="en-US" w:eastAsia="zh-CN" w:bidi="ar-SA"/>
        </w:rPr>
        <w:t>①</w:t>
      </w:r>
      <w:r>
        <w:rPr>
          <w:rFonts w:ascii="Times New Roman" w:hAnsi="Times New Roman" w:eastAsia="宋体" w:cs="宋体"/>
          <w:kern w:val="2"/>
          <w:sz w:val="24"/>
          <w:szCs w:val="24"/>
          <w:lang w:val="en-US" w:eastAsia="zh-CN" w:bidi="ar-SA"/>
        </w:rPr>
        <w:t>废水：项目建成后，</w:t>
      </w:r>
      <w:r>
        <w:rPr>
          <w:rFonts w:hint="eastAsia" w:ascii="Times New Roman" w:hAnsi="Times New Roman" w:eastAsia="宋体" w:cs="宋体"/>
          <w:kern w:val="2"/>
          <w:sz w:val="24"/>
          <w:szCs w:val="24"/>
          <w:lang w:val="en-US" w:eastAsia="zh-CN" w:bidi="ar-SA"/>
        </w:rPr>
        <w:t>无工业废水产生，生活污水</w:t>
      </w:r>
      <w:r>
        <w:rPr>
          <w:rFonts w:hint="eastAsia" w:cs="宋体"/>
          <w:kern w:val="2"/>
          <w:sz w:val="24"/>
          <w:szCs w:val="24"/>
          <w:lang w:val="en-US" w:eastAsia="zh-CN" w:bidi="ar-SA"/>
        </w:rPr>
        <w:t>经园区化粪池处理后达到《污水综合排放标准》（GB8978-1996）三级后</w:t>
      </w:r>
      <w:r>
        <w:rPr>
          <w:rFonts w:hint="eastAsia" w:ascii="Times New Roman" w:hAnsi="Times New Roman" w:eastAsia="宋体" w:cs="宋体"/>
          <w:kern w:val="2"/>
          <w:sz w:val="24"/>
          <w:szCs w:val="24"/>
          <w:lang w:val="en-US" w:eastAsia="zh-CN" w:bidi="ar-SA"/>
        </w:rPr>
        <w:t>排入卓达金谷创业园污水处理站，</w:t>
      </w:r>
      <w:r>
        <w:rPr>
          <w:rFonts w:hint="eastAsia" w:cs="宋体"/>
          <w:kern w:val="2"/>
          <w:sz w:val="24"/>
          <w:szCs w:val="24"/>
          <w:lang w:val="en-US" w:eastAsia="zh-CN" w:bidi="ar-SA"/>
        </w:rPr>
        <w:t>达到《城镇污水处理厂污染物排放标准》（GB18918-2002）一级A类标准</w:t>
      </w:r>
      <w:r>
        <w:rPr>
          <w:rFonts w:hint="eastAsia" w:ascii="Times New Roman" w:hAnsi="Times New Roman" w:eastAsia="宋体" w:cs="宋体"/>
          <w:kern w:val="2"/>
          <w:sz w:val="24"/>
          <w:szCs w:val="24"/>
          <w:lang w:val="en-US" w:eastAsia="zh-CN" w:bidi="ar-SA"/>
        </w:rPr>
        <w:t>后排入洋沙河至洋沙湖，最终受纳水体为湘江。</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ascii="Times New Roman" w:hAnsi="Times New Roman"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②</w:t>
      </w:r>
      <w:r>
        <w:rPr>
          <w:rFonts w:ascii="Times New Roman" w:hAnsi="Times New Roman" w:eastAsia="宋体" w:cs="宋体"/>
          <w:kern w:val="2"/>
          <w:sz w:val="24"/>
          <w:szCs w:val="24"/>
          <w:highlight w:val="none"/>
          <w:lang w:val="en-US" w:eastAsia="zh-CN" w:bidi="ar-SA"/>
        </w:rPr>
        <w:t>废气：</w:t>
      </w:r>
      <w:r>
        <w:rPr>
          <w:rFonts w:hint="eastAsia" w:cs="宋体"/>
          <w:kern w:val="2"/>
          <w:sz w:val="24"/>
          <w:szCs w:val="24"/>
          <w:highlight w:val="none"/>
          <w:lang w:val="en-US" w:eastAsia="zh-CN" w:bidi="ar-SA"/>
        </w:rPr>
        <w:t>VOCs</w:t>
      </w:r>
      <w:r>
        <w:rPr>
          <w:rFonts w:ascii="Times New Roman" w:hAnsi="Times New Roman" w:eastAsia="宋体" w:cs="宋体"/>
          <w:kern w:val="2"/>
          <w:sz w:val="24"/>
          <w:szCs w:val="24"/>
          <w:highlight w:val="none"/>
          <w:lang w:val="en-US" w:eastAsia="zh-CN" w:bidi="ar-SA"/>
        </w:rPr>
        <w:t>采用</w:t>
      </w:r>
      <w:r>
        <w:rPr>
          <w:rFonts w:hint="eastAsia" w:ascii="Times New Roman" w:hAnsi="Times New Roman" w:eastAsia="宋体" w:cs="宋体"/>
          <w:kern w:val="2"/>
          <w:sz w:val="24"/>
          <w:szCs w:val="24"/>
          <w:highlight w:val="none"/>
          <w:lang w:val="en-US" w:eastAsia="zh-CN" w:bidi="ar-SA"/>
        </w:rPr>
        <w:t>集气罩收集+</w:t>
      </w:r>
      <w:r>
        <w:rPr>
          <w:color w:val="000000"/>
        </w:rPr>
        <w:t>UV光解净化器</w:t>
      </w:r>
      <w:r>
        <w:rPr>
          <w:rFonts w:hint="eastAsia"/>
          <w:color w:val="000000"/>
          <w:lang w:val="en-US" w:eastAsia="zh-CN"/>
        </w:rPr>
        <w:t>+</w:t>
      </w:r>
      <w:r>
        <w:rPr>
          <w:rFonts w:hint="eastAsia" w:ascii="Times New Roman" w:hAnsi="Times New Roman" w:eastAsia="宋体" w:cs="宋体"/>
          <w:kern w:val="2"/>
          <w:sz w:val="24"/>
          <w:szCs w:val="24"/>
          <w:highlight w:val="none"/>
          <w:lang w:val="en-US" w:eastAsia="zh-CN" w:bidi="ar-SA"/>
        </w:rPr>
        <w:t>活性炭吸附装置处理后由</w:t>
      </w:r>
      <w:r>
        <w:rPr>
          <w:rFonts w:hint="eastAsia" w:cs="宋体"/>
          <w:kern w:val="2"/>
          <w:sz w:val="24"/>
          <w:szCs w:val="24"/>
          <w:highlight w:val="none"/>
          <w:lang w:val="en-US" w:eastAsia="zh-CN" w:bidi="ar-SA"/>
        </w:rPr>
        <w:t>21米排气筒</w:t>
      </w:r>
      <w:r>
        <w:rPr>
          <w:rFonts w:hint="eastAsia" w:ascii="Times New Roman" w:hAnsi="Times New Roman" w:eastAsia="宋体" w:cs="宋体"/>
          <w:kern w:val="2"/>
          <w:sz w:val="24"/>
          <w:szCs w:val="24"/>
          <w:highlight w:val="none"/>
          <w:lang w:val="en-US" w:eastAsia="zh-CN" w:bidi="ar-SA"/>
        </w:rPr>
        <w:t>（高于8栋楼顶3m）排放。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ascii="Times New Roman" w:hAnsi="Times New Roman" w:eastAsia="宋体" w:cs="宋体"/>
          <w:kern w:val="2"/>
          <w:sz w:val="24"/>
          <w:szCs w:val="24"/>
          <w:lang w:val="en-US" w:eastAsia="zh-CN" w:bidi="ar-SA"/>
        </w:rPr>
      </w:pPr>
      <w:r>
        <w:rPr>
          <w:rFonts w:hint="eastAsia" w:ascii="宋体" w:hAnsi="宋体" w:eastAsia="宋体" w:cs="宋体"/>
          <w:kern w:val="2"/>
          <w:sz w:val="24"/>
          <w:szCs w:val="24"/>
          <w:lang w:val="en-US" w:eastAsia="zh-CN" w:bidi="ar-SA"/>
        </w:rPr>
        <w:t>③</w:t>
      </w:r>
      <w:r>
        <w:rPr>
          <w:rFonts w:hint="eastAsia" w:ascii="Times New Roman" w:hAnsi="Times New Roman" w:eastAsia="宋体" w:cs="宋体"/>
          <w:kern w:val="2"/>
          <w:sz w:val="24"/>
          <w:szCs w:val="24"/>
          <w:lang w:val="en-US" w:eastAsia="zh-CN" w:bidi="ar-SA"/>
        </w:rPr>
        <w:t>噪声：设备选型时选用低噪声设备，风机置于专用设备厂房内，合理布置。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ascii="Times New Roman" w:hAnsi="Times New Roman" w:eastAsia="宋体" w:cs="宋体"/>
          <w:kern w:val="2"/>
          <w:sz w:val="24"/>
          <w:szCs w:val="24"/>
          <w:lang w:val="en-US" w:eastAsia="zh-CN" w:bidi="ar-SA"/>
        </w:rPr>
      </w:pPr>
      <w:r>
        <w:rPr>
          <w:rFonts w:hint="eastAsia" w:ascii="宋体" w:hAnsi="宋体" w:eastAsia="宋体" w:cs="宋体"/>
          <w:kern w:val="2"/>
          <w:sz w:val="24"/>
          <w:szCs w:val="24"/>
          <w:lang w:val="en-US" w:eastAsia="zh-CN" w:bidi="ar-SA"/>
        </w:rPr>
        <w:t>④</w:t>
      </w:r>
      <w:r>
        <w:rPr>
          <w:rFonts w:ascii="Times New Roman" w:hAnsi="Times New Roman" w:eastAsia="宋体" w:cs="宋体"/>
          <w:kern w:val="2"/>
          <w:sz w:val="24"/>
          <w:szCs w:val="24"/>
          <w:lang w:val="en-US" w:eastAsia="zh-CN" w:bidi="ar-SA"/>
        </w:rPr>
        <w:t>固体废物</w:t>
      </w:r>
      <w:r>
        <w:rPr>
          <w:rFonts w:hint="eastAsia" w:ascii="Times New Roman" w:hAnsi="Times New Roman" w:eastAsia="宋体" w:cs="宋体"/>
          <w:kern w:val="2"/>
          <w:sz w:val="24"/>
          <w:szCs w:val="24"/>
          <w:lang w:val="en-US" w:eastAsia="zh-CN" w:bidi="ar-SA"/>
        </w:rPr>
        <w:t>：一般固废和</w:t>
      </w:r>
      <w:r>
        <w:rPr>
          <w:rFonts w:ascii="Times New Roman" w:hAnsi="Times New Roman" w:eastAsia="宋体" w:cs="宋体"/>
          <w:kern w:val="2"/>
          <w:sz w:val="24"/>
          <w:szCs w:val="24"/>
          <w:lang w:val="en-US" w:eastAsia="zh-CN" w:bidi="ar-SA"/>
        </w:rPr>
        <w:t>生活垃圾由环卫部门及时收集和清运，危险废物委托有资质的专门单位收集处理。</w:t>
      </w:r>
    </w:p>
    <w:p>
      <w:pPr>
        <w:pStyle w:val="25"/>
        <w:bidi w:val="0"/>
        <w:rPr>
          <w:lang w:val="en-US" w:eastAsia="zh-CN"/>
        </w:rPr>
      </w:pPr>
      <w:r>
        <w:rPr>
          <w:rFonts w:hint="eastAsia"/>
          <w:lang w:val="en-US" w:eastAsia="zh-CN"/>
        </w:rPr>
        <w:t>卓达金谷创业园聚特公司周边企业相容性详见</w:t>
      </w:r>
      <w:r>
        <w:rPr>
          <w:rFonts w:hint="eastAsia"/>
          <w:lang w:val="en-US" w:eastAsia="zh-CN"/>
        </w:rPr>
        <w:fldChar w:fldCharType="begin"/>
      </w:r>
      <w:r>
        <w:rPr>
          <w:rFonts w:hint="eastAsia"/>
          <w:lang w:val="en-US" w:eastAsia="zh-CN"/>
        </w:rPr>
        <w:instrText xml:space="preserve"> REF _Ref44 \h </w:instrText>
      </w:r>
      <w:r>
        <w:rPr>
          <w:rFonts w:hint="eastAsia"/>
          <w:lang w:val="en-US" w:eastAsia="zh-CN"/>
        </w:rPr>
        <w:fldChar w:fldCharType="separate"/>
      </w:r>
      <w:r>
        <w:rPr>
          <w:lang w:val="en-US" w:eastAsia="zh-CN"/>
        </w:rPr>
        <w:t xml:space="preserve">表 </w:t>
      </w:r>
      <w:r>
        <w:rPr>
          <w:lang w:val="en-US" w:eastAsia="zh-CN"/>
        </w:rPr>
        <w:fldChar w:fldCharType="begin"/>
      </w:r>
      <w:r>
        <w:rPr>
          <w:lang w:val="en-US" w:eastAsia="zh-CN"/>
        </w:rPr>
        <w:instrText xml:space="preserve"> STYLEREF 1 \s </w:instrText>
      </w:r>
      <w:r>
        <w:rPr>
          <w:lang w:val="en-US" w:eastAsia="zh-CN"/>
        </w:rPr>
        <w:fldChar w:fldCharType="separate"/>
      </w:r>
      <w:r>
        <w:rPr>
          <w:lang w:val="en-US" w:eastAsia="zh-CN"/>
        </w:rPr>
        <w:t>1</w:t>
      </w:r>
      <w:r>
        <w:rPr>
          <w:lang w:val="en-US" w:eastAsia="zh-CN"/>
        </w:rPr>
        <w:fldChar w:fldCharType="end"/>
      </w:r>
      <w:r>
        <w:rPr>
          <w:rFonts w:hint="eastAsia"/>
          <w:lang w:val="en-US" w:eastAsia="zh-CN"/>
        </w:rPr>
        <w:t>-5</w:t>
      </w:r>
      <w:r>
        <w:rPr>
          <w:rFonts w:hint="eastAsia"/>
          <w:lang w:val="en-US" w:eastAsia="zh-CN"/>
        </w:rPr>
        <w:fldChar w:fldCharType="end"/>
      </w:r>
      <w:r>
        <w:rPr>
          <w:rFonts w:hint="eastAsia"/>
          <w:lang w:val="en-US" w:eastAsia="zh-CN"/>
        </w:rPr>
        <w:t>。</w:t>
      </w:r>
    </w:p>
    <w:p>
      <w:pPr>
        <w:widowControl w:val="0"/>
        <w:spacing w:line="360" w:lineRule="auto"/>
        <w:jc w:val="center"/>
        <w:rPr>
          <w:rFonts w:ascii="Times New Roman" w:hAnsi="Times New Roman" w:eastAsia="宋体" w:cs="Times New Roman"/>
          <w:b/>
          <w:kern w:val="2"/>
          <w:sz w:val="21"/>
          <w:szCs w:val="21"/>
          <w:lang w:val="en-US" w:eastAsia="zh-CN" w:bidi="ar-SA"/>
        </w:rPr>
        <w:sectPr>
          <w:pgSz w:w="11906" w:h="16838"/>
          <w:pgMar w:top="1587" w:right="1361" w:bottom="1474" w:left="1474" w:header="851" w:footer="992" w:gutter="0"/>
          <w:pgBorders>
            <w:top w:val="none" w:sz="0" w:space="0"/>
            <w:left w:val="none" w:sz="0" w:space="0"/>
            <w:bottom w:val="none" w:sz="0" w:space="0"/>
            <w:right w:val="none" w:sz="0" w:space="0"/>
          </w:pgBorders>
          <w:pgNumType w:fmt="decimal"/>
          <w:cols w:space="0" w:num="1"/>
          <w:rtlGutter w:val="0"/>
          <w:docGrid w:linePitch="312" w:charSpace="0"/>
        </w:sectPr>
      </w:pPr>
      <w:bookmarkStart w:id="149" w:name="_Ref44"/>
    </w:p>
    <w:p>
      <w:pPr>
        <w:widowControl w:val="0"/>
        <w:spacing w:line="360" w:lineRule="auto"/>
        <w:jc w:val="center"/>
        <w:rPr>
          <w:rFonts w:hint="eastAsia" w:ascii="Times New Roman" w:hAnsi="Times New Roman" w:eastAsia="宋体" w:cs="Times New Roman"/>
          <w:b/>
          <w:color w:val="000000"/>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bookmarkEnd w:id="149"/>
      <w:r>
        <w:rPr>
          <w:rFonts w:hint="eastAsia" w:cs="Times New Roman"/>
          <w:b/>
          <w:kern w:val="2"/>
          <w:sz w:val="21"/>
          <w:szCs w:val="21"/>
          <w:lang w:val="en-US" w:eastAsia="zh-CN" w:bidi="ar-SA"/>
        </w:rPr>
        <w:t>5</w:t>
      </w:r>
      <w:r>
        <w:rPr>
          <w:rFonts w:hint="eastAsia" w:ascii="Times New Roman" w:hAnsi="Times New Roman" w:eastAsia="宋体" w:cs="Times New Roman"/>
          <w:b/>
          <w:color w:val="000000"/>
          <w:kern w:val="2"/>
          <w:sz w:val="21"/>
          <w:szCs w:val="21"/>
          <w:lang w:val="en-US" w:eastAsia="zh-CN" w:bidi="ar-SA"/>
        </w:rPr>
        <w:t>湘阴卓达金谷创业园聚特公司周边企业相容性情况表</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8"/>
        <w:gridCol w:w="2985"/>
        <w:gridCol w:w="3687"/>
        <w:gridCol w:w="11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栋号</w:t>
            </w:r>
          </w:p>
        </w:tc>
        <w:tc>
          <w:tcPr>
            <w:tcW w:w="298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企业名称</w:t>
            </w:r>
          </w:p>
        </w:tc>
        <w:tc>
          <w:tcPr>
            <w:tcW w:w="368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主要生产产品</w:t>
            </w:r>
          </w:p>
        </w:tc>
        <w:tc>
          <w:tcPr>
            <w:tcW w:w="1135"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相容性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8"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1A</w:t>
            </w:r>
          </w:p>
        </w:tc>
        <w:tc>
          <w:tcPr>
            <w:tcW w:w="2985" w:type="dxa"/>
            <w:vMerge w:val="restar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湖南威邦新材料公司</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湖南威邦新材料公司</w:t>
            </w:r>
          </w:p>
        </w:tc>
        <w:tc>
          <w:tcPr>
            <w:tcW w:w="3687" w:type="dxa"/>
            <w:vMerge w:val="restar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防水材料、瓷砖粘结剂、填缝剂、界面处理剂</w:t>
            </w:r>
          </w:p>
        </w:tc>
        <w:tc>
          <w:tcPr>
            <w:tcW w:w="1135"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相容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8"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2A</w:t>
            </w:r>
          </w:p>
        </w:tc>
        <w:tc>
          <w:tcPr>
            <w:tcW w:w="2985"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3687"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1135"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8"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3A</w:t>
            </w:r>
          </w:p>
        </w:tc>
        <w:tc>
          <w:tcPr>
            <w:tcW w:w="298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湖南创盛自动化设备公司</w:t>
            </w:r>
          </w:p>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湖南精益印包装公司</w:t>
            </w:r>
          </w:p>
        </w:tc>
        <w:tc>
          <w:tcPr>
            <w:tcW w:w="368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全自动端子机，全自动沾锡机，全自动电脑剥线机，排线端子机，绕线扎线机，气动剥皮机，铜带机</w:t>
            </w:r>
          </w:p>
        </w:tc>
        <w:tc>
          <w:tcPr>
            <w:tcW w:w="113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相容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8"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4A</w:t>
            </w:r>
          </w:p>
        </w:tc>
        <w:tc>
          <w:tcPr>
            <w:tcW w:w="298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湖南大科激光公司</w:t>
            </w:r>
          </w:p>
        </w:tc>
        <w:tc>
          <w:tcPr>
            <w:tcW w:w="368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高功率光纤器件、激光切割机、激光焊接设备，激光3D打印设备</w:t>
            </w:r>
          </w:p>
        </w:tc>
        <w:tc>
          <w:tcPr>
            <w:tcW w:w="113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相容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8"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5A</w:t>
            </w:r>
          </w:p>
        </w:tc>
        <w:tc>
          <w:tcPr>
            <w:tcW w:w="298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湖南雅彩化妆用品公司</w:t>
            </w:r>
          </w:p>
        </w:tc>
        <w:tc>
          <w:tcPr>
            <w:tcW w:w="368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化妆刷、化妆粉扑</w:t>
            </w:r>
          </w:p>
        </w:tc>
        <w:tc>
          <w:tcPr>
            <w:tcW w:w="113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相容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8"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8A</w:t>
            </w:r>
          </w:p>
        </w:tc>
        <w:tc>
          <w:tcPr>
            <w:tcW w:w="298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湖南聚特新材料公司</w:t>
            </w:r>
          </w:p>
        </w:tc>
        <w:tc>
          <w:tcPr>
            <w:tcW w:w="368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聚氨酯发泡胶</w:t>
            </w:r>
          </w:p>
        </w:tc>
        <w:tc>
          <w:tcPr>
            <w:tcW w:w="113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相容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8"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9A</w:t>
            </w:r>
          </w:p>
        </w:tc>
        <w:tc>
          <w:tcPr>
            <w:tcW w:w="298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湖南木之玖家具公司</w:t>
            </w:r>
          </w:p>
        </w:tc>
        <w:tc>
          <w:tcPr>
            <w:tcW w:w="368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家具</w:t>
            </w:r>
          </w:p>
        </w:tc>
        <w:tc>
          <w:tcPr>
            <w:tcW w:w="113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相容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8"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11A</w:t>
            </w:r>
          </w:p>
        </w:tc>
        <w:tc>
          <w:tcPr>
            <w:tcW w:w="298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湖南斯迪儿展览展示公司</w:t>
            </w:r>
          </w:p>
        </w:tc>
        <w:tc>
          <w:tcPr>
            <w:tcW w:w="368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面包展示柜、仓储货架</w:t>
            </w:r>
          </w:p>
        </w:tc>
        <w:tc>
          <w:tcPr>
            <w:tcW w:w="113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相容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8"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21A</w:t>
            </w:r>
          </w:p>
        </w:tc>
        <w:tc>
          <w:tcPr>
            <w:tcW w:w="298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湖南夏威夷净洁科技公司</w:t>
            </w:r>
          </w:p>
        </w:tc>
        <w:tc>
          <w:tcPr>
            <w:tcW w:w="368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酒店布草洗涤</w:t>
            </w:r>
          </w:p>
        </w:tc>
        <w:tc>
          <w:tcPr>
            <w:tcW w:w="113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相容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8"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22A</w:t>
            </w:r>
          </w:p>
        </w:tc>
        <w:tc>
          <w:tcPr>
            <w:tcW w:w="298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可孚医疗</w:t>
            </w:r>
          </w:p>
        </w:tc>
        <w:tc>
          <w:tcPr>
            <w:tcW w:w="368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电动轮椅等医疗器械</w:t>
            </w:r>
          </w:p>
        </w:tc>
        <w:tc>
          <w:tcPr>
            <w:tcW w:w="113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相容</w:t>
            </w:r>
          </w:p>
        </w:tc>
      </w:tr>
    </w:tbl>
    <w:p>
      <w:pPr>
        <w:pStyle w:val="25"/>
        <w:bidi w:val="0"/>
        <w:rPr>
          <w:lang w:val="en-US" w:eastAsia="zh-CN"/>
        </w:rPr>
      </w:pPr>
      <w:bookmarkStart w:id="150" w:name="_Toc16484"/>
      <w:bookmarkStart w:id="151" w:name="_Toc15947"/>
      <w:bookmarkStart w:id="152" w:name="_Toc15516"/>
      <w:bookmarkStart w:id="153" w:name="_Toc19694"/>
      <w:bookmarkStart w:id="154" w:name="_Toc18590"/>
      <w:bookmarkStart w:id="155" w:name="_Toc22894"/>
      <w:bookmarkStart w:id="156" w:name="_Toc10957"/>
      <w:bookmarkStart w:id="157" w:name="_Toc7097"/>
      <w:bookmarkStart w:id="158" w:name="_Toc32561"/>
      <w:bookmarkStart w:id="159" w:name="_Toc8497"/>
      <w:bookmarkStart w:id="160" w:name="_Toc27181"/>
      <w:bookmarkStart w:id="161" w:name="_Toc16444"/>
      <w:bookmarkStart w:id="162" w:name="_Toc15514"/>
    </w:p>
    <w:p>
      <w:pPr>
        <w:pStyle w:val="4"/>
        <w:bidi w:val="0"/>
        <w:rPr>
          <w:lang w:val="en-US" w:eastAsia="zh-CN"/>
        </w:rPr>
      </w:pPr>
      <w:r>
        <w:rPr>
          <w:lang w:val="en-US" w:eastAsia="zh-CN"/>
        </w:rPr>
        <w:t>环境功能区划适应性分析</w:t>
      </w:r>
      <w:bookmarkEnd w:id="150"/>
      <w:bookmarkEnd w:id="151"/>
      <w:bookmarkEnd w:id="152"/>
      <w:bookmarkEnd w:id="153"/>
      <w:bookmarkEnd w:id="154"/>
      <w:bookmarkEnd w:id="155"/>
      <w:bookmarkEnd w:id="156"/>
      <w:bookmarkEnd w:id="157"/>
      <w:bookmarkEnd w:id="158"/>
      <w:bookmarkEnd w:id="159"/>
      <w:bookmarkEnd w:id="160"/>
      <w:bookmarkEnd w:id="161"/>
      <w:bookmarkEnd w:id="162"/>
    </w:p>
    <w:p>
      <w:r>
        <w:t>（1）地表水环境</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本项目无工业废水产生和排放。生活污水</w:t>
      </w:r>
      <w:r>
        <w:rPr>
          <w:rFonts w:hint="eastAsia" w:cs="宋体"/>
          <w:kern w:val="2"/>
          <w:sz w:val="24"/>
          <w:szCs w:val="24"/>
          <w:lang w:val="en-US" w:eastAsia="zh-CN" w:bidi="ar-SA"/>
        </w:rPr>
        <w:t>经园区化粪池处理后达到《污水综合排放标准》（GB8978-1996）三级后</w:t>
      </w:r>
      <w:r>
        <w:rPr>
          <w:rFonts w:hint="eastAsia" w:ascii="Times New Roman" w:hAnsi="Times New Roman" w:eastAsia="宋体" w:cs="宋体"/>
          <w:kern w:val="2"/>
          <w:sz w:val="24"/>
          <w:szCs w:val="24"/>
          <w:lang w:val="en-US" w:eastAsia="zh-CN" w:bidi="ar-SA"/>
        </w:rPr>
        <w:t>排入卓达金谷创业园污水处理站，</w:t>
      </w:r>
      <w:r>
        <w:rPr>
          <w:rFonts w:hint="eastAsia" w:cs="宋体"/>
          <w:kern w:val="2"/>
          <w:sz w:val="24"/>
          <w:szCs w:val="24"/>
          <w:lang w:val="en-US" w:eastAsia="zh-CN" w:bidi="ar-SA"/>
        </w:rPr>
        <w:t>达到《城镇污水处理厂污染物排放标准》（GB18918-2002）一级A类标准</w:t>
      </w:r>
      <w:r>
        <w:rPr>
          <w:rFonts w:hint="eastAsia" w:ascii="Times New Roman" w:hAnsi="Times New Roman" w:eastAsia="宋体" w:cs="宋体"/>
          <w:kern w:val="2"/>
          <w:sz w:val="24"/>
          <w:szCs w:val="24"/>
          <w:lang w:val="en-US" w:eastAsia="zh-CN" w:bidi="ar-SA"/>
        </w:rPr>
        <w:t>后排入洋沙河至洋沙湖，最终受纳水体为湘江水量小对纳污水体影响小。因此本项目的建设符合其水域功能要求。</w:t>
      </w:r>
    </w:p>
    <w:p>
      <w:r>
        <w:t>（2）大气环境</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本项目评价区环境空气功能属于二类功能区，执行《环境空气质量标准》（GB3095-2012）中的二级标准。根据环境现状监测结果，</w:t>
      </w:r>
      <w:r>
        <w:rPr>
          <w:rFonts w:hint="eastAsia" w:ascii="Times New Roman" w:hAnsi="Times New Roman" w:eastAsia="宋体" w:cs="宋体"/>
          <w:kern w:val="2"/>
          <w:sz w:val="24"/>
          <w:szCs w:val="24"/>
          <w:lang w:val="en-US" w:eastAsia="zh-CN" w:bidi="ar-SA"/>
        </w:rPr>
        <w:t>湘阴县PM2.5出现超标，项目所在区域为环境空气质量不达标区。湘阴县近期采取产业和能源结构调整措施、大气污染治理的措施等一系列措施，湘阴县环境空气质量正在逐步改善。</w:t>
      </w:r>
    </w:p>
    <w:p>
      <w:r>
        <w:t>（3）声环境</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本项目所处区域</w:t>
      </w:r>
      <w:r>
        <w:rPr>
          <w:rFonts w:hint="eastAsia" w:ascii="Times New Roman" w:hAnsi="Times New Roman" w:eastAsia="宋体" w:cs="宋体"/>
          <w:kern w:val="2"/>
          <w:sz w:val="24"/>
          <w:szCs w:val="24"/>
          <w:lang w:val="en-US" w:eastAsia="zh-CN" w:bidi="ar-SA"/>
        </w:rPr>
        <w:t>为</w:t>
      </w:r>
      <w:r>
        <w:rPr>
          <w:rFonts w:ascii="Times New Roman" w:hAnsi="Times New Roman" w:eastAsia="宋体" w:cs="宋体"/>
          <w:kern w:val="2"/>
          <w:sz w:val="24"/>
          <w:szCs w:val="24"/>
          <w:lang w:val="en-US" w:eastAsia="zh-CN" w:bidi="ar-SA"/>
        </w:rPr>
        <w:t>《声环境质量标准》（GB3096-2008）中</w:t>
      </w:r>
      <w:r>
        <w:rPr>
          <w:rFonts w:hint="eastAsia" w:ascii="Times New Roman" w:hAnsi="Times New Roman" w:eastAsia="宋体" w:cs="宋体"/>
          <w:kern w:val="2"/>
          <w:sz w:val="24"/>
          <w:szCs w:val="24"/>
          <w:lang w:val="en-US" w:eastAsia="zh-CN" w:bidi="ar-SA"/>
        </w:rPr>
        <w:t>3</w:t>
      </w:r>
      <w:r>
        <w:rPr>
          <w:rFonts w:ascii="Times New Roman" w:hAnsi="Times New Roman" w:eastAsia="宋体" w:cs="宋体"/>
          <w:kern w:val="2"/>
          <w:sz w:val="24"/>
          <w:szCs w:val="24"/>
          <w:lang w:val="en-US" w:eastAsia="zh-CN" w:bidi="ar-SA"/>
        </w:rPr>
        <w:t>类声环境功能区，执行《声环境质量标准》（GB3096-2008）中的</w:t>
      </w:r>
      <w:r>
        <w:rPr>
          <w:rFonts w:hint="eastAsia" w:ascii="Times New Roman" w:hAnsi="Times New Roman" w:eastAsia="宋体" w:cs="宋体"/>
          <w:kern w:val="2"/>
          <w:sz w:val="24"/>
          <w:szCs w:val="24"/>
          <w:lang w:val="en-US" w:eastAsia="zh-CN" w:bidi="ar-SA"/>
        </w:rPr>
        <w:t>3</w:t>
      </w:r>
      <w:r>
        <w:rPr>
          <w:rFonts w:ascii="Times New Roman" w:hAnsi="Times New Roman" w:eastAsia="宋体" w:cs="宋体"/>
          <w:kern w:val="2"/>
          <w:sz w:val="24"/>
          <w:szCs w:val="24"/>
          <w:lang w:val="en-US" w:eastAsia="zh-CN" w:bidi="ar-SA"/>
        </w:rPr>
        <w:t>类环境噪声限值。根据环评期间的环境噪声现状监测结果，厂界</w:t>
      </w:r>
      <w:r>
        <w:rPr>
          <w:rFonts w:hint="eastAsia" w:ascii="Times New Roman" w:hAnsi="Times New Roman" w:eastAsia="宋体" w:cs="宋体"/>
          <w:kern w:val="2"/>
          <w:sz w:val="24"/>
          <w:szCs w:val="24"/>
          <w:lang w:val="en-US" w:eastAsia="zh-CN" w:bidi="ar-SA"/>
        </w:rPr>
        <w:t>噪声</w:t>
      </w:r>
      <w:r>
        <w:rPr>
          <w:rFonts w:ascii="Times New Roman" w:hAnsi="Times New Roman" w:eastAsia="宋体" w:cs="宋体"/>
          <w:kern w:val="2"/>
          <w:sz w:val="24"/>
          <w:szCs w:val="24"/>
          <w:lang w:val="en-US" w:eastAsia="zh-CN" w:bidi="ar-SA"/>
        </w:rPr>
        <w:t>可达到</w:t>
      </w:r>
      <w:r>
        <w:rPr>
          <w:rFonts w:hint="eastAsia" w:ascii="Times New Roman" w:hAnsi="Times New Roman" w:eastAsia="宋体" w:cs="宋体"/>
          <w:kern w:val="2"/>
          <w:sz w:val="24"/>
          <w:szCs w:val="24"/>
          <w:lang w:val="en-US" w:eastAsia="zh-CN" w:bidi="ar-SA"/>
        </w:rPr>
        <w:t>《工业企业噪声排放标准》（GB12348-2008）中的3类功能区标准的要求，</w:t>
      </w:r>
      <w:r>
        <w:rPr>
          <w:rFonts w:ascii="Times New Roman" w:hAnsi="Times New Roman" w:eastAsia="宋体" w:cs="宋体"/>
          <w:kern w:val="2"/>
          <w:sz w:val="24"/>
          <w:szCs w:val="24"/>
          <w:lang w:val="en-US" w:eastAsia="zh-CN" w:bidi="ar-SA"/>
        </w:rPr>
        <w:t>满足本项目建设的需要。</w:t>
      </w:r>
    </w:p>
    <w:p>
      <w:r>
        <w:t>（4）地下水环境</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本项目所在地的地下水执行《地下水环境质量标准》（GB</w:t>
      </w:r>
      <w:r>
        <w:rPr>
          <w:rFonts w:hint="eastAsia" w:ascii="Times New Roman" w:hAnsi="Times New Roman" w:eastAsia="宋体" w:cs="宋体"/>
          <w:kern w:val="2"/>
          <w:sz w:val="24"/>
          <w:szCs w:val="24"/>
          <w:lang w:val="en-US" w:eastAsia="zh-CN" w:bidi="ar-SA"/>
        </w:rPr>
        <w:t>/T</w:t>
      </w:r>
      <w:r>
        <w:rPr>
          <w:rFonts w:ascii="Times New Roman" w:hAnsi="Times New Roman" w:eastAsia="宋体" w:cs="宋体"/>
          <w:kern w:val="2"/>
          <w:sz w:val="24"/>
          <w:szCs w:val="24"/>
          <w:lang w:val="en-US" w:eastAsia="zh-CN" w:bidi="ar-SA"/>
        </w:rPr>
        <w:t>14848-2017）中的Ⅲ类标准，监测点处各监测因子满足《地下水环境质量标准》Ⅲ类标准要求。</w:t>
      </w:r>
    </w:p>
    <w:p>
      <w:r>
        <w:t>（5）土壤环境</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项目所在地土壤执行</w:t>
      </w:r>
      <w:r>
        <w:rPr>
          <w:rFonts w:hint="eastAsia" w:ascii="Times New Roman" w:hAnsi="Times New Roman" w:eastAsia="宋体" w:cs="宋体"/>
          <w:kern w:val="2"/>
          <w:sz w:val="24"/>
          <w:szCs w:val="24"/>
          <w:lang w:val="en-US" w:eastAsia="zh-CN" w:bidi="ar-SA"/>
        </w:rPr>
        <w:t>《土壤环境质量 建设用地土壤污染风险管控标准（试行）》（GB15618-2018）表1中建设用地土壤筛选值污染风险筛选值</w:t>
      </w:r>
      <w:r>
        <w:rPr>
          <w:rFonts w:ascii="Times New Roman" w:hAnsi="Times New Roman" w:eastAsia="宋体" w:cs="宋体"/>
          <w:kern w:val="2"/>
          <w:sz w:val="24"/>
          <w:szCs w:val="24"/>
          <w:lang w:val="en-US" w:eastAsia="zh-CN" w:bidi="ar-SA"/>
        </w:rPr>
        <w:t>，根据土壤的历史监测结果，项目区域土壤各监测因子均能达标，可满足项目建设的需要。</w:t>
      </w:r>
    </w:p>
    <w:p>
      <w:pPr>
        <w:pStyle w:val="4"/>
        <w:bidi w:val="0"/>
        <w:rPr>
          <w:lang w:val="en-US" w:eastAsia="zh-CN"/>
        </w:rPr>
      </w:pPr>
      <w:bookmarkStart w:id="163" w:name="_Toc5721"/>
      <w:bookmarkStart w:id="164" w:name="_Toc31064"/>
      <w:bookmarkStart w:id="165" w:name="_Toc13442"/>
      <w:bookmarkStart w:id="166" w:name="_Toc1952"/>
      <w:bookmarkStart w:id="167" w:name="_Toc22131"/>
      <w:bookmarkStart w:id="168" w:name="_Toc10610"/>
      <w:bookmarkStart w:id="169" w:name="_Toc115"/>
      <w:bookmarkStart w:id="170" w:name="_Toc31719"/>
      <w:bookmarkStart w:id="171" w:name="_Toc29074"/>
      <w:bookmarkStart w:id="172" w:name="_Toc19923"/>
      <w:bookmarkStart w:id="173" w:name="_Toc8047"/>
      <w:bookmarkStart w:id="174" w:name="_Toc25633"/>
      <w:bookmarkStart w:id="175" w:name="_Toc27840"/>
      <w:r>
        <w:rPr>
          <w:lang w:val="en-US" w:eastAsia="zh-CN"/>
        </w:rPr>
        <w:t>平面布局合理性分析</w:t>
      </w:r>
      <w:bookmarkEnd w:id="163"/>
      <w:bookmarkEnd w:id="164"/>
      <w:bookmarkEnd w:id="165"/>
      <w:bookmarkEnd w:id="166"/>
      <w:bookmarkEnd w:id="167"/>
      <w:bookmarkEnd w:id="168"/>
      <w:bookmarkEnd w:id="169"/>
      <w:bookmarkEnd w:id="170"/>
      <w:bookmarkEnd w:id="171"/>
      <w:bookmarkEnd w:id="172"/>
      <w:bookmarkEnd w:id="173"/>
      <w:bookmarkEnd w:id="174"/>
      <w:bookmarkEnd w:id="175"/>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bookmarkStart w:id="176" w:name="_Toc1074"/>
      <w:bookmarkStart w:id="177" w:name="_Toc26317"/>
      <w:bookmarkStart w:id="178" w:name="_Toc16796"/>
      <w:bookmarkStart w:id="179" w:name="_Toc27216"/>
      <w:bookmarkStart w:id="180" w:name="_Toc11111"/>
      <w:bookmarkStart w:id="181" w:name="_Toc22838"/>
      <w:bookmarkStart w:id="182" w:name="_Toc15583"/>
      <w:r>
        <w:rPr>
          <w:rFonts w:ascii="Times New Roman" w:hAnsi="Times New Roman" w:eastAsia="宋体" w:cs="宋体"/>
          <w:kern w:val="2"/>
          <w:sz w:val="24"/>
          <w:szCs w:val="24"/>
          <w:lang w:val="en-US" w:eastAsia="zh-CN" w:bidi="ar-SA"/>
        </w:rPr>
        <w:t>本项目</w:t>
      </w:r>
      <w:r>
        <w:rPr>
          <w:rFonts w:hint="eastAsia" w:ascii="Times New Roman" w:hAnsi="Times New Roman" w:eastAsia="宋体" w:cs="宋体"/>
          <w:kern w:val="2"/>
          <w:sz w:val="24"/>
          <w:szCs w:val="24"/>
          <w:lang w:val="en-US" w:eastAsia="zh-CN" w:bidi="ar-SA"/>
        </w:rPr>
        <w:t>利用购置的空置厂房</w:t>
      </w:r>
      <w:r>
        <w:rPr>
          <w:rFonts w:ascii="Times New Roman" w:hAnsi="Times New Roman" w:eastAsia="宋体" w:cs="宋体"/>
          <w:kern w:val="2"/>
          <w:sz w:val="24"/>
          <w:szCs w:val="24"/>
          <w:lang w:val="en-US" w:eastAsia="zh-CN" w:bidi="ar-SA"/>
        </w:rPr>
        <w:t>进行建设，项目总体布局简洁紧凑，土地利用率较高。建、构筑物的布置满足工艺流程的顺畅，便于物流人流畅通的同时，保证了卫生、消防安全要求。</w:t>
      </w:r>
      <w:r>
        <w:rPr>
          <w:rFonts w:hint="eastAsia" w:ascii="Times New Roman" w:hAnsi="Times New Roman" w:eastAsia="宋体" w:cs="宋体"/>
          <w:kern w:val="2"/>
          <w:sz w:val="24"/>
          <w:szCs w:val="24"/>
          <w:lang w:val="en-US" w:eastAsia="zh-CN" w:bidi="ar-SA"/>
        </w:rPr>
        <w:t>本项目购置卓达地产厂房一期8号栋，共有4层，1层用于生产，2层用于办公、实验，3层和4层当前空置，建筑面积约为2400m</w:t>
      </w:r>
      <w:r>
        <w:rPr>
          <w:rFonts w:hint="eastAsia" w:ascii="Times New Roman" w:hAnsi="Times New Roman" w:eastAsia="宋体" w:cs="宋体"/>
          <w:kern w:val="2"/>
          <w:sz w:val="24"/>
          <w:szCs w:val="24"/>
          <w:vertAlign w:val="superscript"/>
          <w:lang w:val="en-US" w:eastAsia="zh-CN" w:bidi="ar-SA"/>
        </w:rPr>
        <w:t>2</w:t>
      </w:r>
      <w:r>
        <w:rPr>
          <w:rFonts w:hint="eastAsia"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ascii="Times New Roman" w:hAnsi="Times New Roman" w:eastAsia="宋体" w:cs="宋体"/>
          <w:kern w:val="2"/>
          <w:sz w:val="24"/>
          <w:szCs w:val="24"/>
          <w:highlight w:val="none"/>
          <w:lang w:val="en-US" w:eastAsia="zh-CN" w:bidi="ar-SA"/>
        </w:rPr>
      </w:pPr>
      <w:r>
        <w:rPr>
          <w:rFonts w:ascii="Times New Roman" w:hAnsi="Times New Roman" w:eastAsia="宋体" w:cs="宋体"/>
          <w:kern w:val="2"/>
          <w:sz w:val="24"/>
          <w:szCs w:val="24"/>
          <w:highlight w:val="none"/>
          <w:lang w:val="en-US" w:eastAsia="zh-CN" w:bidi="ar-SA"/>
        </w:rPr>
        <w:t>项目地东侧</w:t>
      </w:r>
      <w:r>
        <w:rPr>
          <w:rFonts w:hint="eastAsia" w:ascii="Times New Roman" w:hAnsi="Times New Roman" w:eastAsia="宋体" w:cs="宋体"/>
          <w:kern w:val="2"/>
          <w:sz w:val="24"/>
          <w:szCs w:val="24"/>
          <w:highlight w:val="none"/>
          <w:lang w:val="en-US" w:eastAsia="zh-CN" w:bidi="ar-SA"/>
        </w:rPr>
        <w:t>离</w:t>
      </w:r>
      <w:r>
        <w:rPr>
          <w:rFonts w:ascii="Times New Roman" w:hAnsi="Times New Roman" w:eastAsia="宋体" w:cs="宋体"/>
          <w:kern w:val="2"/>
          <w:sz w:val="24"/>
          <w:szCs w:val="24"/>
          <w:highlight w:val="none"/>
          <w:lang w:val="en-US" w:eastAsia="zh-CN" w:bidi="ar-SA"/>
        </w:rPr>
        <w:t>敏感点较</w:t>
      </w:r>
      <w:r>
        <w:rPr>
          <w:rFonts w:hint="eastAsia" w:ascii="Times New Roman" w:hAnsi="Times New Roman" w:eastAsia="宋体" w:cs="宋体"/>
          <w:kern w:val="2"/>
          <w:sz w:val="24"/>
          <w:szCs w:val="24"/>
          <w:highlight w:val="none"/>
          <w:lang w:val="en-US" w:eastAsia="zh-CN" w:bidi="ar-SA"/>
        </w:rPr>
        <w:t>近</w:t>
      </w:r>
      <w:r>
        <w:rPr>
          <w:rFonts w:ascii="Times New Roman" w:hAnsi="Times New Roman" w:eastAsia="宋体" w:cs="宋体"/>
          <w:kern w:val="2"/>
          <w:sz w:val="24"/>
          <w:szCs w:val="24"/>
          <w:highlight w:val="none"/>
          <w:lang w:val="en-US" w:eastAsia="zh-CN" w:bidi="ar-SA"/>
        </w:rPr>
        <w:t>，而西侧离敏感点较远，主要废气污染源设于项目</w:t>
      </w:r>
      <w:r>
        <w:rPr>
          <w:rFonts w:hint="eastAsia" w:ascii="Times New Roman" w:hAnsi="Times New Roman" w:eastAsia="宋体" w:cs="宋体"/>
          <w:kern w:val="2"/>
          <w:sz w:val="24"/>
          <w:szCs w:val="24"/>
          <w:highlight w:val="none"/>
          <w:lang w:val="en-US" w:eastAsia="zh-CN" w:bidi="ar-SA"/>
        </w:rPr>
        <w:t>西侧</w:t>
      </w:r>
      <w:r>
        <w:rPr>
          <w:rFonts w:ascii="Times New Roman" w:hAnsi="Times New Roman" w:eastAsia="宋体" w:cs="宋体"/>
          <w:kern w:val="2"/>
          <w:sz w:val="24"/>
          <w:szCs w:val="24"/>
          <w:highlight w:val="none"/>
          <w:lang w:val="en-US" w:eastAsia="zh-CN" w:bidi="ar-SA"/>
        </w:rPr>
        <w:t>，排气筒设于项目</w:t>
      </w:r>
      <w:r>
        <w:rPr>
          <w:rFonts w:hint="eastAsia" w:ascii="Times New Roman" w:hAnsi="Times New Roman" w:eastAsia="宋体" w:cs="宋体"/>
          <w:kern w:val="2"/>
          <w:sz w:val="24"/>
          <w:szCs w:val="24"/>
          <w:highlight w:val="none"/>
          <w:lang w:val="en-US" w:eastAsia="zh-CN" w:bidi="ar-SA"/>
        </w:rPr>
        <w:t>西南</w:t>
      </w:r>
      <w:r>
        <w:rPr>
          <w:rFonts w:ascii="Times New Roman" w:hAnsi="Times New Roman" w:eastAsia="宋体" w:cs="宋体"/>
          <w:kern w:val="2"/>
          <w:sz w:val="24"/>
          <w:szCs w:val="24"/>
          <w:highlight w:val="none"/>
          <w:lang w:val="en-US" w:eastAsia="zh-CN" w:bidi="ar-SA"/>
        </w:rPr>
        <w:t>侧，与敏感点保持最远距离，最大限度地减轻项目废气对敏感点的影响；主要高噪声设备设于项目</w:t>
      </w:r>
      <w:r>
        <w:rPr>
          <w:rFonts w:hint="eastAsia" w:ascii="Times New Roman" w:hAnsi="Times New Roman" w:eastAsia="宋体" w:cs="宋体"/>
          <w:kern w:val="2"/>
          <w:sz w:val="24"/>
          <w:szCs w:val="24"/>
          <w:highlight w:val="none"/>
          <w:lang w:val="en-US" w:eastAsia="zh-CN" w:bidi="ar-SA"/>
        </w:rPr>
        <w:t>西</w:t>
      </w:r>
      <w:r>
        <w:rPr>
          <w:rFonts w:ascii="Times New Roman" w:hAnsi="Times New Roman" w:eastAsia="宋体" w:cs="宋体"/>
          <w:kern w:val="2"/>
          <w:sz w:val="24"/>
          <w:szCs w:val="24"/>
          <w:highlight w:val="none"/>
          <w:lang w:val="en-US" w:eastAsia="zh-CN" w:bidi="ar-SA"/>
        </w:rPr>
        <w:t>部，避免项目生产过程产生的噪声对周边居民的影响。整个厂区总平面布置简单，布局满足企业生产要求。建议项目在设备布局中，始终坚持主要废气污染源靠</w:t>
      </w:r>
      <w:r>
        <w:rPr>
          <w:rFonts w:hint="eastAsia" w:ascii="Times New Roman" w:hAnsi="Times New Roman" w:eastAsia="宋体" w:cs="宋体"/>
          <w:kern w:val="2"/>
          <w:sz w:val="24"/>
          <w:szCs w:val="24"/>
          <w:highlight w:val="none"/>
          <w:lang w:val="en-US" w:eastAsia="zh-CN" w:bidi="ar-SA"/>
        </w:rPr>
        <w:t>西南</w:t>
      </w:r>
      <w:r>
        <w:rPr>
          <w:rFonts w:ascii="Times New Roman" w:hAnsi="Times New Roman" w:eastAsia="宋体" w:cs="宋体"/>
          <w:kern w:val="2"/>
          <w:sz w:val="24"/>
          <w:szCs w:val="24"/>
          <w:highlight w:val="none"/>
          <w:lang w:val="en-US" w:eastAsia="zh-CN" w:bidi="ar-SA"/>
        </w:rPr>
        <w:t>侧布局的原则；同时噪声污染设备尽量远离项目东侧布置。</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生产区依据项目的生产工艺流程和相关规范进行平面布置，最大限度地减少物料运输。项目厂</w:t>
      </w:r>
      <w:r>
        <w:rPr>
          <w:rFonts w:hint="eastAsia" w:ascii="Times New Roman" w:hAnsi="Times New Roman" w:eastAsia="宋体" w:cs="宋体"/>
          <w:kern w:val="2"/>
          <w:sz w:val="24"/>
          <w:szCs w:val="24"/>
          <w:lang w:val="en-US" w:eastAsia="zh-CN" w:bidi="ar-SA"/>
        </w:rPr>
        <w:t>区</w:t>
      </w:r>
      <w:r>
        <w:rPr>
          <w:rFonts w:ascii="Times New Roman" w:hAnsi="Times New Roman" w:eastAsia="宋体" w:cs="宋体"/>
          <w:kern w:val="2"/>
          <w:sz w:val="24"/>
          <w:szCs w:val="24"/>
          <w:lang w:val="en-US" w:eastAsia="zh-CN" w:bidi="ar-SA"/>
        </w:rPr>
        <w:t>内功能分区明确有利于厂</w:t>
      </w:r>
      <w:r>
        <w:rPr>
          <w:rFonts w:hint="eastAsia" w:ascii="Times New Roman" w:hAnsi="Times New Roman" w:eastAsia="宋体" w:cs="宋体"/>
          <w:kern w:val="2"/>
          <w:sz w:val="24"/>
          <w:szCs w:val="24"/>
          <w:lang w:val="en-US" w:eastAsia="zh-CN" w:bidi="ar-SA"/>
        </w:rPr>
        <w:t>区</w:t>
      </w:r>
      <w:r>
        <w:rPr>
          <w:rFonts w:ascii="Times New Roman" w:hAnsi="Times New Roman" w:eastAsia="宋体" w:cs="宋体"/>
          <w:kern w:val="2"/>
          <w:sz w:val="24"/>
          <w:szCs w:val="24"/>
          <w:lang w:val="en-US" w:eastAsia="zh-CN" w:bidi="ar-SA"/>
        </w:rPr>
        <w:t>内物料运输。整个厂区功能分区明确，工艺流程顺畅，平面布置较为合理</w:t>
      </w:r>
      <w:r>
        <w:rPr>
          <w:rFonts w:hint="eastAsia" w:ascii="Times New Roman" w:hAnsi="Times New Roman" w:eastAsia="宋体" w:cs="宋体"/>
          <w:kern w:val="2"/>
          <w:sz w:val="24"/>
          <w:szCs w:val="24"/>
          <w:lang w:val="en-US" w:eastAsia="zh-CN" w:bidi="ar-SA"/>
        </w:rPr>
        <w:t>。综上</w:t>
      </w:r>
      <w:r>
        <w:rPr>
          <w:rFonts w:ascii="Times New Roman" w:hAnsi="Times New Roman" w:eastAsia="宋体" w:cs="宋体"/>
          <w:kern w:val="2"/>
          <w:sz w:val="24"/>
          <w:szCs w:val="24"/>
          <w:lang w:val="en-US" w:eastAsia="zh-CN" w:bidi="ar-SA"/>
        </w:rPr>
        <w:t>，本项目为了优化厂区平面合理布局，尽可能减少外排污染物对周围环境敏感点的影响，本环评提出项目平面布局合理化建议，具体如下：</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①对</w:t>
      </w:r>
      <w:r>
        <w:rPr>
          <w:rFonts w:hint="eastAsia" w:ascii="Times New Roman" w:hAnsi="Times New Roman" w:eastAsia="宋体" w:cs="宋体"/>
          <w:kern w:val="2"/>
          <w:sz w:val="24"/>
          <w:szCs w:val="24"/>
          <w:lang w:val="en-US" w:eastAsia="zh-CN" w:bidi="ar-SA"/>
        </w:rPr>
        <w:t>生产区、原料堆放区和成品堆放区</w:t>
      </w:r>
      <w:r>
        <w:rPr>
          <w:rFonts w:ascii="Times New Roman" w:hAnsi="Times New Roman" w:eastAsia="宋体" w:cs="宋体"/>
          <w:kern w:val="2"/>
          <w:sz w:val="24"/>
          <w:szCs w:val="24"/>
          <w:lang w:val="en-US" w:eastAsia="zh-CN" w:bidi="ar-SA"/>
        </w:rPr>
        <w:t>等进行分区布置。</w:t>
      </w:r>
      <w:r>
        <w:rPr>
          <w:rFonts w:hint="eastAsia" w:ascii="Times New Roman" w:hAnsi="Times New Roman" w:eastAsia="宋体" w:cs="宋体"/>
          <w:kern w:val="2"/>
          <w:sz w:val="24"/>
          <w:szCs w:val="24"/>
          <w:lang w:val="en-US" w:eastAsia="zh-CN" w:bidi="ar-SA"/>
        </w:rPr>
        <w:t>生产区、原料堆放区和成品堆放区</w:t>
      </w:r>
      <w:r>
        <w:rPr>
          <w:rFonts w:ascii="Times New Roman" w:hAnsi="Times New Roman" w:eastAsia="宋体" w:cs="宋体"/>
          <w:kern w:val="2"/>
          <w:sz w:val="24"/>
          <w:szCs w:val="24"/>
          <w:lang w:val="en-US" w:eastAsia="zh-CN" w:bidi="ar-SA"/>
        </w:rPr>
        <w:t>布置在</w:t>
      </w:r>
      <w:r>
        <w:rPr>
          <w:rFonts w:hint="eastAsia" w:ascii="Times New Roman" w:hAnsi="Times New Roman" w:eastAsia="宋体" w:cs="宋体"/>
          <w:kern w:val="2"/>
          <w:sz w:val="24"/>
          <w:szCs w:val="24"/>
          <w:lang w:val="en-US" w:eastAsia="zh-CN" w:bidi="ar-SA"/>
        </w:rPr>
        <w:t>厂区一层</w:t>
      </w:r>
      <w:r>
        <w:rPr>
          <w:rFonts w:ascii="Times New Roman" w:hAnsi="Times New Roman" w:eastAsia="宋体" w:cs="宋体"/>
          <w:kern w:val="2"/>
          <w:sz w:val="24"/>
          <w:szCs w:val="24"/>
          <w:lang w:val="en-US" w:eastAsia="zh-CN" w:bidi="ar-SA"/>
        </w:rPr>
        <w:t>，减少厂内物料运输距离。</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②整个车间应保障生产工艺的顺畅，从原料到产品进行流水线作业，尽量减少物料输送距离，各区域应分开，并设置相应标志以便区分。</w:t>
      </w:r>
    </w:p>
    <w:bookmarkEnd w:id="57"/>
    <w:bookmarkEnd w:id="58"/>
    <w:bookmarkEnd w:id="59"/>
    <w:bookmarkEnd w:id="60"/>
    <w:bookmarkEnd w:id="61"/>
    <w:bookmarkEnd w:id="107"/>
    <w:bookmarkEnd w:id="108"/>
    <w:bookmarkEnd w:id="109"/>
    <w:bookmarkEnd w:id="110"/>
    <w:bookmarkEnd w:id="111"/>
    <w:bookmarkEnd w:id="112"/>
    <w:bookmarkEnd w:id="113"/>
    <w:bookmarkEnd w:id="114"/>
    <w:bookmarkEnd w:id="115"/>
    <w:bookmarkEnd w:id="176"/>
    <w:bookmarkEnd w:id="177"/>
    <w:bookmarkEnd w:id="178"/>
    <w:bookmarkEnd w:id="179"/>
    <w:bookmarkEnd w:id="180"/>
    <w:bookmarkEnd w:id="181"/>
    <w:bookmarkEnd w:id="182"/>
    <w:p>
      <w:pPr>
        <w:pStyle w:val="2"/>
        <w:bidi w:val="0"/>
        <w:rPr>
          <w:lang w:val="en-US" w:eastAsia="zh-CN"/>
        </w:rPr>
      </w:pPr>
      <w:bookmarkStart w:id="183" w:name="_Toc32237_WPSOffice_Level2"/>
      <w:bookmarkStart w:id="184" w:name="_Toc25063"/>
      <w:bookmarkStart w:id="185" w:name="_Toc471286041"/>
      <w:bookmarkStart w:id="186" w:name="_Toc23082_WPSOffice_Level2"/>
      <w:bookmarkStart w:id="187" w:name="_Toc24863_WPSOffice_Level2"/>
      <w:bookmarkStart w:id="188" w:name="_Toc9915_WPSOffice_Level2"/>
      <w:bookmarkStart w:id="189" w:name="_Toc17031_WPSOffice_Level2"/>
      <w:bookmarkStart w:id="190" w:name="_Toc29570"/>
      <w:bookmarkStart w:id="191" w:name="_Toc8839"/>
      <w:bookmarkStart w:id="192" w:name="_Toc845_WPSOffice_Level2"/>
      <w:bookmarkStart w:id="193" w:name="_Toc481738342"/>
      <w:bookmarkStart w:id="194" w:name="_Toc22884"/>
      <w:bookmarkStart w:id="195" w:name="_Toc8630"/>
      <w:bookmarkStart w:id="196" w:name="_Toc25222_WPSOffice_Level2"/>
      <w:bookmarkStart w:id="197" w:name="_Toc1051"/>
      <w:r>
        <w:rPr>
          <w:lang w:val="en-US" w:eastAsia="zh-CN"/>
        </w:rPr>
        <w:t>主要环境问题及环境影响</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本项目关注的主要环境问题是：</w:t>
      </w:r>
    </w:p>
    <w:p>
      <w:pPr>
        <w:widowControl w:val="0"/>
        <w:bidi w:val="0"/>
        <w:spacing w:line="360" w:lineRule="auto"/>
        <w:ind w:firstLine="480" w:firstLineChars="200"/>
        <w:jc w:val="left"/>
        <w:rPr>
          <w:rFonts w:hint="eastAsia" w:ascii="Times New Roman" w:hAnsi="Times New Roman" w:eastAsia="宋体" w:cs="宋体"/>
          <w:kern w:val="2"/>
          <w:sz w:val="24"/>
          <w:szCs w:val="24"/>
          <w:highlight w:val="none"/>
          <w:lang w:val="en-US" w:eastAsia="zh-CN" w:bidi="ar-SA"/>
        </w:rPr>
      </w:pPr>
      <w:r>
        <w:rPr>
          <w:rFonts w:ascii="Times New Roman" w:hAnsi="Times New Roman" w:eastAsia="宋体" w:cs="宋体"/>
          <w:kern w:val="2"/>
          <w:sz w:val="24"/>
          <w:szCs w:val="24"/>
          <w:lang w:val="en-US" w:eastAsia="zh-CN" w:bidi="ar-SA"/>
        </w:rPr>
        <w:t>①本项目建成后废气主要为</w:t>
      </w:r>
      <w:r>
        <w:rPr>
          <w:rFonts w:hint="eastAsia" w:cs="宋体"/>
          <w:kern w:val="2"/>
          <w:sz w:val="24"/>
          <w:szCs w:val="24"/>
          <w:lang w:val="en-US" w:eastAsia="zh-CN" w:bidi="ar-SA"/>
        </w:rPr>
        <w:t>VOCs</w:t>
      </w:r>
      <w:r>
        <w:rPr>
          <w:rFonts w:ascii="Times New Roman" w:hAnsi="Times New Roman" w:eastAsia="宋体" w:cs="宋体"/>
          <w:kern w:val="2"/>
          <w:sz w:val="24"/>
          <w:szCs w:val="24"/>
          <w:lang w:val="en-US" w:eastAsia="zh-CN" w:bidi="ar-SA"/>
        </w:rPr>
        <w:t>。</w:t>
      </w:r>
      <w:r>
        <w:rPr>
          <w:rFonts w:hint="eastAsia" w:cs="宋体"/>
          <w:kern w:val="2"/>
          <w:sz w:val="24"/>
          <w:szCs w:val="24"/>
          <w:highlight w:val="none"/>
          <w:lang w:val="en-US" w:eastAsia="zh-CN" w:bidi="ar-SA"/>
        </w:rPr>
        <w:t>VOCs</w:t>
      </w:r>
      <w:r>
        <w:rPr>
          <w:rFonts w:ascii="Times New Roman" w:hAnsi="Times New Roman" w:eastAsia="宋体" w:cs="宋体"/>
          <w:kern w:val="2"/>
          <w:sz w:val="24"/>
          <w:szCs w:val="24"/>
          <w:highlight w:val="none"/>
          <w:lang w:val="en-US" w:eastAsia="zh-CN" w:bidi="ar-SA"/>
        </w:rPr>
        <w:t>经过</w:t>
      </w:r>
      <w:r>
        <w:rPr>
          <w:rFonts w:hint="eastAsia" w:ascii="Times New Roman" w:hAnsi="Times New Roman" w:eastAsia="宋体" w:cs="宋体"/>
          <w:kern w:val="2"/>
          <w:sz w:val="24"/>
          <w:szCs w:val="24"/>
          <w:highlight w:val="none"/>
          <w:lang w:val="en-US" w:eastAsia="zh-CN" w:bidi="ar-SA"/>
        </w:rPr>
        <w:t>集气罩收集+</w:t>
      </w:r>
      <w:r>
        <w:rPr>
          <w:color w:val="000000"/>
        </w:rPr>
        <w:t>UV光解净化器</w:t>
      </w:r>
      <w:r>
        <w:rPr>
          <w:rFonts w:hint="eastAsia"/>
          <w:color w:val="000000"/>
          <w:lang w:val="en-US" w:eastAsia="zh-CN"/>
        </w:rPr>
        <w:t>+</w:t>
      </w:r>
      <w:r>
        <w:rPr>
          <w:rFonts w:hint="eastAsia" w:ascii="Times New Roman" w:hAnsi="Times New Roman" w:eastAsia="宋体" w:cs="宋体"/>
          <w:kern w:val="2"/>
          <w:sz w:val="24"/>
          <w:szCs w:val="24"/>
          <w:highlight w:val="none"/>
          <w:lang w:val="en-US" w:eastAsia="zh-CN" w:bidi="ar-SA"/>
        </w:rPr>
        <w:t>活性炭吸附装置处理</w:t>
      </w:r>
      <w:r>
        <w:rPr>
          <w:rFonts w:ascii="Times New Roman" w:hAnsi="Times New Roman" w:eastAsia="宋体" w:cs="宋体"/>
          <w:kern w:val="2"/>
          <w:sz w:val="24"/>
          <w:szCs w:val="24"/>
          <w:highlight w:val="none"/>
          <w:lang w:val="en-US" w:eastAsia="zh-CN" w:bidi="ar-SA"/>
        </w:rPr>
        <w:t>+</w:t>
      </w:r>
      <w:r>
        <w:rPr>
          <w:rFonts w:hint="eastAsia" w:cs="宋体"/>
          <w:kern w:val="2"/>
          <w:sz w:val="24"/>
          <w:szCs w:val="24"/>
          <w:highlight w:val="none"/>
          <w:lang w:val="en-US" w:eastAsia="zh-CN" w:bidi="ar-SA"/>
        </w:rPr>
        <w:t>21m排气筒</w:t>
      </w:r>
      <w:r>
        <w:rPr>
          <w:rFonts w:ascii="Times New Roman" w:hAnsi="Times New Roman" w:eastAsia="宋体" w:cs="宋体"/>
          <w:kern w:val="2"/>
          <w:sz w:val="24"/>
          <w:szCs w:val="24"/>
          <w:highlight w:val="none"/>
          <w:lang w:val="en-US" w:eastAsia="zh-CN" w:bidi="ar-SA"/>
        </w:rPr>
        <w:t>排放。</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②</w:t>
      </w:r>
      <w:r>
        <w:rPr>
          <w:rFonts w:hint="eastAsia" w:ascii="Times New Roman" w:hAnsi="Times New Roman" w:eastAsia="宋体" w:cs="宋体"/>
          <w:kern w:val="2"/>
          <w:sz w:val="24"/>
          <w:szCs w:val="24"/>
          <w:lang w:val="en-US" w:eastAsia="zh-CN" w:bidi="ar-SA"/>
        </w:rPr>
        <w:t>生活污水</w:t>
      </w:r>
      <w:r>
        <w:rPr>
          <w:rFonts w:hint="eastAsia" w:cs="宋体"/>
          <w:kern w:val="2"/>
          <w:sz w:val="24"/>
          <w:szCs w:val="24"/>
          <w:lang w:val="en-US" w:eastAsia="zh-CN" w:bidi="ar-SA"/>
        </w:rPr>
        <w:t>经园区化粪池处理后达到《污水综合排放标准》（GB8978-1996）三级后</w:t>
      </w:r>
      <w:r>
        <w:rPr>
          <w:rFonts w:hint="eastAsia" w:ascii="Times New Roman" w:hAnsi="Times New Roman" w:eastAsia="宋体" w:cs="宋体"/>
          <w:kern w:val="2"/>
          <w:sz w:val="24"/>
          <w:szCs w:val="24"/>
          <w:lang w:val="en-US" w:eastAsia="zh-CN" w:bidi="ar-SA"/>
        </w:rPr>
        <w:t>排入卓达金谷创业园污水处理站，</w:t>
      </w:r>
      <w:r>
        <w:rPr>
          <w:rFonts w:hint="eastAsia" w:cs="宋体"/>
          <w:kern w:val="2"/>
          <w:sz w:val="24"/>
          <w:szCs w:val="24"/>
          <w:lang w:val="en-US" w:eastAsia="zh-CN" w:bidi="ar-SA"/>
        </w:rPr>
        <w:t>达到《城镇污水处理厂污染物排放标准》（GB18918-2002）一级A类标准</w:t>
      </w:r>
      <w:r>
        <w:rPr>
          <w:rFonts w:hint="eastAsia" w:ascii="Times New Roman" w:hAnsi="Times New Roman" w:eastAsia="宋体" w:cs="宋体"/>
          <w:kern w:val="2"/>
          <w:sz w:val="24"/>
          <w:szCs w:val="24"/>
          <w:lang w:val="en-US" w:eastAsia="zh-CN" w:bidi="ar-SA"/>
        </w:rPr>
        <w:t>后排入洋沙河至洋沙湖，最终受纳水体为湘江。</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③项目生产过程中的固体废物主要包括一般工业固废</w:t>
      </w:r>
      <w:r>
        <w:rPr>
          <w:rFonts w:hint="eastAsia" w:ascii="Times New Roman" w:hAnsi="Times New Roman" w:eastAsia="宋体" w:cs="宋体"/>
          <w:kern w:val="2"/>
          <w:sz w:val="24"/>
          <w:szCs w:val="24"/>
          <w:lang w:val="en-US" w:eastAsia="zh-CN" w:bidi="ar-SA"/>
        </w:rPr>
        <w:t>（原料桶标签纸、破损包装桶</w:t>
      </w:r>
      <w:r>
        <w:rPr>
          <w:rFonts w:hint="eastAsia" w:cs="宋体"/>
          <w:kern w:val="2"/>
          <w:sz w:val="24"/>
          <w:szCs w:val="24"/>
          <w:lang w:val="en-US" w:eastAsia="zh-CN" w:bidi="ar-SA"/>
        </w:rPr>
        <w:t>、</w:t>
      </w:r>
      <w:r>
        <w:rPr>
          <w:rFonts w:hint="eastAsia" w:cs="宋体"/>
          <w:kern w:val="2"/>
          <w:sz w:val="24"/>
          <w:szCs w:val="24"/>
          <w:u w:val="single"/>
          <w:lang w:val="en-US" w:eastAsia="zh-CN" w:bidi="ar-SA"/>
        </w:rPr>
        <w:t>实验室固废</w:t>
      </w:r>
      <w:r>
        <w:rPr>
          <w:rFonts w:hint="eastAsia" w:ascii="Times New Roman" w:hAnsi="Times New Roman" w:eastAsia="宋体" w:cs="宋体"/>
          <w:kern w:val="2"/>
          <w:sz w:val="24"/>
          <w:szCs w:val="24"/>
          <w:lang w:val="en-US" w:eastAsia="zh-CN" w:bidi="ar-SA"/>
        </w:rPr>
        <w:t>）、危险废物（废活性炭</w:t>
      </w:r>
      <w:r>
        <w:rPr>
          <w:rFonts w:hint="eastAsia" w:cs="宋体"/>
          <w:kern w:val="2"/>
          <w:sz w:val="24"/>
          <w:szCs w:val="24"/>
          <w:lang w:val="en-US" w:eastAsia="zh-CN" w:bidi="ar-SA"/>
        </w:rPr>
        <w:t>、</w:t>
      </w:r>
      <w:r>
        <w:rPr>
          <w:rFonts w:hint="eastAsia" w:cs="宋体"/>
          <w:kern w:val="2"/>
          <w:sz w:val="24"/>
          <w:szCs w:val="24"/>
          <w:u w:val="single"/>
          <w:lang w:val="en-US" w:eastAsia="zh-CN" w:bidi="ar-SA"/>
        </w:rPr>
        <w:t>电动叉车废弃电瓶</w:t>
      </w:r>
      <w:r>
        <w:rPr>
          <w:rFonts w:hint="eastAsia" w:ascii="Times New Roman" w:hAnsi="Times New Roman" w:eastAsia="宋体" w:cs="宋体"/>
          <w:kern w:val="2"/>
          <w:sz w:val="24"/>
          <w:szCs w:val="24"/>
          <w:lang w:val="en-US" w:eastAsia="zh-CN" w:bidi="ar-SA"/>
        </w:rPr>
        <w:t>）和</w:t>
      </w:r>
      <w:r>
        <w:rPr>
          <w:rFonts w:ascii="Times New Roman" w:hAnsi="Times New Roman" w:eastAsia="宋体" w:cs="宋体"/>
          <w:kern w:val="2"/>
          <w:sz w:val="24"/>
          <w:szCs w:val="24"/>
          <w:lang w:val="en-US" w:eastAsia="zh-CN" w:bidi="ar-SA"/>
        </w:rPr>
        <w:t>员工生活垃圾。</w:t>
      </w:r>
    </w:p>
    <w:p>
      <w:pPr>
        <w:pStyle w:val="2"/>
        <w:bidi w:val="0"/>
        <w:rPr>
          <w:lang w:val="en-US" w:eastAsia="zh-CN"/>
        </w:rPr>
      </w:pPr>
      <w:bookmarkStart w:id="198" w:name="_Toc8401"/>
      <w:bookmarkStart w:id="199" w:name="_Toc4908"/>
      <w:bookmarkStart w:id="200" w:name="_Toc13646"/>
      <w:bookmarkStart w:id="201" w:name="_Toc21958"/>
      <w:bookmarkStart w:id="202" w:name="_Toc22012_WPSOffice_Level2"/>
      <w:bookmarkStart w:id="203" w:name="_Toc481738343"/>
      <w:bookmarkStart w:id="204" w:name="_Toc1193"/>
      <w:bookmarkStart w:id="205" w:name="_Toc471286042"/>
      <w:bookmarkStart w:id="206" w:name="_Toc15472"/>
      <w:bookmarkStart w:id="207" w:name="_Toc15801_WPSOffice_Level2"/>
      <w:bookmarkStart w:id="208" w:name="_Toc17323_WPSOffice_Level2"/>
      <w:bookmarkStart w:id="209" w:name="_Toc3129_WPSOffice_Level2"/>
      <w:bookmarkStart w:id="210" w:name="_Toc17753_WPSOffice_Level2"/>
      <w:bookmarkStart w:id="211" w:name="_Toc25797_WPSOffice_Level2"/>
      <w:bookmarkStart w:id="212" w:name="_Toc1338_WPSOffice_Level2"/>
      <w:r>
        <w:rPr>
          <w:lang w:val="en-US" w:eastAsia="zh-CN"/>
        </w:rPr>
        <w:t>环境影响评价主要结论</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213" w:name="_Toc372124928"/>
      <w:bookmarkStart w:id="214" w:name="_Toc59104187"/>
      <w:bookmarkStart w:id="215" w:name="_Toc9883"/>
      <w:bookmarkStart w:id="216" w:name="_Toc59104094"/>
      <w:bookmarkStart w:id="217" w:name="_Toc59103487"/>
      <w:bookmarkStart w:id="218" w:name="_Toc353549397"/>
      <w:r>
        <w:rPr>
          <w:rFonts w:hint="eastAsia" w:ascii="Times New Roman" w:hAnsi="Times New Roman" w:eastAsia="宋体" w:cs="宋体"/>
          <w:kern w:val="2"/>
          <w:sz w:val="24"/>
          <w:szCs w:val="24"/>
          <w:lang w:val="en-US" w:eastAsia="zh-CN" w:bidi="ar-SA"/>
        </w:rPr>
        <w:t>湖南聚特新材料有限公司年产6500吨</w:t>
      </w:r>
      <w:r>
        <w:rPr>
          <w:rFonts w:hint="eastAsia" w:cs="宋体"/>
          <w:kern w:val="2"/>
          <w:sz w:val="24"/>
          <w:szCs w:val="24"/>
          <w:lang w:val="en-US" w:eastAsia="zh-CN" w:bidi="ar-SA"/>
        </w:rPr>
        <w:t>聚氨酯发泡胶材料</w:t>
      </w:r>
      <w:r>
        <w:rPr>
          <w:rFonts w:hint="eastAsia" w:ascii="Times New Roman" w:hAnsi="Times New Roman" w:eastAsia="宋体" w:cs="宋体"/>
          <w:kern w:val="2"/>
          <w:sz w:val="24"/>
          <w:szCs w:val="24"/>
          <w:lang w:val="en-US" w:eastAsia="zh-CN" w:bidi="ar-SA"/>
        </w:rPr>
        <w:t>生产项目</w:t>
      </w:r>
      <w:r>
        <w:rPr>
          <w:rFonts w:ascii="Times New Roman" w:hAnsi="Times New Roman" w:eastAsia="宋体" w:cs="宋体"/>
          <w:kern w:val="2"/>
          <w:sz w:val="24"/>
          <w:szCs w:val="24"/>
          <w:lang w:val="en-US" w:eastAsia="zh-CN" w:bidi="ar-SA"/>
        </w:rPr>
        <w:t>位于</w:t>
      </w:r>
      <w:r>
        <w:rPr>
          <w:rFonts w:hint="eastAsia" w:ascii="Times New Roman" w:hAnsi="Times New Roman" w:eastAsia="宋体" w:cs="宋体"/>
          <w:kern w:val="2"/>
          <w:sz w:val="24"/>
          <w:szCs w:val="24"/>
          <w:lang w:val="en-US" w:eastAsia="zh-CN" w:bidi="ar-SA"/>
        </w:rPr>
        <w:t>湖南省湘阴县金龙新区工业区卓达金谷创业园8栋空置厂房。</w:t>
      </w:r>
      <w:r>
        <w:rPr>
          <w:rFonts w:ascii="Times New Roman" w:hAnsi="Times New Roman" w:eastAsia="宋体" w:cs="宋体"/>
          <w:kern w:val="2"/>
          <w:sz w:val="24"/>
          <w:szCs w:val="24"/>
          <w:lang w:val="en-US" w:eastAsia="zh-CN" w:bidi="ar-SA"/>
        </w:rPr>
        <w:t>本项目生产</w:t>
      </w:r>
      <w:r>
        <w:rPr>
          <w:rFonts w:hint="eastAsia" w:cs="宋体"/>
          <w:kern w:val="2"/>
          <w:sz w:val="24"/>
          <w:szCs w:val="24"/>
          <w:lang w:val="en-US" w:eastAsia="zh-CN" w:bidi="ar-SA"/>
        </w:rPr>
        <w:t>聚氨酯发泡胶材料</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不属于国家限制及淘汰类中提及的工艺和产品，属于新材料产业和绿色产业中的清洁生产产业。因此项目建设符合国家现行产业政策</w:t>
      </w:r>
      <w:r>
        <w:rPr>
          <w:rFonts w:ascii="Times New Roman" w:hAnsi="Times New Roman" w:eastAsia="宋体" w:cs="宋体"/>
          <w:kern w:val="2"/>
          <w:sz w:val="24"/>
          <w:szCs w:val="24"/>
          <w:lang w:val="en-US" w:eastAsia="zh-CN" w:bidi="ar-SA"/>
        </w:rPr>
        <w:t>，生产采用国内先进的生产工艺</w:t>
      </w:r>
      <w:r>
        <w:rPr>
          <w:rFonts w:hint="eastAsia" w:ascii="Times New Roman" w:hAnsi="Times New Roman" w:eastAsia="宋体" w:cs="宋体"/>
          <w:kern w:val="2"/>
          <w:sz w:val="24"/>
          <w:szCs w:val="24"/>
          <w:lang w:val="en-US" w:eastAsia="zh-CN" w:bidi="ar-SA"/>
        </w:rPr>
        <w:t>和设备</w:t>
      </w:r>
      <w:r>
        <w:rPr>
          <w:rFonts w:ascii="Times New Roman" w:hAnsi="Times New Roman" w:eastAsia="宋体" w:cs="宋体"/>
          <w:kern w:val="2"/>
          <w:sz w:val="24"/>
          <w:szCs w:val="24"/>
          <w:lang w:val="en-US" w:eastAsia="zh-CN" w:bidi="ar-SA"/>
        </w:rPr>
        <w:t>，符合国家相关产业政策；工程配套建设完善的污染防治设施，相关污染物可实现达标排放，项目建设投产后能做到社会效益、经济效益和环境效益的统一。</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本项目选址符合相关规划，项目生产采用的原料</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生产工艺</w:t>
      </w:r>
      <w:r>
        <w:rPr>
          <w:rFonts w:hint="eastAsia" w:ascii="Times New Roman" w:hAnsi="Times New Roman" w:eastAsia="宋体" w:cs="宋体"/>
          <w:kern w:val="2"/>
          <w:sz w:val="24"/>
          <w:szCs w:val="24"/>
          <w:lang w:val="en-US" w:eastAsia="zh-CN" w:bidi="ar-SA"/>
        </w:rPr>
        <w:t>和</w:t>
      </w:r>
      <w:r>
        <w:rPr>
          <w:rFonts w:ascii="Times New Roman" w:hAnsi="Times New Roman" w:eastAsia="宋体" w:cs="宋体"/>
          <w:kern w:val="2"/>
          <w:sz w:val="24"/>
          <w:szCs w:val="24"/>
          <w:lang w:val="en-US" w:eastAsia="zh-CN" w:bidi="ar-SA"/>
        </w:rPr>
        <w:t>设备符合国家现行产业政策，其采取的污染防治措施可行，正常情况下不会对区域环境质量产生大的影响。建设单位须严格遵守</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三同时</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的管理规定，落实本报告提出的各项环保措施，确保本项目所在区域的环境质量不因本项目的建设而受到不良影响，努力做到环境保护与经济建设的可持续协调发展。</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通过报纸公示</w:t>
      </w:r>
      <w:r>
        <w:rPr>
          <w:rFonts w:hint="eastAsia" w:cs="宋体"/>
          <w:kern w:val="2"/>
          <w:sz w:val="24"/>
          <w:szCs w:val="24"/>
          <w:lang w:val="en-US" w:eastAsia="zh-CN" w:bidi="ar-SA"/>
        </w:rPr>
        <w:t>（《湖南工人报》，2020年3月20日第4版，3月25日第4版）</w:t>
      </w:r>
      <w:r>
        <w:rPr>
          <w:rFonts w:ascii="Times New Roman" w:hAnsi="Times New Roman" w:eastAsia="宋体" w:cs="宋体"/>
          <w:kern w:val="2"/>
          <w:sz w:val="24"/>
          <w:szCs w:val="24"/>
          <w:lang w:val="en-US" w:eastAsia="zh-CN" w:bidi="ar-SA"/>
        </w:rPr>
        <w:t>、网上公示</w:t>
      </w:r>
      <w:r>
        <w:rPr>
          <w:rFonts w:hint="eastAsia" w:cs="宋体"/>
          <w:kern w:val="2"/>
          <w:sz w:val="24"/>
          <w:szCs w:val="24"/>
          <w:lang w:val="en-US" w:eastAsia="zh-CN" w:bidi="ar-SA"/>
        </w:rPr>
        <w:t>（环境影响评价信息公示平台）</w:t>
      </w:r>
      <w:r>
        <w:rPr>
          <w:rFonts w:ascii="Times New Roman" w:hAnsi="Times New Roman" w:eastAsia="宋体" w:cs="宋体"/>
          <w:kern w:val="2"/>
          <w:sz w:val="24"/>
          <w:szCs w:val="24"/>
          <w:lang w:val="en-US" w:eastAsia="zh-CN" w:bidi="ar-SA"/>
        </w:rPr>
        <w:t>、现场公示，项目环评期间，建设单位和环评单位均未收到反对本项目建设的意见和相关具体要求，表明项目地公众对本项目的建设基本上是支持的。在建设单位采用先进、成熟的工艺技术，严格落实好环评提出的各项污染防治措施，且环境管理部门严格执法监督的前提下，被调查公众认为本项目的建设是可行的。</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项目建成后，应立即组织竣工环保验收，生产中应加强对设备的维修保养，确保环保设施的正常运转。在认真执行本报告所提出的各项环保措施</w:t>
      </w:r>
      <w:r>
        <w:rPr>
          <w:rFonts w:hint="eastAsia" w:ascii="Times New Roman" w:hAnsi="Times New Roman" w:eastAsia="宋体" w:cs="宋体"/>
          <w:kern w:val="2"/>
          <w:sz w:val="24"/>
          <w:szCs w:val="24"/>
          <w:lang w:val="en-US" w:eastAsia="zh-CN" w:bidi="ar-SA"/>
        </w:rPr>
        <w:t>及风险防范措施</w:t>
      </w:r>
      <w:r>
        <w:rPr>
          <w:rFonts w:ascii="Times New Roman" w:hAnsi="Times New Roman" w:eastAsia="宋体" w:cs="宋体"/>
          <w:kern w:val="2"/>
          <w:sz w:val="24"/>
          <w:szCs w:val="24"/>
          <w:lang w:val="en-US" w:eastAsia="zh-CN" w:bidi="ar-SA"/>
        </w:rPr>
        <w:t>的情况下，</w:t>
      </w:r>
      <w:r>
        <w:rPr>
          <w:rFonts w:hint="eastAsia" w:ascii="Times New Roman" w:hAnsi="Times New Roman" w:eastAsia="宋体" w:cs="宋体"/>
          <w:kern w:val="2"/>
          <w:sz w:val="24"/>
          <w:szCs w:val="24"/>
          <w:lang w:val="en-US" w:eastAsia="zh-CN" w:bidi="ar-SA"/>
        </w:rPr>
        <w:t>湖南聚特新材料有限公司年产6500吨</w:t>
      </w:r>
      <w:r>
        <w:rPr>
          <w:rFonts w:hint="eastAsia" w:cs="宋体"/>
          <w:kern w:val="2"/>
          <w:sz w:val="24"/>
          <w:szCs w:val="24"/>
          <w:lang w:val="en-US" w:eastAsia="zh-CN" w:bidi="ar-SA"/>
        </w:rPr>
        <w:t>聚氨酯发泡胶材料</w:t>
      </w:r>
      <w:r>
        <w:rPr>
          <w:rFonts w:hint="eastAsia" w:ascii="Times New Roman" w:hAnsi="Times New Roman" w:eastAsia="宋体" w:cs="宋体"/>
          <w:kern w:val="2"/>
          <w:sz w:val="24"/>
          <w:szCs w:val="24"/>
          <w:lang w:val="en-US" w:eastAsia="zh-CN" w:bidi="ar-SA"/>
        </w:rPr>
        <w:t>生产项目</w:t>
      </w:r>
      <w:r>
        <w:rPr>
          <w:rFonts w:ascii="Times New Roman" w:hAnsi="Times New Roman" w:eastAsia="宋体" w:cs="宋体"/>
          <w:kern w:val="2"/>
          <w:sz w:val="24"/>
          <w:szCs w:val="24"/>
          <w:lang w:val="en-US" w:eastAsia="zh-CN" w:bidi="ar-SA"/>
        </w:rPr>
        <w:t>的建设对周围环境影响较小</w:t>
      </w:r>
      <w:r>
        <w:rPr>
          <w:rFonts w:hint="eastAsia" w:ascii="Times New Roman" w:hAnsi="Times New Roman" w:eastAsia="宋体" w:cs="宋体"/>
          <w:kern w:val="2"/>
          <w:sz w:val="24"/>
          <w:szCs w:val="24"/>
          <w:lang w:val="en-US" w:eastAsia="zh-CN" w:bidi="ar-SA"/>
        </w:rPr>
        <w:t>，环境风险可控</w:t>
      </w:r>
      <w:r>
        <w:rPr>
          <w:rFonts w:ascii="Times New Roman" w:hAnsi="Times New Roman" w:eastAsia="宋体" w:cs="宋体"/>
          <w:kern w:val="2"/>
          <w:sz w:val="24"/>
          <w:szCs w:val="24"/>
          <w:lang w:val="en-US" w:eastAsia="zh-CN" w:bidi="ar-SA"/>
        </w:rPr>
        <w:t>，从环保角度而言，该项目的建设是可行的。</w:t>
      </w:r>
      <w:bookmarkStart w:id="219" w:name="_Toc30946"/>
      <w:bookmarkStart w:id="220" w:name="_Toc22577_WPSOffice_Level1"/>
      <w:bookmarkStart w:id="221" w:name="_Toc26328_WPSOffice_Level1"/>
      <w:bookmarkStart w:id="222" w:name="_Toc23064_WPSOffice_Level1"/>
      <w:bookmarkStart w:id="223" w:name="_Toc4740_WPSOffice_Level1"/>
      <w:bookmarkStart w:id="224" w:name="_Toc13685_WPSOffice_Level1"/>
      <w:bookmarkStart w:id="225" w:name="_Toc5917_WPSOffice_Level1"/>
      <w:bookmarkStart w:id="226" w:name="_Toc27622"/>
      <w:bookmarkStart w:id="227" w:name="_Toc17861_WPSOffice_Level1"/>
      <w:bookmarkStart w:id="228" w:name="_Toc10220"/>
      <w:bookmarkStart w:id="229" w:name="_Toc6529"/>
    </w:p>
    <w:p>
      <w:r>
        <w:br w:type="page"/>
      </w:r>
    </w:p>
    <w:p>
      <w:pPr>
        <w:pStyle w:val="3"/>
        <w:bidi w:val="0"/>
        <w:rPr>
          <w:rFonts w:hint="default"/>
          <w:lang w:val="en-US" w:eastAsia="zh-CN"/>
        </w:rPr>
      </w:pPr>
      <w:bookmarkStart w:id="230" w:name="_Toc6755"/>
      <w:bookmarkStart w:id="231" w:name="_Toc1010"/>
      <w:r>
        <w:rPr>
          <w:rFonts w:hint="default"/>
          <w:lang w:val="en-US" w:eastAsia="zh-CN"/>
        </w:rPr>
        <w:t>总则</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pPr>
        <w:pStyle w:val="2"/>
        <w:bidi w:val="0"/>
        <w:rPr>
          <w:lang w:val="en-US" w:eastAsia="zh-CN"/>
        </w:rPr>
      </w:pPr>
      <w:bookmarkStart w:id="232" w:name="_Toc25220_WPSOffice_Level2"/>
      <w:bookmarkStart w:id="233" w:name="_Toc11591"/>
      <w:bookmarkStart w:id="234" w:name="_Toc12201_WPSOffice_Level2"/>
      <w:bookmarkStart w:id="235" w:name="_Toc22090"/>
      <w:bookmarkStart w:id="236" w:name="_Toc27554"/>
      <w:bookmarkStart w:id="237" w:name="_Toc11289"/>
      <w:bookmarkStart w:id="238" w:name="_Toc27359"/>
      <w:bookmarkStart w:id="239" w:name="_Toc8664_WPSOffice_Level2"/>
      <w:bookmarkStart w:id="240" w:name="_Toc21343_WPSOffice_Level2"/>
      <w:bookmarkStart w:id="241" w:name="_Toc30081"/>
      <w:bookmarkStart w:id="242" w:name="_Toc2329_WPSOffice_Level2"/>
      <w:bookmarkStart w:id="243" w:name="_Toc22245"/>
      <w:bookmarkStart w:id="244" w:name="_Toc458169515"/>
      <w:bookmarkStart w:id="245" w:name="_Toc18671_WPSOffice_Level2"/>
      <w:bookmarkStart w:id="246" w:name="_Toc5222_WPSOffice_Level2"/>
      <w:bookmarkStart w:id="247" w:name="OLE_LINK11"/>
      <w:r>
        <w:rPr>
          <w:lang w:val="en-US" w:eastAsia="zh-CN"/>
        </w:rPr>
        <w:t>编制依据</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bookmarkEnd w:id="247"/>
    <w:p>
      <w:pPr>
        <w:pStyle w:val="4"/>
        <w:bidi w:val="0"/>
        <w:rPr>
          <w:lang w:val="en-US" w:eastAsia="zh-CN"/>
        </w:rPr>
      </w:pPr>
      <w:bookmarkStart w:id="248" w:name="_Toc1742_WPSOffice_Level3"/>
      <w:bookmarkStart w:id="249" w:name="_Toc23435"/>
      <w:bookmarkStart w:id="250" w:name="_Toc9250"/>
      <w:bookmarkStart w:id="251" w:name="_Toc27562"/>
      <w:bookmarkStart w:id="252" w:name="_Toc29131"/>
      <w:bookmarkStart w:id="253" w:name="_Toc30044"/>
      <w:bookmarkStart w:id="254" w:name="_Toc24924"/>
      <w:bookmarkStart w:id="255" w:name="_Toc30618"/>
      <w:bookmarkStart w:id="256" w:name="_Toc31606_WPSOffice_Level3"/>
      <w:bookmarkStart w:id="257" w:name="_Toc13150"/>
      <w:bookmarkStart w:id="258" w:name="_Toc29441"/>
      <w:bookmarkStart w:id="259" w:name="_Toc6338"/>
      <w:bookmarkStart w:id="260" w:name="_Toc449"/>
      <w:bookmarkStart w:id="261" w:name="_Toc9924"/>
      <w:bookmarkStart w:id="262" w:name="_Toc32124"/>
      <w:bookmarkStart w:id="263" w:name="_Toc19911"/>
      <w:r>
        <w:rPr>
          <w:lang w:val="en-US" w:eastAsia="zh-CN"/>
        </w:rPr>
        <w:t>国家法律、法规和政策</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pPr>
        <w:bidi w:val="0"/>
      </w:pPr>
      <w:r>
        <w:t>（1）《中华人民共和国环境保护法》，2014年4月24日修订，2015年1月1日起实施；</w:t>
      </w:r>
    </w:p>
    <w:p>
      <w:pPr>
        <w:bidi w:val="0"/>
      </w:pPr>
      <w:r>
        <w:t>（2）《中华人民共和国环境影响评价法》，201</w:t>
      </w:r>
      <w:r>
        <w:rPr>
          <w:rFonts w:hint="eastAsia"/>
        </w:rPr>
        <w:t>8</w:t>
      </w:r>
      <w:r>
        <w:t>年</w:t>
      </w:r>
      <w:r>
        <w:rPr>
          <w:rFonts w:hint="eastAsia"/>
        </w:rPr>
        <w:t>12</w:t>
      </w:r>
      <w:r>
        <w:t>月2</w:t>
      </w:r>
      <w:r>
        <w:rPr>
          <w:rFonts w:hint="eastAsia"/>
        </w:rPr>
        <w:t>9</w:t>
      </w:r>
      <w:r>
        <w:t>日修订实施；</w:t>
      </w:r>
    </w:p>
    <w:p>
      <w:pPr>
        <w:bidi w:val="0"/>
      </w:pPr>
      <w:r>
        <w:t>（3）《中华人民共和国水污染防治法》，2017年6月27日修订，2018年</w:t>
      </w:r>
      <w:r>
        <w:rPr>
          <w:rFonts w:hint="eastAsia"/>
        </w:rPr>
        <w:t>1</w:t>
      </w:r>
      <w:r>
        <w:t>月1日起实施；</w:t>
      </w:r>
    </w:p>
    <w:p>
      <w:pPr>
        <w:bidi w:val="0"/>
      </w:pPr>
      <w:r>
        <w:t>（4）《中华人民共和国大气污染防治法》，201</w:t>
      </w:r>
      <w:r>
        <w:rPr>
          <w:rFonts w:hint="eastAsia"/>
        </w:rPr>
        <w:t>8</w:t>
      </w:r>
      <w:r>
        <w:t>年</w:t>
      </w:r>
      <w:r>
        <w:rPr>
          <w:rFonts w:hint="eastAsia"/>
        </w:rPr>
        <w:t>10</w:t>
      </w:r>
      <w:r>
        <w:t>月2</w:t>
      </w:r>
      <w:r>
        <w:rPr>
          <w:rFonts w:hint="eastAsia"/>
        </w:rPr>
        <w:t>6</w:t>
      </w:r>
      <w:r>
        <w:t>日修订实施；</w:t>
      </w:r>
    </w:p>
    <w:p>
      <w:pPr>
        <w:bidi w:val="0"/>
      </w:pPr>
      <w:r>
        <w:t>（5）《中华人民共和国固体废物污染环境防治法》，2016年11月7日修正，2016年11月7日起实施；</w:t>
      </w:r>
    </w:p>
    <w:p>
      <w:pPr>
        <w:bidi w:val="0"/>
      </w:pPr>
      <w:r>
        <w:t>（6）《中华人民共和国环境噪声污染防治法》，</w:t>
      </w:r>
      <w:r>
        <w:rPr>
          <w:rFonts w:hint="eastAsia"/>
        </w:rPr>
        <w:t>2018</w:t>
      </w:r>
      <w:r>
        <w:t>年</w:t>
      </w:r>
      <w:r>
        <w:rPr>
          <w:rFonts w:hint="eastAsia"/>
        </w:rPr>
        <w:t>12</w:t>
      </w:r>
      <w:r>
        <w:t>月</w:t>
      </w:r>
      <w:r>
        <w:rPr>
          <w:rFonts w:hint="eastAsia"/>
        </w:rPr>
        <w:t>29</w:t>
      </w:r>
      <w:r>
        <w:t>日修订实施；</w:t>
      </w:r>
    </w:p>
    <w:p>
      <w:pPr>
        <w:bidi w:val="0"/>
      </w:pPr>
      <w:r>
        <w:t>（</w:t>
      </w:r>
      <w:r>
        <w:rPr>
          <w:rFonts w:hint="eastAsia"/>
        </w:rPr>
        <w:t>7</w:t>
      </w:r>
      <w:r>
        <w:t>）《建设项目环境保护管理条例》，（国务院令第682号），2017年8月1日修订，2017年10月1日起实施；</w:t>
      </w:r>
    </w:p>
    <w:p>
      <w:pPr>
        <w:bidi w:val="0"/>
      </w:pPr>
      <w:r>
        <w:t>（</w:t>
      </w:r>
      <w:r>
        <w:rPr>
          <w:rFonts w:hint="eastAsia"/>
        </w:rPr>
        <w:t>8</w:t>
      </w:r>
      <w:r>
        <w:t>）《建设项目环境影响评价分类管理名录》，生态环境部第1号令，2018年4月28日起实施；</w:t>
      </w:r>
    </w:p>
    <w:p>
      <w:pPr>
        <w:bidi w:val="0"/>
      </w:pPr>
      <w:r>
        <w:t>（</w:t>
      </w:r>
      <w:r>
        <w:rPr>
          <w:rFonts w:hint="eastAsia"/>
        </w:rPr>
        <w:t>9</w:t>
      </w:r>
      <w:r>
        <w:t>）《环境影响评价公众参与办法》，生态环境部第</w:t>
      </w:r>
      <w:r>
        <w:rPr>
          <w:rFonts w:hint="eastAsia"/>
        </w:rPr>
        <w:t>4号</w:t>
      </w:r>
      <w:r>
        <w:t>令，20</w:t>
      </w:r>
      <w:r>
        <w:rPr>
          <w:rFonts w:hint="eastAsia"/>
        </w:rPr>
        <w:t>19</w:t>
      </w:r>
      <w:r>
        <w:t>年</w:t>
      </w:r>
      <w:r>
        <w:rPr>
          <w:rFonts w:hint="eastAsia"/>
        </w:rPr>
        <w:t>1</w:t>
      </w:r>
      <w:r>
        <w:t>月1日公布实施；</w:t>
      </w:r>
    </w:p>
    <w:p>
      <w:pPr>
        <w:bidi w:val="0"/>
      </w:pPr>
      <w:r>
        <w:t>（1</w:t>
      </w:r>
      <w:r>
        <w:rPr>
          <w:rFonts w:hint="eastAsia"/>
        </w:rPr>
        <w:t>0</w:t>
      </w:r>
      <w:r>
        <w:t>）《关于切实加强风险防范严格环境影响评价管理的通知》，环发[2012]98号；</w:t>
      </w:r>
    </w:p>
    <w:p>
      <w:pPr>
        <w:bidi w:val="0"/>
      </w:pPr>
      <w:r>
        <w:t>（1</w:t>
      </w:r>
      <w:r>
        <w:rPr>
          <w:rFonts w:hint="eastAsia"/>
        </w:rPr>
        <w:t>1</w:t>
      </w:r>
      <w:r>
        <w:t>）《关于进一步加强环境影响评价管理防范环境风险的通知》，环发[2012]77号，2012年7月3日起实施；</w:t>
      </w:r>
    </w:p>
    <w:p>
      <w:pPr>
        <w:bidi w:val="0"/>
      </w:pPr>
      <w:r>
        <w:t>（1</w:t>
      </w:r>
      <w:r>
        <w:rPr>
          <w:rFonts w:hint="eastAsia"/>
        </w:rPr>
        <w:t>2</w:t>
      </w:r>
      <w:r>
        <w:t>）</w:t>
      </w:r>
      <w:r>
        <w:rPr>
          <w:rFonts w:hint="eastAsia"/>
          <w:lang w:val="en-US" w:eastAsia="zh-CN"/>
        </w:rPr>
        <w:t>《产业结构调整指导目录》（2019年本）</w:t>
      </w:r>
      <w:r>
        <w:t>，2013年2月16日起实施；</w:t>
      </w:r>
    </w:p>
    <w:p>
      <w:pPr>
        <w:bidi w:val="0"/>
      </w:pPr>
      <w:r>
        <w:t>（1</w:t>
      </w:r>
      <w:r>
        <w:rPr>
          <w:rFonts w:hint="eastAsia"/>
        </w:rPr>
        <w:t>3</w:t>
      </w:r>
      <w:r>
        <w:t>）中华人民共和国工业和信息化部《部分工业行业淘汰落后</w:t>
      </w:r>
      <w:r>
        <w:rPr>
          <w:rFonts w:hint="eastAsia"/>
        </w:rPr>
        <w:t>处理工艺</w:t>
      </w:r>
      <w:r>
        <w:t>装备和产品指导目录（2010年本）》（2010年10月13日起实施）；</w:t>
      </w:r>
    </w:p>
    <w:p>
      <w:pPr>
        <w:bidi w:val="0"/>
      </w:pPr>
      <w:r>
        <w:t>（1</w:t>
      </w:r>
      <w:r>
        <w:rPr>
          <w:rFonts w:hint="eastAsia"/>
        </w:rPr>
        <w:t>4</w:t>
      </w:r>
      <w:r>
        <w:t>）国务院关于印发《水污染防治行动计划》的通知（国发</w:t>
      </w:r>
      <w:r>
        <w:rPr>
          <w:rFonts w:hint="eastAsia" w:eastAsia="宋体"/>
          <w:lang w:eastAsia="zh-CN"/>
        </w:rPr>
        <w:t>[</w:t>
      </w:r>
      <w:r>
        <w:t>2015</w:t>
      </w:r>
      <w:r>
        <w:rPr>
          <w:rFonts w:hint="eastAsia" w:eastAsia="宋体"/>
          <w:lang w:eastAsia="zh-CN"/>
        </w:rPr>
        <w:t>]</w:t>
      </w:r>
      <w:r>
        <w:t>17号），2015年4月2日起实施；</w:t>
      </w:r>
    </w:p>
    <w:p>
      <w:pPr>
        <w:bidi w:val="0"/>
        <w:rPr>
          <w:rFonts w:hint="eastAsia"/>
        </w:rPr>
      </w:pPr>
      <w:r>
        <w:t>（1</w:t>
      </w:r>
      <w:r>
        <w:rPr>
          <w:rFonts w:hint="eastAsia"/>
        </w:rPr>
        <w:t>5</w:t>
      </w:r>
      <w:r>
        <w:t>）国务院关于印发《大气污染防治行动计划》的通知（国发</w:t>
      </w:r>
      <w:r>
        <w:rPr>
          <w:rFonts w:hint="eastAsia" w:eastAsia="宋体"/>
          <w:lang w:eastAsia="zh-CN"/>
        </w:rPr>
        <w:t>[</w:t>
      </w:r>
      <w:r>
        <w:t>2013</w:t>
      </w:r>
      <w:r>
        <w:rPr>
          <w:rFonts w:hint="eastAsia" w:eastAsia="宋体"/>
          <w:lang w:eastAsia="zh-CN"/>
        </w:rPr>
        <w:t>]</w:t>
      </w:r>
      <w:r>
        <w:t>37号），2013年9月10日起实施</w:t>
      </w:r>
      <w:r>
        <w:rPr>
          <w:rFonts w:hint="eastAsia"/>
        </w:rPr>
        <w:t>；</w:t>
      </w:r>
    </w:p>
    <w:p>
      <w:pPr>
        <w:bidi w:val="0"/>
        <w:rPr>
          <w:rFonts w:hint="eastAsia"/>
        </w:rPr>
      </w:pPr>
      <w:r>
        <w:t>（1</w:t>
      </w:r>
      <w:r>
        <w:rPr>
          <w:rFonts w:hint="eastAsia"/>
        </w:rPr>
        <w:t>6</w:t>
      </w:r>
      <w:r>
        <w:t>）《关于以改善环境质量为核心加强环境影响评价管理的通知》（环环评[2016]150号）</w:t>
      </w:r>
      <w:r>
        <w:rPr>
          <w:rFonts w:hint="eastAsia"/>
        </w:rPr>
        <w:t>；</w:t>
      </w:r>
    </w:p>
    <w:p>
      <w:pPr>
        <w:bidi w:val="0"/>
        <w:rPr>
          <w:rFonts w:hint="eastAsia"/>
        </w:rPr>
      </w:pPr>
      <w:r>
        <w:t>（1</w:t>
      </w:r>
      <w:r>
        <w:rPr>
          <w:rFonts w:hint="eastAsia"/>
        </w:rPr>
        <w:t>7</w:t>
      </w:r>
      <w:r>
        <w:t>）《土壤污染防治行动计划》（国发</w:t>
      </w:r>
      <w:r>
        <w:rPr>
          <w:rFonts w:hint="eastAsia" w:eastAsia="宋体"/>
          <w:lang w:eastAsia="zh-CN"/>
        </w:rPr>
        <w:t>[</w:t>
      </w:r>
      <w:r>
        <w:t>2016</w:t>
      </w:r>
      <w:r>
        <w:rPr>
          <w:rFonts w:hint="eastAsia" w:eastAsia="宋体"/>
          <w:lang w:eastAsia="zh-CN"/>
        </w:rPr>
        <w:t>]</w:t>
      </w:r>
      <w:r>
        <w:t>31号）</w:t>
      </w:r>
      <w:r>
        <w:rPr>
          <w:rFonts w:hint="eastAsia"/>
        </w:rPr>
        <w:t>；</w:t>
      </w:r>
    </w:p>
    <w:p>
      <w:pPr>
        <w:bidi w:val="0"/>
        <w:rPr>
          <w:lang w:eastAsia="zh-CN"/>
        </w:rPr>
      </w:pPr>
      <w:r>
        <w:rPr>
          <w:rFonts w:hint="eastAsia"/>
        </w:rPr>
        <w:t>（18）《挥发性有机物（</w:t>
      </w:r>
      <w:r>
        <w:rPr>
          <w:rFonts w:hint="eastAsia"/>
          <w:lang w:eastAsia="zh-CN"/>
        </w:rPr>
        <w:t>VOCs</w:t>
      </w:r>
      <w:r>
        <w:rPr>
          <w:rFonts w:hint="eastAsia"/>
        </w:rPr>
        <w:t>）污染防治技术政策》(环保部公告2013年第31号2013-05-24实施)；</w:t>
      </w:r>
    </w:p>
    <w:p>
      <w:pPr>
        <w:bidi w:val="0"/>
        <w:rPr>
          <w:rFonts w:hint="eastAsia"/>
        </w:rPr>
      </w:pPr>
      <w:r>
        <w:rPr>
          <w:rFonts w:hint="eastAsia"/>
        </w:rPr>
        <w:t>（19）《打赢蓝天保卫战三年行动计划》（国发</w:t>
      </w:r>
      <w:r>
        <w:rPr>
          <w:rFonts w:hint="eastAsia" w:eastAsia="宋体"/>
          <w:lang w:eastAsia="zh-CN"/>
        </w:rPr>
        <w:t>[</w:t>
      </w:r>
      <w:r>
        <w:t>201</w:t>
      </w:r>
      <w:r>
        <w:rPr>
          <w:rFonts w:hint="eastAsia"/>
        </w:rPr>
        <w:t>8</w:t>
      </w:r>
      <w:r>
        <w:rPr>
          <w:rFonts w:hint="eastAsia" w:eastAsia="宋体"/>
          <w:lang w:eastAsia="zh-CN"/>
        </w:rPr>
        <w:t>]</w:t>
      </w:r>
      <w:r>
        <w:rPr>
          <w:rFonts w:hint="eastAsia"/>
        </w:rPr>
        <w:t>22号）。</w:t>
      </w:r>
    </w:p>
    <w:p>
      <w:pPr>
        <w:bidi w:val="0"/>
        <w:rPr>
          <w:rFonts w:hint="eastAsia"/>
        </w:rPr>
      </w:pPr>
      <w:r>
        <w:rPr>
          <w:rFonts w:hint="eastAsia"/>
        </w:rPr>
        <w:t>（</w:t>
      </w:r>
      <w:r>
        <w:rPr>
          <w:rFonts w:hint="eastAsia" w:ascii="Times New Roman" w:eastAsia="宋体"/>
          <w:lang w:val="en-US" w:eastAsia="zh-CN"/>
        </w:rPr>
        <w:t>20</w:t>
      </w:r>
      <w:r>
        <w:rPr>
          <w:rFonts w:hint="eastAsia"/>
        </w:rPr>
        <w:t>）</w:t>
      </w:r>
      <w:r>
        <w:rPr>
          <w:rFonts w:hint="eastAsia" w:ascii="Times New Roman" w:eastAsia="宋体"/>
          <w:lang w:val="en-US" w:eastAsia="zh-CN"/>
        </w:rPr>
        <w:t>《绿色产业指导目录(2019年版）》（发改环资[2019]293号），国家发改委、工业和信息化部、自然资源部和生态环境部</w:t>
      </w:r>
    </w:p>
    <w:p>
      <w:pPr>
        <w:pStyle w:val="4"/>
        <w:bidi w:val="0"/>
        <w:rPr>
          <w:lang w:val="en-US" w:eastAsia="zh-CN"/>
        </w:rPr>
      </w:pPr>
      <w:bookmarkStart w:id="264" w:name="_Toc31358"/>
      <w:bookmarkStart w:id="265" w:name="_Toc31256"/>
      <w:bookmarkStart w:id="266" w:name="_Toc16703"/>
      <w:bookmarkStart w:id="267" w:name="_Toc1464"/>
      <w:bookmarkStart w:id="268" w:name="_Toc454"/>
      <w:bookmarkStart w:id="269" w:name="_Toc14118"/>
      <w:bookmarkStart w:id="270" w:name="_Toc4985"/>
      <w:bookmarkStart w:id="271" w:name="_Toc11506"/>
      <w:bookmarkStart w:id="272" w:name="_Toc20610"/>
      <w:bookmarkStart w:id="273" w:name="_Toc655"/>
      <w:bookmarkStart w:id="274" w:name="_Toc20716"/>
      <w:bookmarkStart w:id="275" w:name="_Toc548"/>
      <w:bookmarkStart w:id="276" w:name="_Toc12847_WPSOffice_Level3"/>
      <w:bookmarkStart w:id="277" w:name="_Toc15139"/>
      <w:bookmarkStart w:id="278" w:name="_Toc10353_WPSOffice_Level3"/>
      <w:bookmarkStart w:id="279" w:name="_Toc726"/>
      <w:bookmarkStart w:id="280" w:name="_Toc458169518"/>
      <w:bookmarkStart w:id="281" w:name="_Toc302936680"/>
      <w:bookmarkStart w:id="282" w:name="_Toc270622549"/>
      <w:bookmarkStart w:id="283" w:name="_Toc269630438"/>
      <w:bookmarkStart w:id="284" w:name="_Toc29169"/>
      <w:bookmarkStart w:id="285" w:name="_Toc269630354"/>
      <w:bookmarkStart w:id="286" w:name="_Toc16491"/>
      <w:r>
        <w:rPr>
          <w:lang w:val="en-US" w:eastAsia="zh-CN"/>
        </w:rPr>
        <w:t>地方法规、规划</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pPr>
        <w:bidi w:val="0"/>
      </w:pPr>
      <w:r>
        <w:t>（1）《湖南省主要水系地表水环境功能区划》（DB43/023-2005）；</w:t>
      </w:r>
    </w:p>
    <w:p>
      <w:pPr>
        <w:bidi w:val="0"/>
      </w:pPr>
      <w:r>
        <w:t>（2）《湖南省环境保护条例（2</w:t>
      </w:r>
      <w:r>
        <w:rPr>
          <w:rFonts w:hint="eastAsia"/>
        </w:rPr>
        <w:t>013</w:t>
      </w:r>
      <w:r>
        <w:t>年修正）》；</w:t>
      </w:r>
    </w:p>
    <w:p>
      <w:pPr>
        <w:bidi w:val="0"/>
      </w:pPr>
      <w:r>
        <w:t>（3）《关于进一步规范我省固体（危险）废物转移管理的通知》）（湘环发[2014]22号）；</w:t>
      </w:r>
    </w:p>
    <w:p>
      <w:pPr>
        <w:bidi w:val="0"/>
      </w:pPr>
      <w:r>
        <w:t>（4）湖南省地方标准《用水定额》（DB43/T388-2014）；</w:t>
      </w:r>
    </w:p>
    <w:p>
      <w:pPr>
        <w:bidi w:val="0"/>
      </w:pPr>
      <w:r>
        <w:t>（5）湖南省贯彻国务院关于印发《水污染防治行动计划》的通知（国发</w:t>
      </w:r>
      <w:r>
        <w:rPr>
          <w:rFonts w:hint="eastAsia" w:eastAsia="宋体"/>
          <w:lang w:eastAsia="zh-CN"/>
        </w:rPr>
        <w:t>[</w:t>
      </w:r>
      <w:r>
        <w:t>2015</w:t>
      </w:r>
      <w:r>
        <w:rPr>
          <w:rFonts w:hint="eastAsia" w:eastAsia="宋体"/>
          <w:lang w:eastAsia="zh-CN"/>
        </w:rPr>
        <w:t>]</w:t>
      </w:r>
      <w:r>
        <w:t>17号）；</w:t>
      </w:r>
    </w:p>
    <w:p>
      <w:pPr>
        <w:bidi w:val="0"/>
      </w:pPr>
      <w:r>
        <w:t>（6）《湖南省</w:t>
      </w:r>
      <w:r>
        <w:rPr>
          <w:rFonts w:hint="eastAsia" w:eastAsia="宋体"/>
          <w:lang w:eastAsia="zh-CN"/>
        </w:rPr>
        <w:t>“</w:t>
      </w:r>
      <w:r>
        <w:t>十三五</w:t>
      </w:r>
      <w:r>
        <w:rPr>
          <w:rFonts w:hint="eastAsia" w:eastAsia="宋体"/>
          <w:lang w:eastAsia="zh-CN"/>
        </w:rPr>
        <w:t>”</w:t>
      </w:r>
      <w:r>
        <w:t>环境保护规划》，2016.9.8；</w:t>
      </w:r>
    </w:p>
    <w:p>
      <w:pPr>
        <w:bidi w:val="0"/>
        <w:rPr>
          <w:rFonts w:hint="eastAsia"/>
        </w:rPr>
      </w:pPr>
      <w:r>
        <w:t>（</w:t>
      </w:r>
      <w:r>
        <w:rPr>
          <w:rFonts w:hint="eastAsia"/>
        </w:rPr>
        <w:t>7</w:t>
      </w:r>
      <w:r>
        <w:t>）湖南省人民政府办公厅关于印发《贯彻落实〈大气污染防治行动计划〉实施细则》的通知（湘政办发</w:t>
      </w:r>
      <w:r>
        <w:rPr>
          <w:rFonts w:hint="eastAsia" w:eastAsia="宋体"/>
          <w:lang w:eastAsia="zh-CN"/>
        </w:rPr>
        <w:t>[</w:t>
      </w:r>
      <w:r>
        <w:t>2013</w:t>
      </w:r>
      <w:r>
        <w:rPr>
          <w:rFonts w:hint="eastAsia" w:eastAsia="宋体"/>
          <w:lang w:eastAsia="zh-CN"/>
        </w:rPr>
        <w:t>]</w:t>
      </w:r>
      <w:r>
        <w:t>77号）</w:t>
      </w:r>
      <w:r>
        <w:rPr>
          <w:rFonts w:hint="eastAsia"/>
        </w:rPr>
        <w:t>；</w:t>
      </w:r>
    </w:p>
    <w:p>
      <w:pPr>
        <w:bidi w:val="0"/>
      </w:pPr>
      <w:r>
        <w:t>（</w:t>
      </w:r>
      <w:r>
        <w:rPr>
          <w:rFonts w:hint="eastAsia"/>
        </w:rPr>
        <w:t>8</w:t>
      </w:r>
      <w:r>
        <w:t>）《</w:t>
      </w:r>
      <w:r>
        <w:rPr>
          <w:rFonts w:hint="eastAsia"/>
        </w:rPr>
        <w:t>湖南省污染防治攻坚战三年行动计划(2018</w:t>
      </w:r>
      <w:r>
        <w:rPr>
          <w:rFonts w:hint="eastAsia" w:ascii="Times New Roman" w:eastAsia="宋体"/>
          <w:lang w:val="en-US" w:eastAsia="zh-CN"/>
        </w:rPr>
        <w:t>-</w:t>
      </w:r>
      <w:r>
        <w:rPr>
          <w:rFonts w:hint="eastAsia"/>
        </w:rPr>
        <w:t>2020年）</w:t>
      </w:r>
      <w:r>
        <w:t>》，湘政发[201</w:t>
      </w:r>
      <w:r>
        <w:rPr>
          <w:rFonts w:hint="eastAsia"/>
        </w:rPr>
        <w:t>8</w:t>
      </w:r>
      <w:r>
        <w:t>]</w:t>
      </w:r>
      <w:r>
        <w:rPr>
          <w:rFonts w:hint="eastAsia"/>
        </w:rPr>
        <w:t>17</w:t>
      </w:r>
      <w:r>
        <w:t>号；</w:t>
      </w:r>
    </w:p>
    <w:p>
      <w:pPr>
        <w:bidi w:val="0"/>
      </w:pPr>
      <w:r>
        <w:t>（</w:t>
      </w:r>
      <w:r>
        <w:rPr>
          <w:rFonts w:hint="eastAsia"/>
        </w:rPr>
        <w:t>9</w:t>
      </w:r>
      <w:r>
        <w:t>）岳阳市人民政府办公室关于印发《岳阳市水环境功能区管理规定》和《岳阳市水环境功能区划分》的通知（岳政办发[2010]30号）；</w:t>
      </w:r>
    </w:p>
    <w:p>
      <w:pPr>
        <w:bidi w:val="0"/>
        <w:rPr>
          <w:rFonts w:hint="eastAsia"/>
        </w:rPr>
      </w:pPr>
      <w:r>
        <w:t>（1</w:t>
      </w:r>
      <w:r>
        <w:rPr>
          <w:rFonts w:hint="eastAsia"/>
        </w:rPr>
        <w:t>0</w:t>
      </w:r>
      <w:r>
        <w:t>）岳阳市贯彻落实《大气污染防治行动计划》实施方案，岳政办发</w:t>
      </w:r>
      <w:r>
        <w:rPr>
          <w:rFonts w:hint="eastAsia" w:eastAsia="宋体"/>
          <w:lang w:eastAsia="zh-CN"/>
        </w:rPr>
        <w:t>[</w:t>
      </w:r>
      <w:r>
        <w:t>2014</w:t>
      </w:r>
      <w:r>
        <w:rPr>
          <w:rFonts w:hint="eastAsia" w:eastAsia="宋体"/>
          <w:lang w:eastAsia="zh-CN"/>
        </w:rPr>
        <w:t>]</w:t>
      </w:r>
      <w:r>
        <w:t>17号</w:t>
      </w:r>
      <w:r>
        <w:rPr>
          <w:rFonts w:hint="eastAsia"/>
        </w:rPr>
        <w:t>；</w:t>
      </w:r>
    </w:p>
    <w:p>
      <w:pPr>
        <w:bidi w:val="0"/>
        <w:rPr>
          <w:rFonts w:hint="eastAsia"/>
        </w:rPr>
      </w:pPr>
      <w:r>
        <w:rPr>
          <w:rFonts w:hint="eastAsia"/>
        </w:rPr>
        <w:t>（11）《湖南省主要污染物排污权有偿使用和交易实施细则》（湘环发[2014]29号）；</w:t>
      </w:r>
    </w:p>
    <w:p>
      <w:pPr>
        <w:bidi w:val="0"/>
        <w:rPr>
          <w:rFonts w:hint="eastAsia"/>
        </w:rPr>
      </w:pPr>
      <w:r>
        <w:rPr>
          <w:rFonts w:hint="eastAsia"/>
        </w:rPr>
        <w:t>（12）《建设项目主要污染物排放总量指标审核及管理暂行办法》（环发[2014]197号）；</w:t>
      </w:r>
    </w:p>
    <w:p>
      <w:pPr>
        <w:bidi w:val="0"/>
        <w:rPr>
          <w:rFonts w:hint="eastAsia"/>
        </w:rPr>
      </w:pPr>
      <w:r>
        <w:rPr>
          <w:rFonts w:hint="eastAsia"/>
        </w:rPr>
        <w:t>（13）《湖南省生态环境厅关于执行污染物特别排放限值（第一批）的公告》，2018年10月29日；</w:t>
      </w:r>
    </w:p>
    <w:p>
      <w:pPr>
        <w:bidi w:val="0"/>
        <w:rPr>
          <w:rFonts w:hint="eastAsia"/>
        </w:rPr>
      </w:pPr>
      <w:bookmarkStart w:id="287" w:name="_Toc22765"/>
      <w:bookmarkStart w:id="288" w:name="_Toc5332"/>
      <w:bookmarkStart w:id="289" w:name="_Toc15207"/>
      <w:bookmarkStart w:id="290" w:name="_Toc28552"/>
      <w:bookmarkStart w:id="291" w:name="_Toc10423"/>
      <w:bookmarkStart w:id="292" w:name="_Toc21412"/>
      <w:bookmarkStart w:id="293" w:name="_Toc9233_WPSOffice_Level3"/>
      <w:bookmarkStart w:id="294" w:name="_Toc25668"/>
      <w:bookmarkStart w:id="295" w:name="_Toc10733_WPSOffice_Level3"/>
      <w:bookmarkStart w:id="296" w:name="_Toc844"/>
      <w:r>
        <w:rPr>
          <w:rFonts w:hint="eastAsia"/>
        </w:rPr>
        <w:t>（14）《湘阴县环境功能区划》（湘阴县人民政府）；</w:t>
      </w:r>
    </w:p>
    <w:p>
      <w:pPr>
        <w:bidi w:val="0"/>
        <w:rPr>
          <w:rFonts w:hint="eastAsia"/>
        </w:rPr>
      </w:pPr>
      <w:r>
        <w:rPr>
          <w:rFonts w:hint="eastAsia"/>
        </w:rPr>
        <w:t>（15）《湘阴县金龙镇总体规划》（湘阴县人民政府）；</w:t>
      </w:r>
    </w:p>
    <w:p>
      <w:pPr>
        <w:bidi w:val="0"/>
        <w:rPr>
          <w:rFonts w:hint="eastAsia"/>
        </w:rPr>
      </w:pPr>
      <w:r>
        <w:rPr>
          <w:rFonts w:hint="eastAsia"/>
        </w:rPr>
        <w:t>（16）《湖南洋沙湖-东湖国家湿地公园总体规划》（2009-2015）；</w:t>
      </w:r>
    </w:p>
    <w:p>
      <w:pPr>
        <w:bidi w:val="0"/>
        <w:rPr>
          <w:rFonts w:hint="eastAsia"/>
        </w:rPr>
      </w:pPr>
      <w:r>
        <w:rPr>
          <w:rFonts w:hint="eastAsia"/>
        </w:rPr>
        <w:t>（17）《湖南湘阴洋沙湖</w:t>
      </w:r>
      <w:r>
        <w:rPr>
          <w:rFonts w:hint="eastAsia" w:ascii="Times New Roman" w:eastAsia="宋体"/>
          <w:lang w:val="en-US" w:eastAsia="zh-CN"/>
        </w:rPr>
        <w:t xml:space="preserve"> </w:t>
      </w:r>
      <w:r>
        <w:rPr>
          <w:rFonts w:hint="eastAsia"/>
        </w:rPr>
        <w:t>东湖国家湿地公园保护管理办法》（湘阴县人民政府，2013.12.08）；</w:t>
      </w:r>
    </w:p>
    <w:p>
      <w:pPr>
        <w:bidi w:val="0"/>
        <w:rPr>
          <w:rFonts w:hint="eastAsia"/>
        </w:rPr>
      </w:pPr>
      <w:r>
        <w:rPr>
          <w:rFonts w:hint="eastAsia"/>
        </w:rPr>
        <w:t>（18）国家湿地公园管理办法（试行）（林湿发[2010]1号，国家林业局，2010.2.28）；</w:t>
      </w:r>
    </w:p>
    <w:p>
      <w:pPr>
        <w:bidi w:val="0"/>
        <w:rPr>
          <w:rFonts w:hint="eastAsia"/>
        </w:rPr>
      </w:pPr>
      <w:r>
        <w:rPr>
          <w:rFonts w:hint="eastAsia"/>
        </w:rPr>
        <w:t>（19）湿地保护管理规定（国家林业局令 第32号，2013.5.1）；</w:t>
      </w:r>
    </w:p>
    <w:p>
      <w:pPr>
        <w:bidi w:val="0"/>
        <w:rPr>
          <w:rFonts w:hint="eastAsia"/>
        </w:rPr>
      </w:pPr>
      <w:r>
        <w:rPr>
          <w:rFonts w:hint="eastAsia"/>
        </w:rPr>
        <w:t>（20）《关于印发</w:t>
      </w:r>
      <w:r>
        <w:rPr>
          <w:rFonts w:hint="eastAsia" w:eastAsia="宋体"/>
          <w:lang w:eastAsia="zh-CN"/>
        </w:rPr>
        <w:t xml:space="preserve"> &lt;</w:t>
      </w:r>
      <w:r>
        <w:rPr>
          <w:rFonts w:hint="eastAsia"/>
        </w:rPr>
        <w:t>生态保护红线划定技术指南&gt;的通知》（环发[2015] 56号）；</w:t>
      </w:r>
    </w:p>
    <w:p>
      <w:pPr>
        <w:bidi w:val="0"/>
        <w:rPr>
          <w:rFonts w:hint="eastAsia"/>
          <w:highlight w:val="yellow"/>
        </w:rPr>
      </w:pPr>
      <w:r>
        <w:rPr>
          <w:rFonts w:hint="eastAsia"/>
        </w:rPr>
        <w:t>（21）</w:t>
      </w:r>
      <w:r>
        <w:rPr>
          <w:rFonts w:hint="eastAsia"/>
          <w:highlight w:val="none"/>
        </w:rPr>
        <w:t>《关于对湘阴县生态保护红线划定初步方案意见》（湘阴县人民政府， 2016.06.30）；</w:t>
      </w:r>
    </w:p>
    <w:p>
      <w:pPr>
        <w:bidi w:val="0"/>
        <w:rPr>
          <w:rFonts w:hint="eastAsia"/>
        </w:rPr>
      </w:pPr>
      <w:r>
        <w:rPr>
          <w:rFonts w:hint="eastAsia"/>
        </w:rPr>
        <w:t>（22）生态环境部关于印发《重点行业挥发性有机物综合治理方案》的通知，2019年6月26日起实施；</w:t>
      </w:r>
    </w:p>
    <w:p>
      <w:pPr>
        <w:bidi w:val="0"/>
        <w:rPr>
          <w:rFonts w:hint="eastAsia"/>
        </w:rPr>
      </w:pPr>
      <w:r>
        <w:rPr>
          <w:rFonts w:hint="eastAsia"/>
        </w:rPr>
        <w:t>（23）关于印发《重点行业挥发性有机物综合治理方案》的通知（环大气[2019]53 号），2019年6月26日。</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（24）《湖南省新材料产业产品统计指导目录（2017）》，湖南省发改委</w:t>
      </w:r>
    </w:p>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Pr>
        <w:pStyle w:val="4"/>
        <w:bidi w:val="0"/>
        <w:rPr>
          <w:lang w:val="en-US" w:eastAsia="zh-CN"/>
        </w:rPr>
      </w:pPr>
      <w:bookmarkStart w:id="297" w:name="_Toc10409"/>
      <w:bookmarkStart w:id="298" w:name="_Toc20209"/>
      <w:bookmarkStart w:id="299" w:name="_Toc14668"/>
      <w:bookmarkStart w:id="300" w:name="_Toc20671"/>
      <w:bookmarkStart w:id="301" w:name="_Toc1920"/>
      <w:bookmarkStart w:id="302" w:name="_Toc23509"/>
      <w:bookmarkStart w:id="303" w:name="_Toc3689"/>
      <w:bookmarkStart w:id="304" w:name="_Toc9776"/>
      <w:bookmarkStart w:id="305" w:name="_Toc29173"/>
      <w:bookmarkStart w:id="306" w:name="_Toc12764"/>
      <w:bookmarkStart w:id="307" w:name="_Toc3165"/>
      <w:bookmarkStart w:id="308" w:name="_Toc26220"/>
      <w:bookmarkStart w:id="309" w:name="_Toc7952_WPSOffice_Level3"/>
      <w:bookmarkStart w:id="310" w:name="_Toc23348"/>
      <w:bookmarkStart w:id="311" w:name="_Toc27280"/>
      <w:bookmarkStart w:id="312" w:name="_Toc4068"/>
      <w:bookmarkStart w:id="313" w:name="_Toc24822"/>
      <w:bookmarkStart w:id="314" w:name="_Toc27271"/>
      <w:bookmarkStart w:id="315" w:name="_Toc30125"/>
      <w:bookmarkStart w:id="316" w:name="_Toc22588"/>
      <w:bookmarkStart w:id="317" w:name="_Toc25500_WPSOffice_Level3"/>
      <w:bookmarkStart w:id="318" w:name="_Toc22843"/>
      <w:r>
        <w:rPr>
          <w:lang w:val="en-US" w:eastAsia="zh-CN"/>
        </w:rPr>
        <w:t>相关的技术规范</w:t>
      </w:r>
      <w:bookmarkEnd w:id="297"/>
      <w:bookmarkEnd w:id="298"/>
      <w:bookmarkEnd w:id="299"/>
      <w:bookmarkEnd w:id="300"/>
      <w:bookmarkEnd w:id="301"/>
      <w:bookmarkEnd w:id="302"/>
    </w:p>
    <w:p>
      <w:pPr>
        <w:bidi w:val="0"/>
      </w:pPr>
      <w:r>
        <w:t>（1）《建设项目环境影响评价技术导则 总纲》(HJ616-2016)；</w:t>
      </w:r>
    </w:p>
    <w:p>
      <w:pPr>
        <w:bidi w:val="0"/>
      </w:pPr>
      <w:r>
        <w:t>（2）</w:t>
      </w:r>
      <w:r>
        <w:rPr>
          <w:rFonts w:hint="eastAsia" w:eastAsia="宋体"/>
          <w:lang w:eastAsia="zh-CN"/>
        </w:rPr>
        <w:t>《环境影响评价技术导则 大气环境》</w:t>
      </w:r>
      <w:r>
        <w:t>(HJ2.2-20</w:t>
      </w:r>
      <w:r>
        <w:rPr>
          <w:rFonts w:hint="eastAsia"/>
        </w:rPr>
        <w:t>18</w:t>
      </w:r>
      <w:r>
        <w:t>)；</w:t>
      </w:r>
    </w:p>
    <w:p>
      <w:pPr>
        <w:bidi w:val="0"/>
      </w:pPr>
      <w:r>
        <w:t>（3）《环境影响评价技术导则 地</w:t>
      </w:r>
      <w:r>
        <w:rPr>
          <w:rFonts w:hint="eastAsia"/>
        </w:rPr>
        <w:t>表</w:t>
      </w:r>
      <w:r>
        <w:t>水》(HJ2.3-</w:t>
      </w:r>
      <w:r>
        <w:rPr>
          <w:rFonts w:hint="eastAsia"/>
        </w:rPr>
        <w:t>2018</w:t>
      </w:r>
      <w:r>
        <w:t>)；</w:t>
      </w:r>
    </w:p>
    <w:p>
      <w:pPr>
        <w:bidi w:val="0"/>
      </w:pPr>
      <w:r>
        <w:t>（4）《环境影响评价技术导则 声环境》(HJ2.4-2009)；</w:t>
      </w:r>
    </w:p>
    <w:p>
      <w:pPr>
        <w:bidi w:val="0"/>
      </w:pPr>
      <w:r>
        <w:t>（5）</w:t>
      </w:r>
      <w:r>
        <w:rPr>
          <w:rFonts w:hint="eastAsia" w:eastAsia="宋体"/>
          <w:lang w:eastAsia="zh-CN"/>
        </w:rPr>
        <w:t>《环境影响评价技术导则 地下水环境》</w:t>
      </w:r>
      <w:r>
        <w:t>（HJ610-2016）</w:t>
      </w:r>
    </w:p>
    <w:p>
      <w:pPr>
        <w:bidi w:val="0"/>
        <w:rPr>
          <w:rFonts w:hint="eastAsia"/>
        </w:rPr>
      </w:pPr>
      <w:r>
        <w:rPr>
          <w:rFonts w:hint="eastAsia"/>
        </w:rPr>
        <w:t>（6）《环境影响评价技术导则 土壤环境（试行）》（HJ964-2018）</w:t>
      </w:r>
    </w:p>
    <w:p>
      <w:pPr>
        <w:bidi w:val="0"/>
      </w:pPr>
      <w:r>
        <w:t>（</w:t>
      </w:r>
      <w:r>
        <w:rPr>
          <w:rFonts w:hint="eastAsia"/>
        </w:rPr>
        <w:t>7</w:t>
      </w:r>
      <w:r>
        <w:t>）《建设项目环境风险评价技术导则》(HJ169-20</w:t>
      </w:r>
      <w:r>
        <w:rPr>
          <w:rFonts w:hint="eastAsia"/>
        </w:rPr>
        <w:t>18</w:t>
      </w:r>
      <w:r>
        <w:t>)；</w:t>
      </w:r>
    </w:p>
    <w:p>
      <w:pPr>
        <w:bidi w:val="0"/>
      </w:pPr>
      <w:r>
        <w:t>（</w:t>
      </w:r>
      <w:r>
        <w:rPr>
          <w:rFonts w:hint="eastAsia"/>
        </w:rPr>
        <w:t>8</w:t>
      </w:r>
      <w:r>
        <w:t>）《环境影响评价技术导则 生态影响》(HJ19-2011)；</w:t>
      </w:r>
    </w:p>
    <w:p>
      <w:pPr>
        <w:bidi w:val="0"/>
      </w:pPr>
      <w:r>
        <w:t>（</w:t>
      </w:r>
      <w:r>
        <w:rPr>
          <w:rFonts w:hint="eastAsia"/>
        </w:rPr>
        <w:t>9</w:t>
      </w:r>
      <w:r>
        <w:t>）</w:t>
      </w:r>
      <w:r>
        <w:rPr>
          <w:rFonts w:hint="eastAsia"/>
        </w:rPr>
        <w:t>排污单位自行监测技术指南总则；</w:t>
      </w:r>
    </w:p>
    <w:p>
      <w:pPr>
        <w:bidi w:val="0"/>
        <w:rPr>
          <w:rFonts w:hint="eastAsia"/>
        </w:rPr>
      </w:pPr>
      <w:r>
        <w:t>（</w:t>
      </w:r>
      <w:r>
        <w:rPr>
          <w:rFonts w:hint="eastAsia"/>
        </w:rPr>
        <w:t>10</w:t>
      </w:r>
      <w:r>
        <w:t>）《危险化学品名录》2015年版</w:t>
      </w:r>
      <w:r>
        <w:rPr>
          <w:rFonts w:hint="eastAsia"/>
        </w:rPr>
        <w:t>。</w:t>
      </w:r>
    </w:p>
    <w:p>
      <w:pPr>
        <w:pStyle w:val="4"/>
        <w:bidi w:val="0"/>
        <w:rPr>
          <w:lang w:val="en-US" w:eastAsia="zh-CN"/>
        </w:rPr>
      </w:pPr>
      <w:r>
        <w:rPr>
          <w:lang w:val="en-US" w:eastAsia="zh-CN"/>
        </w:rPr>
        <w:t>其它技术规范及参考依据</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pPr>
        <w:bidi w:val="0"/>
      </w:pPr>
      <w:bookmarkStart w:id="319" w:name="_Toc13784_WPSOffice_Level3"/>
      <w:bookmarkStart w:id="320" w:name="_Toc15317"/>
      <w:bookmarkStart w:id="321" w:name="_Toc10996"/>
      <w:bookmarkStart w:id="322" w:name="_Toc24190"/>
      <w:bookmarkStart w:id="323" w:name="_Toc16788"/>
      <w:bookmarkStart w:id="324" w:name="_Toc28205"/>
      <w:bookmarkStart w:id="325" w:name="_Toc1618"/>
      <w:bookmarkStart w:id="326" w:name="_Toc25237"/>
      <w:bookmarkStart w:id="327" w:name="_Toc30225_WPSOffice_Level3"/>
      <w:bookmarkStart w:id="328" w:name="_Toc30205"/>
      <w:r>
        <w:t>（1）《工业企业设计卫生标</w:t>
      </w:r>
      <w:r>
        <w:rPr>
          <w:rFonts w:hint="eastAsia" w:ascii="Times New Roman" w:eastAsia="宋体"/>
          <w:lang w:val="en-US" w:eastAsia="zh-CN"/>
        </w:rPr>
        <w:t xml:space="preserve"> </w:t>
      </w:r>
      <w:r>
        <w:t>准》(GBZ1-2010)；</w:t>
      </w:r>
    </w:p>
    <w:p>
      <w:pPr>
        <w:bidi w:val="0"/>
      </w:pPr>
      <w:r>
        <w:t>（2）《工作场所有害因素职业接触限值》(GBZ2-2007)；</w:t>
      </w:r>
    </w:p>
    <w:p>
      <w:pPr>
        <w:bidi w:val="0"/>
      </w:pPr>
      <w:r>
        <w:t>（3）《一般工业固体废物贮存、处置场污染控制标准》(GB18599-2001)及2013年修改单；</w:t>
      </w:r>
    </w:p>
    <w:p>
      <w:pPr>
        <w:bidi w:val="0"/>
      </w:pPr>
      <w:r>
        <w:t>（4）《危险废物贮存污染控制标准》（GB18597-2001）及2013年修改单；</w:t>
      </w:r>
    </w:p>
    <w:p>
      <w:pPr>
        <w:pStyle w:val="4"/>
        <w:bidi w:val="0"/>
        <w:rPr>
          <w:lang w:val="en-US" w:eastAsia="zh-CN"/>
        </w:rPr>
      </w:pPr>
      <w:bookmarkStart w:id="329" w:name="_Toc21016"/>
      <w:bookmarkStart w:id="330" w:name="_Toc16421"/>
      <w:bookmarkStart w:id="331" w:name="_Toc25205"/>
      <w:bookmarkStart w:id="332" w:name="_Toc399"/>
      <w:bookmarkStart w:id="333" w:name="_Toc21027"/>
      <w:bookmarkStart w:id="334" w:name="_Toc24324"/>
      <w:r>
        <w:rPr>
          <w:lang w:val="en-US" w:eastAsia="zh-CN"/>
        </w:rPr>
        <w:t>其他编制依据及工程资料</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pPr>
        <w:keepNext w:val="0"/>
        <w:keepLines w:val="0"/>
        <w:pageBreakBefore w:val="0"/>
        <w:widowControl w:val="0"/>
        <w:numPr>
          <w:ilvl w:val="0"/>
          <w:numId w:val="6"/>
        </w:numPr>
        <w:kinsoku/>
        <w:wordWrap/>
        <w:overflowPunct/>
        <w:topLinePunct w:val="0"/>
        <w:autoSpaceDE/>
        <w:autoSpaceDN/>
        <w:bidi w:val="0"/>
        <w:adjustRightInd/>
        <w:snapToGrid/>
        <w:ind w:left="0" w:leftChars="0" w:firstLine="480" w:firstLineChars="200"/>
        <w:textAlignment w:val="auto"/>
      </w:pPr>
      <w:r>
        <w:rPr>
          <w:rFonts w:hint="eastAsia" w:eastAsia="宋体"/>
          <w:lang w:eastAsia="zh-CN"/>
        </w:rPr>
        <w:t>项目</w:t>
      </w:r>
      <w:r>
        <w:t>环评委托书</w:t>
      </w:r>
    </w:p>
    <w:p>
      <w:pPr>
        <w:keepNext w:val="0"/>
        <w:keepLines w:val="0"/>
        <w:pageBreakBefore w:val="0"/>
        <w:widowControl w:val="0"/>
        <w:numPr>
          <w:ilvl w:val="0"/>
          <w:numId w:val="6"/>
        </w:numPr>
        <w:kinsoku/>
        <w:wordWrap/>
        <w:overflowPunct/>
        <w:topLinePunct w:val="0"/>
        <w:autoSpaceDE/>
        <w:autoSpaceDN/>
        <w:bidi w:val="0"/>
        <w:adjustRightInd/>
        <w:snapToGrid/>
        <w:ind w:left="0" w:leftChars="0" w:firstLine="480" w:firstLineChars="200"/>
        <w:textAlignment w:val="auto"/>
      </w:pPr>
      <w:r>
        <w:rPr>
          <w:rFonts w:hint="eastAsia" w:eastAsia="宋体"/>
          <w:lang w:eastAsia="zh-CN"/>
        </w:rPr>
        <w:t>建设单位</w:t>
      </w:r>
      <w:r>
        <w:rPr>
          <w:rFonts w:hint="eastAsia"/>
        </w:rPr>
        <w:t>营业执照</w:t>
      </w:r>
    </w:p>
    <w:p>
      <w:pPr>
        <w:keepNext w:val="0"/>
        <w:keepLines w:val="0"/>
        <w:pageBreakBefore w:val="0"/>
        <w:widowControl w:val="0"/>
        <w:numPr>
          <w:ilvl w:val="0"/>
          <w:numId w:val="6"/>
        </w:numPr>
        <w:kinsoku/>
        <w:wordWrap/>
        <w:overflowPunct/>
        <w:topLinePunct w:val="0"/>
        <w:autoSpaceDE/>
        <w:autoSpaceDN/>
        <w:bidi w:val="0"/>
        <w:adjustRightInd/>
        <w:snapToGrid/>
        <w:ind w:left="0" w:leftChars="0" w:firstLine="480" w:firstLineChars="200"/>
        <w:textAlignment w:val="auto"/>
      </w:pPr>
      <w:r>
        <w:rPr>
          <w:rFonts w:hint="eastAsia" w:eastAsia="宋体"/>
          <w:lang w:eastAsia="zh-CN"/>
        </w:rPr>
        <w:t>关于聚氨酯生产项目的</w:t>
      </w:r>
      <w:r>
        <w:rPr>
          <w:rFonts w:hint="eastAsia"/>
        </w:rPr>
        <w:t>联审意见</w:t>
      </w:r>
    </w:p>
    <w:p>
      <w:pPr>
        <w:keepNext w:val="0"/>
        <w:keepLines w:val="0"/>
        <w:pageBreakBefore w:val="0"/>
        <w:widowControl w:val="0"/>
        <w:numPr>
          <w:ilvl w:val="0"/>
          <w:numId w:val="6"/>
        </w:numPr>
        <w:kinsoku/>
        <w:wordWrap/>
        <w:overflowPunct/>
        <w:topLinePunct w:val="0"/>
        <w:autoSpaceDE/>
        <w:autoSpaceDN/>
        <w:bidi w:val="0"/>
        <w:adjustRightInd/>
        <w:snapToGrid/>
        <w:ind w:left="0" w:leftChars="0" w:firstLine="480" w:firstLineChars="200"/>
        <w:textAlignment w:val="auto"/>
      </w:pPr>
      <w:r>
        <w:rPr>
          <w:rFonts w:hint="eastAsia" w:eastAsia="宋体"/>
          <w:lang w:eastAsia="zh-CN"/>
        </w:rPr>
        <w:t>厂房购买协议</w:t>
      </w:r>
    </w:p>
    <w:p>
      <w:pPr>
        <w:keepNext w:val="0"/>
        <w:keepLines w:val="0"/>
        <w:pageBreakBefore w:val="0"/>
        <w:widowControl w:val="0"/>
        <w:numPr>
          <w:ilvl w:val="0"/>
          <w:numId w:val="6"/>
        </w:numPr>
        <w:kinsoku/>
        <w:wordWrap/>
        <w:overflowPunct/>
        <w:topLinePunct w:val="0"/>
        <w:autoSpaceDE/>
        <w:autoSpaceDN/>
        <w:bidi w:val="0"/>
        <w:adjustRightInd/>
        <w:snapToGrid/>
        <w:ind w:left="0" w:leftChars="0" w:firstLine="480" w:firstLineChars="200"/>
        <w:textAlignment w:val="auto"/>
        <w:rPr>
          <w:rFonts w:hint="eastAsia"/>
          <w:highlight w:val="none"/>
        </w:rPr>
      </w:pPr>
      <w:r>
        <w:rPr>
          <w:rFonts w:hint="eastAsia" w:eastAsia="宋体"/>
          <w:color w:val="auto"/>
          <w:highlight w:val="none"/>
          <w:lang w:eastAsia="zh-CN"/>
        </w:rPr>
        <w:t>中骏公司资质及监测数据质量保证单</w:t>
      </w:r>
    </w:p>
    <w:p>
      <w:pPr>
        <w:keepNext w:val="0"/>
        <w:keepLines w:val="0"/>
        <w:pageBreakBefore w:val="0"/>
        <w:widowControl w:val="0"/>
        <w:numPr>
          <w:ilvl w:val="0"/>
          <w:numId w:val="6"/>
        </w:numPr>
        <w:kinsoku/>
        <w:wordWrap/>
        <w:overflowPunct/>
        <w:topLinePunct w:val="0"/>
        <w:autoSpaceDE/>
        <w:autoSpaceDN/>
        <w:bidi w:val="0"/>
        <w:adjustRightInd/>
        <w:snapToGrid/>
        <w:ind w:left="0" w:leftChars="0" w:firstLine="480" w:firstLineChars="200"/>
        <w:textAlignment w:val="auto"/>
        <w:rPr>
          <w:rFonts w:hint="eastAsia"/>
        </w:rPr>
      </w:pPr>
      <w:r>
        <w:rPr>
          <w:rFonts w:hint="eastAsia" w:eastAsia="宋体"/>
          <w:lang w:eastAsia="zh-CN"/>
        </w:rPr>
        <w:t>金龙新区工业区规划环评审查意见</w:t>
      </w:r>
    </w:p>
    <w:p>
      <w:pPr>
        <w:widowControl w:val="0"/>
        <w:numPr>
          <w:ilvl w:val="0"/>
          <w:numId w:val="6"/>
        </w:numPr>
        <w:bidi w:val="0"/>
        <w:spacing w:line="360" w:lineRule="auto"/>
        <w:ind w:left="0" w:leftChars="0" w:firstLine="480" w:firstLineChars="200"/>
        <w:jc w:val="left"/>
        <w:rPr>
          <w:rFonts w:hint="eastAsia" w:ascii="Times New Roman" w:hAnsi="Times New Roman" w:eastAsia="宋体" w:cs="宋体"/>
          <w:kern w:val="2"/>
          <w:sz w:val="24"/>
          <w:szCs w:val="24"/>
          <w:lang w:val="en-US" w:eastAsia="zh-CN" w:bidi="ar-SA"/>
        </w:rPr>
      </w:pPr>
      <w:bookmarkStart w:id="335" w:name="_Toc24382_WPSOffice_Level2"/>
      <w:bookmarkStart w:id="336" w:name="_Toc3607_WPSOffice_Level2"/>
      <w:bookmarkStart w:id="337" w:name="_Toc12776"/>
      <w:bookmarkStart w:id="338" w:name="_Toc10968"/>
      <w:bookmarkStart w:id="339" w:name="_Toc9102_WPSOffice_Level2"/>
      <w:bookmarkStart w:id="340" w:name="_Toc11075_WPSOffice_Level2"/>
      <w:bookmarkStart w:id="341" w:name="_Toc21565_WPSOffice_Level2"/>
      <w:bookmarkStart w:id="342" w:name="_Toc1658_WPSOffice_Level2"/>
      <w:bookmarkStart w:id="343" w:name="_Toc27072"/>
      <w:bookmarkStart w:id="344" w:name="_Toc20947"/>
      <w:bookmarkStart w:id="345" w:name="_Toc1948_WPSOffice_Level2"/>
      <w:bookmarkStart w:id="346" w:name="_Toc4651"/>
      <w:r>
        <w:rPr>
          <w:rFonts w:hint="eastAsia" w:ascii="Times New Roman" w:hAnsi="Times New Roman" w:eastAsia="宋体" w:cs="宋体"/>
          <w:kern w:val="2"/>
          <w:sz w:val="24"/>
          <w:szCs w:val="24"/>
          <w:lang w:val="en-US" w:eastAsia="zh-CN" w:bidi="ar-SA"/>
        </w:rPr>
        <w:t>湘阴20万m</w:t>
      </w:r>
      <w:r>
        <w:rPr>
          <w:rFonts w:hint="eastAsia" w:ascii="Times New Roman" w:hAnsi="Times New Roman" w:eastAsia="宋体" w:cs="宋体"/>
          <w:kern w:val="2"/>
          <w:sz w:val="24"/>
          <w:szCs w:val="24"/>
          <w:vertAlign w:val="superscript"/>
          <w:lang w:val="en-US" w:eastAsia="zh-CN" w:bidi="ar-SA"/>
        </w:rPr>
        <w:t>2</w:t>
      </w:r>
      <w:r>
        <w:rPr>
          <w:rFonts w:hint="eastAsia" w:ascii="Times New Roman" w:hAnsi="Times New Roman" w:eastAsia="宋体" w:cs="宋体"/>
          <w:kern w:val="2"/>
          <w:sz w:val="24"/>
          <w:szCs w:val="24"/>
          <w:lang w:val="en-US" w:eastAsia="zh-CN" w:bidi="ar-SA"/>
        </w:rPr>
        <w:t>集中工业厂房建设项目环评报告书批复</w:t>
      </w:r>
      <w:bookmarkEnd w:id="335"/>
      <w:bookmarkEnd w:id="336"/>
      <w:bookmarkEnd w:id="337"/>
      <w:bookmarkEnd w:id="338"/>
      <w:bookmarkEnd w:id="339"/>
      <w:bookmarkEnd w:id="340"/>
      <w:bookmarkEnd w:id="341"/>
      <w:bookmarkEnd w:id="342"/>
      <w:bookmarkEnd w:id="343"/>
      <w:bookmarkEnd w:id="344"/>
      <w:bookmarkEnd w:id="345"/>
      <w:bookmarkEnd w:id="346"/>
    </w:p>
    <w:p>
      <w:pPr>
        <w:widowControl w:val="0"/>
        <w:numPr>
          <w:ilvl w:val="0"/>
          <w:numId w:val="6"/>
        </w:numPr>
        <w:bidi w:val="0"/>
        <w:spacing w:line="360" w:lineRule="auto"/>
        <w:ind w:left="0" w:leftChars="0"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环评执行标准函</w:t>
      </w:r>
    </w:p>
    <w:p>
      <w:pPr>
        <w:pStyle w:val="2"/>
        <w:bidi w:val="0"/>
        <w:rPr>
          <w:rFonts w:hint="eastAsia"/>
          <w:lang w:val="en-US" w:eastAsia="zh-CN"/>
        </w:rPr>
      </w:pPr>
      <w:bookmarkStart w:id="347" w:name="_Toc29985"/>
      <w:bookmarkStart w:id="348" w:name="_Toc3190"/>
      <w:r>
        <w:rPr>
          <w:rFonts w:hint="eastAsia"/>
          <w:lang w:val="en-US" w:eastAsia="zh-CN"/>
        </w:rPr>
        <w:t>评价因子与评价标准</w:t>
      </w:r>
      <w:bookmarkEnd w:id="347"/>
      <w:bookmarkEnd w:id="348"/>
    </w:p>
    <w:p>
      <w:pPr>
        <w:pStyle w:val="4"/>
        <w:bidi w:val="0"/>
        <w:rPr>
          <w:lang w:val="en-US" w:eastAsia="zh-CN"/>
        </w:rPr>
      </w:pPr>
      <w:bookmarkStart w:id="349" w:name="_Toc4425"/>
      <w:bookmarkStart w:id="350" w:name="_Toc4239"/>
      <w:bookmarkStart w:id="351" w:name="_Toc28968"/>
      <w:bookmarkStart w:id="352" w:name="_Toc27742"/>
      <w:bookmarkStart w:id="353" w:name="_Toc943"/>
      <w:bookmarkStart w:id="354" w:name="_Toc10649"/>
      <w:bookmarkStart w:id="355" w:name="_Toc16628_WPSOffice_Level3"/>
      <w:bookmarkStart w:id="356" w:name="_Toc30982"/>
      <w:bookmarkStart w:id="357" w:name="_Toc353"/>
      <w:bookmarkStart w:id="358" w:name="_Toc32764"/>
      <w:bookmarkStart w:id="359" w:name="_Toc11707"/>
      <w:bookmarkStart w:id="360" w:name="_Toc28793"/>
      <w:bookmarkStart w:id="361" w:name="_Toc11558"/>
      <w:bookmarkStart w:id="362" w:name="_Toc31424"/>
      <w:bookmarkStart w:id="363" w:name="_Toc8660"/>
      <w:bookmarkStart w:id="364" w:name="_Toc26241_WPSOffice_Level3"/>
      <w:bookmarkStart w:id="365" w:name="_Toc30270"/>
      <w:bookmarkStart w:id="366" w:name="_Toc20828"/>
      <w:r>
        <w:rPr>
          <w:lang w:val="en-US" w:eastAsia="zh-CN"/>
        </w:rPr>
        <w:t>评价因子</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pPr>
        <w:numPr>
          <w:ilvl w:val="0"/>
          <w:numId w:val="0"/>
        </w:numPr>
        <w:ind w:leftChars="0"/>
      </w:pPr>
      <w:r>
        <w:t>（1）环境影响要素识别</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根据工程特点、区域环境特征以及工程对环境的影响性质与程度，对工程的环境影响要素进行识别分析</w:t>
      </w:r>
      <w:r>
        <w:rPr>
          <w:rFonts w:hint="eastAsia" w:ascii="Times New Roman" w:hAnsi="Times New Roman" w:eastAsia="宋体" w:cs="宋体"/>
          <w:kern w:val="2"/>
          <w:sz w:val="24"/>
          <w:szCs w:val="24"/>
          <w:lang w:val="en-US" w:eastAsia="zh-CN" w:bidi="ar-SA"/>
        </w:rPr>
        <w:t>，详情见</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_Ref8843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p>
    <w:p>
      <w:pPr>
        <w:widowControl w:val="0"/>
        <w:bidi w:val="0"/>
        <w:spacing w:line="360" w:lineRule="auto"/>
        <w:ind w:firstLine="0" w:firstLineChars="0"/>
        <w:jc w:val="center"/>
        <w:rPr>
          <w:rFonts w:ascii="Times New Roman" w:hAnsi="Times New Roman" w:eastAsia="宋体" w:cs="Times New Roman"/>
          <w:b/>
          <w:bCs/>
          <w:kern w:val="2"/>
          <w:sz w:val="21"/>
          <w:szCs w:val="21"/>
          <w:lang w:val="en-US" w:eastAsia="zh-CN" w:bidi="ar-SA"/>
        </w:rPr>
      </w:pPr>
      <w:bookmarkStart w:id="367" w:name="_Ref8843"/>
      <w:r>
        <w:rPr>
          <w:rFonts w:ascii="Times New Roman" w:hAnsi="Times New Roman" w:eastAsia="宋体" w:cs="Times New Roman"/>
          <w:b/>
          <w:bCs/>
          <w:kern w:val="2"/>
          <w:sz w:val="21"/>
          <w:szCs w:val="21"/>
          <w:lang w:val="en-US" w:eastAsia="zh-CN" w:bidi="ar-SA"/>
        </w:rPr>
        <w:t xml:space="preserve">表 </w:t>
      </w:r>
      <w:r>
        <w:rPr>
          <w:rFonts w:ascii="Times New Roman" w:hAnsi="Times New Roman" w:eastAsia="宋体" w:cs="Times New Roman"/>
          <w:b/>
          <w:bCs/>
          <w:kern w:val="2"/>
          <w:sz w:val="21"/>
          <w:szCs w:val="21"/>
          <w:lang w:val="en-US" w:eastAsia="zh-CN" w:bidi="ar-SA"/>
        </w:rPr>
        <w:fldChar w:fldCharType="begin"/>
      </w:r>
      <w:r>
        <w:rPr>
          <w:rFonts w:ascii="Times New Roman" w:hAnsi="Times New Roman" w:eastAsia="宋体" w:cs="Times New Roman"/>
          <w:b/>
          <w:bCs/>
          <w:kern w:val="2"/>
          <w:sz w:val="21"/>
          <w:szCs w:val="21"/>
          <w:lang w:val="en-US" w:eastAsia="zh-CN" w:bidi="ar-SA"/>
        </w:rPr>
        <w:instrText xml:space="preserve"> STYLEREF 1 \s </w:instrText>
      </w:r>
      <w:r>
        <w:rPr>
          <w:rFonts w:ascii="Times New Roman" w:hAnsi="Times New Roman" w:eastAsia="宋体" w:cs="Times New Roman"/>
          <w:b/>
          <w:bCs/>
          <w:kern w:val="2"/>
          <w:sz w:val="21"/>
          <w:szCs w:val="21"/>
          <w:lang w:val="en-US" w:eastAsia="zh-CN" w:bidi="ar-SA"/>
        </w:rPr>
        <w:fldChar w:fldCharType="separate"/>
      </w:r>
      <w:r>
        <w:rPr>
          <w:rFonts w:ascii="Times New Roman" w:hAnsi="Times New Roman" w:eastAsia="宋体" w:cs="Times New Roman"/>
          <w:b/>
          <w:bCs/>
          <w:kern w:val="2"/>
          <w:sz w:val="21"/>
          <w:szCs w:val="21"/>
          <w:lang w:val="en-US" w:eastAsia="zh-CN" w:bidi="ar-SA"/>
        </w:rPr>
        <w:t>2</w:t>
      </w:r>
      <w:r>
        <w:rPr>
          <w:rFonts w:ascii="Times New Roman" w:hAnsi="Times New Roman" w:eastAsia="宋体" w:cs="Times New Roman"/>
          <w:b/>
          <w:bCs/>
          <w:kern w:val="2"/>
          <w:sz w:val="21"/>
          <w:szCs w:val="21"/>
          <w:lang w:val="en-US" w:eastAsia="zh-CN" w:bidi="ar-SA"/>
        </w:rPr>
        <w:fldChar w:fldCharType="end"/>
      </w:r>
      <w:r>
        <w:rPr>
          <w:rFonts w:hint="eastAsia" w:ascii="Times New Roman" w:hAnsi="Times New Roman" w:eastAsia="宋体" w:cs="Times New Roman"/>
          <w:b/>
          <w:bCs/>
          <w:kern w:val="2"/>
          <w:sz w:val="21"/>
          <w:szCs w:val="21"/>
          <w:lang w:val="en-US" w:eastAsia="zh-CN" w:bidi="ar-SA"/>
        </w:rPr>
        <w:t>-</w:t>
      </w:r>
      <w:r>
        <w:rPr>
          <w:rFonts w:ascii="Times New Roman" w:hAnsi="Times New Roman" w:eastAsia="宋体" w:cs="Times New Roman"/>
          <w:b/>
          <w:bCs/>
          <w:kern w:val="2"/>
          <w:sz w:val="21"/>
          <w:szCs w:val="21"/>
          <w:lang w:val="en-US" w:eastAsia="zh-CN" w:bidi="ar-SA"/>
        </w:rPr>
        <w:fldChar w:fldCharType="begin"/>
      </w:r>
      <w:r>
        <w:rPr>
          <w:rFonts w:ascii="Times New Roman" w:hAnsi="Times New Roman" w:eastAsia="宋体" w:cs="Times New Roman"/>
          <w:b/>
          <w:bCs/>
          <w:kern w:val="2"/>
          <w:sz w:val="21"/>
          <w:szCs w:val="21"/>
          <w:lang w:val="en-US" w:eastAsia="zh-CN" w:bidi="ar-SA"/>
        </w:rPr>
        <w:instrText xml:space="preserve"> SEQ 表 \* ARABIC \s 1 </w:instrText>
      </w:r>
      <w:r>
        <w:rPr>
          <w:rFonts w:ascii="Times New Roman" w:hAnsi="Times New Roman" w:eastAsia="宋体" w:cs="Times New Roman"/>
          <w:b/>
          <w:bCs/>
          <w:kern w:val="2"/>
          <w:sz w:val="21"/>
          <w:szCs w:val="21"/>
          <w:lang w:val="en-US" w:eastAsia="zh-CN" w:bidi="ar-SA"/>
        </w:rPr>
        <w:fldChar w:fldCharType="separate"/>
      </w:r>
      <w:r>
        <w:rPr>
          <w:rFonts w:ascii="Times New Roman" w:hAnsi="Times New Roman" w:eastAsia="宋体" w:cs="Times New Roman"/>
          <w:b/>
          <w:bCs/>
          <w:kern w:val="2"/>
          <w:sz w:val="21"/>
          <w:szCs w:val="21"/>
          <w:lang w:val="en-US" w:eastAsia="zh-CN" w:bidi="ar-SA"/>
        </w:rPr>
        <w:t>1</w:t>
      </w:r>
      <w:r>
        <w:rPr>
          <w:rFonts w:ascii="Times New Roman" w:hAnsi="Times New Roman" w:eastAsia="宋体" w:cs="Times New Roman"/>
          <w:b/>
          <w:bCs/>
          <w:kern w:val="2"/>
          <w:sz w:val="21"/>
          <w:szCs w:val="21"/>
          <w:lang w:val="en-US" w:eastAsia="zh-CN" w:bidi="ar-SA"/>
        </w:rPr>
        <w:fldChar w:fldCharType="end"/>
      </w:r>
      <w:bookmarkEnd w:id="367"/>
      <w:r>
        <w:rPr>
          <w:rFonts w:ascii="Times New Roman" w:hAnsi="Times New Roman" w:eastAsia="宋体" w:cs="Times New Roman"/>
          <w:b/>
          <w:bCs/>
          <w:kern w:val="2"/>
          <w:sz w:val="21"/>
          <w:szCs w:val="21"/>
          <w:lang w:val="en-US" w:eastAsia="zh-CN" w:bidi="ar-SA"/>
        </w:rPr>
        <w:t>工程环境影响要素识别表</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6"/>
        <w:gridCol w:w="1677"/>
        <w:gridCol w:w="1342"/>
        <w:gridCol w:w="917"/>
        <w:gridCol w:w="916"/>
        <w:gridCol w:w="900"/>
        <w:gridCol w:w="918"/>
        <w:gridCol w:w="915"/>
        <w:gridCol w:w="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40" w:hRule="atLeast"/>
          <w:tblHeader/>
          <w:jc w:val="center"/>
        </w:trPr>
        <w:tc>
          <w:tcPr>
            <w:tcW w:w="2593" w:type="dxa"/>
            <w:gridSpan w:val="2"/>
            <w:vMerge w:val="restart"/>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工程行为</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环境资源</w:t>
            </w:r>
          </w:p>
        </w:tc>
        <w:tc>
          <w:tcPr>
            <w:tcW w:w="1342"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施工期</w:t>
            </w:r>
          </w:p>
        </w:tc>
        <w:tc>
          <w:tcPr>
            <w:tcW w:w="4566" w:type="dxa"/>
            <w:gridSpan w:val="5"/>
            <w:noWrap w:val="0"/>
            <w:tcMar>
              <w:left w:w="28" w:type="dxa"/>
              <w:right w:w="28" w:type="dxa"/>
            </w:tcMar>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运营期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93" w:type="dxa"/>
            <w:gridSpan w:val="2"/>
            <w:vMerge w:val="continue"/>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342"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安装工程</w:t>
            </w:r>
          </w:p>
        </w:tc>
        <w:tc>
          <w:tcPr>
            <w:tcW w:w="917"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物料</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运输</w:t>
            </w:r>
          </w:p>
        </w:tc>
        <w:tc>
          <w:tcPr>
            <w:tcW w:w="916"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生产</w:t>
            </w:r>
          </w:p>
        </w:tc>
        <w:tc>
          <w:tcPr>
            <w:tcW w:w="900"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废水</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排放</w:t>
            </w:r>
          </w:p>
        </w:tc>
        <w:tc>
          <w:tcPr>
            <w:tcW w:w="918"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废气</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排放</w:t>
            </w:r>
          </w:p>
        </w:tc>
        <w:tc>
          <w:tcPr>
            <w:tcW w:w="921" w:type="dxa"/>
            <w:gridSpan w:val="2"/>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固体</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废物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vMerge w:val="restart"/>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社会</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发展</w:t>
            </w:r>
          </w:p>
        </w:tc>
        <w:tc>
          <w:tcPr>
            <w:tcW w:w="1677"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劳动就业</w:t>
            </w:r>
          </w:p>
        </w:tc>
        <w:tc>
          <w:tcPr>
            <w:tcW w:w="1342"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tc>
        <w:tc>
          <w:tcPr>
            <w:tcW w:w="917"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tc>
        <w:tc>
          <w:tcPr>
            <w:tcW w:w="916"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tc>
        <w:tc>
          <w:tcPr>
            <w:tcW w:w="900"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18"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21" w:type="dxa"/>
            <w:gridSpan w:val="2"/>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vMerge w:val="continue"/>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677"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经济发展</w:t>
            </w:r>
          </w:p>
        </w:tc>
        <w:tc>
          <w:tcPr>
            <w:tcW w:w="1342"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17"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16"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tc>
        <w:tc>
          <w:tcPr>
            <w:tcW w:w="900"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18"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21" w:type="dxa"/>
            <w:gridSpan w:val="2"/>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vMerge w:val="continue"/>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677"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土地作用</w:t>
            </w:r>
          </w:p>
        </w:tc>
        <w:tc>
          <w:tcPr>
            <w:tcW w:w="1342"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17"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16"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00"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18"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21" w:type="dxa"/>
            <w:gridSpan w:val="2"/>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vMerge w:val="restart"/>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自然</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资源</w:t>
            </w:r>
          </w:p>
        </w:tc>
        <w:tc>
          <w:tcPr>
            <w:tcW w:w="1677"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地表水体</w:t>
            </w:r>
          </w:p>
        </w:tc>
        <w:tc>
          <w:tcPr>
            <w:tcW w:w="1342"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17"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16"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00"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tc>
        <w:tc>
          <w:tcPr>
            <w:tcW w:w="918"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21" w:type="dxa"/>
            <w:gridSpan w:val="2"/>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vMerge w:val="continue"/>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677"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地下水体</w:t>
            </w:r>
          </w:p>
        </w:tc>
        <w:tc>
          <w:tcPr>
            <w:tcW w:w="1342"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17"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16"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00"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18"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21" w:type="dxa"/>
            <w:gridSpan w:val="2"/>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vMerge w:val="continue"/>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677"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植被</w:t>
            </w:r>
          </w:p>
        </w:tc>
        <w:tc>
          <w:tcPr>
            <w:tcW w:w="1342"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17"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16"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00"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18"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tc>
        <w:tc>
          <w:tcPr>
            <w:tcW w:w="921" w:type="dxa"/>
            <w:gridSpan w:val="2"/>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vMerge w:val="restart"/>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居民</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生活</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质量</w:t>
            </w:r>
          </w:p>
        </w:tc>
        <w:tc>
          <w:tcPr>
            <w:tcW w:w="1677"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空气质量</w:t>
            </w:r>
          </w:p>
        </w:tc>
        <w:tc>
          <w:tcPr>
            <w:tcW w:w="1342"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tc>
        <w:tc>
          <w:tcPr>
            <w:tcW w:w="917"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tc>
        <w:tc>
          <w:tcPr>
            <w:tcW w:w="916"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tc>
        <w:tc>
          <w:tcPr>
            <w:tcW w:w="900"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18"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tc>
        <w:tc>
          <w:tcPr>
            <w:tcW w:w="921" w:type="dxa"/>
            <w:gridSpan w:val="2"/>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vMerge w:val="continue"/>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677"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地表水质量</w:t>
            </w:r>
          </w:p>
        </w:tc>
        <w:tc>
          <w:tcPr>
            <w:tcW w:w="1342"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17"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16"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00"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tc>
        <w:tc>
          <w:tcPr>
            <w:tcW w:w="918"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21" w:type="dxa"/>
            <w:gridSpan w:val="2"/>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vMerge w:val="continue"/>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677"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声学环境</w:t>
            </w:r>
          </w:p>
        </w:tc>
        <w:tc>
          <w:tcPr>
            <w:tcW w:w="1342"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tc>
        <w:tc>
          <w:tcPr>
            <w:tcW w:w="917"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tc>
        <w:tc>
          <w:tcPr>
            <w:tcW w:w="916"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tc>
        <w:tc>
          <w:tcPr>
            <w:tcW w:w="900"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18"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21" w:type="dxa"/>
            <w:gridSpan w:val="2"/>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vMerge w:val="continue"/>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677"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居住条件</w:t>
            </w:r>
          </w:p>
        </w:tc>
        <w:tc>
          <w:tcPr>
            <w:tcW w:w="1342"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17"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16"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00"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18"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21" w:type="dxa"/>
            <w:gridSpan w:val="2"/>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vMerge w:val="continue"/>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677"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经济收入</w:t>
            </w:r>
          </w:p>
        </w:tc>
        <w:tc>
          <w:tcPr>
            <w:tcW w:w="1342"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tc>
        <w:tc>
          <w:tcPr>
            <w:tcW w:w="917"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16"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tc>
        <w:tc>
          <w:tcPr>
            <w:tcW w:w="900"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18" w:type="dxa"/>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21" w:type="dxa"/>
            <w:gridSpan w:val="2"/>
            <w:noWrap w:val="0"/>
            <w:tcMar>
              <w:left w:w="28" w:type="dxa"/>
              <w:right w:w="28"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pStyle w:val="25"/>
        <w:bidi w:val="0"/>
      </w:pPr>
      <w:r>
        <w:t>注：★/☆表示长期不利影响/有利影响；▲/△表示短期不利影响/有利影响</w:t>
      </w:r>
      <w:r>
        <w:rPr>
          <w:rFonts w:hint="eastAsia"/>
          <w:lang w:eastAsia="zh-CN"/>
        </w:rPr>
        <w:t>；</w:t>
      </w:r>
      <w:r>
        <w:t>空格表示影响不明显或没有影响。</w:t>
      </w:r>
    </w:p>
    <w:p>
      <w:r>
        <w:t>综合分析认为：</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pPr>
      <w:r>
        <w:rPr>
          <w:rFonts w:hint="eastAsia" w:ascii="宋体" w:hAnsi="宋体" w:eastAsia="宋体" w:cs="宋体"/>
        </w:rPr>
        <w:t>①</w:t>
      </w:r>
      <w:r>
        <w:t>本工程</w:t>
      </w:r>
      <w:r>
        <w:rPr>
          <w:rFonts w:hint="eastAsia"/>
        </w:rPr>
        <w:t>运营</w:t>
      </w:r>
      <w:r>
        <w:t>后，对区域的劳动就业和经济发展呈有利影响。</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pPr>
      <w:r>
        <w:rPr>
          <w:rFonts w:hint="eastAsia" w:ascii="宋体" w:hAnsi="宋体" w:eastAsia="宋体" w:cs="宋体"/>
        </w:rPr>
        <w:t>②</w:t>
      </w:r>
      <w:r>
        <w:t>本项目</w:t>
      </w:r>
      <w:r>
        <w:rPr>
          <w:rFonts w:hint="eastAsia"/>
        </w:rPr>
        <w:t>利用购置的空置厂房</w:t>
      </w:r>
      <w:r>
        <w:t>进行建设，故无需进行基础工程建设。</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pPr>
      <w:r>
        <w:rPr>
          <w:rFonts w:hint="eastAsia" w:ascii="宋体" w:hAnsi="宋体" w:eastAsia="宋体" w:cs="宋体"/>
        </w:rPr>
        <w:t>③</w:t>
      </w:r>
      <w:r>
        <w:rPr>
          <w:rFonts w:hint="eastAsia" w:eastAsia="宋体"/>
          <w:lang w:eastAsia="zh-CN"/>
        </w:rPr>
        <w:t>运营期</w:t>
      </w:r>
      <w:r>
        <w:t>的主要环境影响：废气排放对环境空气质量的影响</w:t>
      </w:r>
      <w:r>
        <w:rPr>
          <w:rFonts w:hint="eastAsia"/>
        </w:rPr>
        <w:t>；</w:t>
      </w:r>
      <w:r>
        <w:t>废</w:t>
      </w:r>
      <w:r>
        <w:rPr>
          <w:rFonts w:hint="eastAsia"/>
        </w:rPr>
        <w:t>水</w:t>
      </w:r>
      <w:r>
        <w:t>排放对</w:t>
      </w:r>
      <w:r>
        <w:rPr>
          <w:rFonts w:hint="eastAsia"/>
        </w:rPr>
        <w:t>地表水环境</w:t>
      </w:r>
      <w:r>
        <w:t>质量的影响；生产设备运转等产生的噪声对环境的影响</w:t>
      </w:r>
      <w:r>
        <w:rPr>
          <w:rFonts w:hint="eastAsia"/>
        </w:rPr>
        <w:t>；固废产生</w:t>
      </w:r>
      <w:r>
        <w:t>对环境质量的影响。</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根据项目特点，确定本项目</w:t>
      </w:r>
      <w:r>
        <w:rPr>
          <w:rFonts w:hint="eastAsia" w:ascii="Times New Roman" w:hAnsi="Times New Roman" w:eastAsia="宋体" w:cs="宋体"/>
          <w:kern w:val="2"/>
          <w:sz w:val="24"/>
          <w:szCs w:val="24"/>
          <w:lang w:val="en-US" w:eastAsia="zh-CN" w:bidi="ar-SA"/>
        </w:rPr>
        <w:t>运营期</w:t>
      </w:r>
      <w:r>
        <w:rPr>
          <w:rFonts w:ascii="Times New Roman" w:hAnsi="Times New Roman" w:eastAsia="宋体" w:cs="宋体"/>
          <w:kern w:val="2"/>
          <w:sz w:val="24"/>
          <w:szCs w:val="24"/>
          <w:lang w:val="en-US" w:eastAsia="zh-CN" w:bidi="ar-SA"/>
        </w:rPr>
        <w:t>主要环境影响是废气</w:t>
      </w:r>
      <w:r>
        <w:rPr>
          <w:rFonts w:hint="eastAsia" w:ascii="Times New Roman" w:hAnsi="Times New Roman" w:eastAsia="宋体" w:cs="宋体"/>
          <w:kern w:val="2"/>
          <w:sz w:val="24"/>
          <w:szCs w:val="24"/>
          <w:lang w:val="en-US" w:eastAsia="zh-CN" w:bidi="ar-SA"/>
        </w:rPr>
        <w:t>、废水</w:t>
      </w:r>
      <w:r>
        <w:rPr>
          <w:rFonts w:ascii="Times New Roman" w:hAnsi="Times New Roman" w:eastAsia="宋体" w:cs="宋体"/>
          <w:kern w:val="2"/>
          <w:sz w:val="24"/>
          <w:szCs w:val="24"/>
          <w:lang w:val="en-US" w:eastAsia="zh-CN" w:bidi="ar-SA"/>
        </w:rPr>
        <w:t>和噪声排放、固体废物处理及环境风险。</w:t>
      </w:r>
    </w:p>
    <w:p>
      <w:pPr>
        <w:numPr>
          <w:ilvl w:val="0"/>
          <w:numId w:val="0"/>
        </w:numPr>
        <w:ind w:leftChars="0"/>
      </w:pPr>
      <w:r>
        <w:t>（</w:t>
      </w:r>
      <w:r>
        <w:rPr>
          <w:rFonts w:hint="eastAsia"/>
        </w:rPr>
        <w:t>2</w:t>
      </w:r>
      <w:r>
        <w:t>）污染因子筛选</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废气污染源</w:t>
      </w:r>
      <w:r>
        <w:rPr>
          <w:rFonts w:hint="eastAsia" w:ascii="Times New Roman" w:hAnsi="Times New Roman" w:eastAsia="宋体" w:cs="宋体"/>
          <w:kern w:val="2"/>
          <w:sz w:val="24"/>
          <w:szCs w:val="24"/>
          <w:lang w:val="en-US" w:eastAsia="zh-CN" w:bidi="ar-SA"/>
        </w:rPr>
        <w:t>主要是</w:t>
      </w:r>
      <w:r>
        <w:rPr>
          <w:rFonts w:ascii="Times New Roman" w:hAnsi="Times New Roman" w:eastAsia="宋体" w:cs="宋体"/>
          <w:kern w:val="2"/>
          <w:sz w:val="24"/>
          <w:szCs w:val="24"/>
          <w:lang w:val="en-US" w:eastAsia="zh-CN" w:bidi="ar-SA"/>
        </w:rPr>
        <w:t>：项目生产装置在正常运行情况下产生的</w:t>
      </w:r>
      <w:r>
        <w:rPr>
          <w:rFonts w:hint="eastAsia" w:cs="宋体"/>
          <w:kern w:val="2"/>
          <w:sz w:val="24"/>
          <w:szCs w:val="24"/>
          <w:lang w:val="en-US" w:eastAsia="zh-CN" w:bidi="ar-SA"/>
        </w:rPr>
        <w:t>VOCs</w:t>
      </w:r>
      <w:r>
        <w:rPr>
          <w:rFonts w:hint="eastAsia"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废水污染源主要是：生活污水。</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噪声污染源主要是：机械设备，如</w:t>
      </w:r>
      <w:r>
        <w:rPr>
          <w:rFonts w:hint="eastAsia" w:ascii="Times New Roman" w:hAnsi="Times New Roman" w:eastAsia="宋体" w:cs="宋体"/>
          <w:kern w:val="2"/>
          <w:sz w:val="24"/>
          <w:szCs w:val="24"/>
          <w:lang w:val="en-US" w:eastAsia="zh-CN" w:bidi="ar-SA"/>
        </w:rPr>
        <w:t>升降机、混合搅拌罐</w:t>
      </w:r>
      <w:r>
        <w:rPr>
          <w:rFonts w:ascii="Times New Roman" w:hAnsi="Times New Roman" w:eastAsia="宋体" w:cs="宋体"/>
          <w:kern w:val="2"/>
          <w:sz w:val="24"/>
          <w:szCs w:val="24"/>
          <w:lang w:val="en-US" w:eastAsia="zh-CN" w:bidi="ar-SA"/>
        </w:rPr>
        <w:t>等。</w:t>
      </w:r>
    </w:p>
    <w:p>
      <w:pPr>
        <w:widowControl w:val="0"/>
        <w:bidi w:val="0"/>
        <w:spacing w:line="360" w:lineRule="auto"/>
        <w:ind w:left="240" w:leftChars="100" w:firstLine="240" w:firstLineChars="1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固体废弃物主要来源：</w:t>
      </w:r>
      <w:r>
        <w:rPr>
          <w:rFonts w:hint="eastAsia" w:ascii="宋体" w:hAnsi="宋体" w:eastAsia="宋体" w:cs="宋体"/>
          <w:kern w:val="2"/>
          <w:sz w:val="24"/>
          <w:szCs w:val="24"/>
          <w:lang w:val="en-US" w:eastAsia="zh-CN" w:bidi="ar-SA"/>
        </w:rPr>
        <w:t>①原料桶标签纸；②破损包装桶；③</w:t>
      </w:r>
      <w:r>
        <w:rPr>
          <w:rFonts w:hint="eastAsia" w:cs="宋体"/>
          <w:kern w:val="2"/>
          <w:sz w:val="24"/>
          <w:szCs w:val="24"/>
          <w:lang w:val="en-US" w:eastAsia="zh-CN" w:bidi="ar-SA"/>
        </w:rPr>
        <w:t>实验室固废；</w:t>
      </w:r>
      <w:r>
        <w:rPr>
          <w:rFonts w:hint="eastAsia" w:ascii="宋体" w:hAnsi="宋体" w:eastAsia="宋体" w:cs="宋体"/>
          <w:kern w:val="2"/>
          <w:sz w:val="24"/>
          <w:szCs w:val="24"/>
          <w:lang w:val="en-US" w:eastAsia="zh-CN" w:bidi="ar-SA"/>
        </w:rPr>
        <w:t>④废活性炭</w:t>
      </w:r>
      <w:r>
        <w:rPr>
          <w:rFonts w:ascii="Times New Roman" w:hAnsi="Times New Roman" w:eastAsia="宋体" w:cs="宋体"/>
          <w:kern w:val="2"/>
          <w:sz w:val="24"/>
          <w:szCs w:val="24"/>
          <w:lang w:val="en-US" w:eastAsia="zh-CN" w:bidi="ar-SA"/>
        </w:rPr>
        <w:t>；</w:t>
      </w:r>
      <w:bookmarkStart w:id="368" w:name="OLE_LINK58"/>
      <w:r>
        <w:rPr>
          <w:rFonts w:hint="eastAsia" w:ascii="宋体" w:hAnsi="宋体" w:eastAsia="宋体" w:cs="宋体"/>
          <w:kern w:val="2"/>
          <w:sz w:val="24"/>
          <w:szCs w:val="24"/>
          <w:lang w:val="en-US" w:eastAsia="zh-CN" w:bidi="ar-SA"/>
        </w:rPr>
        <w:t>⑤</w:t>
      </w:r>
      <w:r>
        <w:rPr>
          <w:rFonts w:hint="eastAsia" w:ascii="宋体" w:hAnsi="宋体" w:cs="宋体"/>
          <w:kern w:val="2"/>
          <w:sz w:val="24"/>
          <w:szCs w:val="24"/>
          <w:lang w:val="en-US" w:eastAsia="zh-CN" w:bidi="ar-SA"/>
        </w:rPr>
        <w:t>电动叉车废弃电瓶；</w:t>
      </w:r>
      <w:r>
        <w:rPr>
          <w:rFonts w:hint="eastAsia" w:ascii="宋体" w:hAnsi="宋体" w:eastAsia="宋体" w:cs="宋体"/>
          <w:kern w:val="2"/>
          <w:sz w:val="24"/>
          <w:szCs w:val="24"/>
          <w:lang w:val="en-US" w:eastAsia="zh-CN" w:bidi="ar-SA"/>
        </w:rPr>
        <w:t>⑥</w:t>
      </w:r>
      <w:r>
        <w:rPr>
          <w:rFonts w:ascii="Times New Roman" w:hAnsi="Times New Roman" w:eastAsia="宋体" w:cs="宋体"/>
          <w:kern w:val="2"/>
          <w:sz w:val="24"/>
          <w:szCs w:val="24"/>
          <w:lang w:val="en-US" w:eastAsia="zh-CN" w:bidi="ar-SA"/>
        </w:rPr>
        <w:t>生活垃圾</w:t>
      </w:r>
      <w:bookmarkEnd w:id="368"/>
      <w:r>
        <w:rPr>
          <w:rFonts w:ascii="Times New Roman" w:hAnsi="Times New Roman" w:eastAsia="宋体" w:cs="宋体"/>
          <w:kern w:val="2"/>
          <w:sz w:val="24"/>
          <w:szCs w:val="24"/>
          <w:lang w:val="en-US" w:eastAsia="zh-CN" w:bidi="ar-SA"/>
        </w:rPr>
        <w:t>。</w:t>
      </w:r>
    </w:p>
    <w:p>
      <w:pPr>
        <w:numPr>
          <w:ilvl w:val="0"/>
          <w:numId w:val="0"/>
        </w:numPr>
        <w:ind w:leftChars="0"/>
      </w:pPr>
      <w:r>
        <w:rPr>
          <w:rFonts w:hint="eastAsia"/>
        </w:rPr>
        <w:t>（3）</w:t>
      </w:r>
      <w:r>
        <w:t>评价因子</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根据工程分析，结合环境影响因素的识别，确定本次评价工作的评价因子如</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_Ref8690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2</w:t>
      </w:r>
      <w:r>
        <w:rPr>
          <w:rFonts w:hint="default"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所示。通过项目运营期产生的污染源和影响分析，根据项目所在地的环境特征和环保目标与功能等级及敏感程度，并参照环境影响识别结果，筛选出评价因子</w:t>
      </w:r>
      <w:r>
        <w:rPr>
          <w:rFonts w:hint="eastAsia" w:ascii="Times New Roman" w:hAnsi="Times New Roman" w:eastAsia="宋体" w:cs="宋体"/>
          <w:kern w:val="2"/>
          <w:sz w:val="24"/>
          <w:szCs w:val="24"/>
          <w:lang w:val="en-US" w:eastAsia="zh-CN" w:bidi="ar-SA"/>
        </w:rPr>
        <w:t>。</w:t>
      </w:r>
    </w:p>
    <w:p>
      <w:pPr>
        <w:widowControl w:val="0"/>
        <w:bidi w:val="0"/>
        <w:spacing w:line="360" w:lineRule="auto"/>
        <w:ind w:firstLine="0" w:firstLineChars="0"/>
        <w:jc w:val="center"/>
        <w:rPr>
          <w:rFonts w:ascii="Times New Roman" w:hAnsi="Times New Roman" w:eastAsia="宋体" w:cs="Times New Roman"/>
          <w:b/>
          <w:bCs/>
          <w:kern w:val="2"/>
          <w:sz w:val="21"/>
          <w:szCs w:val="21"/>
          <w:lang w:val="en-US" w:eastAsia="zh-CN" w:bidi="ar-SA"/>
        </w:rPr>
      </w:pPr>
      <w:bookmarkStart w:id="369" w:name="_Ref8690"/>
      <w:r>
        <w:rPr>
          <w:rFonts w:ascii="Times New Roman" w:hAnsi="Times New Roman" w:eastAsia="宋体" w:cs="Times New Roman"/>
          <w:b/>
          <w:bCs/>
          <w:kern w:val="2"/>
          <w:sz w:val="21"/>
          <w:szCs w:val="21"/>
          <w:lang w:val="en-US" w:eastAsia="zh-CN" w:bidi="ar-SA"/>
        </w:rPr>
        <w:t xml:space="preserve">表 </w:t>
      </w:r>
      <w:r>
        <w:rPr>
          <w:rFonts w:ascii="Times New Roman" w:hAnsi="Times New Roman" w:eastAsia="宋体" w:cs="Times New Roman"/>
          <w:b/>
          <w:bCs/>
          <w:kern w:val="2"/>
          <w:sz w:val="21"/>
          <w:szCs w:val="21"/>
          <w:lang w:val="en-US" w:eastAsia="zh-CN" w:bidi="ar-SA"/>
        </w:rPr>
        <w:fldChar w:fldCharType="begin"/>
      </w:r>
      <w:r>
        <w:rPr>
          <w:rFonts w:ascii="Times New Roman" w:hAnsi="Times New Roman" w:eastAsia="宋体" w:cs="Times New Roman"/>
          <w:b/>
          <w:bCs/>
          <w:kern w:val="2"/>
          <w:sz w:val="21"/>
          <w:szCs w:val="21"/>
          <w:lang w:val="en-US" w:eastAsia="zh-CN" w:bidi="ar-SA"/>
        </w:rPr>
        <w:instrText xml:space="preserve"> STYLEREF 1 \s </w:instrText>
      </w:r>
      <w:r>
        <w:rPr>
          <w:rFonts w:ascii="Times New Roman" w:hAnsi="Times New Roman" w:eastAsia="宋体" w:cs="Times New Roman"/>
          <w:b/>
          <w:bCs/>
          <w:kern w:val="2"/>
          <w:sz w:val="21"/>
          <w:szCs w:val="21"/>
          <w:lang w:val="en-US" w:eastAsia="zh-CN" w:bidi="ar-SA"/>
        </w:rPr>
        <w:fldChar w:fldCharType="separate"/>
      </w:r>
      <w:r>
        <w:rPr>
          <w:rFonts w:ascii="Times New Roman" w:hAnsi="Times New Roman" w:eastAsia="宋体" w:cs="Times New Roman"/>
          <w:b/>
          <w:bCs/>
          <w:kern w:val="2"/>
          <w:sz w:val="21"/>
          <w:szCs w:val="21"/>
          <w:lang w:val="en-US" w:eastAsia="zh-CN" w:bidi="ar-SA"/>
        </w:rPr>
        <w:t>2</w:t>
      </w:r>
      <w:r>
        <w:rPr>
          <w:rFonts w:ascii="Times New Roman" w:hAnsi="Times New Roman" w:eastAsia="宋体" w:cs="Times New Roman"/>
          <w:b/>
          <w:bCs/>
          <w:kern w:val="2"/>
          <w:sz w:val="21"/>
          <w:szCs w:val="21"/>
          <w:lang w:val="en-US" w:eastAsia="zh-CN" w:bidi="ar-SA"/>
        </w:rPr>
        <w:fldChar w:fldCharType="end"/>
      </w:r>
      <w:r>
        <w:rPr>
          <w:rFonts w:hint="eastAsia" w:ascii="Times New Roman" w:hAnsi="Times New Roman" w:eastAsia="宋体" w:cs="Times New Roman"/>
          <w:b/>
          <w:bCs/>
          <w:kern w:val="2"/>
          <w:sz w:val="21"/>
          <w:szCs w:val="21"/>
          <w:lang w:val="en-US" w:eastAsia="zh-CN" w:bidi="ar-SA"/>
        </w:rPr>
        <w:t>-</w:t>
      </w:r>
      <w:r>
        <w:rPr>
          <w:rFonts w:ascii="Times New Roman" w:hAnsi="Times New Roman" w:eastAsia="宋体" w:cs="Times New Roman"/>
          <w:b/>
          <w:bCs/>
          <w:kern w:val="2"/>
          <w:sz w:val="21"/>
          <w:szCs w:val="21"/>
          <w:lang w:val="en-US" w:eastAsia="zh-CN" w:bidi="ar-SA"/>
        </w:rPr>
        <w:fldChar w:fldCharType="begin"/>
      </w:r>
      <w:r>
        <w:rPr>
          <w:rFonts w:ascii="Times New Roman" w:hAnsi="Times New Roman" w:eastAsia="宋体" w:cs="Times New Roman"/>
          <w:b/>
          <w:bCs/>
          <w:kern w:val="2"/>
          <w:sz w:val="21"/>
          <w:szCs w:val="21"/>
          <w:lang w:val="en-US" w:eastAsia="zh-CN" w:bidi="ar-SA"/>
        </w:rPr>
        <w:instrText xml:space="preserve"> SEQ 表 \* ARABIC \s 1 </w:instrText>
      </w:r>
      <w:r>
        <w:rPr>
          <w:rFonts w:ascii="Times New Roman" w:hAnsi="Times New Roman" w:eastAsia="宋体" w:cs="Times New Roman"/>
          <w:b/>
          <w:bCs/>
          <w:kern w:val="2"/>
          <w:sz w:val="21"/>
          <w:szCs w:val="21"/>
          <w:lang w:val="en-US" w:eastAsia="zh-CN" w:bidi="ar-SA"/>
        </w:rPr>
        <w:fldChar w:fldCharType="separate"/>
      </w:r>
      <w:r>
        <w:rPr>
          <w:rFonts w:ascii="Times New Roman" w:hAnsi="Times New Roman" w:eastAsia="宋体" w:cs="Times New Roman"/>
          <w:b/>
          <w:bCs/>
          <w:kern w:val="2"/>
          <w:sz w:val="21"/>
          <w:szCs w:val="21"/>
          <w:lang w:val="en-US" w:eastAsia="zh-CN" w:bidi="ar-SA"/>
        </w:rPr>
        <w:t>2</w:t>
      </w:r>
      <w:r>
        <w:rPr>
          <w:rFonts w:ascii="Times New Roman" w:hAnsi="Times New Roman" w:eastAsia="宋体" w:cs="Times New Roman"/>
          <w:b/>
          <w:bCs/>
          <w:kern w:val="2"/>
          <w:sz w:val="21"/>
          <w:szCs w:val="21"/>
          <w:lang w:val="en-US" w:eastAsia="zh-CN" w:bidi="ar-SA"/>
        </w:rPr>
        <w:fldChar w:fldCharType="end"/>
      </w:r>
      <w:bookmarkEnd w:id="369"/>
      <w:r>
        <w:rPr>
          <w:rFonts w:ascii="Times New Roman" w:hAnsi="Times New Roman" w:eastAsia="宋体" w:cs="Times New Roman"/>
          <w:b/>
          <w:bCs/>
          <w:kern w:val="2"/>
          <w:sz w:val="21"/>
          <w:szCs w:val="21"/>
          <w:lang w:val="en-US" w:eastAsia="zh-CN" w:bidi="ar-SA"/>
        </w:rPr>
        <w:t>评价因子筛选</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67"/>
        <w:gridCol w:w="67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1767" w:type="dxa"/>
            <w:tcBorders>
              <w:top w:val="single" w:color="auto" w:sz="12" w:space="0"/>
              <w:left w:val="single" w:color="auto" w:sz="12" w:space="0"/>
              <w:bottom w:val="single" w:color="auto" w:sz="6" w:space="0"/>
              <w:right w:val="single" w:color="auto" w:sz="6" w:space="0"/>
            </w:tcBorders>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评价要素</w:t>
            </w:r>
          </w:p>
        </w:tc>
        <w:tc>
          <w:tcPr>
            <w:tcW w:w="6737" w:type="dxa"/>
            <w:tcBorders>
              <w:top w:val="single" w:color="auto" w:sz="12" w:space="0"/>
              <w:left w:val="single" w:color="auto" w:sz="6" w:space="0"/>
              <w:bottom w:val="single" w:color="auto" w:sz="6" w:space="0"/>
              <w:right w:val="single" w:color="auto" w:sz="12" w:space="0"/>
            </w:tcBorders>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评价因子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767" w:type="dxa"/>
            <w:vMerge w:val="restart"/>
            <w:tcBorders>
              <w:top w:val="single" w:color="auto" w:sz="6" w:space="0"/>
              <w:left w:val="single" w:color="auto" w:sz="12" w:space="0"/>
              <w:bottom w:val="single" w:color="auto" w:sz="6" w:space="0"/>
              <w:right w:val="single" w:color="auto" w:sz="6" w:space="0"/>
            </w:tcBorders>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大气环境</w:t>
            </w:r>
          </w:p>
        </w:tc>
        <w:tc>
          <w:tcPr>
            <w:tcW w:w="6737" w:type="dxa"/>
            <w:tcBorders>
              <w:top w:val="single" w:color="auto" w:sz="6" w:space="0"/>
              <w:left w:val="single" w:color="auto" w:sz="6" w:space="0"/>
              <w:bottom w:val="single" w:color="auto" w:sz="6" w:space="0"/>
              <w:right w:val="single" w:color="auto" w:sz="12" w:space="0"/>
            </w:tcBorders>
            <w:noWrap w:val="0"/>
            <w:vAlign w:val="center"/>
          </w:tcPr>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pt-BR" w:eastAsia="zh-CN" w:bidi="ar-SA"/>
              </w:rPr>
              <w:t>环境质量现状评价因子：</w:t>
            </w:r>
            <w:r>
              <w:rPr>
                <w:rFonts w:ascii="Times New Roman" w:hAnsi="Times New Roman" w:eastAsia="宋体" w:cs="Times New Roman"/>
                <w:kern w:val="2"/>
                <w:sz w:val="24"/>
                <w:szCs w:val="24"/>
                <w:lang w:val="en-US" w:eastAsia="zh-CN" w:bidi="ar-SA"/>
              </w:rPr>
              <w:t>SO</w:t>
            </w:r>
            <w:r>
              <w:rPr>
                <w:rFonts w:ascii="Times New Roman" w:hAnsi="Times New Roman" w:eastAsia="宋体" w:cs="Times New Roman"/>
                <w:kern w:val="2"/>
                <w:sz w:val="24"/>
                <w:szCs w:val="24"/>
                <w:vertAlign w:val="subscript"/>
                <w:lang w:val="en-US" w:eastAsia="zh-CN" w:bidi="ar-SA"/>
              </w:rPr>
              <w:t>2</w:t>
            </w:r>
            <w:r>
              <w:rPr>
                <w:rFonts w:ascii="Times New Roman" w:hAnsi="Times New Roman" w:eastAsia="宋体" w:cs="Times New Roman"/>
                <w:kern w:val="2"/>
                <w:sz w:val="24"/>
                <w:szCs w:val="24"/>
                <w:lang w:val="en-US" w:eastAsia="zh-CN" w:bidi="ar-SA"/>
              </w:rPr>
              <w:t>、NO</w:t>
            </w:r>
            <w:r>
              <w:rPr>
                <w:rFonts w:ascii="Times New Roman" w:hAnsi="Times New Roman" w:eastAsia="宋体" w:cs="Times New Roman"/>
                <w:kern w:val="2"/>
                <w:sz w:val="24"/>
                <w:szCs w:val="24"/>
                <w:vertAlign w:val="subscript"/>
                <w:lang w:val="en-US" w:eastAsia="zh-CN" w:bidi="ar-SA"/>
              </w:rPr>
              <w:t>2</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PM</w:t>
            </w:r>
            <w:r>
              <w:rPr>
                <w:rFonts w:ascii="Times New Roman" w:hAnsi="Times New Roman" w:eastAsia="宋体" w:cs="Times New Roman"/>
                <w:kern w:val="2"/>
                <w:sz w:val="24"/>
                <w:szCs w:val="24"/>
                <w:vertAlign w:val="subscript"/>
                <w:lang w:val="en-US" w:eastAsia="zh-CN" w:bidi="ar-SA"/>
              </w:rPr>
              <w:t>10</w:t>
            </w:r>
            <w:r>
              <w:rPr>
                <w:rFonts w:hint="eastAsia" w:ascii="Times New Roman" w:hAnsi="Times New Roman" w:eastAsia="宋体" w:cs="Times New Roman"/>
                <w:kern w:val="2"/>
                <w:sz w:val="24"/>
                <w:szCs w:val="24"/>
                <w:lang w:val="en-US" w:eastAsia="zh-CN" w:bidi="ar-SA"/>
              </w:rPr>
              <w:t>、CO、</w:t>
            </w:r>
            <w:r>
              <w:rPr>
                <w:rFonts w:ascii="Times New Roman" w:hAnsi="Times New Roman" w:eastAsia="宋体" w:cs="Times New Roman"/>
                <w:kern w:val="2"/>
                <w:sz w:val="24"/>
                <w:szCs w:val="24"/>
                <w:lang w:val="en-US" w:eastAsia="zh-CN" w:bidi="ar-SA"/>
              </w:rPr>
              <w:t>O</w:t>
            </w:r>
            <w:r>
              <w:rPr>
                <w:rFonts w:hint="eastAsia" w:ascii="Times New Roman" w:hAnsi="Times New Roman" w:eastAsia="宋体" w:cs="Times New Roman"/>
                <w:kern w:val="2"/>
                <w:sz w:val="24"/>
                <w:szCs w:val="24"/>
                <w:vertAlign w:val="subscript"/>
                <w:lang w:val="en-US" w:eastAsia="zh-CN" w:bidi="ar-SA"/>
              </w:rPr>
              <w:t>3</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PM</w:t>
            </w:r>
            <w:r>
              <w:rPr>
                <w:rFonts w:hint="eastAsia" w:ascii="Times New Roman" w:hAnsi="Times New Roman" w:eastAsia="宋体" w:cs="Times New Roman"/>
                <w:kern w:val="2"/>
                <w:sz w:val="24"/>
                <w:szCs w:val="24"/>
                <w:vertAlign w:val="subscript"/>
                <w:lang w:val="en-US" w:eastAsia="zh-CN" w:bidi="ar-SA"/>
              </w:rPr>
              <w:t>2.5</w:t>
            </w:r>
            <w:r>
              <w:rPr>
                <w:rFonts w:ascii="Times New Roman" w:hAnsi="Times New Roman" w:eastAsia="宋体" w:cs="Times New Roman"/>
                <w:kern w:val="2"/>
                <w:sz w:val="24"/>
                <w:szCs w:val="24"/>
                <w:lang w:val="en-US" w:eastAsia="zh-CN" w:bidi="ar-SA"/>
              </w:rPr>
              <w:t>、</w:t>
            </w:r>
            <w:r>
              <w:rPr>
                <w:rFonts w:hint="eastAsia" w:cs="Times New Roman"/>
                <w:kern w:val="2"/>
                <w:sz w:val="24"/>
                <w:szCs w:val="24"/>
                <w:lang w:val="en-US" w:eastAsia="zh-CN" w:bidi="ar-SA"/>
              </w:rPr>
              <w:t>VOCs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7"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6737" w:type="dxa"/>
            <w:tcBorders>
              <w:top w:val="single" w:color="auto" w:sz="6" w:space="0"/>
              <w:left w:val="single" w:color="auto" w:sz="6" w:space="0"/>
              <w:bottom w:val="single" w:color="auto" w:sz="6" w:space="0"/>
              <w:right w:val="single" w:color="auto" w:sz="12" w:space="0"/>
            </w:tcBorders>
            <w:noWrap w:val="0"/>
            <w:vAlign w:val="center"/>
          </w:tcPr>
          <w:p>
            <w:pPr>
              <w:widowControl w:val="0"/>
              <w:bidi w:val="0"/>
              <w:adjustRightInd w:val="0"/>
              <w:snapToGrid w:val="0"/>
              <w:spacing w:line="240" w:lineRule="auto"/>
              <w:jc w:val="left"/>
              <w:rPr>
                <w:rFonts w:hint="default" w:ascii="Times New Roman" w:hAnsi="Times New Roman" w:eastAsia="宋体" w:cs="Times New Roman"/>
                <w:kern w:val="2"/>
                <w:sz w:val="24"/>
                <w:szCs w:val="24"/>
                <w:highlight w:val="yellow"/>
                <w:lang w:val="en-US" w:eastAsia="zh-CN" w:bidi="ar-SA"/>
              </w:rPr>
            </w:pPr>
            <w:r>
              <w:rPr>
                <w:rFonts w:ascii="Times New Roman" w:hAnsi="Times New Roman" w:eastAsia="宋体" w:cs="Times New Roman"/>
                <w:kern w:val="2"/>
                <w:sz w:val="24"/>
                <w:szCs w:val="24"/>
                <w:highlight w:val="none"/>
                <w:lang w:val="pt-BR" w:eastAsia="zh-CN" w:bidi="ar-SA"/>
              </w:rPr>
              <w:t>影响预测因子：</w:t>
            </w:r>
            <w:r>
              <w:rPr>
                <w:rFonts w:hint="eastAsia" w:cs="Times New Roman"/>
                <w:kern w:val="2"/>
                <w:sz w:val="24"/>
                <w:szCs w:val="24"/>
                <w:highlight w:val="none"/>
                <w:lang w:val="en-US" w:eastAsia="zh-CN" w:bidi="ar-SA"/>
              </w:rPr>
              <w:t>VOCs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767" w:type="dxa"/>
            <w:vMerge w:val="restart"/>
            <w:tcBorders>
              <w:top w:val="single" w:color="auto" w:sz="6" w:space="0"/>
              <w:left w:val="single" w:color="auto" w:sz="12" w:space="0"/>
              <w:bottom w:val="single" w:color="auto" w:sz="6" w:space="0"/>
              <w:right w:val="single" w:color="auto" w:sz="6" w:space="0"/>
            </w:tcBorders>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地表水环境</w:t>
            </w:r>
          </w:p>
        </w:tc>
        <w:tc>
          <w:tcPr>
            <w:tcW w:w="6737" w:type="dxa"/>
            <w:tcBorders>
              <w:top w:val="single" w:color="auto" w:sz="6" w:space="0"/>
              <w:left w:val="single" w:color="auto" w:sz="6" w:space="0"/>
              <w:bottom w:val="single" w:color="auto" w:sz="6" w:space="0"/>
              <w:right w:val="single" w:color="auto" w:sz="12" w:space="0"/>
            </w:tcBorders>
            <w:noWrap w:val="0"/>
            <w:vAlign w:val="center"/>
          </w:tcPr>
          <w:p>
            <w:pPr>
              <w:widowControl w:val="0"/>
              <w:bidi w:val="0"/>
              <w:adjustRightInd w:val="0"/>
              <w:snapToGrid w:val="0"/>
              <w:spacing w:line="240" w:lineRule="auto"/>
              <w:jc w:val="left"/>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pt-BR" w:eastAsia="zh-CN" w:bidi="ar-SA"/>
              </w:rPr>
              <w:t>环境质量现状评价因子：</w:t>
            </w:r>
            <w:r>
              <w:rPr>
                <w:rFonts w:ascii="Times New Roman" w:hAnsi="Times New Roman" w:eastAsia="宋体" w:cs="Times New Roman"/>
                <w:kern w:val="2"/>
                <w:sz w:val="24"/>
                <w:szCs w:val="24"/>
                <w:lang w:val="en-US" w:eastAsia="zh-CN" w:bidi="ar-SA"/>
              </w:rPr>
              <w:t>pH、</w:t>
            </w:r>
            <w:r>
              <w:rPr>
                <w:rFonts w:hint="eastAsia" w:ascii="Times New Roman" w:hAnsi="Times New Roman" w:eastAsia="宋体" w:cs="Times New Roman"/>
                <w:kern w:val="2"/>
                <w:sz w:val="24"/>
                <w:szCs w:val="24"/>
                <w:lang w:val="en-US" w:eastAsia="zh-CN" w:bidi="ar-SA"/>
              </w:rPr>
              <w:t>DO、</w:t>
            </w:r>
            <w:r>
              <w:rPr>
                <w:rFonts w:ascii="Times New Roman" w:hAnsi="Times New Roman" w:eastAsia="宋体" w:cs="Times New Roman"/>
                <w:kern w:val="2"/>
                <w:sz w:val="24"/>
                <w:szCs w:val="24"/>
                <w:lang w:val="en-US" w:eastAsia="zh-CN" w:bidi="ar-SA"/>
              </w:rPr>
              <w:t>COD</w:t>
            </w:r>
            <w:r>
              <w:rPr>
                <w:rFonts w:hint="eastAsia" w:ascii="Times New Roman" w:hAnsi="Times New Roman" w:eastAsia="宋体" w:cs="Times New Roman"/>
                <w:kern w:val="2"/>
                <w:sz w:val="24"/>
                <w:szCs w:val="24"/>
                <w:vertAlign w:val="subscript"/>
                <w:lang w:val="en-US" w:eastAsia="zh-CN" w:bidi="ar-SA"/>
              </w:rPr>
              <w:t>cr</w:t>
            </w:r>
            <w:r>
              <w:rPr>
                <w:rFonts w:ascii="Times New Roman" w:hAnsi="Times New Roman" w:eastAsia="宋体" w:cs="Times New Roman"/>
                <w:kern w:val="2"/>
                <w:sz w:val="24"/>
                <w:szCs w:val="24"/>
                <w:lang w:val="en-US" w:eastAsia="zh-CN" w:bidi="ar-SA"/>
              </w:rPr>
              <w:t>、BOD</w:t>
            </w:r>
            <w:r>
              <w:rPr>
                <w:rFonts w:ascii="Times New Roman" w:hAnsi="Times New Roman" w:eastAsia="宋体" w:cs="Times New Roman"/>
                <w:kern w:val="2"/>
                <w:sz w:val="24"/>
                <w:szCs w:val="24"/>
                <w:vertAlign w:val="subscript"/>
                <w:lang w:val="en-US" w:eastAsia="zh-CN" w:bidi="ar-SA"/>
              </w:rPr>
              <w:t>5</w:t>
            </w:r>
            <w:r>
              <w:rPr>
                <w:rFonts w:ascii="Times New Roman" w:hAnsi="Times New Roman" w:eastAsia="宋体" w:cs="Times New Roman"/>
                <w:kern w:val="2"/>
                <w:sz w:val="24"/>
                <w:szCs w:val="24"/>
                <w:lang w:val="en-US" w:eastAsia="zh-CN" w:bidi="ar-SA"/>
              </w:rPr>
              <w:t>、氨氮</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总磷、石油类</w:t>
            </w:r>
            <w:r>
              <w:rPr>
                <w:rFonts w:hint="eastAsia" w:ascii="Times New Roman" w:hAnsi="Times New Roman" w:eastAsia="宋体" w:cs="Times New Roman"/>
                <w:kern w:val="2"/>
                <w:sz w:val="24"/>
                <w:szCs w:val="24"/>
                <w:lang w:val="en-US" w:eastAsia="zh-CN" w:bidi="ar-SA"/>
              </w:rPr>
              <w:t>、粪大肠菌群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7"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6737" w:type="dxa"/>
            <w:tcBorders>
              <w:top w:val="single" w:color="auto" w:sz="6" w:space="0"/>
              <w:left w:val="single" w:color="auto" w:sz="6" w:space="0"/>
              <w:bottom w:val="single" w:color="auto" w:sz="6" w:space="0"/>
              <w:right w:val="single" w:color="auto" w:sz="12" w:space="0"/>
            </w:tcBorders>
            <w:noWrap w:val="0"/>
            <w:vAlign w:val="center"/>
          </w:tcPr>
          <w:p>
            <w:pPr>
              <w:widowControl w:val="0"/>
              <w:bidi w:val="0"/>
              <w:adjustRightInd w:val="0"/>
              <w:snapToGrid w:val="0"/>
              <w:spacing w:line="240" w:lineRule="auto"/>
              <w:jc w:val="left"/>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pt-BR" w:eastAsia="zh-CN" w:bidi="ar-SA"/>
              </w:rPr>
              <w:t>影响预测因子：</w:t>
            </w:r>
            <w:r>
              <w:rPr>
                <w:rFonts w:hint="eastAsia" w:ascii="Times New Roman" w:hAnsi="Times New Roman" w:eastAsia="宋体" w:cs="Times New Roman"/>
                <w:kern w:val="2"/>
                <w:sz w:val="24"/>
                <w:szCs w:val="24"/>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767" w:type="dxa"/>
            <w:tcBorders>
              <w:top w:val="single" w:color="auto" w:sz="6" w:space="0"/>
              <w:left w:val="single" w:color="auto" w:sz="12" w:space="0"/>
              <w:bottom w:val="single" w:color="auto" w:sz="6" w:space="0"/>
              <w:right w:val="single" w:color="auto" w:sz="6" w:space="0"/>
            </w:tcBorders>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地下水环境</w:t>
            </w:r>
          </w:p>
        </w:tc>
        <w:tc>
          <w:tcPr>
            <w:tcW w:w="6737" w:type="dxa"/>
            <w:tcBorders>
              <w:top w:val="single" w:color="auto" w:sz="6" w:space="0"/>
              <w:left w:val="single" w:color="auto" w:sz="6" w:space="0"/>
              <w:bottom w:val="single" w:color="auto" w:sz="6" w:space="0"/>
              <w:right w:val="single" w:color="auto" w:sz="12" w:space="0"/>
            </w:tcBorders>
            <w:noWrap w:val="0"/>
            <w:vAlign w:val="center"/>
          </w:tcPr>
          <w:p>
            <w:pPr>
              <w:widowControl w:val="0"/>
              <w:bidi w:val="0"/>
              <w:adjustRightInd w:val="0"/>
              <w:snapToGrid w:val="0"/>
              <w:spacing w:line="240" w:lineRule="auto"/>
              <w:jc w:val="left"/>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pt-BR" w:eastAsia="zh-CN" w:bidi="ar-SA"/>
              </w:rPr>
              <w:t>环境质量现状评价因子：</w:t>
            </w:r>
            <w:r>
              <w:rPr>
                <w:rFonts w:ascii="Times New Roman" w:hAnsi="Times New Roman" w:eastAsia="宋体" w:cs="Times New Roman"/>
                <w:kern w:val="2"/>
                <w:sz w:val="24"/>
                <w:szCs w:val="24"/>
                <w:lang w:val="en-US" w:eastAsia="zh-CN" w:bidi="ar-SA"/>
              </w:rPr>
              <w:t>pH、</w:t>
            </w:r>
            <w:r>
              <w:rPr>
                <w:rFonts w:hint="eastAsia" w:ascii="Times New Roman" w:hAnsi="Times New Roman" w:eastAsia="宋体" w:cs="Times New Roman"/>
                <w:kern w:val="2"/>
                <w:sz w:val="24"/>
                <w:szCs w:val="24"/>
                <w:lang w:val="en-US" w:eastAsia="zh-CN" w:bidi="ar-SA"/>
              </w:rPr>
              <w:t>铜、铅、锌、镉、砷、汞、六价铬、COD</w:t>
            </w:r>
            <w:r>
              <w:rPr>
                <w:rFonts w:hint="eastAsia" w:ascii="Times New Roman" w:hAnsi="Times New Roman" w:eastAsia="宋体" w:cs="Times New Roman"/>
                <w:kern w:val="2"/>
                <w:sz w:val="24"/>
                <w:szCs w:val="24"/>
                <w:vertAlign w:val="subscript"/>
                <w:lang w:val="en-US" w:eastAsia="zh-CN" w:bidi="ar-SA"/>
              </w:rPr>
              <w:t>M</w:t>
            </w:r>
            <w:r>
              <w:rPr>
                <w:rFonts w:hint="eastAsia" w:ascii="Times New Roman" w:hAnsi="Times New Roman" w:eastAsia="宋体" w:cs="Times New Roman"/>
                <w:kern w:val="2"/>
                <w:sz w:val="24"/>
                <w:szCs w:val="24"/>
                <w:lang w:val="en-US" w:eastAsia="zh-CN" w:bidi="ar-SA"/>
              </w:rPr>
              <w:t>n、</w:t>
            </w:r>
            <w:r>
              <w:rPr>
                <w:rFonts w:ascii="Times New Roman" w:hAnsi="Times New Roman" w:eastAsia="宋体" w:cs="Times New Roman"/>
                <w:kern w:val="2"/>
                <w:sz w:val="24"/>
                <w:szCs w:val="24"/>
                <w:lang w:val="en-US" w:eastAsia="zh-CN" w:bidi="ar-SA"/>
              </w:rPr>
              <w:t>氨氮</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总大肠菌</w:t>
            </w:r>
            <w:r>
              <w:rPr>
                <w:rFonts w:hint="eastAsia" w:ascii="Times New Roman" w:hAnsi="Times New Roman" w:eastAsia="宋体" w:cs="Times New Roman"/>
                <w:kern w:val="2"/>
                <w:sz w:val="24"/>
                <w:szCs w:val="24"/>
                <w:lang w:val="en-US" w:eastAsia="zh-CN" w:bidi="ar-SA"/>
              </w:rPr>
              <w:t>群</w:t>
            </w:r>
            <w:r>
              <w:rPr>
                <w:rFonts w:ascii="Times New Roman" w:hAnsi="Times New Roman" w:eastAsia="宋体" w:cs="Times New Roman"/>
                <w:kern w:val="2"/>
                <w:sz w:val="24"/>
                <w:szCs w:val="24"/>
                <w:lang w:val="en-US" w:eastAsia="zh-CN" w:bidi="ar-SA"/>
              </w:rPr>
              <w:t>、氯化物、</w:t>
            </w:r>
            <w:r>
              <w:rPr>
                <w:rFonts w:hint="eastAsia" w:ascii="Times New Roman" w:hAnsi="Times New Roman" w:eastAsia="宋体" w:cs="Times New Roman"/>
                <w:kern w:val="2"/>
                <w:sz w:val="24"/>
                <w:szCs w:val="24"/>
                <w:lang w:val="en-US" w:eastAsia="zh-CN" w:bidi="ar-SA"/>
              </w:rPr>
              <w:t>亚硝酸盐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7" w:type="dxa"/>
            <w:vMerge w:val="restart"/>
            <w:tcBorders>
              <w:top w:val="single" w:color="auto" w:sz="6" w:space="0"/>
              <w:left w:val="single" w:color="auto" w:sz="12" w:space="0"/>
              <w:bottom w:val="single" w:color="auto" w:sz="6" w:space="0"/>
              <w:right w:val="single" w:color="auto" w:sz="6" w:space="0"/>
            </w:tcBorders>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声环境</w:t>
            </w:r>
          </w:p>
        </w:tc>
        <w:tc>
          <w:tcPr>
            <w:tcW w:w="6737" w:type="dxa"/>
            <w:tcBorders>
              <w:top w:val="single" w:color="auto" w:sz="6" w:space="0"/>
              <w:left w:val="single" w:color="auto" w:sz="6" w:space="0"/>
              <w:bottom w:val="single" w:color="auto" w:sz="6" w:space="0"/>
              <w:right w:val="single" w:color="auto" w:sz="12" w:space="0"/>
            </w:tcBorders>
            <w:noWrap w:val="0"/>
            <w:vAlign w:val="center"/>
          </w:tcPr>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pt-BR" w:eastAsia="zh-CN" w:bidi="ar-SA"/>
              </w:rPr>
              <w:t>环境质量</w:t>
            </w:r>
            <w:r>
              <w:rPr>
                <w:rFonts w:ascii="Times New Roman" w:hAnsi="Times New Roman" w:eastAsia="宋体" w:cs="Times New Roman"/>
                <w:kern w:val="2"/>
                <w:sz w:val="24"/>
                <w:szCs w:val="24"/>
                <w:lang w:val="en-US" w:eastAsia="zh-CN" w:bidi="ar-SA"/>
              </w:rPr>
              <w:t>现状评价因子：等效连续A声级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7"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6737" w:type="dxa"/>
            <w:tcBorders>
              <w:top w:val="single" w:color="auto" w:sz="6" w:space="0"/>
              <w:left w:val="single" w:color="auto" w:sz="6" w:space="0"/>
              <w:bottom w:val="single" w:color="auto" w:sz="6" w:space="0"/>
              <w:right w:val="single" w:color="auto" w:sz="12" w:space="0"/>
            </w:tcBorders>
            <w:noWrap w:val="0"/>
            <w:vAlign w:val="center"/>
          </w:tcPr>
          <w:p>
            <w:pPr>
              <w:widowControl w:val="0"/>
              <w:bidi w:val="0"/>
              <w:adjustRightInd w:val="0"/>
              <w:snapToGrid w:val="0"/>
              <w:spacing w:line="240" w:lineRule="auto"/>
              <w:jc w:val="left"/>
              <w:rPr>
                <w:rFonts w:ascii="Times New Roman" w:hAnsi="Times New Roman" w:eastAsia="宋体" w:cs="Times New Roman"/>
                <w:kern w:val="2"/>
                <w:sz w:val="24"/>
                <w:szCs w:val="24"/>
                <w:lang w:val="pt-BR" w:eastAsia="zh-CN" w:bidi="ar-SA"/>
              </w:rPr>
            </w:pPr>
            <w:r>
              <w:rPr>
                <w:rFonts w:ascii="Times New Roman" w:hAnsi="Times New Roman" w:eastAsia="宋体" w:cs="Times New Roman"/>
                <w:kern w:val="2"/>
                <w:sz w:val="24"/>
                <w:szCs w:val="24"/>
                <w:lang w:val="pt-BR" w:eastAsia="zh-CN" w:bidi="ar-SA"/>
              </w:rPr>
              <w:t>影响预测因子：</w:t>
            </w:r>
            <w:r>
              <w:rPr>
                <w:rFonts w:ascii="Times New Roman" w:hAnsi="Times New Roman" w:eastAsia="宋体" w:cs="Times New Roman"/>
                <w:kern w:val="2"/>
                <w:sz w:val="24"/>
                <w:szCs w:val="24"/>
                <w:lang w:val="en-US" w:eastAsia="zh-CN" w:bidi="ar-SA"/>
              </w:rPr>
              <w:t>等效连续A声级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767" w:type="dxa"/>
            <w:tcBorders>
              <w:top w:val="single" w:color="auto" w:sz="6" w:space="0"/>
              <w:left w:val="single" w:color="auto" w:sz="12" w:space="0"/>
              <w:right w:val="single" w:color="auto" w:sz="6" w:space="0"/>
            </w:tcBorders>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土壤</w:t>
            </w:r>
          </w:p>
        </w:tc>
        <w:tc>
          <w:tcPr>
            <w:tcW w:w="6737" w:type="dxa"/>
            <w:tcBorders>
              <w:top w:val="single" w:color="auto" w:sz="6" w:space="0"/>
              <w:left w:val="single" w:color="auto" w:sz="6" w:space="0"/>
              <w:bottom w:val="single" w:color="auto" w:sz="6" w:space="0"/>
              <w:right w:val="single" w:color="auto" w:sz="12" w:space="0"/>
            </w:tcBorders>
            <w:noWrap w:val="0"/>
            <w:vAlign w:val="center"/>
          </w:tcPr>
          <w:p>
            <w:pPr>
              <w:widowControl w:val="0"/>
              <w:bidi w:val="0"/>
              <w:adjustRightInd w:val="0"/>
              <w:snapToGrid w:val="0"/>
              <w:spacing w:line="240" w:lineRule="auto"/>
              <w:jc w:val="left"/>
              <w:rPr>
                <w:rFonts w:ascii="Times New Roman" w:hAnsi="Times New Roman" w:eastAsia="宋体" w:cs="Times New Roman"/>
                <w:kern w:val="2"/>
                <w:sz w:val="24"/>
                <w:szCs w:val="24"/>
                <w:lang w:val="pt-BR" w:eastAsia="zh-CN" w:bidi="ar-SA"/>
              </w:rPr>
            </w:pPr>
            <w:r>
              <w:rPr>
                <w:rFonts w:ascii="Times New Roman" w:hAnsi="Times New Roman" w:eastAsia="宋体" w:cs="Times New Roman"/>
                <w:kern w:val="2"/>
                <w:sz w:val="24"/>
                <w:szCs w:val="24"/>
                <w:lang w:val="en-US" w:eastAsia="zh-CN" w:bidi="ar-SA"/>
              </w:rPr>
              <w:t>环境质量现状评价因子：</w:t>
            </w:r>
            <w:r>
              <w:rPr>
                <w:rFonts w:hint="eastAsia" w:ascii="Times New Roman" w:hAnsi="Times New Roman" w:eastAsia="宋体" w:cs="Times New Roman"/>
                <w:kern w:val="2"/>
                <w:sz w:val="24"/>
                <w:szCs w:val="24"/>
                <w:lang w:val="en-US" w:eastAsia="zh-CN" w:bidi="ar-SA"/>
              </w:rPr>
              <w:t>pH、镉、汞、砷、</w:t>
            </w:r>
            <w:r>
              <w:rPr>
                <w:rFonts w:hint="eastAsia" w:ascii="Times New Roman" w:hAnsi="Times New Roman" w:eastAsia="宋体" w:cs="Times New Roman"/>
                <w:kern w:val="2"/>
                <w:sz w:val="24"/>
                <w:szCs w:val="24"/>
                <w:lang w:val="en-US" w:eastAsia="zh-CN" w:bidi="ar-SA"/>
              </w:rPr>
              <w:tab/>
            </w:r>
            <w:r>
              <w:rPr>
                <w:rFonts w:hint="eastAsia" w:ascii="Times New Roman" w:hAnsi="Times New Roman" w:eastAsia="宋体" w:cs="Times New Roman"/>
                <w:kern w:val="2"/>
                <w:sz w:val="24"/>
                <w:szCs w:val="24"/>
                <w:lang w:val="en-US" w:eastAsia="zh-CN" w:bidi="ar-SA"/>
              </w:rPr>
              <w:t>铅、总铬、铜、镍、锌、六价铬</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767" w:type="dxa"/>
            <w:tcBorders>
              <w:top w:val="single" w:color="auto" w:sz="6" w:space="0"/>
              <w:left w:val="single" w:color="auto" w:sz="12" w:space="0"/>
              <w:bottom w:val="single" w:color="auto" w:sz="12" w:space="0"/>
              <w:right w:val="single" w:color="auto" w:sz="6" w:space="0"/>
            </w:tcBorders>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固体废物</w:t>
            </w:r>
          </w:p>
        </w:tc>
        <w:tc>
          <w:tcPr>
            <w:tcW w:w="6737" w:type="dxa"/>
            <w:tcBorders>
              <w:top w:val="single" w:color="auto" w:sz="6" w:space="0"/>
              <w:left w:val="single" w:color="auto" w:sz="6" w:space="0"/>
              <w:bottom w:val="single" w:color="auto" w:sz="12" w:space="0"/>
              <w:right w:val="single" w:color="auto" w:sz="12" w:space="0"/>
            </w:tcBorders>
            <w:noWrap w:val="0"/>
            <w:vAlign w:val="center"/>
          </w:tcPr>
          <w:p>
            <w:pPr>
              <w:widowControl w:val="0"/>
              <w:bidi w:val="0"/>
              <w:adjustRightInd w:val="0"/>
              <w:snapToGrid w:val="0"/>
              <w:spacing w:line="240" w:lineRule="auto"/>
              <w:jc w:val="left"/>
              <w:rPr>
                <w:rFonts w:ascii="Times New Roman" w:hAnsi="Times New Roman" w:eastAsia="宋体" w:cs="Times New Roman"/>
                <w:kern w:val="2"/>
                <w:sz w:val="24"/>
                <w:szCs w:val="24"/>
                <w:lang w:val="pt-BR" w:eastAsia="zh-CN" w:bidi="ar-SA"/>
              </w:rPr>
            </w:pPr>
            <w:r>
              <w:rPr>
                <w:rFonts w:ascii="Times New Roman" w:hAnsi="Times New Roman" w:eastAsia="宋体" w:cs="Times New Roman"/>
                <w:kern w:val="2"/>
                <w:sz w:val="24"/>
                <w:szCs w:val="24"/>
                <w:lang w:val="en-US" w:eastAsia="zh-CN" w:bidi="ar-SA"/>
              </w:rPr>
              <w:t>污染源评价因子</w:t>
            </w:r>
            <w:r>
              <w:rPr>
                <w:rFonts w:hint="eastAsia" w:ascii="Times New Roman" w:hAnsi="Times New Roman" w:eastAsia="宋体" w:cs="Times New Roman"/>
                <w:kern w:val="2"/>
                <w:sz w:val="24"/>
                <w:szCs w:val="24"/>
                <w:lang w:val="en-US" w:eastAsia="zh-CN" w:bidi="ar-SA"/>
              </w:rPr>
              <w:t>：原料桶标签纸、破损包装桶、</w:t>
            </w:r>
            <w:r>
              <w:rPr>
                <w:rFonts w:hint="eastAsia" w:cs="宋体"/>
                <w:kern w:val="2"/>
                <w:sz w:val="24"/>
                <w:szCs w:val="24"/>
                <w:lang w:val="en-US" w:eastAsia="zh-CN" w:bidi="ar-SA"/>
              </w:rPr>
              <w:t>实验室固废、</w:t>
            </w:r>
            <w:r>
              <w:rPr>
                <w:rFonts w:hint="eastAsia" w:ascii="Times New Roman" w:hAnsi="Times New Roman" w:eastAsia="宋体" w:cs="Times New Roman"/>
                <w:kern w:val="2"/>
                <w:sz w:val="24"/>
                <w:szCs w:val="24"/>
                <w:lang w:val="en-US" w:eastAsia="zh-CN" w:bidi="ar-SA"/>
              </w:rPr>
              <w:t>废活性炭、电动叉车废弃电瓶</w:t>
            </w:r>
            <w:r>
              <w:rPr>
                <w:rFonts w:hint="eastAsia"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生活垃圾</w:t>
            </w:r>
          </w:p>
        </w:tc>
      </w:tr>
    </w:tbl>
    <w:p>
      <w:pPr>
        <w:bidi w:val="0"/>
      </w:pPr>
      <w:bookmarkStart w:id="370" w:name="_Toc5304"/>
      <w:bookmarkStart w:id="371" w:name="_Toc21459"/>
      <w:bookmarkStart w:id="372" w:name="_Toc10765"/>
      <w:bookmarkStart w:id="373" w:name="_Toc18424_WPSOffice_Level3"/>
      <w:bookmarkStart w:id="374" w:name="_Toc19848_WPSOffice_Level3"/>
      <w:bookmarkStart w:id="375" w:name="_Toc8149"/>
      <w:bookmarkStart w:id="376" w:name="_Toc11421"/>
      <w:bookmarkStart w:id="377" w:name="_Toc97"/>
      <w:bookmarkStart w:id="378" w:name="_Toc18864"/>
      <w:bookmarkStart w:id="379" w:name="_Toc2713"/>
      <w:bookmarkStart w:id="380" w:name="_Toc17858"/>
      <w:bookmarkStart w:id="381" w:name="_Toc29944"/>
      <w:bookmarkStart w:id="382" w:name="_Toc6950"/>
      <w:bookmarkStart w:id="383" w:name="_Toc22923"/>
      <w:bookmarkStart w:id="384" w:name="_Toc20593"/>
      <w:bookmarkStart w:id="385" w:name="_Toc32689"/>
    </w:p>
    <w:p>
      <w:pPr>
        <w:pStyle w:val="4"/>
        <w:bidi w:val="0"/>
        <w:rPr>
          <w:lang w:val="en-US" w:eastAsia="zh-CN"/>
        </w:rPr>
      </w:pPr>
      <w:bookmarkStart w:id="386" w:name="_Toc31648"/>
      <w:bookmarkStart w:id="387" w:name="_Toc8795"/>
      <w:r>
        <w:rPr>
          <w:lang w:val="en-US" w:eastAsia="zh-CN"/>
        </w:rPr>
        <w:t>环境功能区划</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6"/>
      <w:bookmarkEnd w:id="387"/>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根据项目区域功能调查和</w:t>
      </w:r>
      <w:r>
        <w:rPr>
          <w:rFonts w:hint="eastAsia" w:ascii="Times New Roman" w:hAnsi="Times New Roman" w:eastAsia="宋体" w:cs="宋体"/>
          <w:kern w:val="2"/>
          <w:sz w:val="24"/>
          <w:szCs w:val="24"/>
          <w:lang w:val="en-US" w:eastAsia="zh-CN" w:bidi="ar-SA"/>
        </w:rPr>
        <w:t>湘阴县环境保护局</w:t>
      </w:r>
      <w:r>
        <w:rPr>
          <w:rFonts w:ascii="Times New Roman" w:hAnsi="Times New Roman" w:eastAsia="宋体" w:cs="宋体"/>
          <w:kern w:val="2"/>
          <w:sz w:val="24"/>
          <w:szCs w:val="24"/>
          <w:lang w:val="en-US" w:eastAsia="zh-CN" w:bidi="ar-SA"/>
        </w:rPr>
        <w:t>对本项目执行标准的批复，本项目环境功能区划如下。</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（1）环境空气功能区划</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项目所在区域环境空气质量执行《环境空气质量标准》（GB3095-2012）二类区标准。</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（2）地表水功能区划</w:t>
      </w:r>
    </w:p>
    <w:p>
      <w:pPr>
        <w:widowControl w:val="0"/>
        <w:bidi w:val="0"/>
        <w:spacing w:line="360" w:lineRule="auto"/>
        <w:ind w:firstLine="480" w:firstLineChars="200"/>
        <w:jc w:val="left"/>
        <w:rPr>
          <w:rFonts w:ascii="Times New Roman" w:hAnsi="Times New Roman" w:eastAsia="宋体" w:cs="宋体"/>
          <w:kern w:val="2"/>
          <w:sz w:val="24"/>
          <w:szCs w:val="24"/>
          <w:highlight w:val="yellow"/>
          <w:lang w:val="en-US" w:eastAsia="zh-CN" w:bidi="ar-SA"/>
        </w:rPr>
      </w:pPr>
      <w:r>
        <w:rPr>
          <w:rFonts w:ascii="Times New Roman" w:hAnsi="Times New Roman" w:eastAsia="宋体" w:cs="宋体"/>
          <w:kern w:val="2"/>
          <w:sz w:val="24"/>
          <w:szCs w:val="24"/>
          <w:highlight w:val="none"/>
          <w:lang w:val="en-US" w:eastAsia="zh-CN" w:bidi="ar-SA"/>
        </w:rPr>
        <w:t>项目所在</w:t>
      </w:r>
      <w:r>
        <w:rPr>
          <w:rFonts w:hint="eastAsia" w:ascii="Times New Roman" w:hAnsi="Times New Roman" w:eastAsia="宋体" w:cs="宋体"/>
          <w:kern w:val="2"/>
          <w:sz w:val="24"/>
          <w:szCs w:val="24"/>
          <w:highlight w:val="none"/>
          <w:lang w:val="en-US" w:eastAsia="zh-CN" w:bidi="ar-SA"/>
        </w:rPr>
        <w:t>地为</w:t>
      </w:r>
      <w:r>
        <w:rPr>
          <w:rFonts w:ascii="Times New Roman" w:hAnsi="Times New Roman" w:eastAsia="宋体" w:cs="宋体"/>
          <w:kern w:val="2"/>
          <w:sz w:val="24"/>
          <w:szCs w:val="24"/>
          <w:highlight w:val="none"/>
          <w:lang w:val="en-US" w:eastAsia="zh-CN" w:bidi="ar-SA"/>
        </w:rPr>
        <w:t>工业园区，</w:t>
      </w:r>
      <w:r>
        <w:rPr>
          <w:rFonts w:hint="eastAsia" w:ascii="Times New Roman" w:hAnsi="Times New Roman" w:eastAsia="宋体" w:cs="宋体"/>
          <w:kern w:val="2"/>
          <w:sz w:val="24"/>
          <w:szCs w:val="24"/>
          <w:highlight w:val="none"/>
          <w:lang w:val="en-US" w:eastAsia="zh-CN" w:bidi="ar-SA"/>
        </w:rPr>
        <w:t>周边没有饮用</w:t>
      </w:r>
      <w:r>
        <w:rPr>
          <w:rFonts w:ascii="Times New Roman" w:hAnsi="Times New Roman" w:eastAsia="宋体" w:cs="宋体"/>
          <w:kern w:val="2"/>
          <w:sz w:val="24"/>
          <w:szCs w:val="24"/>
          <w:highlight w:val="none"/>
          <w:lang w:val="en-US" w:eastAsia="zh-CN" w:bidi="ar-SA"/>
        </w:rPr>
        <w:t>水源保护区，周边地表水水体有</w:t>
      </w:r>
      <w:r>
        <w:rPr>
          <w:rFonts w:hint="eastAsia" w:ascii="Times New Roman" w:hAnsi="Times New Roman" w:eastAsia="宋体" w:cs="宋体"/>
          <w:kern w:val="2"/>
          <w:sz w:val="24"/>
          <w:szCs w:val="24"/>
          <w:highlight w:val="none"/>
          <w:lang w:val="en-US" w:eastAsia="zh-CN" w:bidi="ar-SA"/>
        </w:rPr>
        <w:t>洋沙河</w:t>
      </w:r>
      <w:r>
        <w:rPr>
          <w:rFonts w:hint="eastAsia" w:cs="宋体"/>
          <w:kern w:val="2"/>
          <w:sz w:val="24"/>
          <w:szCs w:val="24"/>
          <w:highlight w:val="none"/>
          <w:lang w:val="en-US" w:eastAsia="zh-CN" w:bidi="ar-SA"/>
        </w:rPr>
        <w:t>和不知名水塘</w:t>
      </w:r>
      <w:r>
        <w:rPr>
          <w:rFonts w:ascii="Times New Roman" w:hAnsi="Times New Roman" w:eastAsia="宋体" w:cs="宋体"/>
          <w:kern w:val="2"/>
          <w:sz w:val="24"/>
          <w:szCs w:val="24"/>
          <w:highlight w:val="none"/>
          <w:lang w:val="en-US" w:eastAsia="zh-CN" w:bidi="ar-SA"/>
        </w:rPr>
        <w:t>。</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洋沙河</w:t>
      </w:r>
      <w:r>
        <w:rPr>
          <w:rFonts w:ascii="Times New Roman" w:hAnsi="Times New Roman" w:eastAsia="宋体" w:cs="宋体"/>
          <w:kern w:val="2"/>
          <w:sz w:val="24"/>
          <w:szCs w:val="24"/>
          <w:lang w:val="en-US" w:eastAsia="zh-CN" w:bidi="ar-SA"/>
        </w:rPr>
        <w:t>：位于项目</w:t>
      </w:r>
      <w:r>
        <w:rPr>
          <w:rFonts w:hint="eastAsia" w:ascii="Times New Roman" w:hAnsi="Times New Roman" w:eastAsia="宋体" w:cs="宋体"/>
          <w:kern w:val="2"/>
          <w:sz w:val="24"/>
          <w:szCs w:val="24"/>
          <w:lang w:val="en-US" w:eastAsia="zh-CN" w:bidi="ar-SA"/>
        </w:rPr>
        <w:t>北</w:t>
      </w:r>
      <w:r>
        <w:rPr>
          <w:rFonts w:ascii="Times New Roman" w:hAnsi="Times New Roman" w:eastAsia="宋体" w:cs="宋体"/>
          <w:kern w:val="2"/>
          <w:sz w:val="24"/>
          <w:szCs w:val="24"/>
          <w:lang w:val="en-US" w:eastAsia="zh-CN" w:bidi="ar-SA"/>
        </w:rPr>
        <w:t>侧约</w:t>
      </w:r>
      <w:r>
        <w:rPr>
          <w:rFonts w:hint="eastAsia" w:ascii="Times New Roman" w:hAnsi="Times New Roman" w:eastAsia="宋体" w:cs="宋体"/>
          <w:kern w:val="2"/>
          <w:sz w:val="24"/>
          <w:szCs w:val="24"/>
          <w:lang w:val="en-US" w:eastAsia="zh-CN" w:bidi="ar-SA"/>
        </w:rPr>
        <w:t>200</w:t>
      </w:r>
      <w:r>
        <w:rPr>
          <w:rFonts w:ascii="Times New Roman" w:hAnsi="Times New Roman" w:eastAsia="宋体" w:cs="宋体"/>
          <w:kern w:val="2"/>
          <w:sz w:val="24"/>
          <w:szCs w:val="24"/>
          <w:lang w:val="en-US" w:eastAsia="zh-CN" w:bidi="ar-SA"/>
        </w:rPr>
        <w:t>m</w:t>
      </w:r>
      <w:r>
        <w:rPr>
          <w:rFonts w:hint="eastAsia" w:ascii="Times New Roman" w:hAnsi="Times New Roman" w:eastAsia="宋体" w:cs="宋体"/>
          <w:kern w:val="2"/>
          <w:sz w:val="24"/>
          <w:szCs w:val="24"/>
          <w:lang w:val="en-US" w:eastAsia="zh-CN" w:bidi="ar-SA"/>
        </w:rPr>
        <w:t>处</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洋沙河</w:t>
      </w:r>
      <w:r>
        <w:rPr>
          <w:rFonts w:ascii="Times New Roman" w:hAnsi="Times New Roman" w:eastAsia="宋体" w:cs="宋体"/>
          <w:kern w:val="2"/>
          <w:sz w:val="24"/>
          <w:szCs w:val="24"/>
          <w:lang w:val="en-US" w:eastAsia="zh-CN" w:bidi="ar-SA"/>
        </w:rPr>
        <w:t>执行《地表水环境质量标准》(GB3838-2002)中Ⅲ类。</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（3）地下水环境功能区划</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项目所在区域地下水环境执行《地下水质量标准》（GB/T14848-2017）Ⅲ类标准。</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（4）声环境功能区划</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本项目位于</w:t>
      </w:r>
      <w:r>
        <w:rPr>
          <w:rFonts w:hint="eastAsia" w:ascii="Times New Roman" w:hAnsi="Times New Roman" w:eastAsia="宋体" w:cs="宋体"/>
          <w:kern w:val="2"/>
          <w:sz w:val="24"/>
          <w:szCs w:val="24"/>
          <w:lang w:val="en-US" w:eastAsia="zh-CN" w:bidi="ar-SA"/>
        </w:rPr>
        <w:t>园区</w:t>
      </w:r>
      <w:r>
        <w:rPr>
          <w:rFonts w:ascii="Times New Roman" w:hAnsi="Times New Roman" w:eastAsia="宋体" w:cs="宋体"/>
          <w:kern w:val="2"/>
          <w:sz w:val="24"/>
          <w:szCs w:val="24"/>
          <w:lang w:val="en-US" w:eastAsia="zh-CN" w:bidi="ar-SA"/>
        </w:rPr>
        <w:t>，项目所在区域声环境执行《声环境质量标准》（GB3096-2008）的3类区标准。</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（5）土壤环境功能区划</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项目所在地土壤环境执行</w:t>
      </w:r>
      <w:r>
        <w:rPr>
          <w:rFonts w:hint="eastAsia" w:ascii="Times New Roman" w:hAnsi="Times New Roman" w:eastAsia="宋体" w:cs="宋体"/>
          <w:kern w:val="2"/>
          <w:sz w:val="24"/>
          <w:szCs w:val="24"/>
          <w:lang w:val="en-US" w:eastAsia="zh-CN" w:bidi="ar-SA"/>
        </w:rPr>
        <w:t>《土壤环境质量 建设用地土壤污染风险管控标准（试行）》（GB15618-2018）表1中第二类用地筛选值</w:t>
      </w:r>
      <w:r>
        <w:rPr>
          <w:rFonts w:ascii="Times New Roman" w:hAnsi="Times New Roman" w:eastAsia="宋体" w:cs="宋体"/>
          <w:kern w:val="2"/>
          <w:sz w:val="24"/>
          <w:szCs w:val="24"/>
          <w:lang w:val="en-US" w:eastAsia="zh-CN" w:bidi="ar-SA"/>
        </w:rPr>
        <w:t>。项目拟选址环境功能属性</w:t>
      </w:r>
      <w:r>
        <w:rPr>
          <w:rFonts w:hint="eastAsia" w:ascii="Times New Roman" w:hAnsi="Times New Roman" w:eastAsia="宋体" w:cs="宋体"/>
          <w:kern w:val="2"/>
          <w:sz w:val="24"/>
          <w:szCs w:val="24"/>
          <w:lang w:val="en-US" w:eastAsia="zh-CN" w:bidi="ar-SA"/>
        </w:rPr>
        <w:t>见</w:t>
      </w:r>
      <w:r>
        <w:rPr>
          <w:rFonts w:hint="eastAsia" w:ascii="Times New Roman" w:hAnsi="Times New Roman" w:eastAsia="宋体" w:cs="宋体"/>
          <w:kern w:val="2"/>
          <w:sz w:val="24"/>
          <w:szCs w:val="24"/>
          <w:highlight w:val="none"/>
          <w:lang w:val="en-US" w:eastAsia="zh-CN" w:bidi="ar-SA"/>
        </w:rPr>
        <w:fldChar w:fldCharType="begin"/>
      </w:r>
      <w:r>
        <w:rPr>
          <w:rFonts w:hint="eastAsia" w:ascii="Times New Roman" w:hAnsi="Times New Roman" w:eastAsia="宋体" w:cs="宋体"/>
          <w:kern w:val="2"/>
          <w:sz w:val="24"/>
          <w:szCs w:val="24"/>
          <w:highlight w:val="none"/>
          <w:lang w:val="en-US" w:eastAsia="zh-CN" w:bidi="ar-SA"/>
        </w:rPr>
        <w:instrText xml:space="preserve"> REF _Ref13340 \h </w:instrText>
      </w:r>
      <w:r>
        <w:rPr>
          <w:rFonts w:hint="eastAsia" w:ascii="Times New Roman" w:hAnsi="Times New Roman" w:eastAsia="宋体" w:cs="宋体"/>
          <w:kern w:val="2"/>
          <w:sz w:val="24"/>
          <w:szCs w:val="24"/>
          <w:highlight w:val="none"/>
          <w:lang w:val="en-US" w:eastAsia="zh-CN" w:bidi="ar-SA"/>
        </w:rPr>
        <w:fldChar w:fldCharType="separate"/>
      </w:r>
      <w:r>
        <w:rPr>
          <w:rFonts w:ascii="Times New Roman" w:hAnsi="Times New Roman" w:eastAsia="宋体" w:cs="宋体"/>
          <w:kern w:val="2"/>
          <w:sz w:val="24"/>
          <w:szCs w:val="24"/>
          <w:highlight w:val="none"/>
          <w:lang w:val="en-US" w:eastAsia="zh-CN" w:bidi="ar-SA"/>
        </w:rPr>
        <w:t xml:space="preserve">表 </w:t>
      </w:r>
      <w:r>
        <w:rPr>
          <w:rFonts w:ascii="Times New Roman" w:hAnsi="Times New Roman" w:eastAsia="宋体" w:cs="宋体"/>
          <w:kern w:val="2"/>
          <w:sz w:val="24"/>
          <w:szCs w:val="24"/>
          <w:highlight w:val="none"/>
          <w:lang w:val="en-US" w:eastAsia="zh-CN" w:bidi="ar-SA"/>
        </w:rPr>
        <w:fldChar w:fldCharType="begin"/>
      </w:r>
      <w:r>
        <w:rPr>
          <w:rFonts w:ascii="Times New Roman" w:hAnsi="Times New Roman" w:eastAsia="宋体" w:cs="宋体"/>
          <w:kern w:val="2"/>
          <w:sz w:val="24"/>
          <w:szCs w:val="24"/>
          <w:highlight w:val="none"/>
          <w:lang w:val="en-US" w:eastAsia="zh-CN" w:bidi="ar-SA"/>
        </w:rPr>
        <w:instrText xml:space="preserve"> STYLEREF 1 \s </w:instrText>
      </w:r>
      <w:r>
        <w:rPr>
          <w:rFonts w:ascii="Times New Roman" w:hAnsi="Times New Roman" w:eastAsia="宋体" w:cs="宋体"/>
          <w:kern w:val="2"/>
          <w:sz w:val="24"/>
          <w:szCs w:val="24"/>
          <w:highlight w:val="none"/>
          <w:lang w:val="en-US" w:eastAsia="zh-CN" w:bidi="ar-SA"/>
        </w:rPr>
        <w:fldChar w:fldCharType="separate"/>
      </w:r>
      <w:r>
        <w:rPr>
          <w:rFonts w:ascii="Times New Roman" w:hAnsi="Times New Roman" w:eastAsia="宋体" w:cs="宋体"/>
          <w:kern w:val="2"/>
          <w:sz w:val="24"/>
          <w:szCs w:val="24"/>
          <w:highlight w:val="none"/>
          <w:lang w:val="en-US" w:eastAsia="zh-CN" w:bidi="ar-SA"/>
        </w:rPr>
        <w:t>2</w:t>
      </w:r>
      <w:r>
        <w:rPr>
          <w:rFonts w:ascii="Times New Roman" w:hAnsi="Times New Roman" w:eastAsia="宋体" w:cs="宋体"/>
          <w:kern w:val="2"/>
          <w:sz w:val="24"/>
          <w:szCs w:val="24"/>
          <w:highlight w:val="none"/>
          <w:lang w:val="en-US" w:eastAsia="zh-CN" w:bidi="ar-SA"/>
        </w:rPr>
        <w:fldChar w:fldCharType="end"/>
      </w:r>
      <w:r>
        <w:rPr>
          <w:rFonts w:hint="eastAsia" w:ascii="Times New Roman" w:hAnsi="Times New Roman" w:eastAsia="宋体" w:cs="宋体"/>
          <w:kern w:val="2"/>
          <w:sz w:val="24"/>
          <w:szCs w:val="24"/>
          <w:highlight w:val="none"/>
          <w:lang w:val="en-US" w:eastAsia="zh-CN" w:bidi="ar-SA"/>
        </w:rPr>
        <w:t>-</w:t>
      </w:r>
      <w:r>
        <w:rPr>
          <w:rFonts w:ascii="Times New Roman" w:hAnsi="Times New Roman" w:eastAsia="宋体" w:cs="宋体"/>
          <w:kern w:val="2"/>
          <w:sz w:val="24"/>
          <w:szCs w:val="24"/>
          <w:highlight w:val="none"/>
          <w:lang w:val="en-US" w:eastAsia="zh-CN" w:bidi="ar-SA"/>
        </w:rPr>
        <w:t>3</w:t>
      </w:r>
      <w:r>
        <w:rPr>
          <w:rFonts w:hint="eastAsia" w:ascii="Times New Roman" w:hAnsi="Times New Roman" w:eastAsia="宋体" w:cs="宋体"/>
          <w:kern w:val="2"/>
          <w:sz w:val="24"/>
          <w:szCs w:val="24"/>
          <w:highlight w:val="none"/>
          <w:lang w:val="en-US" w:eastAsia="zh-CN" w:bidi="ar-SA"/>
        </w:rPr>
        <w:fldChar w:fldCharType="end"/>
      </w:r>
      <w:r>
        <w:rPr>
          <w:rFonts w:hint="eastAsia" w:ascii="Times New Roman" w:hAnsi="Times New Roman" w:eastAsia="宋体" w:cs="宋体"/>
          <w:kern w:val="2"/>
          <w:sz w:val="24"/>
          <w:szCs w:val="24"/>
          <w:lang w:val="en-US" w:eastAsia="zh-CN" w:bidi="ar-SA"/>
        </w:rPr>
        <w:t>。</w:t>
      </w:r>
      <w:bookmarkStart w:id="388" w:name="_Ref13340"/>
    </w:p>
    <w:p>
      <w:pPr>
        <w:widowControl w:val="0"/>
        <w:bidi w:val="0"/>
        <w:spacing w:line="360" w:lineRule="auto"/>
        <w:ind w:firstLine="0" w:firstLineChars="0"/>
        <w:jc w:val="center"/>
        <w:rPr>
          <w:rFonts w:ascii="Times New Roman" w:hAnsi="Times New Roman" w:eastAsia="宋体" w:cs="Times New Roman"/>
          <w:b/>
          <w:bCs/>
          <w:kern w:val="2"/>
          <w:sz w:val="21"/>
          <w:szCs w:val="21"/>
          <w:highlight w:val="none"/>
          <w:lang w:val="en-US" w:eastAsia="zh-CN" w:bidi="ar-SA"/>
        </w:rPr>
      </w:pPr>
      <w:r>
        <w:rPr>
          <w:rFonts w:ascii="Times New Roman" w:hAnsi="Times New Roman" w:eastAsia="宋体" w:cs="Times New Roman"/>
          <w:b/>
          <w:bCs/>
          <w:kern w:val="2"/>
          <w:sz w:val="21"/>
          <w:szCs w:val="21"/>
          <w:highlight w:val="none"/>
          <w:lang w:val="en-US" w:eastAsia="zh-CN" w:bidi="ar-SA"/>
        </w:rPr>
        <w:t xml:space="preserve">表 </w:t>
      </w:r>
      <w:r>
        <w:rPr>
          <w:rFonts w:ascii="Times New Roman" w:hAnsi="Times New Roman" w:eastAsia="宋体" w:cs="Times New Roman"/>
          <w:b/>
          <w:bCs/>
          <w:kern w:val="2"/>
          <w:sz w:val="21"/>
          <w:szCs w:val="21"/>
          <w:highlight w:val="none"/>
          <w:lang w:val="en-US" w:eastAsia="zh-CN" w:bidi="ar-SA"/>
        </w:rPr>
        <w:fldChar w:fldCharType="begin"/>
      </w:r>
      <w:r>
        <w:rPr>
          <w:rFonts w:ascii="Times New Roman" w:hAnsi="Times New Roman" w:eastAsia="宋体" w:cs="Times New Roman"/>
          <w:b/>
          <w:bCs/>
          <w:kern w:val="2"/>
          <w:sz w:val="21"/>
          <w:szCs w:val="21"/>
          <w:highlight w:val="none"/>
          <w:lang w:val="en-US" w:eastAsia="zh-CN" w:bidi="ar-SA"/>
        </w:rPr>
        <w:instrText xml:space="preserve"> STYLEREF 1 \s </w:instrText>
      </w:r>
      <w:r>
        <w:rPr>
          <w:rFonts w:ascii="Times New Roman" w:hAnsi="Times New Roman" w:eastAsia="宋体" w:cs="Times New Roman"/>
          <w:b/>
          <w:bCs/>
          <w:kern w:val="2"/>
          <w:sz w:val="21"/>
          <w:szCs w:val="21"/>
          <w:highlight w:val="none"/>
          <w:lang w:val="en-US" w:eastAsia="zh-CN" w:bidi="ar-SA"/>
        </w:rPr>
        <w:fldChar w:fldCharType="separate"/>
      </w:r>
      <w:r>
        <w:rPr>
          <w:rFonts w:ascii="Times New Roman" w:hAnsi="Times New Roman" w:eastAsia="宋体" w:cs="Times New Roman"/>
          <w:b/>
          <w:bCs/>
          <w:kern w:val="2"/>
          <w:sz w:val="21"/>
          <w:szCs w:val="21"/>
          <w:highlight w:val="none"/>
          <w:lang w:val="en-US" w:eastAsia="zh-CN" w:bidi="ar-SA"/>
        </w:rPr>
        <w:t>2</w:t>
      </w:r>
      <w:r>
        <w:rPr>
          <w:rFonts w:ascii="Times New Roman" w:hAnsi="Times New Roman" w:eastAsia="宋体" w:cs="Times New Roman"/>
          <w:b/>
          <w:bCs/>
          <w:kern w:val="2"/>
          <w:sz w:val="21"/>
          <w:szCs w:val="21"/>
          <w:highlight w:val="none"/>
          <w:lang w:val="en-US" w:eastAsia="zh-CN" w:bidi="ar-SA"/>
        </w:rPr>
        <w:fldChar w:fldCharType="end"/>
      </w:r>
      <w:r>
        <w:rPr>
          <w:rFonts w:hint="eastAsia" w:ascii="Times New Roman" w:hAnsi="Times New Roman" w:eastAsia="宋体" w:cs="Times New Roman"/>
          <w:b/>
          <w:bCs/>
          <w:kern w:val="2"/>
          <w:sz w:val="21"/>
          <w:szCs w:val="21"/>
          <w:highlight w:val="none"/>
          <w:lang w:val="en-US" w:eastAsia="zh-CN" w:bidi="ar-SA"/>
        </w:rPr>
        <w:t>-</w:t>
      </w:r>
      <w:r>
        <w:rPr>
          <w:rFonts w:ascii="Times New Roman" w:hAnsi="Times New Roman" w:eastAsia="宋体" w:cs="Times New Roman"/>
          <w:b/>
          <w:bCs/>
          <w:kern w:val="2"/>
          <w:sz w:val="21"/>
          <w:szCs w:val="21"/>
          <w:highlight w:val="none"/>
          <w:lang w:val="en-US" w:eastAsia="zh-CN" w:bidi="ar-SA"/>
        </w:rPr>
        <w:fldChar w:fldCharType="begin"/>
      </w:r>
      <w:r>
        <w:rPr>
          <w:rFonts w:ascii="Times New Roman" w:hAnsi="Times New Roman" w:eastAsia="宋体" w:cs="Times New Roman"/>
          <w:b/>
          <w:bCs/>
          <w:kern w:val="2"/>
          <w:sz w:val="21"/>
          <w:szCs w:val="21"/>
          <w:highlight w:val="none"/>
          <w:lang w:val="en-US" w:eastAsia="zh-CN" w:bidi="ar-SA"/>
        </w:rPr>
        <w:instrText xml:space="preserve"> SEQ 表 \* ARABIC \s 1 </w:instrText>
      </w:r>
      <w:r>
        <w:rPr>
          <w:rFonts w:ascii="Times New Roman" w:hAnsi="Times New Roman" w:eastAsia="宋体" w:cs="Times New Roman"/>
          <w:b/>
          <w:bCs/>
          <w:kern w:val="2"/>
          <w:sz w:val="21"/>
          <w:szCs w:val="21"/>
          <w:highlight w:val="none"/>
          <w:lang w:val="en-US" w:eastAsia="zh-CN" w:bidi="ar-SA"/>
        </w:rPr>
        <w:fldChar w:fldCharType="separate"/>
      </w:r>
      <w:r>
        <w:rPr>
          <w:rFonts w:ascii="Times New Roman" w:hAnsi="Times New Roman" w:eastAsia="宋体" w:cs="Times New Roman"/>
          <w:b/>
          <w:bCs/>
          <w:kern w:val="2"/>
          <w:sz w:val="21"/>
          <w:szCs w:val="21"/>
          <w:highlight w:val="none"/>
          <w:lang w:val="en-US" w:eastAsia="zh-CN" w:bidi="ar-SA"/>
        </w:rPr>
        <w:t>3</w:t>
      </w:r>
      <w:r>
        <w:rPr>
          <w:rFonts w:ascii="Times New Roman" w:hAnsi="Times New Roman" w:eastAsia="宋体" w:cs="Times New Roman"/>
          <w:b/>
          <w:bCs/>
          <w:kern w:val="2"/>
          <w:sz w:val="21"/>
          <w:szCs w:val="21"/>
          <w:highlight w:val="none"/>
          <w:lang w:val="en-US" w:eastAsia="zh-CN" w:bidi="ar-SA"/>
        </w:rPr>
        <w:fldChar w:fldCharType="end"/>
      </w:r>
      <w:bookmarkEnd w:id="388"/>
      <w:r>
        <w:rPr>
          <w:rFonts w:ascii="Times New Roman" w:hAnsi="Times New Roman" w:eastAsia="宋体" w:cs="Times New Roman"/>
          <w:b/>
          <w:bCs/>
          <w:kern w:val="2"/>
          <w:sz w:val="21"/>
          <w:szCs w:val="21"/>
          <w:highlight w:val="none"/>
          <w:lang w:val="en-US" w:eastAsia="zh-CN" w:bidi="ar-SA"/>
        </w:rPr>
        <w:t>项目拟选址环境功能属性</w:t>
      </w:r>
    </w:p>
    <w:tbl>
      <w:tblPr>
        <w:tblStyle w:val="22"/>
        <w:tblW w:w="956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5"/>
        <w:gridCol w:w="3134"/>
        <w:gridCol w:w="1546"/>
        <w:gridCol w:w="1258"/>
        <w:gridCol w:w="28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3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编号</w:t>
            </w:r>
          </w:p>
        </w:tc>
        <w:tc>
          <w:tcPr>
            <w:tcW w:w="313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项目</w:t>
            </w:r>
          </w:p>
        </w:tc>
        <w:tc>
          <w:tcPr>
            <w:tcW w:w="5700" w:type="dxa"/>
            <w:gridSpan w:val="3"/>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功能属性及执行标准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735"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1</w:t>
            </w:r>
          </w:p>
        </w:tc>
        <w:tc>
          <w:tcPr>
            <w:tcW w:w="3134"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地表水环境功能区</w:t>
            </w:r>
          </w:p>
        </w:tc>
        <w:tc>
          <w:tcPr>
            <w:tcW w:w="1546"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洋沙河</w:t>
            </w:r>
          </w:p>
        </w:tc>
        <w:tc>
          <w:tcPr>
            <w:tcW w:w="125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小河，兼具排洪及农灌功能</w:t>
            </w:r>
          </w:p>
        </w:tc>
        <w:tc>
          <w:tcPr>
            <w:tcW w:w="289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执行</w:t>
            </w:r>
            <w:r>
              <w:rPr>
                <w:rFonts w:ascii="Times New Roman" w:hAnsi="Times New Roman" w:eastAsia="宋体" w:cs="Times New Roman"/>
                <w:kern w:val="2"/>
                <w:sz w:val="24"/>
                <w:szCs w:val="24"/>
                <w:lang w:val="en-US" w:eastAsia="zh-CN" w:bidi="ar-SA"/>
              </w:rPr>
              <w:t>GB3838-2002</w:t>
            </w:r>
            <w:r>
              <w:rPr>
                <w:rFonts w:hint="eastAsia" w:ascii="Times New Roman" w:hAnsi="Times New Roman" w:eastAsia="宋体" w:cs="Times New Roman"/>
                <w:kern w:val="2"/>
                <w:sz w:val="24"/>
                <w:szCs w:val="24"/>
                <w:lang w:val="en-US" w:eastAsia="zh-CN" w:bidi="ar-SA"/>
              </w:rPr>
              <w:t>中</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Ⅲ类</w:t>
            </w:r>
            <w:r>
              <w:rPr>
                <w:rFonts w:hint="eastAsia" w:ascii="Times New Roman" w:hAnsi="Times New Roman" w:eastAsia="宋体" w:cs="Times New Roman"/>
                <w:kern w:val="2"/>
                <w:sz w:val="24"/>
                <w:szCs w:val="24"/>
                <w:lang w:val="en-US" w:eastAsia="zh-CN" w:bidi="ar-SA"/>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735"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3134"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54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洋沙湖</w:t>
            </w:r>
          </w:p>
        </w:tc>
        <w:tc>
          <w:tcPr>
            <w:tcW w:w="125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Style w:val="41"/>
                <w:rFonts w:hint="eastAsia"/>
              </w:rPr>
              <w:t>小湖</w:t>
            </w:r>
            <w:r>
              <w:rPr>
                <w:rFonts w:hint="eastAsia" w:ascii="Times New Roman" w:hAnsi="Times New Roman" w:eastAsia="宋体" w:cs="Times New Roman"/>
                <w:kern w:val="2"/>
                <w:sz w:val="24"/>
                <w:szCs w:val="24"/>
                <w:lang w:val="en-US" w:eastAsia="zh-CN" w:bidi="ar-SA"/>
              </w:rPr>
              <w:t>，兼具排洪及农灌功能</w:t>
            </w:r>
          </w:p>
        </w:tc>
        <w:tc>
          <w:tcPr>
            <w:tcW w:w="289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执行</w:t>
            </w:r>
            <w:r>
              <w:rPr>
                <w:rFonts w:ascii="Times New Roman" w:hAnsi="Times New Roman" w:eastAsia="宋体" w:cs="Times New Roman"/>
                <w:kern w:val="2"/>
                <w:sz w:val="24"/>
                <w:szCs w:val="24"/>
                <w:lang w:val="en-US" w:eastAsia="zh-CN" w:bidi="ar-SA"/>
              </w:rPr>
              <w:t>GB3838-2002</w:t>
            </w:r>
            <w:r>
              <w:rPr>
                <w:rFonts w:hint="eastAsia" w:ascii="Times New Roman" w:hAnsi="Times New Roman" w:eastAsia="宋体" w:cs="Times New Roman"/>
                <w:kern w:val="2"/>
                <w:sz w:val="24"/>
                <w:szCs w:val="24"/>
                <w:lang w:val="en-US" w:eastAsia="zh-CN" w:bidi="ar-SA"/>
              </w:rPr>
              <w:t>中</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Ⅲ类</w:t>
            </w:r>
            <w:r>
              <w:rPr>
                <w:rFonts w:hint="eastAsia" w:ascii="Times New Roman" w:hAnsi="Times New Roman" w:eastAsia="宋体" w:cs="Times New Roman"/>
                <w:kern w:val="2"/>
                <w:sz w:val="24"/>
                <w:szCs w:val="24"/>
                <w:lang w:val="en-US" w:eastAsia="zh-CN" w:bidi="ar-SA"/>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35"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313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地下水环境功能区</w:t>
            </w:r>
          </w:p>
        </w:tc>
        <w:tc>
          <w:tcPr>
            <w:tcW w:w="1546"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地下水</w:t>
            </w:r>
          </w:p>
        </w:tc>
        <w:tc>
          <w:tcPr>
            <w:tcW w:w="125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农业用水</w:t>
            </w:r>
          </w:p>
        </w:tc>
        <w:tc>
          <w:tcPr>
            <w:tcW w:w="289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执行</w:t>
            </w:r>
            <w:r>
              <w:rPr>
                <w:rFonts w:ascii="Times New Roman" w:hAnsi="Times New Roman" w:eastAsia="宋体" w:cs="Times New Roman"/>
                <w:kern w:val="2"/>
                <w:sz w:val="24"/>
                <w:szCs w:val="24"/>
                <w:lang w:val="en-US" w:eastAsia="zh-CN" w:bidi="ar-SA"/>
              </w:rPr>
              <w:t>GB/T14848-2017</w:t>
            </w:r>
            <w:r>
              <w:rPr>
                <w:rFonts w:hint="eastAsia" w:ascii="Times New Roman" w:hAnsi="Times New Roman" w:eastAsia="宋体" w:cs="Times New Roman"/>
                <w:kern w:val="2"/>
                <w:sz w:val="24"/>
                <w:szCs w:val="24"/>
                <w:lang w:val="en-US" w:eastAsia="zh-CN" w:bidi="ar-SA"/>
              </w:rPr>
              <w:t>中</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Ⅲ类</w:t>
            </w:r>
            <w:r>
              <w:rPr>
                <w:rFonts w:hint="eastAsia" w:ascii="Times New Roman" w:hAnsi="Times New Roman" w:eastAsia="宋体" w:cs="Times New Roman"/>
                <w:kern w:val="2"/>
                <w:sz w:val="24"/>
                <w:szCs w:val="24"/>
                <w:lang w:val="en-US" w:eastAsia="zh-CN" w:bidi="ar-SA"/>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2</w:t>
            </w:r>
          </w:p>
        </w:tc>
        <w:tc>
          <w:tcPr>
            <w:tcW w:w="313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环境空气质量功能区</w:t>
            </w:r>
          </w:p>
        </w:tc>
        <w:tc>
          <w:tcPr>
            <w:tcW w:w="5700" w:type="dxa"/>
            <w:gridSpan w:val="3"/>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二类区，</w:t>
            </w:r>
            <w:r>
              <w:rPr>
                <w:rFonts w:hint="eastAsia" w:ascii="Times New Roman" w:hAnsi="Times New Roman" w:eastAsia="宋体" w:cs="Times New Roman"/>
                <w:kern w:val="2"/>
                <w:sz w:val="24"/>
                <w:szCs w:val="24"/>
                <w:lang w:val="en-US" w:eastAsia="zh-CN" w:bidi="ar-SA"/>
              </w:rPr>
              <w:t>执行GB3095-2012中二级标准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3</w:t>
            </w:r>
          </w:p>
        </w:tc>
        <w:tc>
          <w:tcPr>
            <w:tcW w:w="313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声环境功能区</w:t>
            </w:r>
          </w:p>
        </w:tc>
        <w:tc>
          <w:tcPr>
            <w:tcW w:w="5700" w:type="dxa"/>
            <w:gridSpan w:val="3"/>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w:t>
            </w:r>
            <w:r>
              <w:rPr>
                <w:rFonts w:ascii="Times New Roman" w:hAnsi="Times New Roman" w:eastAsia="宋体" w:cs="Times New Roman"/>
                <w:kern w:val="2"/>
                <w:sz w:val="24"/>
                <w:szCs w:val="24"/>
                <w:lang w:val="en-US" w:eastAsia="zh-CN" w:bidi="ar-SA"/>
              </w:rPr>
              <w:t>类声环境功能区，</w:t>
            </w:r>
            <w:r>
              <w:rPr>
                <w:rFonts w:hint="eastAsia" w:ascii="Times New Roman" w:hAnsi="Times New Roman" w:eastAsia="宋体" w:cs="Times New Roman"/>
                <w:kern w:val="2"/>
                <w:sz w:val="24"/>
                <w:szCs w:val="24"/>
                <w:lang w:val="en-US" w:eastAsia="zh-CN" w:bidi="ar-SA"/>
              </w:rPr>
              <w:t>执行</w:t>
            </w:r>
            <w:r>
              <w:rPr>
                <w:rFonts w:ascii="Times New Roman" w:hAnsi="Times New Roman" w:eastAsia="宋体" w:cs="Times New Roman"/>
                <w:kern w:val="2"/>
                <w:sz w:val="24"/>
                <w:szCs w:val="24"/>
                <w:lang w:val="en-US" w:eastAsia="zh-CN" w:bidi="ar-SA"/>
              </w:rPr>
              <w:t>GB3096-2008</w:t>
            </w:r>
            <w:r>
              <w:rPr>
                <w:rFonts w:hint="eastAsia" w:ascii="Times New Roman" w:hAnsi="Times New Roman" w:eastAsia="宋体" w:cs="Times New Roman"/>
                <w:kern w:val="2"/>
                <w:sz w:val="24"/>
                <w:szCs w:val="24"/>
                <w:lang w:val="en-US" w:eastAsia="zh-CN" w:bidi="ar-SA"/>
              </w:rPr>
              <w:t>中3</w:t>
            </w:r>
            <w:r>
              <w:rPr>
                <w:rFonts w:ascii="Times New Roman" w:hAnsi="Times New Roman" w:eastAsia="宋体" w:cs="Times New Roman"/>
                <w:kern w:val="2"/>
                <w:sz w:val="24"/>
                <w:szCs w:val="24"/>
                <w:lang w:val="en-US" w:eastAsia="zh-CN" w:bidi="ar-SA"/>
              </w:rPr>
              <w:t>类</w:t>
            </w:r>
            <w:r>
              <w:rPr>
                <w:rFonts w:hint="eastAsia" w:ascii="Times New Roman" w:hAnsi="Times New Roman" w:eastAsia="宋体" w:cs="Times New Roman"/>
                <w:kern w:val="2"/>
                <w:sz w:val="24"/>
                <w:szCs w:val="24"/>
                <w:lang w:val="en-US" w:eastAsia="zh-CN" w:bidi="ar-SA"/>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4</w:t>
            </w:r>
          </w:p>
        </w:tc>
        <w:tc>
          <w:tcPr>
            <w:tcW w:w="313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土壤环境功能区</w:t>
            </w:r>
          </w:p>
        </w:tc>
        <w:tc>
          <w:tcPr>
            <w:tcW w:w="5700" w:type="dxa"/>
            <w:gridSpan w:val="3"/>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第二类用地，执行GB36600-2018表1中的筛选值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5</w:t>
            </w:r>
          </w:p>
        </w:tc>
        <w:tc>
          <w:tcPr>
            <w:tcW w:w="313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是否基本农田保护区</w:t>
            </w:r>
          </w:p>
        </w:tc>
        <w:tc>
          <w:tcPr>
            <w:tcW w:w="5700" w:type="dxa"/>
            <w:gridSpan w:val="3"/>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6</w:t>
            </w:r>
          </w:p>
        </w:tc>
        <w:tc>
          <w:tcPr>
            <w:tcW w:w="313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是否森林、公园</w:t>
            </w:r>
          </w:p>
        </w:tc>
        <w:tc>
          <w:tcPr>
            <w:tcW w:w="5700" w:type="dxa"/>
            <w:gridSpan w:val="3"/>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7</w:t>
            </w:r>
          </w:p>
        </w:tc>
        <w:tc>
          <w:tcPr>
            <w:tcW w:w="313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是否生态功能保护区</w:t>
            </w:r>
          </w:p>
        </w:tc>
        <w:tc>
          <w:tcPr>
            <w:tcW w:w="5700" w:type="dxa"/>
            <w:gridSpan w:val="3"/>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8</w:t>
            </w:r>
          </w:p>
        </w:tc>
        <w:tc>
          <w:tcPr>
            <w:tcW w:w="313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是否水土流失重点防治区</w:t>
            </w:r>
          </w:p>
        </w:tc>
        <w:tc>
          <w:tcPr>
            <w:tcW w:w="5700" w:type="dxa"/>
            <w:gridSpan w:val="3"/>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9</w:t>
            </w:r>
          </w:p>
        </w:tc>
        <w:tc>
          <w:tcPr>
            <w:tcW w:w="313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是否人口密集区</w:t>
            </w:r>
          </w:p>
        </w:tc>
        <w:tc>
          <w:tcPr>
            <w:tcW w:w="5700" w:type="dxa"/>
            <w:gridSpan w:val="3"/>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10</w:t>
            </w:r>
          </w:p>
        </w:tc>
        <w:tc>
          <w:tcPr>
            <w:tcW w:w="313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是否重点文物保护单位</w:t>
            </w:r>
          </w:p>
        </w:tc>
        <w:tc>
          <w:tcPr>
            <w:tcW w:w="5700" w:type="dxa"/>
            <w:gridSpan w:val="3"/>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11</w:t>
            </w:r>
          </w:p>
        </w:tc>
        <w:tc>
          <w:tcPr>
            <w:tcW w:w="313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是否三河、三湖、两控区</w:t>
            </w:r>
          </w:p>
        </w:tc>
        <w:tc>
          <w:tcPr>
            <w:tcW w:w="5700" w:type="dxa"/>
            <w:gridSpan w:val="3"/>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两控区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12</w:t>
            </w:r>
          </w:p>
        </w:tc>
        <w:tc>
          <w:tcPr>
            <w:tcW w:w="313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是否属于饮用水源保护区</w:t>
            </w:r>
          </w:p>
        </w:tc>
        <w:tc>
          <w:tcPr>
            <w:tcW w:w="5700" w:type="dxa"/>
            <w:gridSpan w:val="3"/>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13</w:t>
            </w:r>
          </w:p>
        </w:tc>
        <w:tc>
          <w:tcPr>
            <w:tcW w:w="313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是否污水处理厂集水范围</w:t>
            </w:r>
          </w:p>
        </w:tc>
        <w:tc>
          <w:tcPr>
            <w:tcW w:w="5700" w:type="dxa"/>
            <w:gridSpan w:val="3"/>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是（卓达金谷创业园污水处理站）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14</w:t>
            </w:r>
          </w:p>
        </w:tc>
        <w:tc>
          <w:tcPr>
            <w:tcW w:w="313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是否属于生态敏感与脆弱区</w:t>
            </w:r>
          </w:p>
        </w:tc>
        <w:tc>
          <w:tcPr>
            <w:tcW w:w="5700" w:type="dxa"/>
            <w:gridSpan w:val="3"/>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否</w:t>
            </w:r>
          </w:p>
        </w:tc>
      </w:tr>
    </w:tbl>
    <w:p>
      <w:bookmarkStart w:id="389" w:name="_Toc28753_WPSOffice_Level3"/>
      <w:bookmarkStart w:id="390" w:name="_Toc20187"/>
      <w:bookmarkStart w:id="391" w:name="_Toc18642"/>
      <w:bookmarkStart w:id="392" w:name="_Toc22418"/>
      <w:bookmarkStart w:id="393" w:name="_Toc23713"/>
      <w:bookmarkStart w:id="394" w:name="_Toc6371"/>
      <w:bookmarkStart w:id="395" w:name="_Toc25238"/>
      <w:bookmarkStart w:id="396" w:name="_Toc22649"/>
      <w:bookmarkStart w:id="397" w:name="_Toc16113_WPSOffice_Level3"/>
      <w:bookmarkStart w:id="398" w:name="_Toc5894"/>
      <w:bookmarkStart w:id="399" w:name="_Toc29162"/>
      <w:bookmarkStart w:id="400" w:name="_Toc6102"/>
      <w:bookmarkStart w:id="401" w:name="_Toc4553"/>
      <w:bookmarkStart w:id="402" w:name="_Toc24067"/>
    </w:p>
    <w:p>
      <w:pPr>
        <w:pStyle w:val="4"/>
        <w:bidi w:val="0"/>
        <w:rPr>
          <w:lang w:val="en-US" w:eastAsia="zh-CN"/>
        </w:rPr>
      </w:pPr>
      <w:bookmarkStart w:id="403" w:name="_Toc31297"/>
      <w:bookmarkStart w:id="404" w:name="_Toc22297"/>
      <w:r>
        <w:rPr>
          <w:lang w:val="en-US" w:eastAsia="zh-CN"/>
        </w:rPr>
        <w:t>评价标准</w:t>
      </w:r>
      <w:bookmarkEnd w:id="384"/>
      <w:bookmarkEnd w:id="385"/>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pPr>
        <w:pStyle w:val="5"/>
        <w:bidi w:val="0"/>
        <w:rPr>
          <w:lang w:val="en-US" w:eastAsia="zh-CN"/>
        </w:rPr>
      </w:pPr>
      <w:bookmarkStart w:id="405" w:name="_Toc3363"/>
      <w:bookmarkStart w:id="406" w:name="_Toc11346_WPSOffice_Level3"/>
      <w:bookmarkStart w:id="407" w:name="_Toc18715_WPSOffice_Level3"/>
      <w:r>
        <w:rPr>
          <w:lang w:val="en-US" w:eastAsia="zh-CN"/>
        </w:rPr>
        <w:t>环境质量标准</w:t>
      </w:r>
      <w:bookmarkEnd w:id="405"/>
      <w:bookmarkEnd w:id="406"/>
      <w:bookmarkEnd w:id="407"/>
    </w:p>
    <w:p>
      <w:pPr>
        <w:pStyle w:val="25"/>
        <w:bidi w:val="0"/>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空气环境：SO</w:t>
      </w:r>
      <w:r>
        <w:rPr>
          <w:rFonts w:ascii="Times New Roman" w:hAnsi="Times New Roman" w:eastAsia="宋体" w:cs="宋体"/>
          <w:kern w:val="2"/>
          <w:sz w:val="24"/>
          <w:szCs w:val="24"/>
          <w:vertAlign w:val="subscript"/>
          <w:lang w:val="en-US" w:eastAsia="zh-CN" w:bidi="ar-SA"/>
        </w:rPr>
        <w:t>2</w:t>
      </w:r>
      <w:r>
        <w:rPr>
          <w:rFonts w:ascii="Times New Roman" w:hAnsi="Times New Roman" w:eastAsia="宋体" w:cs="宋体"/>
          <w:kern w:val="2"/>
          <w:sz w:val="24"/>
          <w:szCs w:val="24"/>
          <w:lang w:val="en-US" w:eastAsia="zh-CN" w:bidi="ar-SA"/>
        </w:rPr>
        <w:t>、NO</w:t>
      </w:r>
      <w:r>
        <w:rPr>
          <w:rFonts w:ascii="Times New Roman" w:hAnsi="Times New Roman" w:eastAsia="宋体" w:cs="宋体"/>
          <w:kern w:val="2"/>
          <w:sz w:val="24"/>
          <w:szCs w:val="24"/>
          <w:vertAlign w:val="subscript"/>
          <w:lang w:val="en-US" w:eastAsia="zh-CN" w:bidi="ar-SA"/>
        </w:rPr>
        <w:t>2</w:t>
      </w:r>
      <w:r>
        <w:rPr>
          <w:rFonts w:ascii="Times New Roman" w:hAnsi="Times New Roman" w:eastAsia="宋体" w:cs="宋体"/>
          <w:kern w:val="2"/>
          <w:sz w:val="24"/>
          <w:szCs w:val="24"/>
          <w:lang w:val="en-US" w:eastAsia="zh-CN" w:bidi="ar-SA"/>
        </w:rPr>
        <w:t>、PM</w:t>
      </w:r>
      <w:r>
        <w:rPr>
          <w:rFonts w:ascii="Times New Roman" w:hAnsi="Times New Roman" w:eastAsia="宋体" w:cs="宋体"/>
          <w:kern w:val="2"/>
          <w:sz w:val="24"/>
          <w:szCs w:val="24"/>
          <w:vertAlign w:val="subscript"/>
          <w:lang w:val="en-US" w:eastAsia="zh-CN" w:bidi="ar-SA"/>
        </w:rPr>
        <w:t>10</w:t>
      </w:r>
      <w:r>
        <w:rPr>
          <w:rFonts w:hint="eastAsia" w:ascii="Times New Roman" w:hAnsi="Times New Roman" w:eastAsia="宋体" w:cs="宋体"/>
          <w:kern w:val="2"/>
          <w:sz w:val="24"/>
          <w:szCs w:val="24"/>
          <w:lang w:val="en-US" w:eastAsia="zh-CN" w:bidi="ar-SA"/>
        </w:rPr>
        <w:t>、CO、</w:t>
      </w:r>
      <w:r>
        <w:rPr>
          <w:rFonts w:ascii="Times New Roman" w:hAnsi="Times New Roman" w:eastAsia="宋体" w:cs="宋体"/>
          <w:kern w:val="2"/>
          <w:sz w:val="24"/>
          <w:szCs w:val="24"/>
          <w:lang w:val="en-US" w:eastAsia="zh-CN" w:bidi="ar-SA"/>
        </w:rPr>
        <w:t>O</w:t>
      </w:r>
      <w:r>
        <w:rPr>
          <w:rFonts w:hint="eastAsia" w:ascii="Times New Roman" w:hAnsi="Times New Roman" w:eastAsia="宋体" w:cs="宋体"/>
          <w:kern w:val="2"/>
          <w:sz w:val="24"/>
          <w:szCs w:val="24"/>
          <w:vertAlign w:val="subscript"/>
          <w:lang w:val="en-US" w:eastAsia="zh-CN" w:bidi="ar-SA"/>
        </w:rPr>
        <w:t>3</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PM</w:t>
      </w:r>
      <w:r>
        <w:rPr>
          <w:rFonts w:hint="eastAsia" w:ascii="Times New Roman" w:hAnsi="Times New Roman" w:eastAsia="宋体" w:cs="宋体"/>
          <w:kern w:val="2"/>
          <w:sz w:val="24"/>
          <w:szCs w:val="24"/>
          <w:vertAlign w:val="subscript"/>
          <w:lang w:val="en-US" w:eastAsia="zh-CN" w:bidi="ar-SA"/>
        </w:rPr>
        <w:t>2.5</w:t>
      </w:r>
      <w:r>
        <w:rPr>
          <w:rFonts w:ascii="Times New Roman" w:hAnsi="Times New Roman" w:eastAsia="宋体" w:cs="宋体"/>
          <w:kern w:val="2"/>
          <w:sz w:val="24"/>
          <w:szCs w:val="24"/>
          <w:lang w:val="en-US" w:eastAsia="zh-CN" w:bidi="ar-SA"/>
        </w:rPr>
        <w:t>满足《环境空气质量标准》（GB3095-2012）中的二级标准</w:t>
      </w:r>
      <w:r>
        <w:rPr>
          <w:rFonts w:hint="eastAsia" w:ascii="Times New Roman" w:hAnsi="Times New Roman" w:eastAsia="宋体" w:cs="宋体"/>
          <w:kern w:val="2"/>
          <w:sz w:val="24"/>
          <w:szCs w:val="24"/>
          <w:lang w:val="en-US" w:eastAsia="zh-CN" w:bidi="ar-SA"/>
        </w:rPr>
        <w:t>，</w:t>
      </w:r>
      <w:r>
        <w:rPr>
          <w:rFonts w:hint="eastAsia" w:cs="宋体"/>
          <w:kern w:val="2"/>
          <w:sz w:val="24"/>
          <w:szCs w:val="24"/>
          <w:highlight w:val="none"/>
          <w:u w:val="single"/>
          <w:lang w:val="en-US" w:eastAsia="zh-CN" w:bidi="ar-SA"/>
        </w:rPr>
        <w:t>VOCs</w:t>
      </w:r>
      <w:r>
        <w:rPr>
          <w:rFonts w:hint="eastAsia" w:ascii="Times New Roman" w:hAnsi="Times New Roman" w:eastAsia="宋体" w:cs="宋体"/>
          <w:kern w:val="2"/>
          <w:sz w:val="24"/>
          <w:szCs w:val="24"/>
          <w:highlight w:val="none"/>
          <w:u w:val="single"/>
          <w:lang w:val="en-US" w:eastAsia="zh-CN" w:bidi="ar-SA"/>
        </w:rPr>
        <w:t>执行《环境影响评价技术导则 大气环境》(HJ2.2-2018)中的附录D标准。</w:t>
      </w:r>
      <w:r>
        <w:rPr>
          <w:rFonts w:ascii="Times New Roman" w:hAnsi="Times New Roman" w:eastAsia="宋体" w:cs="宋体"/>
          <w:kern w:val="2"/>
          <w:sz w:val="24"/>
          <w:szCs w:val="24"/>
          <w:lang w:val="en-US" w:eastAsia="zh-CN" w:bidi="ar-SA"/>
        </w:rPr>
        <w:t>环境空气常规因子质量标准</w:t>
      </w:r>
      <w:r>
        <w:rPr>
          <w:rFonts w:hint="eastAsia" w:ascii="Times New Roman" w:hAnsi="Times New Roman" w:eastAsia="宋体" w:cs="宋体"/>
          <w:kern w:val="2"/>
          <w:sz w:val="24"/>
          <w:szCs w:val="24"/>
          <w:lang w:val="en-US" w:eastAsia="zh-CN" w:bidi="ar-SA"/>
        </w:rPr>
        <w:t>见</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_Ref12448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4</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bookmarkStart w:id="408" w:name="_Ref12448"/>
    </w:p>
    <w:p>
      <w:pPr>
        <w:widowControl w:val="0"/>
        <w:bidi w:val="0"/>
        <w:spacing w:line="360" w:lineRule="auto"/>
        <w:ind w:firstLine="0" w:firstLineChars="0"/>
        <w:jc w:val="center"/>
        <w:rPr>
          <w:rFonts w:ascii="Times New Roman" w:hAnsi="Times New Roman" w:eastAsia="宋体" w:cs="Times New Roman"/>
          <w:b/>
          <w:bCs/>
          <w:kern w:val="2"/>
          <w:sz w:val="21"/>
          <w:szCs w:val="21"/>
          <w:lang w:val="en-US" w:eastAsia="zh-CN" w:bidi="ar-SA"/>
        </w:rPr>
      </w:pPr>
      <w:r>
        <w:rPr>
          <w:rFonts w:ascii="Times New Roman" w:hAnsi="Times New Roman" w:eastAsia="宋体" w:cs="Times New Roman"/>
          <w:b/>
          <w:bCs/>
          <w:kern w:val="2"/>
          <w:sz w:val="21"/>
          <w:szCs w:val="21"/>
          <w:lang w:val="en-US" w:eastAsia="zh-CN" w:bidi="ar-SA"/>
        </w:rPr>
        <w:t xml:space="preserve">表 </w:t>
      </w:r>
      <w:r>
        <w:rPr>
          <w:rFonts w:ascii="Times New Roman" w:hAnsi="Times New Roman" w:eastAsia="宋体" w:cs="Times New Roman"/>
          <w:b/>
          <w:bCs/>
          <w:kern w:val="2"/>
          <w:sz w:val="21"/>
          <w:szCs w:val="21"/>
          <w:lang w:val="en-US" w:eastAsia="zh-CN" w:bidi="ar-SA"/>
        </w:rPr>
        <w:fldChar w:fldCharType="begin"/>
      </w:r>
      <w:r>
        <w:rPr>
          <w:rFonts w:ascii="Times New Roman" w:hAnsi="Times New Roman" w:eastAsia="宋体" w:cs="Times New Roman"/>
          <w:b/>
          <w:bCs/>
          <w:kern w:val="2"/>
          <w:sz w:val="21"/>
          <w:szCs w:val="21"/>
          <w:lang w:val="en-US" w:eastAsia="zh-CN" w:bidi="ar-SA"/>
        </w:rPr>
        <w:instrText xml:space="preserve"> STYLEREF 1 \s </w:instrText>
      </w:r>
      <w:r>
        <w:rPr>
          <w:rFonts w:ascii="Times New Roman" w:hAnsi="Times New Roman" w:eastAsia="宋体" w:cs="Times New Roman"/>
          <w:b/>
          <w:bCs/>
          <w:kern w:val="2"/>
          <w:sz w:val="21"/>
          <w:szCs w:val="21"/>
          <w:lang w:val="en-US" w:eastAsia="zh-CN" w:bidi="ar-SA"/>
        </w:rPr>
        <w:fldChar w:fldCharType="separate"/>
      </w:r>
      <w:r>
        <w:rPr>
          <w:rFonts w:ascii="Times New Roman" w:hAnsi="Times New Roman" w:eastAsia="宋体" w:cs="Times New Roman"/>
          <w:b/>
          <w:bCs/>
          <w:kern w:val="2"/>
          <w:sz w:val="21"/>
          <w:szCs w:val="21"/>
          <w:lang w:val="en-US" w:eastAsia="zh-CN" w:bidi="ar-SA"/>
        </w:rPr>
        <w:t>2</w:t>
      </w:r>
      <w:r>
        <w:rPr>
          <w:rFonts w:ascii="Times New Roman" w:hAnsi="Times New Roman" w:eastAsia="宋体" w:cs="Times New Roman"/>
          <w:b/>
          <w:bCs/>
          <w:kern w:val="2"/>
          <w:sz w:val="21"/>
          <w:szCs w:val="21"/>
          <w:lang w:val="en-US" w:eastAsia="zh-CN" w:bidi="ar-SA"/>
        </w:rPr>
        <w:fldChar w:fldCharType="end"/>
      </w:r>
      <w:r>
        <w:rPr>
          <w:rFonts w:hint="eastAsia" w:ascii="Times New Roman" w:hAnsi="Times New Roman" w:eastAsia="宋体" w:cs="Times New Roman"/>
          <w:b/>
          <w:bCs/>
          <w:kern w:val="2"/>
          <w:sz w:val="21"/>
          <w:szCs w:val="21"/>
          <w:lang w:val="en-US" w:eastAsia="zh-CN" w:bidi="ar-SA"/>
        </w:rPr>
        <w:t>-</w:t>
      </w:r>
      <w:r>
        <w:rPr>
          <w:rFonts w:ascii="Times New Roman" w:hAnsi="Times New Roman" w:eastAsia="宋体" w:cs="Times New Roman"/>
          <w:b/>
          <w:bCs/>
          <w:kern w:val="2"/>
          <w:sz w:val="21"/>
          <w:szCs w:val="21"/>
          <w:lang w:val="en-US" w:eastAsia="zh-CN" w:bidi="ar-SA"/>
        </w:rPr>
        <w:fldChar w:fldCharType="begin"/>
      </w:r>
      <w:r>
        <w:rPr>
          <w:rFonts w:ascii="Times New Roman" w:hAnsi="Times New Roman" w:eastAsia="宋体" w:cs="Times New Roman"/>
          <w:b/>
          <w:bCs/>
          <w:kern w:val="2"/>
          <w:sz w:val="21"/>
          <w:szCs w:val="21"/>
          <w:lang w:val="en-US" w:eastAsia="zh-CN" w:bidi="ar-SA"/>
        </w:rPr>
        <w:instrText xml:space="preserve"> SEQ 表 \* ARABIC \s 1 </w:instrText>
      </w:r>
      <w:r>
        <w:rPr>
          <w:rFonts w:ascii="Times New Roman" w:hAnsi="Times New Roman" w:eastAsia="宋体" w:cs="Times New Roman"/>
          <w:b/>
          <w:bCs/>
          <w:kern w:val="2"/>
          <w:sz w:val="21"/>
          <w:szCs w:val="21"/>
          <w:lang w:val="en-US" w:eastAsia="zh-CN" w:bidi="ar-SA"/>
        </w:rPr>
        <w:fldChar w:fldCharType="separate"/>
      </w:r>
      <w:r>
        <w:rPr>
          <w:rFonts w:ascii="Times New Roman" w:hAnsi="Times New Roman" w:eastAsia="宋体" w:cs="Times New Roman"/>
          <w:b/>
          <w:bCs/>
          <w:kern w:val="2"/>
          <w:sz w:val="21"/>
          <w:szCs w:val="21"/>
          <w:lang w:val="en-US" w:eastAsia="zh-CN" w:bidi="ar-SA"/>
        </w:rPr>
        <w:t>4</w:t>
      </w:r>
      <w:r>
        <w:rPr>
          <w:rFonts w:ascii="Times New Roman" w:hAnsi="Times New Roman" w:eastAsia="宋体" w:cs="Times New Roman"/>
          <w:b/>
          <w:bCs/>
          <w:kern w:val="2"/>
          <w:sz w:val="21"/>
          <w:szCs w:val="21"/>
          <w:lang w:val="en-US" w:eastAsia="zh-CN" w:bidi="ar-SA"/>
        </w:rPr>
        <w:fldChar w:fldCharType="end"/>
      </w:r>
      <w:bookmarkEnd w:id="408"/>
      <w:r>
        <w:rPr>
          <w:rFonts w:ascii="Times New Roman" w:hAnsi="Times New Roman" w:eastAsia="宋体" w:cs="Times New Roman"/>
          <w:b/>
          <w:bCs/>
          <w:kern w:val="2"/>
          <w:sz w:val="21"/>
          <w:szCs w:val="21"/>
          <w:lang w:val="en-US" w:eastAsia="zh-CN" w:bidi="ar-SA"/>
        </w:rPr>
        <w:t>环境空气常规因子质量标准（单位：</w:t>
      </w:r>
      <w:r>
        <w:rPr>
          <w:rFonts w:hint="eastAsia" w:ascii="Times New Roman" w:hAnsi="Times New Roman" w:eastAsia="宋体" w:cs="Times New Roman"/>
          <w:b/>
          <w:bCs/>
          <w:kern w:val="2"/>
          <w:sz w:val="21"/>
          <w:szCs w:val="21"/>
          <w:lang w:val="en-US" w:eastAsia="zh-CN" w:bidi="ar-SA"/>
        </w:rPr>
        <w:t>μg</w:t>
      </w:r>
      <w:r>
        <w:rPr>
          <w:rFonts w:ascii="Times New Roman" w:hAnsi="Times New Roman" w:eastAsia="宋体" w:cs="Times New Roman"/>
          <w:b/>
          <w:bCs/>
          <w:kern w:val="2"/>
          <w:sz w:val="21"/>
          <w:szCs w:val="21"/>
          <w:lang w:val="en-US" w:eastAsia="zh-CN" w:bidi="ar-SA"/>
        </w:rPr>
        <w:t>/m³）</w:t>
      </w:r>
    </w:p>
    <w:tbl>
      <w:tblPr>
        <w:tblStyle w:val="22"/>
        <w:tblW w:w="8973"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498"/>
        <w:gridCol w:w="1298"/>
        <w:gridCol w:w="1587"/>
        <w:gridCol w:w="1587"/>
        <w:gridCol w:w="300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498"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评价因子</w:t>
            </w:r>
          </w:p>
        </w:tc>
        <w:tc>
          <w:tcPr>
            <w:tcW w:w="4472" w:type="dxa"/>
            <w:gridSpan w:val="3"/>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标准值</w:t>
            </w:r>
          </w:p>
        </w:tc>
        <w:tc>
          <w:tcPr>
            <w:tcW w:w="3003"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评价标准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498"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29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年平均</w:t>
            </w:r>
          </w:p>
        </w:tc>
        <w:tc>
          <w:tcPr>
            <w:tcW w:w="158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日平均</w:t>
            </w:r>
          </w:p>
        </w:tc>
        <w:tc>
          <w:tcPr>
            <w:tcW w:w="158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1小时平均</w:t>
            </w:r>
          </w:p>
        </w:tc>
        <w:tc>
          <w:tcPr>
            <w:tcW w:w="3003"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49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SO</w:t>
            </w:r>
            <w:r>
              <w:rPr>
                <w:rFonts w:ascii="Times New Roman" w:hAnsi="Times New Roman" w:eastAsia="宋体" w:cs="Times New Roman"/>
                <w:kern w:val="2"/>
                <w:sz w:val="24"/>
                <w:szCs w:val="24"/>
                <w:vertAlign w:val="subscript"/>
                <w:lang w:val="en-US" w:eastAsia="zh-CN" w:bidi="ar-SA"/>
              </w:rPr>
              <w:t>2</w:t>
            </w:r>
          </w:p>
        </w:tc>
        <w:tc>
          <w:tcPr>
            <w:tcW w:w="129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60</w:t>
            </w:r>
          </w:p>
        </w:tc>
        <w:tc>
          <w:tcPr>
            <w:tcW w:w="158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15</w:t>
            </w:r>
            <w:r>
              <w:rPr>
                <w:rFonts w:hint="eastAsia" w:ascii="Times New Roman" w:hAnsi="Times New Roman" w:eastAsia="宋体" w:cs="Times New Roman"/>
                <w:kern w:val="2"/>
                <w:sz w:val="24"/>
                <w:szCs w:val="24"/>
                <w:lang w:val="en-US" w:eastAsia="zh-CN" w:bidi="ar-SA"/>
              </w:rPr>
              <w:t>0</w:t>
            </w:r>
          </w:p>
        </w:tc>
        <w:tc>
          <w:tcPr>
            <w:tcW w:w="158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50</w:t>
            </w:r>
            <w:r>
              <w:rPr>
                <w:rFonts w:hint="eastAsia" w:ascii="Times New Roman" w:hAnsi="Times New Roman" w:eastAsia="宋体" w:cs="Times New Roman"/>
                <w:kern w:val="2"/>
                <w:sz w:val="24"/>
                <w:szCs w:val="24"/>
                <w:lang w:val="en-US" w:eastAsia="zh-CN" w:bidi="ar-SA"/>
              </w:rPr>
              <w:t>0</w:t>
            </w:r>
          </w:p>
        </w:tc>
        <w:tc>
          <w:tcPr>
            <w:tcW w:w="3003"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《环境空气质量标准》（GB3095-2012）二级标准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49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NO</w:t>
            </w:r>
            <w:r>
              <w:rPr>
                <w:rFonts w:ascii="Times New Roman" w:hAnsi="Times New Roman" w:eastAsia="宋体" w:cs="Times New Roman"/>
                <w:kern w:val="2"/>
                <w:sz w:val="24"/>
                <w:szCs w:val="24"/>
                <w:vertAlign w:val="subscript"/>
                <w:lang w:val="en-US" w:eastAsia="zh-CN" w:bidi="ar-SA"/>
              </w:rPr>
              <w:t>2</w:t>
            </w:r>
          </w:p>
        </w:tc>
        <w:tc>
          <w:tcPr>
            <w:tcW w:w="129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40</w:t>
            </w:r>
          </w:p>
        </w:tc>
        <w:tc>
          <w:tcPr>
            <w:tcW w:w="158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8</w:t>
            </w:r>
            <w:r>
              <w:rPr>
                <w:rFonts w:hint="eastAsia" w:ascii="Times New Roman" w:hAnsi="Times New Roman" w:eastAsia="宋体" w:cs="Times New Roman"/>
                <w:kern w:val="2"/>
                <w:sz w:val="24"/>
                <w:szCs w:val="24"/>
                <w:lang w:val="en-US" w:eastAsia="zh-CN" w:bidi="ar-SA"/>
              </w:rPr>
              <w:t>0</w:t>
            </w:r>
          </w:p>
        </w:tc>
        <w:tc>
          <w:tcPr>
            <w:tcW w:w="158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200</w:t>
            </w:r>
          </w:p>
        </w:tc>
        <w:tc>
          <w:tcPr>
            <w:tcW w:w="3003"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49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PM</w:t>
            </w:r>
            <w:r>
              <w:rPr>
                <w:rFonts w:ascii="Times New Roman" w:hAnsi="Times New Roman" w:eastAsia="宋体" w:cs="Times New Roman"/>
                <w:kern w:val="2"/>
                <w:sz w:val="24"/>
                <w:szCs w:val="24"/>
                <w:vertAlign w:val="subscript"/>
                <w:lang w:val="en-US" w:eastAsia="zh-CN" w:bidi="ar-SA"/>
              </w:rPr>
              <w:t>10</w:t>
            </w:r>
          </w:p>
        </w:tc>
        <w:tc>
          <w:tcPr>
            <w:tcW w:w="129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70</w:t>
            </w:r>
          </w:p>
        </w:tc>
        <w:tc>
          <w:tcPr>
            <w:tcW w:w="158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150</w:t>
            </w:r>
          </w:p>
        </w:tc>
        <w:tc>
          <w:tcPr>
            <w:tcW w:w="158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w:t>
            </w:r>
          </w:p>
        </w:tc>
        <w:tc>
          <w:tcPr>
            <w:tcW w:w="3003"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49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CO</w:t>
            </w:r>
          </w:p>
        </w:tc>
        <w:tc>
          <w:tcPr>
            <w:tcW w:w="129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158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4000</w:t>
            </w:r>
          </w:p>
        </w:tc>
        <w:tc>
          <w:tcPr>
            <w:tcW w:w="158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10000</w:t>
            </w:r>
          </w:p>
        </w:tc>
        <w:tc>
          <w:tcPr>
            <w:tcW w:w="3003"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149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O</w:t>
            </w:r>
            <w:r>
              <w:rPr>
                <w:rFonts w:hint="eastAsia" w:ascii="Times New Roman" w:hAnsi="Times New Roman" w:eastAsia="宋体" w:cs="Times New Roman"/>
                <w:kern w:val="2"/>
                <w:sz w:val="24"/>
                <w:szCs w:val="24"/>
                <w:vertAlign w:val="subscript"/>
                <w:lang w:val="en-US" w:eastAsia="zh-CN" w:bidi="ar-SA"/>
              </w:rPr>
              <w:t>3</w:t>
            </w:r>
          </w:p>
        </w:tc>
        <w:tc>
          <w:tcPr>
            <w:tcW w:w="129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158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160（日最大八小时平均）</w:t>
            </w:r>
          </w:p>
        </w:tc>
        <w:tc>
          <w:tcPr>
            <w:tcW w:w="158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200</w:t>
            </w:r>
          </w:p>
        </w:tc>
        <w:tc>
          <w:tcPr>
            <w:tcW w:w="3003"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49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PM</w:t>
            </w:r>
            <w:r>
              <w:rPr>
                <w:rFonts w:hint="eastAsia" w:ascii="Times New Roman" w:hAnsi="Times New Roman" w:eastAsia="宋体" w:cs="Times New Roman"/>
                <w:kern w:val="2"/>
                <w:sz w:val="24"/>
                <w:szCs w:val="24"/>
                <w:vertAlign w:val="subscript"/>
                <w:lang w:val="en-US" w:eastAsia="zh-CN" w:bidi="ar-SA"/>
              </w:rPr>
              <w:t>2.5</w:t>
            </w:r>
          </w:p>
        </w:tc>
        <w:tc>
          <w:tcPr>
            <w:tcW w:w="129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35</w:t>
            </w:r>
          </w:p>
        </w:tc>
        <w:tc>
          <w:tcPr>
            <w:tcW w:w="158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75</w:t>
            </w:r>
          </w:p>
        </w:tc>
        <w:tc>
          <w:tcPr>
            <w:tcW w:w="158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3003"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39" w:hRule="atLeast"/>
          <w:jc w:val="center"/>
        </w:trPr>
        <w:tc>
          <w:tcPr>
            <w:tcW w:w="149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highlight w:val="none"/>
                <w:lang w:val="en-US" w:eastAsia="zh-CN" w:bidi="ar-SA"/>
              </w:rPr>
            </w:pPr>
            <w:r>
              <w:rPr>
                <w:rFonts w:hint="eastAsia" w:cs="Times New Roman"/>
                <w:kern w:val="2"/>
                <w:sz w:val="24"/>
                <w:szCs w:val="24"/>
                <w:highlight w:val="none"/>
                <w:lang w:val="en-US" w:eastAsia="zh-CN" w:bidi="ar-SA"/>
              </w:rPr>
              <w:t>VOCs</w:t>
            </w:r>
          </w:p>
        </w:tc>
        <w:tc>
          <w:tcPr>
            <w:tcW w:w="129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w:t>
            </w:r>
          </w:p>
        </w:tc>
        <w:tc>
          <w:tcPr>
            <w:tcW w:w="158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u w:val="single"/>
                <w:lang w:val="en-US" w:eastAsia="zh-CN" w:bidi="ar-SA"/>
              </w:rPr>
              <w:t>600（八小时平均）</w:t>
            </w:r>
          </w:p>
        </w:tc>
        <w:tc>
          <w:tcPr>
            <w:tcW w:w="1587"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eastAsia" w:cs="Times New Roman"/>
                <w:kern w:val="2"/>
                <w:sz w:val="24"/>
                <w:szCs w:val="24"/>
                <w:highlight w:val="none"/>
                <w:lang w:val="en-US" w:eastAsia="zh-CN" w:bidi="ar-SA"/>
              </w:rPr>
              <w:t>/</w:t>
            </w:r>
          </w:p>
        </w:tc>
        <w:tc>
          <w:tcPr>
            <w:tcW w:w="3003"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highlight w:val="yellow"/>
                <w:lang w:val="en-US" w:eastAsia="zh-CN" w:bidi="ar-SA"/>
              </w:rPr>
            </w:pPr>
            <w:r>
              <w:rPr>
                <w:rFonts w:hint="eastAsia" w:ascii="Times New Roman" w:hAnsi="Times New Roman" w:eastAsia="宋体" w:cs="Times New Roman"/>
                <w:kern w:val="0"/>
                <w:sz w:val="24"/>
                <w:szCs w:val="24"/>
                <w:highlight w:val="none"/>
                <w:u w:val="single"/>
                <w:lang w:val="en-US" w:eastAsia="zh-CN" w:bidi="ar-SA"/>
              </w:rPr>
              <w:t>《环境影响评价技术导则 大气环境》(HJ2.2-2018)中的附录D标准</w:t>
            </w:r>
          </w:p>
        </w:tc>
      </w:tr>
    </w:tbl>
    <w:p/>
    <w:p>
      <w:pPr>
        <w:numPr>
          <w:ilvl w:val="0"/>
          <w:numId w:val="7"/>
        </w:numPr>
        <w:bidi w:val="0"/>
        <w:ind w:left="0" w:leftChars="0" w:firstLine="480" w:firstLineChars="200"/>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地表水环境</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洋沙河和项目周边水塘执行《地表水环境质量标准》（GB3838-2002）Ⅲ类标准。</w:t>
      </w:r>
      <w:r>
        <w:rPr>
          <w:rFonts w:ascii="Times New Roman" w:hAnsi="Times New Roman" w:eastAsia="宋体" w:cs="宋体"/>
          <w:kern w:val="2"/>
          <w:sz w:val="24"/>
          <w:szCs w:val="24"/>
          <w:lang w:val="en-US" w:eastAsia="zh-CN" w:bidi="ar-SA"/>
        </w:rPr>
        <w:t>地表水环境质量标准</w:t>
      </w:r>
      <w:r>
        <w:rPr>
          <w:rFonts w:hint="eastAsia" w:ascii="Times New Roman" w:hAnsi="Times New Roman" w:eastAsia="宋体" w:cs="宋体"/>
          <w:kern w:val="2"/>
          <w:sz w:val="24"/>
          <w:szCs w:val="24"/>
          <w:lang w:val="en-US" w:eastAsia="zh-CN" w:bidi="ar-SA"/>
        </w:rPr>
        <w:t>见</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_Ref13088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5</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bookmarkStart w:id="409" w:name="_Ref13088"/>
    </w:p>
    <w:p>
      <w:pPr>
        <w:pStyle w:val="12"/>
        <w:bidi w:val="0"/>
        <w:rPr>
          <w:rFonts w:ascii="Times New Roman" w:hAnsi="Times New Roman" w:eastAsia="宋体" w:cs="Times New Roman"/>
          <w:b/>
          <w:bCs/>
          <w:kern w:val="2"/>
          <w:sz w:val="21"/>
          <w:szCs w:val="21"/>
          <w:lang w:val="en-US" w:eastAsia="zh-CN" w:bidi="ar-SA"/>
        </w:rPr>
      </w:pPr>
      <w:r>
        <w:rPr>
          <w:rFonts w:ascii="Times New Roman" w:hAnsi="Times New Roman" w:eastAsia="宋体" w:cs="Times New Roman"/>
          <w:b/>
          <w:bCs/>
          <w:kern w:val="2"/>
          <w:sz w:val="21"/>
          <w:szCs w:val="21"/>
          <w:lang w:val="en-US" w:eastAsia="zh-CN" w:bidi="ar-SA"/>
        </w:rPr>
        <w:t xml:space="preserve">表 </w:t>
      </w:r>
      <w:r>
        <w:rPr>
          <w:rFonts w:ascii="Times New Roman" w:hAnsi="Times New Roman" w:eastAsia="宋体" w:cs="Times New Roman"/>
          <w:b/>
          <w:bCs/>
          <w:kern w:val="2"/>
          <w:sz w:val="21"/>
          <w:szCs w:val="21"/>
          <w:lang w:val="en-US" w:eastAsia="zh-CN" w:bidi="ar-SA"/>
        </w:rPr>
        <w:fldChar w:fldCharType="begin"/>
      </w:r>
      <w:r>
        <w:rPr>
          <w:rFonts w:ascii="Times New Roman" w:hAnsi="Times New Roman" w:eastAsia="宋体" w:cs="Times New Roman"/>
          <w:b/>
          <w:bCs/>
          <w:kern w:val="2"/>
          <w:sz w:val="21"/>
          <w:szCs w:val="21"/>
          <w:lang w:val="en-US" w:eastAsia="zh-CN" w:bidi="ar-SA"/>
        </w:rPr>
        <w:instrText xml:space="preserve"> STYLEREF 1 \s </w:instrText>
      </w:r>
      <w:r>
        <w:rPr>
          <w:rFonts w:ascii="Times New Roman" w:hAnsi="Times New Roman" w:eastAsia="宋体" w:cs="Times New Roman"/>
          <w:b/>
          <w:bCs/>
          <w:kern w:val="2"/>
          <w:sz w:val="21"/>
          <w:szCs w:val="21"/>
          <w:lang w:val="en-US" w:eastAsia="zh-CN" w:bidi="ar-SA"/>
        </w:rPr>
        <w:fldChar w:fldCharType="separate"/>
      </w:r>
      <w:r>
        <w:rPr>
          <w:rFonts w:ascii="Times New Roman" w:hAnsi="Times New Roman" w:eastAsia="宋体" w:cs="Times New Roman"/>
          <w:b/>
          <w:bCs/>
          <w:kern w:val="2"/>
          <w:sz w:val="21"/>
          <w:szCs w:val="21"/>
          <w:lang w:val="en-US" w:eastAsia="zh-CN" w:bidi="ar-SA"/>
        </w:rPr>
        <w:t>2</w:t>
      </w:r>
      <w:r>
        <w:rPr>
          <w:rFonts w:ascii="Times New Roman" w:hAnsi="Times New Roman" w:eastAsia="宋体" w:cs="Times New Roman"/>
          <w:b/>
          <w:bCs/>
          <w:kern w:val="2"/>
          <w:sz w:val="21"/>
          <w:szCs w:val="21"/>
          <w:lang w:val="en-US" w:eastAsia="zh-CN" w:bidi="ar-SA"/>
        </w:rPr>
        <w:fldChar w:fldCharType="end"/>
      </w:r>
      <w:r>
        <w:rPr>
          <w:rFonts w:hint="eastAsia" w:ascii="Times New Roman" w:hAnsi="Times New Roman" w:eastAsia="宋体" w:cs="Times New Roman"/>
          <w:b/>
          <w:bCs/>
          <w:kern w:val="2"/>
          <w:sz w:val="21"/>
          <w:szCs w:val="21"/>
          <w:lang w:val="en-US" w:eastAsia="zh-CN" w:bidi="ar-SA"/>
        </w:rPr>
        <w:t>-</w:t>
      </w:r>
      <w:r>
        <w:rPr>
          <w:rFonts w:ascii="Times New Roman" w:hAnsi="Times New Roman" w:eastAsia="宋体" w:cs="Times New Roman"/>
          <w:b/>
          <w:bCs/>
          <w:kern w:val="2"/>
          <w:sz w:val="21"/>
          <w:szCs w:val="21"/>
          <w:lang w:val="en-US" w:eastAsia="zh-CN" w:bidi="ar-SA"/>
        </w:rPr>
        <w:fldChar w:fldCharType="begin"/>
      </w:r>
      <w:r>
        <w:rPr>
          <w:rFonts w:ascii="Times New Roman" w:hAnsi="Times New Roman" w:eastAsia="宋体" w:cs="Times New Roman"/>
          <w:b/>
          <w:bCs/>
          <w:kern w:val="2"/>
          <w:sz w:val="21"/>
          <w:szCs w:val="21"/>
          <w:lang w:val="en-US" w:eastAsia="zh-CN" w:bidi="ar-SA"/>
        </w:rPr>
        <w:instrText xml:space="preserve"> SEQ 表 \* ARABIC \s 1 </w:instrText>
      </w:r>
      <w:r>
        <w:rPr>
          <w:rFonts w:ascii="Times New Roman" w:hAnsi="Times New Roman" w:eastAsia="宋体" w:cs="Times New Roman"/>
          <w:b/>
          <w:bCs/>
          <w:kern w:val="2"/>
          <w:sz w:val="21"/>
          <w:szCs w:val="21"/>
          <w:lang w:val="en-US" w:eastAsia="zh-CN" w:bidi="ar-SA"/>
        </w:rPr>
        <w:fldChar w:fldCharType="separate"/>
      </w:r>
      <w:r>
        <w:rPr>
          <w:rFonts w:ascii="Times New Roman" w:hAnsi="Times New Roman" w:eastAsia="宋体" w:cs="Times New Roman"/>
          <w:b/>
          <w:bCs/>
          <w:kern w:val="2"/>
          <w:sz w:val="21"/>
          <w:szCs w:val="21"/>
          <w:lang w:val="en-US" w:eastAsia="zh-CN" w:bidi="ar-SA"/>
        </w:rPr>
        <w:t>5</w:t>
      </w:r>
      <w:r>
        <w:rPr>
          <w:rFonts w:ascii="Times New Roman" w:hAnsi="Times New Roman" w:eastAsia="宋体" w:cs="Times New Roman"/>
          <w:b/>
          <w:bCs/>
          <w:kern w:val="2"/>
          <w:sz w:val="21"/>
          <w:szCs w:val="21"/>
          <w:lang w:val="en-US" w:eastAsia="zh-CN" w:bidi="ar-SA"/>
        </w:rPr>
        <w:fldChar w:fldCharType="end"/>
      </w:r>
      <w:bookmarkEnd w:id="409"/>
      <w:r>
        <w:rPr>
          <w:rFonts w:ascii="Times New Roman" w:hAnsi="Times New Roman" w:eastAsia="宋体" w:cs="Times New Roman"/>
          <w:b/>
          <w:bCs/>
          <w:kern w:val="2"/>
          <w:sz w:val="21"/>
          <w:szCs w:val="21"/>
          <w:lang w:val="en-US" w:eastAsia="zh-CN" w:bidi="ar-SA"/>
        </w:rPr>
        <w:t>地表水环境质量标准（单位：mg/</w:t>
      </w:r>
      <w:r>
        <w:rPr>
          <w:rFonts w:hint="eastAsia" w:ascii="Times New Roman" w:hAnsi="Times New Roman" w:eastAsia="宋体" w:cs="Times New Roman"/>
          <w:b/>
          <w:bCs/>
          <w:kern w:val="2"/>
          <w:sz w:val="21"/>
          <w:szCs w:val="21"/>
          <w:lang w:val="en-US" w:eastAsia="zh-CN" w:bidi="ar-SA"/>
        </w:rPr>
        <w:t>L</w:t>
      </w:r>
      <w:r>
        <w:rPr>
          <w:rFonts w:ascii="Times New Roman" w:hAnsi="Times New Roman" w:eastAsia="宋体" w:cs="Times New Roman"/>
          <w:b/>
          <w:bCs/>
          <w:kern w:val="2"/>
          <w:sz w:val="21"/>
          <w:szCs w:val="21"/>
          <w:lang w:val="en-US" w:eastAsia="zh-CN" w:bidi="ar-SA"/>
        </w:rPr>
        <w:t>，除pH外</w:t>
      </w:r>
      <w:bookmarkStart w:id="410" w:name="_Toc293492841"/>
      <w:r>
        <w:rPr>
          <w:rFonts w:ascii="Times New Roman" w:hAnsi="Times New Roman" w:eastAsia="宋体" w:cs="Times New Roman"/>
          <w:b/>
          <w:bCs/>
          <w:kern w:val="2"/>
          <w:sz w:val="21"/>
          <w:szCs w:val="21"/>
          <w:lang w:val="en-US" w:eastAsia="zh-CN" w:bidi="ar-SA"/>
        </w:rPr>
        <w:t>）</w:t>
      </w:r>
    </w:p>
    <w:bookmarkEnd w:id="410"/>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165"/>
        <w:gridCol w:w="4019"/>
        <w:gridCol w:w="33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5" w:type="dxa"/>
            <w:noWrap w:val="0"/>
            <w:vAlign w:val="center"/>
          </w:tcPr>
          <w:p>
            <w:pPr>
              <w:pStyle w:val="26"/>
              <w:bidi w:val="0"/>
              <w:rPr>
                <w:lang w:val="en-US" w:eastAsia="zh-CN"/>
              </w:rPr>
            </w:pPr>
            <w:r>
              <w:rPr>
                <w:lang w:val="en-US" w:eastAsia="zh-CN"/>
              </w:rPr>
              <w:t>序号</w:t>
            </w:r>
          </w:p>
        </w:tc>
        <w:tc>
          <w:tcPr>
            <w:tcW w:w="4019" w:type="dxa"/>
            <w:noWrap w:val="0"/>
            <w:vAlign w:val="center"/>
          </w:tcPr>
          <w:p>
            <w:pPr>
              <w:pStyle w:val="26"/>
              <w:bidi w:val="0"/>
              <w:rPr>
                <w:lang w:val="en-US" w:eastAsia="zh-CN"/>
              </w:rPr>
            </w:pPr>
            <w:r>
              <w:rPr>
                <w:lang w:val="en-US" w:eastAsia="zh-CN"/>
              </w:rPr>
              <w:t>项目</w:t>
            </w:r>
          </w:p>
        </w:tc>
        <w:tc>
          <w:tcPr>
            <w:tcW w:w="3320" w:type="dxa"/>
            <w:noWrap w:val="0"/>
            <w:vAlign w:val="center"/>
          </w:tcPr>
          <w:p>
            <w:pPr>
              <w:pStyle w:val="26"/>
              <w:bidi w:val="0"/>
              <w:rPr>
                <w:rFonts w:hint="eastAsia"/>
                <w:lang w:val="en-US" w:eastAsia="zh-CN"/>
              </w:rPr>
            </w:pPr>
            <w:r>
              <w:rPr>
                <w:lang w:val="en-US" w:eastAsia="zh-CN"/>
              </w:rPr>
              <w:t>GB3838-2002Ⅲ类</w:t>
            </w:r>
            <w:r>
              <w:rPr>
                <w:rFonts w:hint="eastAsia"/>
                <w:lang w:val="en-US" w:eastAsia="zh-CN"/>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5" w:type="dxa"/>
            <w:noWrap w:val="0"/>
            <w:vAlign w:val="center"/>
          </w:tcPr>
          <w:p>
            <w:pPr>
              <w:pStyle w:val="26"/>
              <w:bidi w:val="0"/>
              <w:rPr>
                <w:lang w:val="en-US" w:eastAsia="zh-CN"/>
              </w:rPr>
            </w:pPr>
            <w:r>
              <w:rPr>
                <w:lang w:val="en-US" w:eastAsia="zh-CN"/>
              </w:rPr>
              <w:t>1</w:t>
            </w:r>
          </w:p>
        </w:tc>
        <w:tc>
          <w:tcPr>
            <w:tcW w:w="4019" w:type="dxa"/>
            <w:noWrap w:val="0"/>
            <w:vAlign w:val="center"/>
          </w:tcPr>
          <w:p>
            <w:pPr>
              <w:pStyle w:val="26"/>
              <w:bidi w:val="0"/>
              <w:rPr>
                <w:lang w:val="en-US" w:eastAsia="zh-CN"/>
              </w:rPr>
            </w:pPr>
            <w:r>
              <w:rPr>
                <w:lang w:val="en-US" w:eastAsia="zh-CN"/>
              </w:rPr>
              <w:t>pH</w:t>
            </w:r>
          </w:p>
        </w:tc>
        <w:tc>
          <w:tcPr>
            <w:tcW w:w="3320" w:type="dxa"/>
            <w:noWrap w:val="0"/>
            <w:vAlign w:val="center"/>
          </w:tcPr>
          <w:p>
            <w:pPr>
              <w:pStyle w:val="26"/>
              <w:bidi w:val="0"/>
              <w:rPr>
                <w:lang w:val="en-US" w:eastAsia="zh-CN"/>
              </w:rPr>
            </w:pPr>
            <w:r>
              <w:rPr>
                <w:lang w:val="en-US" w:eastAsia="zh-CN"/>
              </w:rPr>
              <w:t>6</w:t>
            </w:r>
            <w:r>
              <w:rPr>
                <w:rFonts w:hint="eastAsia"/>
                <w:lang w:val="en-US" w:eastAsia="zh-CN"/>
              </w:rPr>
              <w:t>~</w:t>
            </w:r>
            <w:r>
              <w:rPr>
                <w:lang w:val="en-US" w:eastAsia="zh-CN"/>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5" w:type="dxa"/>
            <w:noWrap w:val="0"/>
            <w:vAlign w:val="center"/>
          </w:tcPr>
          <w:p>
            <w:pPr>
              <w:pStyle w:val="26"/>
              <w:bidi w:val="0"/>
              <w:rPr>
                <w:lang w:val="en-US" w:eastAsia="zh-CN"/>
              </w:rPr>
            </w:pPr>
            <w:r>
              <w:rPr>
                <w:lang w:val="en-US" w:eastAsia="zh-CN"/>
              </w:rPr>
              <w:t>2</w:t>
            </w:r>
          </w:p>
        </w:tc>
        <w:tc>
          <w:tcPr>
            <w:tcW w:w="4019" w:type="dxa"/>
            <w:noWrap w:val="0"/>
            <w:vAlign w:val="center"/>
          </w:tcPr>
          <w:p>
            <w:pPr>
              <w:pStyle w:val="26"/>
              <w:bidi w:val="0"/>
              <w:rPr>
                <w:rFonts w:hint="eastAsia"/>
                <w:lang w:val="en-US" w:eastAsia="zh-CN"/>
              </w:rPr>
            </w:pPr>
            <w:r>
              <w:rPr>
                <w:lang w:val="en-US" w:eastAsia="zh-CN"/>
              </w:rPr>
              <w:t>化学需氧量</w:t>
            </w:r>
          </w:p>
        </w:tc>
        <w:tc>
          <w:tcPr>
            <w:tcW w:w="3320" w:type="dxa"/>
            <w:noWrap w:val="0"/>
            <w:vAlign w:val="center"/>
          </w:tcPr>
          <w:p>
            <w:pPr>
              <w:pStyle w:val="26"/>
              <w:bidi w:val="0"/>
              <w:rPr>
                <w:lang w:val="en-US" w:eastAsia="zh-CN"/>
              </w:rPr>
            </w:pPr>
            <w:r>
              <w:rPr>
                <w:rFonts w:hint="eastAsia"/>
                <w:lang w:val="en-US" w:eastAsia="zh-CN"/>
              </w:rPr>
              <w:t>≦</w:t>
            </w:r>
            <w:r>
              <w:rPr>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5" w:type="dxa"/>
            <w:noWrap w:val="0"/>
            <w:vAlign w:val="center"/>
          </w:tcPr>
          <w:p>
            <w:pPr>
              <w:pStyle w:val="26"/>
              <w:bidi w:val="0"/>
              <w:rPr>
                <w:lang w:val="en-US" w:eastAsia="zh-CN"/>
              </w:rPr>
            </w:pPr>
            <w:r>
              <w:rPr>
                <w:lang w:val="en-US" w:eastAsia="zh-CN"/>
              </w:rPr>
              <w:t>3</w:t>
            </w:r>
          </w:p>
        </w:tc>
        <w:tc>
          <w:tcPr>
            <w:tcW w:w="4019" w:type="dxa"/>
            <w:noWrap w:val="0"/>
            <w:vAlign w:val="center"/>
          </w:tcPr>
          <w:p>
            <w:pPr>
              <w:pStyle w:val="26"/>
              <w:bidi w:val="0"/>
              <w:rPr>
                <w:rFonts w:hint="eastAsia"/>
                <w:lang w:val="en-US" w:eastAsia="zh-CN"/>
              </w:rPr>
            </w:pPr>
            <w:r>
              <w:rPr>
                <w:lang w:val="en-US" w:eastAsia="zh-CN"/>
              </w:rPr>
              <w:t>五日生化需氧量</w:t>
            </w:r>
          </w:p>
        </w:tc>
        <w:tc>
          <w:tcPr>
            <w:tcW w:w="3320" w:type="dxa"/>
            <w:noWrap w:val="0"/>
            <w:vAlign w:val="center"/>
          </w:tcPr>
          <w:p>
            <w:pPr>
              <w:pStyle w:val="26"/>
              <w:bidi w:val="0"/>
              <w:rPr>
                <w:lang w:val="en-US" w:eastAsia="zh-CN"/>
              </w:rPr>
            </w:pPr>
            <w:r>
              <w:rPr>
                <w:rFonts w:hint="eastAsia"/>
                <w:lang w:val="en-US" w:eastAsia="zh-CN"/>
              </w:rPr>
              <w:t>≦</w:t>
            </w:r>
            <w:r>
              <w:rPr>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5" w:type="dxa"/>
            <w:noWrap w:val="0"/>
            <w:vAlign w:val="center"/>
          </w:tcPr>
          <w:p>
            <w:pPr>
              <w:pStyle w:val="26"/>
              <w:bidi w:val="0"/>
              <w:rPr>
                <w:lang w:val="en-US" w:eastAsia="zh-CN"/>
              </w:rPr>
            </w:pPr>
            <w:r>
              <w:rPr>
                <w:lang w:val="en-US" w:eastAsia="zh-CN"/>
              </w:rPr>
              <w:t>4</w:t>
            </w:r>
          </w:p>
        </w:tc>
        <w:tc>
          <w:tcPr>
            <w:tcW w:w="4019" w:type="dxa"/>
            <w:noWrap w:val="0"/>
            <w:vAlign w:val="center"/>
          </w:tcPr>
          <w:p>
            <w:pPr>
              <w:pStyle w:val="26"/>
              <w:bidi w:val="0"/>
              <w:rPr>
                <w:rFonts w:hint="eastAsia"/>
                <w:lang w:val="en-US" w:eastAsia="zh-CN"/>
              </w:rPr>
            </w:pPr>
            <w:r>
              <w:rPr>
                <w:lang w:val="en-US" w:eastAsia="zh-CN"/>
              </w:rPr>
              <w:t>氨氮</w:t>
            </w:r>
          </w:p>
        </w:tc>
        <w:tc>
          <w:tcPr>
            <w:tcW w:w="3320" w:type="dxa"/>
            <w:noWrap w:val="0"/>
            <w:vAlign w:val="center"/>
          </w:tcPr>
          <w:p>
            <w:pPr>
              <w:pStyle w:val="26"/>
              <w:bidi w:val="0"/>
              <w:rPr>
                <w:lang w:val="en-US" w:eastAsia="zh-CN"/>
              </w:rPr>
            </w:pPr>
            <w:r>
              <w:rPr>
                <w:rFonts w:hint="eastAsia"/>
                <w:lang w:val="en-US" w:eastAsia="zh-CN"/>
              </w:rPr>
              <w:t>≦</w:t>
            </w:r>
            <w:r>
              <w:rPr>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5" w:type="dxa"/>
            <w:noWrap w:val="0"/>
            <w:vAlign w:val="center"/>
          </w:tcPr>
          <w:p>
            <w:pPr>
              <w:pStyle w:val="26"/>
              <w:bidi w:val="0"/>
              <w:rPr>
                <w:lang w:val="en-US" w:eastAsia="zh-CN"/>
              </w:rPr>
            </w:pPr>
            <w:r>
              <w:rPr>
                <w:lang w:val="en-US" w:eastAsia="zh-CN"/>
              </w:rPr>
              <w:t>5</w:t>
            </w:r>
          </w:p>
        </w:tc>
        <w:tc>
          <w:tcPr>
            <w:tcW w:w="4019" w:type="dxa"/>
            <w:noWrap w:val="0"/>
            <w:vAlign w:val="center"/>
          </w:tcPr>
          <w:p>
            <w:pPr>
              <w:pStyle w:val="26"/>
              <w:bidi w:val="0"/>
              <w:rPr>
                <w:rFonts w:hint="eastAsia"/>
                <w:lang w:val="en-US" w:eastAsia="zh-CN"/>
              </w:rPr>
            </w:pPr>
            <w:r>
              <w:rPr>
                <w:lang w:val="en-US" w:eastAsia="zh-CN"/>
              </w:rPr>
              <w:t>石油类</w:t>
            </w:r>
          </w:p>
        </w:tc>
        <w:tc>
          <w:tcPr>
            <w:tcW w:w="3320" w:type="dxa"/>
            <w:noWrap w:val="0"/>
            <w:vAlign w:val="center"/>
          </w:tcPr>
          <w:p>
            <w:pPr>
              <w:pStyle w:val="26"/>
              <w:bidi w:val="0"/>
              <w:rPr>
                <w:lang w:val="en-US" w:eastAsia="zh-CN"/>
              </w:rPr>
            </w:pPr>
            <w:r>
              <w:rPr>
                <w:rFonts w:hint="eastAsia"/>
                <w:lang w:val="en-US" w:eastAsia="zh-CN"/>
              </w:rPr>
              <w:t>≦</w:t>
            </w:r>
            <w:r>
              <w:rPr>
                <w:lang w:val="en-US" w:eastAsia="zh-CN"/>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5" w:type="dxa"/>
            <w:noWrap w:val="0"/>
            <w:vAlign w:val="center"/>
          </w:tcPr>
          <w:p>
            <w:pPr>
              <w:pStyle w:val="26"/>
              <w:bidi w:val="0"/>
              <w:rPr>
                <w:lang w:val="en-US" w:eastAsia="zh-CN"/>
              </w:rPr>
            </w:pPr>
            <w:r>
              <w:rPr>
                <w:lang w:val="en-US" w:eastAsia="zh-CN"/>
              </w:rPr>
              <w:t>6</w:t>
            </w:r>
          </w:p>
        </w:tc>
        <w:tc>
          <w:tcPr>
            <w:tcW w:w="4019" w:type="dxa"/>
            <w:noWrap w:val="0"/>
            <w:vAlign w:val="center"/>
          </w:tcPr>
          <w:p>
            <w:pPr>
              <w:pStyle w:val="26"/>
              <w:bidi w:val="0"/>
              <w:rPr>
                <w:rFonts w:hint="eastAsia"/>
                <w:lang w:val="en-US" w:eastAsia="zh-CN"/>
              </w:rPr>
            </w:pPr>
            <w:r>
              <w:rPr>
                <w:lang w:val="en-US" w:eastAsia="zh-CN"/>
              </w:rPr>
              <w:t>总磷</w:t>
            </w:r>
          </w:p>
        </w:tc>
        <w:tc>
          <w:tcPr>
            <w:tcW w:w="3320" w:type="dxa"/>
            <w:noWrap w:val="0"/>
            <w:vAlign w:val="center"/>
          </w:tcPr>
          <w:p>
            <w:pPr>
              <w:pStyle w:val="26"/>
              <w:bidi w:val="0"/>
              <w:rPr>
                <w:lang w:val="en-US" w:eastAsia="zh-CN"/>
              </w:rPr>
            </w:pPr>
            <w:r>
              <w:rPr>
                <w:rFonts w:hint="eastAsia"/>
                <w:lang w:val="en-US" w:eastAsia="zh-CN"/>
              </w:rPr>
              <w:t>≦</w:t>
            </w:r>
            <w:r>
              <w:rPr>
                <w:lang w:val="en-US" w:eastAsia="zh-CN"/>
              </w:rPr>
              <w:t>0.2</w:t>
            </w:r>
            <w:r>
              <w:rPr>
                <w:rFonts w:hint="eastAsia"/>
                <w:lang w:val="en-US" w:eastAsia="zh-CN"/>
              </w:rPr>
              <w:t>（湖、库0.05）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5" w:type="dxa"/>
            <w:noWrap w:val="0"/>
            <w:vAlign w:val="center"/>
          </w:tcPr>
          <w:p>
            <w:pPr>
              <w:pStyle w:val="26"/>
              <w:bidi w:val="0"/>
              <w:rPr>
                <w:rFonts w:hint="eastAsia"/>
                <w:lang w:val="en-US" w:eastAsia="zh-CN"/>
              </w:rPr>
            </w:pPr>
            <w:r>
              <w:rPr>
                <w:rFonts w:hint="eastAsia"/>
                <w:lang w:val="en-US" w:eastAsia="zh-CN"/>
              </w:rPr>
              <w:t>7</w:t>
            </w:r>
          </w:p>
        </w:tc>
        <w:tc>
          <w:tcPr>
            <w:tcW w:w="4019" w:type="dxa"/>
            <w:noWrap w:val="0"/>
            <w:vAlign w:val="center"/>
          </w:tcPr>
          <w:p>
            <w:pPr>
              <w:pStyle w:val="26"/>
              <w:bidi w:val="0"/>
              <w:rPr>
                <w:rFonts w:hint="eastAsia"/>
                <w:lang w:val="en-US" w:eastAsia="zh-CN"/>
              </w:rPr>
            </w:pPr>
            <w:r>
              <w:rPr>
                <w:rFonts w:hint="eastAsia"/>
                <w:lang w:val="en-US" w:eastAsia="zh-CN"/>
              </w:rPr>
              <w:t>溶解氧</w:t>
            </w:r>
          </w:p>
        </w:tc>
        <w:tc>
          <w:tcPr>
            <w:tcW w:w="3320" w:type="dxa"/>
            <w:noWrap w:val="0"/>
            <w:vAlign w:val="center"/>
          </w:tcPr>
          <w:p>
            <w:pPr>
              <w:pStyle w:val="26"/>
              <w:bidi w:val="0"/>
              <w:rPr>
                <w:rFonts w:hint="default"/>
                <w:lang w:val="en-US" w:eastAsia="zh-CN"/>
              </w:rPr>
            </w:pPr>
            <w:r>
              <w:rPr>
                <w:rFonts w:hint="eastAsia"/>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5" w:type="dxa"/>
            <w:noWrap w:val="0"/>
            <w:vAlign w:val="center"/>
          </w:tcPr>
          <w:p>
            <w:pPr>
              <w:pStyle w:val="26"/>
              <w:bidi w:val="0"/>
              <w:rPr>
                <w:rFonts w:hint="eastAsia"/>
                <w:lang w:val="en-US" w:eastAsia="zh-CN"/>
              </w:rPr>
            </w:pPr>
            <w:r>
              <w:rPr>
                <w:rFonts w:hint="eastAsia"/>
                <w:lang w:val="en-US" w:eastAsia="zh-CN"/>
              </w:rPr>
              <w:t>8</w:t>
            </w:r>
          </w:p>
        </w:tc>
        <w:tc>
          <w:tcPr>
            <w:tcW w:w="4019" w:type="dxa"/>
            <w:noWrap w:val="0"/>
            <w:vAlign w:val="center"/>
          </w:tcPr>
          <w:p>
            <w:pPr>
              <w:pStyle w:val="26"/>
              <w:bidi w:val="0"/>
              <w:rPr>
                <w:rFonts w:hint="eastAsia"/>
                <w:lang w:val="en-US" w:eastAsia="zh-CN"/>
              </w:rPr>
            </w:pPr>
            <w:r>
              <w:rPr>
                <w:rFonts w:hint="eastAsia"/>
                <w:lang w:val="en-US" w:eastAsia="zh-CN"/>
              </w:rPr>
              <w:t>粪大肠菌群（个/L）</w:t>
            </w:r>
          </w:p>
        </w:tc>
        <w:tc>
          <w:tcPr>
            <w:tcW w:w="3320" w:type="dxa"/>
            <w:noWrap w:val="0"/>
            <w:vAlign w:val="center"/>
          </w:tcPr>
          <w:p>
            <w:pPr>
              <w:pStyle w:val="26"/>
              <w:bidi w:val="0"/>
              <w:rPr>
                <w:rFonts w:hint="default"/>
                <w:lang w:val="en-US" w:eastAsia="zh-CN"/>
              </w:rPr>
            </w:pPr>
            <w:r>
              <w:rPr>
                <w:rFonts w:hint="eastAsia"/>
                <w:lang w:val="en-US" w:eastAsia="zh-CN"/>
              </w:rPr>
              <w:t>≦10000</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numPr>
          <w:ilvl w:val="0"/>
          <w:numId w:val="7"/>
        </w:numPr>
        <w:bidi w:val="0"/>
        <w:spacing w:line="360" w:lineRule="auto"/>
        <w:ind w:left="0" w:leftChars="0"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声环境：项目位于</w:t>
      </w:r>
      <w:r>
        <w:rPr>
          <w:rFonts w:hint="eastAsia" w:ascii="Times New Roman" w:hAnsi="Times New Roman" w:eastAsia="宋体" w:cs="宋体"/>
          <w:kern w:val="2"/>
          <w:sz w:val="24"/>
          <w:szCs w:val="24"/>
          <w:lang w:val="en-US" w:eastAsia="zh-CN" w:bidi="ar-SA"/>
        </w:rPr>
        <w:t>工业园</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四</w:t>
      </w:r>
      <w:r>
        <w:rPr>
          <w:rFonts w:ascii="Times New Roman" w:hAnsi="Times New Roman" w:eastAsia="宋体" w:cs="宋体"/>
          <w:kern w:val="2"/>
          <w:sz w:val="24"/>
          <w:szCs w:val="24"/>
          <w:lang w:val="en-US" w:eastAsia="zh-CN" w:bidi="ar-SA"/>
        </w:rPr>
        <w:t>界执行《声环境质量标准》（GB3096-2008）表1中的</w:t>
      </w:r>
      <w:r>
        <w:rPr>
          <w:rFonts w:hint="eastAsia" w:ascii="Times New Roman" w:hAnsi="Times New Roman" w:eastAsia="宋体" w:cs="宋体"/>
          <w:kern w:val="2"/>
          <w:sz w:val="24"/>
          <w:szCs w:val="24"/>
          <w:lang w:val="en-US" w:eastAsia="zh-CN" w:bidi="ar-SA"/>
        </w:rPr>
        <w:t>3</w:t>
      </w:r>
      <w:r>
        <w:rPr>
          <w:rFonts w:ascii="Times New Roman" w:hAnsi="Times New Roman" w:eastAsia="宋体" w:cs="宋体"/>
          <w:kern w:val="2"/>
          <w:sz w:val="24"/>
          <w:szCs w:val="24"/>
          <w:lang w:val="en-US" w:eastAsia="zh-CN" w:bidi="ar-SA"/>
        </w:rPr>
        <w:t>类标准。声环境质量评价标准</w:t>
      </w:r>
      <w:r>
        <w:rPr>
          <w:rFonts w:hint="eastAsia" w:ascii="Times New Roman" w:hAnsi="Times New Roman" w:eastAsia="宋体" w:cs="宋体"/>
          <w:kern w:val="2"/>
          <w:sz w:val="24"/>
          <w:szCs w:val="24"/>
          <w:lang w:val="en-US" w:eastAsia="zh-CN" w:bidi="ar-SA"/>
        </w:rPr>
        <w:t>见</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_Ref13004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6</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6</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声环境质量评价标准</w:t>
      </w:r>
    </w:p>
    <w:tbl>
      <w:tblPr>
        <w:tblStyle w:val="22"/>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629"/>
        <w:gridCol w:w="941"/>
        <w:gridCol w:w="1039"/>
        <w:gridCol w:w="565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29" w:type="dxa"/>
            <w:vMerge w:val="restart"/>
            <w:noWrap w:val="0"/>
            <w:vAlign w:val="center"/>
          </w:tcPr>
          <w:p>
            <w:pPr>
              <w:pStyle w:val="26"/>
              <w:bidi w:val="0"/>
              <w:rPr>
                <w:lang w:val="en-US" w:eastAsia="zh-CN"/>
              </w:rPr>
            </w:pPr>
            <w:bookmarkStart w:id="411" w:name="_Ref13004"/>
            <w:r>
              <w:rPr>
                <w:lang w:val="en-US" w:eastAsia="zh-CN"/>
              </w:rPr>
              <w:t>区域</w:t>
            </w:r>
          </w:p>
        </w:tc>
        <w:tc>
          <w:tcPr>
            <w:tcW w:w="1980" w:type="dxa"/>
            <w:gridSpan w:val="2"/>
            <w:noWrap w:val="0"/>
            <w:vAlign w:val="center"/>
          </w:tcPr>
          <w:p>
            <w:pPr>
              <w:pStyle w:val="26"/>
              <w:bidi w:val="0"/>
            </w:pPr>
            <w:r>
              <w:t>标准值（dB(A)）</w:t>
            </w:r>
          </w:p>
        </w:tc>
        <w:tc>
          <w:tcPr>
            <w:tcW w:w="5657" w:type="dxa"/>
            <w:vMerge w:val="restart"/>
            <w:noWrap w:val="0"/>
            <w:vAlign w:val="center"/>
          </w:tcPr>
          <w:p>
            <w:pPr>
              <w:pStyle w:val="26"/>
              <w:bidi w:val="0"/>
            </w:pPr>
            <w:r>
              <w:t>评价标准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29" w:type="dxa"/>
            <w:vMerge w:val="continue"/>
            <w:noWrap w:val="0"/>
            <w:vAlign w:val="center"/>
          </w:tcPr>
          <w:p>
            <w:pPr>
              <w:pStyle w:val="26"/>
              <w:bidi w:val="0"/>
            </w:pPr>
          </w:p>
        </w:tc>
        <w:tc>
          <w:tcPr>
            <w:tcW w:w="941" w:type="dxa"/>
            <w:noWrap w:val="0"/>
            <w:vAlign w:val="center"/>
          </w:tcPr>
          <w:p>
            <w:pPr>
              <w:pStyle w:val="26"/>
              <w:bidi w:val="0"/>
            </w:pPr>
            <w:r>
              <w:t>昼间</w:t>
            </w:r>
          </w:p>
        </w:tc>
        <w:tc>
          <w:tcPr>
            <w:tcW w:w="1039" w:type="dxa"/>
            <w:noWrap w:val="0"/>
            <w:vAlign w:val="center"/>
          </w:tcPr>
          <w:p>
            <w:pPr>
              <w:pStyle w:val="26"/>
              <w:bidi w:val="0"/>
            </w:pPr>
            <w:r>
              <w:t>夜间</w:t>
            </w:r>
          </w:p>
        </w:tc>
        <w:tc>
          <w:tcPr>
            <w:tcW w:w="5657" w:type="dxa"/>
            <w:vMerge w:val="continue"/>
            <w:noWrap w:val="0"/>
            <w:vAlign w:val="center"/>
          </w:tcPr>
          <w:p>
            <w:pPr>
              <w:pStyle w:val="26"/>
              <w:bidi w:val="0"/>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629" w:type="dxa"/>
            <w:noWrap w:val="0"/>
            <w:vAlign w:val="center"/>
          </w:tcPr>
          <w:p>
            <w:pPr>
              <w:pStyle w:val="26"/>
              <w:bidi w:val="0"/>
            </w:pPr>
            <w:r>
              <w:t>厂界</w:t>
            </w:r>
          </w:p>
        </w:tc>
        <w:tc>
          <w:tcPr>
            <w:tcW w:w="941" w:type="dxa"/>
            <w:noWrap w:val="0"/>
            <w:vAlign w:val="center"/>
          </w:tcPr>
          <w:p>
            <w:pPr>
              <w:pStyle w:val="26"/>
              <w:bidi w:val="0"/>
              <w:rPr>
                <w:rFonts w:hint="eastAsia"/>
              </w:rPr>
            </w:pPr>
            <w:r>
              <w:t>6</w:t>
            </w:r>
            <w:r>
              <w:rPr>
                <w:rFonts w:hint="eastAsia"/>
              </w:rPr>
              <w:t>5</w:t>
            </w:r>
          </w:p>
        </w:tc>
        <w:tc>
          <w:tcPr>
            <w:tcW w:w="1039" w:type="dxa"/>
            <w:noWrap w:val="0"/>
            <w:vAlign w:val="center"/>
          </w:tcPr>
          <w:p>
            <w:pPr>
              <w:pStyle w:val="26"/>
              <w:bidi w:val="0"/>
              <w:rPr>
                <w:rFonts w:hint="eastAsia"/>
              </w:rPr>
            </w:pPr>
            <w:r>
              <w:t>5</w:t>
            </w:r>
            <w:r>
              <w:rPr>
                <w:rFonts w:hint="eastAsia"/>
              </w:rPr>
              <w:t>5</w:t>
            </w:r>
          </w:p>
        </w:tc>
        <w:tc>
          <w:tcPr>
            <w:tcW w:w="5657" w:type="dxa"/>
            <w:noWrap w:val="0"/>
            <w:vAlign w:val="center"/>
          </w:tcPr>
          <w:p>
            <w:pPr>
              <w:pStyle w:val="26"/>
              <w:bidi w:val="0"/>
            </w:pPr>
            <w:r>
              <w:t>《声环境质量标准》（GB3096-2008）表1中</w:t>
            </w:r>
            <w:r>
              <w:rPr>
                <w:rFonts w:hint="eastAsia"/>
              </w:rPr>
              <w:t>3</w:t>
            </w:r>
            <w:r>
              <w:t>类</w:t>
            </w:r>
          </w:p>
        </w:tc>
      </w:tr>
      <w:bookmarkEnd w:id="411"/>
    </w:tbl>
    <w:p/>
    <w:p>
      <w:pPr>
        <w:pStyle w:val="25"/>
        <w:numPr>
          <w:ilvl w:val="0"/>
          <w:numId w:val="7"/>
        </w:numPr>
        <w:bidi w:val="0"/>
        <w:rPr>
          <w:rFonts w:hint="eastAsia"/>
          <w:lang w:val="en-US" w:eastAsia="zh-CN"/>
        </w:rPr>
      </w:pPr>
      <w:r>
        <w:rPr>
          <w:lang w:val="en-US" w:eastAsia="zh-CN"/>
        </w:rPr>
        <w:t>地下水环境：项目所在地地下水主要功能为农业用水，执行《地下水质量标准》（GB/T14848-2017）III类标准。地下水环境质量标准</w:t>
      </w:r>
      <w:r>
        <w:rPr>
          <w:rFonts w:hint="eastAsia"/>
          <w:lang w:val="en-US" w:eastAsia="zh-CN"/>
        </w:rPr>
        <w:t>见</w:t>
      </w:r>
      <w:r>
        <w:rPr>
          <w:rFonts w:hint="eastAsia"/>
          <w:lang w:val="en-US" w:eastAsia="zh-CN"/>
        </w:rPr>
        <w:fldChar w:fldCharType="begin"/>
      </w:r>
      <w:r>
        <w:rPr>
          <w:rFonts w:hint="eastAsia"/>
          <w:lang w:val="en-US" w:eastAsia="zh-CN"/>
        </w:rPr>
        <w:instrText xml:space="preserve"> REF _Ref13680 \h </w:instrText>
      </w:r>
      <w:r>
        <w:rPr>
          <w:rFonts w:hint="eastAsia"/>
          <w:lang w:val="en-US" w:eastAsia="zh-CN"/>
        </w:rPr>
        <w:fldChar w:fldCharType="separate"/>
      </w:r>
      <w:r>
        <w:rPr>
          <w:lang w:val="en-US" w:eastAsia="zh-CN"/>
        </w:rPr>
        <w:t xml:space="preserve">表 </w:t>
      </w:r>
      <w:r>
        <w:rPr>
          <w:lang w:val="en-US" w:eastAsia="zh-CN"/>
        </w:rPr>
        <w:fldChar w:fldCharType="begin"/>
      </w:r>
      <w:r>
        <w:rPr>
          <w:lang w:val="en-US" w:eastAsia="zh-CN"/>
        </w:rPr>
        <w:instrText xml:space="preserve"> STYLEREF 1 \s </w:instrText>
      </w:r>
      <w:r>
        <w:rPr>
          <w:lang w:val="en-US" w:eastAsia="zh-CN"/>
        </w:rPr>
        <w:fldChar w:fldCharType="separate"/>
      </w:r>
      <w:r>
        <w:rPr>
          <w:lang w:val="en-US" w:eastAsia="zh-CN"/>
        </w:rPr>
        <w:t>2</w:t>
      </w:r>
      <w:r>
        <w:rPr>
          <w:lang w:val="en-US" w:eastAsia="zh-CN"/>
        </w:rPr>
        <w:fldChar w:fldCharType="end"/>
      </w:r>
      <w:r>
        <w:rPr>
          <w:rFonts w:hint="eastAsia"/>
          <w:lang w:val="en-US" w:eastAsia="zh-CN"/>
        </w:rPr>
        <w:t>-</w:t>
      </w:r>
      <w:r>
        <w:rPr>
          <w:lang w:val="en-US" w:eastAsia="zh-CN"/>
        </w:rPr>
        <w:t>7</w:t>
      </w:r>
      <w:r>
        <w:rPr>
          <w:rFonts w:hint="eastAsia"/>
          <w:lang w:val="en-US" w:eastAsia="zh-CN"/>
        </w:rPr>
        <w:fldChar w:fldCharType="end"/>
      </w:r>
      <w:r>
        <w:rPr>
          <w:rFonts w:hint="eastAsia"/>
          <w:lang w:val="en-US" w:eastAsia="zh-CN"/>
        </w:rPr>
        <w:t>。</w:t>
      </w:r>
      <w:bookmarkStart w:id="412" w:name="_Ref13680"/>
    </w:p>
    <w:p>
      <w:pPr>
        <w:pStyle w:val="12"/>
        <w:bidi w:val="0"/>
        <w:rPr>
          <w:rFonts w:hint="eastAsia"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7</w:t>
      </w:r>
      <w:r>
        <w:rPr>
          <w:rFonts w:ascii="Times New Roman" w:hAnsi="Times New Roman" w:eastAsia="宋体" w:cs="Times New Roman"/>
          <w:b/>
          <w:kern w:val="2"/>
          <w:sz w:val="21"/>
          <w:szCs w:val="21"/>
          <w:lang w:val="en-US" w:eastAsia="zh-CN" w:bidi="ar-SA"/>
        </w:rPr>
        <w:fldChar w:fldCharType="end"/>
      </w:r>
      <w:bookmarkEnd w:id="412"/>
      <w:r>
        <w:rPr>
          <w:rFonts w:ascii="Times New Roman" w:hAnsi="Times New Roman" w:eastAsia="宋体" w:cs="Times New Roman"/>
          <w:b/>
          <w:kern w:val="2"/>
          <w:sz w:val="21"/>
          <w:szCs w:val="21"/>
          <w:lang w:val="en-US" w:eastAsia="zh-CN" w:bidi="ar-SA"/>
        </w:rPr>
        <w:t>地下水环境质量标准(摘录)，单位：mg/</w:t>
      </w:r>
      <w:r>
        <w:rPr>
          <w:rFonts w:hint="eastAsia" w:ascii="Times New Roman" w:hAnsi="Times New Roman" w:eastAsia="宋体" w:cs="Times New Roman"/>
          <w:b/>
          <w:kern w:val="2"/>
          <w:sz w:val="21"/>
          <w:szCs w:val="21"/>
          <w:lang w:val="en-US" w:eastAsia="zh-CN" w:bidi="ar-SA"/>
        </w:rPr>
        <w:t>L</w:t>
      </w:r>
    </w:p>
    <w:tbl>
      <w:tblPr>
        <w:tblStyle w:val="2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58"/>
        <w:gridCol w:w="1194"/>
        <w:gridCol w:w="2053"/>
        <w:gridCol w:w="872"/>
        <w:gridCol w:w="1722"/>
        <w:gridCol w:w="193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58" w:type="dxa"/>
            <w:noWrap w:val="0"/>
            <w:vAlign w:val="center"/>
          </w:tcPr>
          <w:p>
            <w:pPr>
              <w:pStyle w:val="26"/>
              <w:bidi w:val="0"/>
              <w:rPr>
                <w:lang w:val="en-US" w:eastAsia="zh-CN"/>
              </w:rPr>
            </w:pPr>
            <w:r>
              <w:rPr>
                <w:lang w:val="en-US" w:eastAsia="zh-CN"/>
              </w:rPr>
              <w:t>序号</w:t>
            </w:r>
          </w:p>
        </w:tc>
        <w:tc>
          <w:tcPr>
            <w:tcW w:w="1194" w:type="dxa"/>
            <w:noWrap w:val="0"/>
            <w:vAlign w:val="center"/>
          </w:tcPr>
          <w:p>
            <w:pPr>
              <w:pStyle w:val="26"/>
              <w:bidi w:val="0"/>
              <w:rPr>
                <w:lang w:val="en-US" w:eastAsia="zh-CN"/>
              </w:rPr>
            </w:pPr>
            <w:r>
              <w:rPr>
                <w:lang w:val="en-US" w:eastAsia="zh-CN"/>
              </w:rPr>
              <w:t>项目</w:t>
            </w:r>
          </w:p>
        </w:tc>
        <w:tc>
          <w:tcPr>
            <w:tcW w:w="2053" w:type="dxa"/>
            <w:noWrap w:val="0"/>
            <w:vAlign w:val="center"/>
          </w:tcPr>
          <w:p>
            <w:pPr>
              <w:pStyle w:val="26"/>
              <w:bidi w:val="0"/>
              <w:rPr>
                <w:lang w:val="en-US" w:eastAsia="zh-CN"/>
              </w:rPr>
            </w:pPr>
            <w:r>
              <w:rPr>
                <w:lang w:val="en-US" w:eastAsia="zh-CN"/>
              </w:rPr>
              <w:t>GB/T14848-2017Ⅲ类标准</w:t>
            </w:r>
          </w:p>
        </w:tc>
        <w:tc>
          <w:tcPr>
            <w:tcW w:w="872" w:type="dxa"/>
            <w:noWrap w:val="0"/>
            <w:vAlign w:val="center"/>
          </w:tcPr>
          <w:p>
            <w:pPr>
              <w:pStyle w:val="26"/>
              <w:bidi w:val="0"/>
              <w:rPr>
                <w:lang w:val="en-US" w:eastAsia="zh-CN"/>
              </w:rPr>
            </w:pPr>
            <w:r>
              <w:rPr>
                <w:lang w:val="en-US" w:eastAsia="zh-CN"/>
              </w:rPr>
              <w:t>序号</w:t>
            </w:r>
          </w:p>
        </w:tc>
        <w:tc>
          <w:tcPr>
            <w:tcW w:w="1722" w:type="dxa"/>
            <w:noWrap w:val="0"/>
            <w:vAlign w:val="center"/>
          </w:tcPr>
          <w:p>
            <w:pPr>
              <w:pStyle w:val="26"/>
              <w:bidi w:val="0"/>
              <w:rPr>
                <w:lang w:val="en-US" w:eastAsia="zh-CN"/>
              </w:rPr>
            </w:pPr>
            <w:r>
              <w:rPr>
                <w:lang w:val="en-US" w:eastAsia="zh-CN"/>
              </w:rPr>
              <w:t>项目</w:t>
            </w:r>
          </w:p>
        </w:tc>
        <w:tc>
          <w:tcPr>
            <w:tcW w:w="1938" w:type="dxa"/>
            <w:noWrap w:val="0"/>
            <w:vAlign w:val="center"/>
          </w:tcPr>
          <w:p>
            <w:pPr>
              <w:pStyle w:val="26"/>
              <w:bidi w:val="0"/>
              <w:rPr>
                <w:lang w:val="en-US" w:eastAsia="zh-CN"/>
              </w:rPr>
            </w:pPr>
            <w:r>
              <w:rPr>
                <w:lang w:val="en-US" w:eastAsia="zh-CN"/>
              </w:rPr>
              <w:t>GB/T14848-2017Ⅲ类标准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58" w:type="dxa"/>
            <w:noWrap w:val="0"/>
            <w:vAlign w:val="center"/>
          </w:tcPr>
          <w:p>
            <w:pPr>
              <w:pStyle w:val="26"/>
              <w:bidi w:val="0"/>
              <w:rPr>
                <w:lang w:val="en-US" w:eastAsia="zh-CN"/>
              </w:rPr>
            </w:pPr>
            <w:r>
              <w:rPr>
                <w:lang w:val="en-US" w:eastAsia="zh-CN"/>
              </w:rPr>
              <w:t>1</w:t>
            </w:r>
          </w:p>
        </w:tc>
        <w:tc>
          <w:tcPr>
            <w:tcW w:w="1194" w:type="dxa"/>
            <w:noWrap w:val="0"/>
            <w:vAlign w:val="center"/>
          </w:tcPr>
          <w:p>
            <w:pPr>
              <w:pStyle w:val="26"/>
              <w:bidi w:val="0"/>
              <w:rPr>
                <w:lang w:val="en-US" w:eastAsia="zh-CN"/>
              </w:rPr>
            </w:pPr>
            <w:r>
              <w:rPr>
                <w:lang w:val="en-US" w:eastAsia="zh-CN"/>
              </w:rPr>
              <w:t>pH(无量纲)</w:t>
            </w:r>
          </w:p>
        </w:tc>
        <w:tc>
          <w:tcPr>
            <w:tcW w:w="2053" w:type="dxa"/>
            <w:noWrap w:val="0"/>
            <w:vAlign w:val="center"/>
          </w:tcPr>
          <w:p>
            <w:pPr>
              <w:pStyle w:val="26"/>
              <w:bidi w:val="0"/>
              <w:rPr>
                <w:lang w:val="en-US" w:eastAsia="zh-CN"/>
              </w:rPr>
            </w:pPr>
            <w:r>
              <w:rPr>
                <w:lang w:val="en-US" w:eastAsia="zh-CN"/>
              </w:rPr>
              <w:t>6.5-8.5</w:t>
            </w:r>
          </w:p>
        </w:tc>
        <w:tc>
          <w:tcPr>
            <w:tcW w:w="872" w:type="dxa"/>
            <w:noWrap w:val="0"/>
            <w:vAlign w:val="center"/>
          </w:tcPr>
          <w:p>
            <w:pPr>
              <w:pStyle w:val="26"/>
              <w:bidi w:val="0"/>
              <w:rPr>
                <w:rFonts w:hint="eastAsia"/>
                <w:lang w:val="en-US" w:eastAsia="zh-CN"/>
              </w:rPr>
            </w:pPr>
            <w:r>
              <w:rPr>
                <w:rFonts w:hint="eastAsia"/>
                <w:lang w:val="en-US" w:eastAsia="zh-CN"/>
              </w:rPr>
              <w:t>8</w:t>
            </w:r>
          </w:p>
        </w:tc>
        <w:tc>
          <w:tcPr>
            <w:tcW w:w="1722" w:type="dxa"/>
            <w:noWrap w:val="0"/>
            <w:vAlign w:val="center"/>
          </w:tcPr>
          <w:p>
            <w:pPr>
              <w:pStyle w:val="26"/>
              <w:bidi w:val="0"/>
              <w:rPr>
                <w:rFonts w:hint="eastAsia"/>
                <w:lang w:val="en-US" w:eastAsia="zh-CN"/>
              </w:rPr>
            </w:pPr>
            <w:r>
              <w:rPr>
                <w:rFonts w:hint="eastAsia"/>
                <w:lang w:val="en-US" w:eastAsia="zh-CN"/>
              </w:rPr>
              <w:t>铜</w:t>
            </w:r>
          </w:p>
        </w:tc>
        <w:tc>
          <w:tcPr>
            <w:tcW w:w="1938" w:type="dxa"/>
            <w:noWrap w:val="0"/>
            <w:vAlign w:val="center"/>
          </w:tcPr>
          <w:p>
            <w:pPr>
              <w:pStyle w:val="26"/>
              <w:bidi w:val="0"/>
              <w:rPr>
                <w:rFonts w:hint="default"/>
                <w:lang w:val="en-US" w:eastAsia="zh-CN"/>
              </w:rPr>
            </w:pPr>
            <w:r>
              <w:rPr>
                <w:rFonts w:hint="eastAsia"/>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58" w:type="dxa"/>
            <w:noWrap w:val="0"/>
            <w:vAlign w:val="center"/>
          </w:tcPr>
          <w:p>
            <w:pPr>
              <w:pStyle w:val="26"/>
              <w:bidi w:val="0"/>
              <w:rPr>
                <w:lang w:val="en-US" w:eastAsia="zh-CN"/>
              </w:rPr>
            </w:pPr>
            <w:r>
              <w:rPr>
                <w:lang w:val="en-US" w:eastAsia="zh-CN"/>
              </w:rPr>
              <w:t>2</w:t>
            </w:r>
          </w:p>
        </w:tc>
        <w:tc>
          <w:tcPr>
            <w:tcW w:w="1194" w:type="dxa"/>
            <w:noWrap w:val="0"/>
            <w:vAlign w:val="center"/>
          </w:tcPr>
          <w:p>
            <w:pPr>
              <w:pStyle w:val="26"/>
              <w:bidi w:val="0"/>
              <w:rPr>
                <w:lang w:val="en-US" w:eastAsia="zh-CN"/>
              </w:rPr>
            </w:pPr>
            <w:r>
              <w:rPr>
                <w:lang w:val="en-US" w:eastAsia="zh-CN"/>
              </w:rPr>
              <w:t>NH</w:t>
            </w:r>
            <w:r>
              <w:rPr>
                <w:vertAlign w:val="subscript"/>
                <w:lang w:val="en-US" w:eastAsia="zh-CN"/>
              </w:rPr>
              <w:t>3</w:t>
            </w:r>
            <w:r>
              <w:rPr>
                <w:lang w:val="en-US" w:eastAsia="zh-CN"/>
              </w:rPr>
              <w:t>-N</w:t>
            </w:r>
          </w:p>
        </w:tc>
        <w:tc>
          <w:tcPr>
            <w:tcW w:w="2053" w:type="dxa"/>
            <w:noWrap w:val="0"/>
            <w:vAlign w:val="center"/>
          </w:tcPr>
          <w:p>
            <w:pPr>
              <w:pStyle w:val="26"/>
              <w:bidi w:val="0"/>
              <w:rPr>
                <w:lang w:val="en-US" w:eastAsia="zh-CN"/>
              </w:rPr>
            </w:pPr>
            <w:r>
              <w:rPr>
                <w:rFonts w:hint="eastAsia"/>
                <w:lang w:val="en-US" w:eastAsia="zh-CN"/>
              </w:rPr>
              <w:t>≦</w:t>
            </w:r>
            <w:r>
              <w:rPr>
                <w:lang w:val="en-US" w:eastAsia="zh-CN"/>
              </w:rPr>
              <w:t>0.5</w:t>
            </w:r>
          </w:p>
        </w:tc>
        <w:tc>
          <w:tcPr>
            <w:tcW w:w="872" w:type="dxa"/>
            <w:noWrap w:val="0"/>
            <w:vAlign w:val="center"/>
          </w:tcPr>
          <w:p>
            <w:pPr>
              <w:pStyle w:val="26"/>
              <w:bidi w:val="0"/>
              <w:rPr>
                <w:rFonts w:hint="eastAsia"/>
                <w:lang w:val="en-US" w:eastAsia="zh-CN"/>
              </w:rPr>
            </w:pPr>
            <w:r>
              <w:rPr>
                <w:rFonts w:hint="eastAsia"/>
                <w:lang w:val="en-US" w:eastAsia="zh-CN"/>
              </w:rPr>
              <w:t>9</w:t>
            </w:r>
          </w:p>
        </w:tc>
        <w:tc>
          <w:tcPr>
            <w:tcW w:w="1722" w:type="dxa"/>
            <w:noWrap w:val="0"/>
            <w:vAlign w:val="center"/>
          </w:tcPr>
          <w:p>
            <w:pPr>
              <w:pStyle w:val="26"/>
              <w:bidi w:val="0"/>
              <w:rPr>
                <w:rFonts w:hint="eastAsia"/>
                <w:lang w:val="en-US" w:eastAsia="zh-CN"/>
              </w:rPr>
            </w:pPr>
            <w:r>
              <w:rPr>
                <w:rFonts w:hint="eastAsia"/>
                <w:lang w:val="en-US" w:eastAsia="zh-CN"/>
              </w:rPr>
              <w:t>铅</w:t>
            </w:r>
          </w:p>
        </w:tc>
        <w:tc>
          <w:tcPr>
            <w:tcW w:w="1938" w:type="dxa"/>
            <w:noWrap w:val="0"/>
            <w:vAlign w:val="center"/>
          </w:tcPr>
          <w:p>
            <w:pPr>
              <w:pStyle w:val="26"/>
              <w:bidi w:val="0"/>
              <w:rPr>
                <w:rFonts w:hint="default"/>
                <w:lang w:val="en-US" w:eastAsia="zh-CN"/>
              </w:rPr>
            </w:pPr>
            <w:r>
              <w:rPr>
                <w:rFonts w:hint="eastAsia"/>
                <w:lang w:val="en-US" w:eastAsia="zh-CN"/>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58" w:type="dxa"/>
            <w:noWrap w:val="0"/>
            <w:vAlign w:val="center"/>
          </w:tcPr>
          <w:p>
            <w:pPr>
              <w:pStyle w:val="26"/>
              <w:bidi w:val="0"/>
              <w:rPr>
                <w:rFonts w:hint="eastAsia"/>
                <w:lang w:val="en-US" w:eastAsia="zh-CN"/>
              </w:rPr>
            </w:pPr>
            <w:r>
              <w:rPr>
                <w:rFonts w:hint="eastAsia"/>
                <w:lang w:val="en-US" w:eastAsia="zh-CN"/>
              </w:rPr>
              <w:t>3</w:t>
            </w:r>
          </w:p>
        </w:tc>
        <w:tc>
          <w:tcPr>
            <w:tcW w:w="1194" w:type="dxa"/>
            <w:noWrap w:val="0"/>
            <w:vAlign w:val="center"/>
          </w:tcPr>
          <w:p>
            <w:pPr>
              <w:pStyle w:val="26"/>
              <w:bidi w:val="0"/>
              <w:rPr>
                <w:lang w:val="en-US" w:eastAsia="zh-CN"/>
              </w:rPr>
            </w:pPr>
            <w:r>
              <w:rPr>
                <w:lang w:val="en-US" w:eastAsia="zh-CN"/>
              </w:rPr>
              <w:t>溶解性总固体</w:t>
            </w:r>
          </w:p>
        </w:tc>
        <w:tc>
          <w:tcPr>
            <w:tcW w:w="2053" w:type="dxa"/>
            <w:noWrap w:val="0"/>
            <w:vAlign w:val="center"/>
          </w:tcPr>
          <w:p>
            <w:pPr>
              <w:pStyle w:val="26"/>
              <w:bidi w:val="0"/>
              <w:rPr>
                <w:lang w:val="en-US" w:eastAsia="zh-CN"/>
              </w:rPr>
            </w:pPr>
            <w:r>
              <w:rPr>
                <w:rFonts w:hint="eastAsia"/>
                <w:lang w:val="en-US" w:eastAsia="zh-CN"/>
              </w:rPr>
              <w:t>≦</w:t>
            </w:r>
            <w:r>
              <w:rPr>
                <w:lang w:val="en-US" w:eastAsia="zh-CN"/>
              </w:rPr>
              <w:t>1000</w:t>
            </w:r>
          </w:p>
        </w:tc>
        <w:tc>
          <w:tcPr>
            <w:tcW w:w="872" w:type="dxa"/>
            <w:noWrap w:val="0"/>
            <w:vAlign w:val="center"/>
          </w:tcPr>
          <w:p>
            <w:pPr>
              <w:pStyle w:val="26"/>
              <w:bidi w:val="0"/>
              <w:rPr>
                <w:rFonts w:hint="default"/>
                <w:lang w:val="en-US" w:eastAsia="zh-CN"/>
              </w:rPr>
            </w:pPr>
            <w:r>
              <w:rPr>
                <w:rFonts w:hint="eastAsia"/>
                <w:lang w:val="en-US" w:eastAsia="zh-CN"/>
              </w:rPr>
              <w:t>10</w:t>
            </w:r>
          </w:p>
        </w:tc>
        <w:tc>
          <w:tcPr>
            <w:tcW w:w="1722" w:type="dxa"/>
            <w:noWrap w:val="0"/>
            <w:vAlign w:val="center"/>
          </w:tcPr>
          <w:p>
            <w:pPr>
              <w:pStyle w:val="26"/>
              <w:bidi w:val="0"/>
              <w:rPr>
                <w:rFonts w:hint="eastAsia"/>
                <w:lang w:val="en-US" w:eastAsia="zh-CN"/>
              </w:rPr>
            </w:pPr>
            <w:r>
              <w:rPr>
                <w:rFonts w:hint="eastAsia"/>
                <w:lang w:val="en-US" w:eastAsia="zh-CN"/>
              </w:rPr>
              <w:t>锌</w:t>
            </w:r>
          </w:p>
        </w:tc>
        <w:tc>
          <w:tcPr>
            <w:tcW w:w="1938" w:type="dxa"/>
            <w:noWrap w:val="0"/>
            <w:vAlign w:val="center"/>
          </w:tcPr>
          <w:p>
            <w:pPr>
              <w:pStyle w:val="26"/>
              <w:bidi w:val="0"/>
              <w:rPr>
                <w:rFonts w:hint="default"/>
                <w:lang w:val="en-US" w:eastAsia="zh-CN"/>
              </w:rPr>
            </w:pPr>
            <w:r>
              <w:rPr>
                <w:rFonts w:hint="eastAsia"/>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58" w:type="dxa"/>
            <w:noWrap w:val="0"/>
            <w:vAlign w:val="center"/>
          </w:tcPr>
          <w:p>
            <w:pPr>
              <w:pStyle w:val="26"/>
              <w:bidi w:val="0"/>
              <w:rPr>
                <w:rFonts w:hint="eastAsia"/>
                <w:lang w:val="en-US" w:eastAsia="zh-CN"/>
              </w:rPr>
            </w:pPr>
            <w:r>
              <w:rPr>
                <w:rFonts w:hint="eastAsia"/>
                <w:lang w:val="en-US" w:eastAsia="zh-CN"/>
              </w:rPr>
              <w:t>4</w:t>
            </w:r>
          </w:p>
        </w:tc>
        <w:tc>
          <w:tcPr>
            <w:tcW w:w="1194" w:type="dxa"/>
            <w:noWrap w:val="0"/>
            <w:vAlign w:val="center"/>
          </w:tcPr>
          <w:p>
            <w:pPr>
              <w:pStyle w:val="26"/>
              <w:bidi w:val="0"/>
              <w:rPr>
                <w:lang w:val="en-US" w:eastAsia="zh-CN"/>
              </w:rPr>
            </w:pPr>
            <w:r>
              <w:rPr>
                <w:lang w:val="en-US" w:eastAsia="zh-CN"/>
              </w:rPr>
              <w:t>高锰酸盐指数</w:t>
            </w:r>
          </w:p>
        </w:tc>
        <w:tc>
          <w:tcPr>
            <w:tcW w:w="2053" w:type="dxa"/>
            <w:noWrap w:val="0"/>
            <w:vAlign w:val="center"/>
          </w:tcPr>
          <w:p>
            <w:pPr>
              <w:pStyle w:val="26"/>
              <w:bidi w:val="0"/>
              <w:rPr>
                <w:lang w:val="en-US" w:eastAsia="zh-CN"/>
              </w:rPr>
            </w:pPr>
            <w:r>
              <w:rPr>
                <w:rFonts w:hint="eastAsia"/>
                <w:lang w:val="en-US" w:eastAsia="zh-CN"/>
              </w:rPr>
              <w:t>≦</w:t>
            </w:r>
            <w:r>
              <w:rPr>
                <w:lang w:val="en-US" w:eastAsia="zh-CN"/>
              </w:rPr>
              <w:t>3.0</w:t>
            </w:r>
          </w:p>
        </w:tc>
        <w:tc>
          <w:tcPr>
            <w:tcW w:w="872" w:type="dxa"/>
            <w:noWrap w:val="0"/>
            <w:vAlign w:val="center"/>
          </w:tcPr>
          <w:p>
            <w:pPr>
              <w:pStyle w:val="26"/>
              <w:bidi w:val="0"/>
              <w:rPr>
                <w:rFonts w:hint="default"/>
                <w:lang w:val="en-US" w:eastAsia="zh-CN"/>
              </w:rPr>
            </w:pPr>
            <w:r>
              <w:rPr>
                <w:rFonts w:hint="eastAsia"/>
                <w:lang w:val="en-US" w:eastAsia="zh-CN"/>
              </w:rPr>
              <w:t>11</w:t>
            </w:r>
          </w:p>
        </w:tc>
        <w:tc>
          <w:tcPr>
            <w:tcW w:w="1722" w:type="dxa"/>
            <w:noWrap w:val="0"/>
            <w:vAlign w:val="center"/>
          </w:tcPr>
          <w:p>
            <w:pPr>
              <w:pStyle w:val="26"/>
              <w:bidi w:val="0"/>
              <w:rPr>
                <w:rFonts w:hint="eastAsia"/>
                <w:lang w:val="en-US" w:eastAsia="zh-CN"/>
              </w:rPr>
            </w:pPr>
            <w:r>
              <w:rPr>
                <w:rFonts w:hint="eastAsia"/>
                <w:lang w:val="en-US" w:eastAsia="zh-CN"/>
              </w:rPr>
              <w:t>镉</w:t>
            </w:r>
          </w:p>
        </w:tc>
        <w:tc>
          <w:tcPr>
            <w:tcW w:w="1938" w:type="dxa"/>
            <w:noWrap w:val="0"/>
            <w:vAlign w:val="center"/>
          </w:tcPr>
          <w:p>
            <w:pPr>
              <w:pStyle w:val="26"/>
              <w:bidi w:val="0"/>
              <w:rPr>
                <w:rFonts w:hint="default"/>
                <w:lang w:val="en-US" w:eastAsia="zh-CN"/>
              </w:rPr>
            </w:pPr>
            <w:r>
              <w:rPr>
                <w:rFonts w:hint="eastAsia"/>
                <w:lang w:val="en-US" w:eastAsia="zh-CN"/>
              </w:rPr>
              <w:t>≦0.005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58" w:type="dxa"/>
            <w:noWrap w:val="0"/>
            <w:vAlign w:val="center"/>
          </w:tcPr>
          <w:p>
            <w:pPr>
              <w:pStyle w:val="26"/>
              <w:bidi w:val="0"/>
              <w:rPr>
                <w:rFonts w:hint="eastAsia"/>
                <w:lang w:val="en-US" w:eastAsia="zh-CN"/>
              </w:rPr>
            </w:pPr>
            <w:r>
              <w:rPr>
                <w:rFonts w:hint="eastAsia"/>
                <w:lang w:val="en-US" w:eastAsia="zh-CN"/>
              </w:rPr>
              <w:t>5</w:t>
            </w:r>
          </w:p>
        </w:tc>
        <w:tc>
          <w:tcPr>
            <w:tcW w:w="1194" w:type="dxa"/>
            <w:noWrap w:val="0"/>
            <w:vAlign w:val="center"/>
          </w:tcPr>
          <w:p>
            <w:pPr>
              <w:pStyle w:val="26"/>
              <w:bidi w:val="0"/>
              <w:rPr>
                <w:lang w:val="en-US" w:eastAsia="zh-CN"/>
              </w:rPr>
            </w:pPr>
            <w:r>
              <w:rPr>
                <w:rFonts w:hint="eastAsia"/>
                <w:lang w:val="en-US" w:eastAsia="zh-CN"/>
              </w:rPr>
              <w:t>亚硝</w:t>
            </w:r>
            <w:r>
              <w:rPr>
                <w:lang w:val="en-US" w:eastAsia="zh-CN"/>
              </w:rPr>
              <w:t>酸盐</w:t>
            </w:r>
          </w:p>
        </w:tc>
        <w:tc>
          <w:tcPr>
            <w:tcW w:w="2053" w:type="dxa"/>
            <w:noWrap w:val="0"/>
            <w:vAlign w:val="center"/>
          </w:tcPr>
          <w:p>
            <w:pPr>
              <w:pStyle w:val="26"/>
              <w:bidi w:val="0"/>
              <w:rPr>
                <w:lang w:val="en-US" w:eastAsia="zh-CN"/>
              </w:rPr>
            </w:pPr>
            <w:r>
              <w:rPr>
                <w:rFonts w:hint="eastAsia"/>
                <w:lang w:val="en-US" w:eastAsia="zh-CN"/>
              </w:rPr>
              <w:t>≦1.</w:t>
            </w:r>
            <w:r>
              <w:rPr>
                <w:lang w:val="en-US" w:eastAsia="zh-CN"/>
              </w:rPr>
              <w:t>0</w:t>
            </w:r>
          </w:p>
        </w:tc>
        <w:tc>
          <w:tcPr>
            <w:tcW w:w="872" w:type="dxa"/>
            <w:noWrap w:val="0"/>
            <w:vAlign w:val="center"/>
          </w:tcPr>
          <w:p>
            <w:pPr>
              <w:pStyle w:val="26"/>
              <w:bidi w:val="0"/>
              <w:rPr>
                <w:rFonts w:hint="default"/>
                <w:lang w:val="en-US" w:eastAsia="zh-CN"/>
              </w:rPr>
            </w:pPr>
            <w:r>
              <w:rPr>
                <w:rFonts w:hint="eastAsia"/>
                <w:lang w:val="en-US" w:eastAsia="zh-CN"/>
              </w:rPr>
              <w:t>12</w:t>
            </w:r>
          </w:p>
        </w:tc>
        <w:tc>
          <w:tcPr>
            <w:tcW w:w="1722" w:type="dxa"/>
            <w:noWrap w:val="0"/>
            <w:vAlign w:val="center"/>
          </w:tcPr>
          <w:p>
            <w:pPr>
              <w:pStyle w:val="26"/>
              <w:bidi w:val="0"/>
              <w:rPr>
                <w:rFonts w:hint="eastAsia"/>
                <w:lang w:val="en-US" w:eastAsia="zh-CN"/>
              </w:rPr>
            </w:pPr>
            <w:r>
              <w:rPr>
                <w:rFonts w:hint="eastAsia"/>
                <w:lang w:val="en-US" w:eastAsia="zh-CN"/>
              </w:rPr>
              <w:t>砷</w:t>
            </w:r>
          </w:p>
        </w:tc>
        <w:tc>
          <w:tcPr>
            <w:tcW w:w="1938" w:type="dxa"/>
            <w:noWrap w:val="0"/>
            <w:vAlign w:val="center"/>
          </w:tcPr>
          <w:p>
            <w:pPr>
              <w:pStyle w:val="26"/>
              <w:bidi w:val="0"/>
              <w:rPr>
                <w:rFonts w:hint="default"/>
                <w:lang w:val="en-US" w:eastAsia="zh-CN"/>
              </w:rPr>
            </w:pPr>
            <w:r>
              <w:rPr>
                <w:rFonts w:hint="eastAsia"/>
                <w:lang w:val="en-US" w:eastAsia="zh-CN"/>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58" w:type="dxa"/>
            <w:noWrap w:val="0"/>
            <w:vAlign w:val="center"/>
          </w:tcPr>
          <w:p>
            <w:pPr>
              <w:pStyle w:val="26"/>
              <w:bidi w:val="0"/>
              <w:rPr>
                <w:rFonts w:hint="eastAsia"/>
                <w:lang w:val="en-US" w:eastAsia="zh-CN"/>
              </w:rPr>
            </w:pPr>
            <w:r>
              <w:rPr>
                <w:rFonts w:hint="eastAsia"/>
                <w:lang w:val="en-US" w:eastAsia="zh-CN"/>
              </w:rPr>
              <w:t>6</w:t>
            </w:r>
          </w:p>
        </w:tc>
        <w:tc>
          <w:tcPr>
            <w:tcW w:w="1194" w:type="dxa"/>
            <w:noWrap w:val="0"/>
            <w:vAlign w:val="center"/>
          </w:tcPr>
          <w:p>
            <w:pPr>
              <w:pStyle w:val="26"/>
              <w:bidi w:val="0"/>
              <w:rPr>
                <w:rFonts w:hint="eastAsia"/>
                <w:lang w:val="en-US" w:eastAsia="zh-CN"/>
              </w:rPr>
            </w:pPr>
            <w:r>
              <w:rPr>
                <w:rFonts w:hint="eastAsia"/>
                <w:lang w:val="en-US" w:eastAsia="zh-CN"/>
              </w:rPr>
              <w:t>氯化物</w:t>
            </w:r>
          </w:p>
        </w:tc>
        <w:tc>
          <w:tcPr>
            <w:tcW w:w="2053" w:type="dxa"/>
            <w:noWrap w:val="0"/>
            <w:vAlign w:val="center"/>
          </w:tcPr>
          <w:p>
            <w:pPr>
              <w:pStyle w:val="26"/>
              <w:bidi w:val="0"/>
              <w:rPr>
                <w:rFonts w:hint="eastAsia"/>
                <w:lang w:val="en-US" w:eastAsia="zh-CN"/>
              </w:rPr>
            </w:pPr>
            <w:r>
              <w:rPr>
                <w:rFonts w:hint="eastAsia"/>
                <w:lang w:val="en-US" w:eastAsia="zh-CN"/>
              </w:rPr>
              <w:t>≦2</w:t>
            </w:r>
            <w:r>
              <w:rPr>
                <w:lang w:val="en-US" w:eastAsia="zh-CN"/>
              </w:rPr>
              <w:t>50</w:t>
            </w:r>
          </w:p>
        </w:tc>
        <w:tc>
          <w:tcPr>
            <w:tcW w:w="872" w:type="dxa"/>
            <w:noWrap w:val="0"/>
            <w:vAlign w:val="center"/>
          </w:tcPr>
          <w:p>
            <w:pPr>
              <w:pStyle w:val="26"/>
              <w:bidi w:val="0"/>
              <w:rPr>
                <w:rFonts w:hint="default"/>
                <w:lang w:val="en-US" w:eastAsia="zh-CN"/>
              </w:rPr>
            </w:pPr>
            <w:r>
              <w:rPr>
                <w:rFonts w:hint="eastAsia"/>
                <w:lang w:val="en-US" w:eastAsia="zh-CN"/>
              </w:rPr>
              <w:t>13</w:t>
            </w:r>
          </w:p>
        </w:tc>
        <w:tc>
          <w:tcPr>
            <w:tcW w:w="1722" w:type="dxa"/>
            <w:noWrap w:val="0"/>
            <w:vAlign w:val="center"/>
          </w:tcPr>
          <w:p>
            <w:pPr>
              <w:pStyle w:val="26"/>
              <w:bidi w:val="0"/>
              <w:rPr>
                <w:rFonts w:hint="eastAsia"/>
                <w:lang w:val="en-US" w:eastAsia="zh-CN"/>
              </w:rPr>
            </w:pPr>
            <w:r>
              <w:rPr>
                <w:rFonts w:hint="eastAsia"/>
                <w:lang w:val="en-US" w:eastAsia="zh-CN"/>
              </w:rPr>
              <w:t>汞</w:t>
            </w:r>
          </w:p>
        </w:tc>
        <w:tc>
          <w:tcPr>
            <w:tcW w:w="1938" w:type="dxa"/>
            <w:noWrap w:val="0"/>
            <w:vAlign w:val="center"/>
          </w:tcPr>
          <w:p>
            <w:pPr>
              <w:pStyle w:val="26"/>
              <w:bidi w:val="0"/>
              <w:rPr>
                <w:rFonts w:hint="default"/>
                <w:lang w:val="en-US" w:eastAsia="zh-CN"/>
              </w:rPr>
            </w:pPr>
            <w:r>
              <w:rPr>
                <w:rFonts w:hint="eastAsia"/>
                <w:lang w:val="en-US" w:eastAsia="zh-CN"/>
              </w:rPr>
              <w:t>≦0.001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58" w:type="dxa"/>
            <w:noWrap w:val="0"/>
            <w:vAlign w:val="center"/>
          </w:tcPr>
          <w:p>
            <w:pPr>
              <w:pStyle w:val="26"/>
              <w:bidi w:val="0"/>
              <w:rPr>
                <w:rFonts w:hint="eastAsia"/>
                <w:lang w:val="en-US" w:eastAsia="zh-CN"/>
              </w:rPr>
            </w:pPr>
            <w:r>
              <w:rPr>
                <w:rFonts w:hint="eastAsia"/>
                <w:lang w:val="en-US" w:eastAsia="zh-CN"/>
              </w:rPr>
              <w:t>7</w:t>
            </w:r>
          </w:p>
        </w:tc>
        <w:tc>
          <w:tcPr>
            <w:tcW w:w="1194" w:type="dxa"/>
            <w:noWrap w:val="0"/>
            <w:vAlign w:val="center"/>
          </w:tcPr>
          <w:p>
            <w:pPr>
              <w:pStyle w:val="26"/>
              <w:bidi w:val="0"/>
              <w:rPr>
                <w:rFonts w:hint="eastAsia"/>
                <w:lang w:val="en-US" w:eastAsia="zh-CN"/>
              </w:rPr>
            </w:pPr>
            <w:r>
              <w:rPr>
                <w:lang w:val="en-US" w:eastAsia="zh-CN"/>
              </w:rPr>
              <w:t>总大肠菌群(个/</w:t>
            </w:r>
            <w:r>
              <w:rPr>
                <w:rFonts w:hint="eastAsia"/>
                <w:lang w:val="en-US" w:eastAsia="zh-CN"/>
              </w:rPr>
              <w:t>100</w:t>
            </w:r>
            <w:r>
              <w:rPr>
                <w:lang w:val="en-US" w:eastAsia="zh-CN"/>
              </w:rPr>
              <w:t>m</w:t>
            </w:r>
            <w:r>
              <w:rPr>
                <w:rFonts w:hint="eastAsia"/>
                <w:lang w:val="en-US" w:eastAsia="zh-CN"/>
              </w:rPr>
              <w:t>L</w:t>
            </w:r>
            <w:r>
              <w:rPr>
                <w:lang w:val="en-US" w:eastAsia="zh-CN"/>
              </w:rPr>
              <w:t>)</w:t>
            </w:r>
          </w:p>
        </w:tc>
        <w:tc>
          <w:tcPr>
            <w:tcW w:w="2053" w:type="dxa"/>
            <w:noWrap w:val="0"/>
            <w:vAlign w:val="center"/>
          </w:tcPr>
          <w:p>
            <w:pPr>
              <w:pStyle w:val="26"/>
              <w:bidi w:val="0"/>
              <w:rPr>
                <w:rFonts w:hint="eastAsia"/>
                <w:lang w:val="en-US" w:eastAsia="zh-CN"/>
              </w:rPr>
            </w:pPr>
            <w:r>
              <w:rPr>
                <w:rFonts w:hint="eastAsia"/>
                <w:lang w:val="en-US" w:eastAsia="zh-CN"/>
              </w:rPr>
              <w:t>≦</w:t>
            </w:r>
            <w:r>
              <w:rPr>
                <w:lang w:val="en-US" w:eastAsia="zh-CN"/>
              </w:rPr>
              <w:t>3</w:t>
            </w:r>
          </w:p>
        </w:tc>
        <w:tc>
          <w:tcPr>
            <w:tcW w:w="872" w:type="dxa"/>
            <w:noWrap w:val="0"/>
            <w:vAlign w:val="center"/>
          </w:tcPr>
          <w:p>
            <w:pPr>
              <w:pStyle w:val="26"/>
              <w:bidi w:val="0"/>
              <w:rPr>
                <w:rFonts w:hint="default"/>
                <w:lang w:val="en-US" w:eastAsia="zh-CN"/>
              </w:rPr>
            </w:pPr>
            <w:r>
              <w:rPr>
                <w:rFonts w:hint="eastAsia"/>
                <w:lang w:val="en-US" w:eastAsia="zh-CN"/>
              </w:rPr>
              <w:t>14</w:t>
            </w:r>
          </w:p>
        </w:tc>
        <w:tc>
          <w:tcPr>
            <w:tcW w:w="1722" w:type="dxa"/>
            <w:noWrap w:val="0"/>
            <w:vAlign w:val="center"/>
          </w:tcPr>
          <w:p>
            <w:pPr>
              <w:pStyle w:val="26"/>
              <w:bidi w:val="0"/>
              <w:rPr>
                <w:rFonts w:hint="eastAsia"/>
                <w:lang w:val="en-US" w:eastAsia="zh-CN"/>
              </w:rPr>
            </w:pPr>
            <w:r>
              <w:rPr>
                <w:rFonts w:hint="eastAsia"/>
                <w:lang w:val="en-US" w:eastAsia="zh-CN"/>
              </w:rPr>
              <w:t>六价铬</w:t>
            </w:r>
          </w:p>
        </w:tc>
        <w:tc>
          <w:tcPr>
            <w:tcW w:w="1938" w:type="dxa"/>
            <w:noWrap w:val="0"/>
            <w:vAlign w:val="center"/>
          </w:tcPr>
          <w:p>
            <w:pPr>
              <w:pStyle w:val="26"/>
              <w:bidi w:val="0"/>
              <w:rPr>
                <w:rFonts w:hint="default"/>
                <w:lang w:val="en-US" w:eastAsia="zh-CN"/>
              </w:rPr>
            </w:pPr>
            <w:r>
              <w:rPr>
                <w:rFonts w:hint="eastAsia"/>
                <w:lang w:val="en-US" w:eastAsia="zh-CN"/>
              </w:rPr>
              <w:t>≦0.05</w:t>
            </w:r>
          </w:p>
        </w:tc>
      </w:tr>
    </w:tbl>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（5）土壤：</w:t>
      </w:r>
      <w:bookmarkStart w:id="413" w:name="_Toc20844_WPSOffice_Level3"/>
      <w:bookmarkStart w:id="414" w:name="_Toc22991_WPSOffice_Level3"/>
      <w:r>
        <w:rPr>
          <w:rFonts w:hint="eastAsia" w:ascii="Times New Roman" w:hAnsi="Times New Roman" w:eastAsia="宋体" w:cs="宋体"/>
          <w:kern w:val="2"/>
          <w:sz w:val="24"/>
          <w:szCs w:val="24"/>
          <w:lang w:val="en-US" w:eastAsia="zh-CN" w:bidi="ar-SA"/>
        </w:rPr>
        <w:t>《土壤环境质量 建设用地土壤污染风险管控标准（试行）》（GB36600-2018）表1中第二类用地筛选值</w:t>
      </w:r>
      <w:r>
        <w:rPr>
          <w:rFonts w:ascii="Times New Roman" w:hAnsi="Times New Roman" w:eastAsia="宋体" w:cs="宋体"/>
          <w:kern w:val="2"/>
          <w:sz w:val="24"/>
          <w:szCs w:val="24"/>
          <w:lang w:val="en-US" w:eastAsia="zh-CN" w:bidi="ar-SA"/>
        </w:rPr>
        <w:t>。土壤环境质量标准</w:t>
      </w:r>
      <w:r>
        <w:rPr>
          <w:rFonts w:hint="eastAsia" w:ascii="Times New Roman" w:hAnsi="Times New Roman" w:eastAsia="宋体" w:cs="宋体"/>
          <w:kern w:val="2"/>
          <w:sz w:val="24"/>
          <w:szCs w:val="24"/>
          <w:lang w:val="en-US" w:eastAsia="zh-CN" w:bidi="ar-SA"/>
        </w:rPr>
        <w:t>见</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_Ref13784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8</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kern w:val="2"/>
          <w:sz w:val="21"/>
          <w:szCs w:val="21"/>
          <w:lang w:val="en-US" w:eastAsia="zh-CN" w:bidi="ar-SA"/>
        </w:rPr>
      </w:pPr>
      <w:bookmarkStart w:id="415" w:name="_Ref13784"/>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8</w:t>
      </w:r>
      <w:r>
        <w:rPr>
          <w:rFonts w:ascii="Times New Roman" w:hAnsi="Times New Roman" w:eastAsia="宋体" w:cs="Times New Roman"/>
          <w:b/>
          <w:kern w:val="2"/>
          <w:sz w:val="21"/>
          <w:szCs w:val="21"/>
          <w:lang w:val="en-US" w:eastAsia="zh-CN" w:bidi="ar-SA"/>
        </w:rPr>
        <w:fldChar w:fldCharType="end"/>
      </w:r>
      <w:bookmarkEnd w:id="415"/>
      <w:r>
        <w:rPr>
          <w:rFonts w:ascii="Times New Roman" w:hAnsi="Times New Roman" w:eastAsia="宋体" w:cs="Times New Roman"/>
          <w:b/>
          <w:kern w:val="2"/>
          <w:sz w:val="21"/>
          <w:szCs w:val="21"/>
          <w:lang w:val="en-US" w:eastAsia="zh-CN" w:bidi="ar-SA"/>
        </w:rPr>
        <w:t>土壤环境质量标准(摘录)，单位：mg/kg</w:t>
      </w:r>
    </w:p>
    <w:tbl>
      <w:tblPr>
        <w:tblStyle w:val="22"/>
        <w:tblW w:w="89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794"/>
        <w:gridCol w:w="1077"/>
        <w:gridCol w:w="850"/>
        <w:gridCol w:w="794"/>
        <w:gridCol w:w="794"/>
        <w:gridCol w:w="964"/>
        <w:gridCol w:w="794"/>
        <w:gridCol w:w="794"/>
        <w:gridCol w:w="8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项目</w:t>
            </w:r>
          </w:p>
        </w:tc>
        <w:tc>
          <w:tcPr>
            <w:tcW w:w="79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pH</w:t>
            </w:r>
          </w:p>
        </w:tc>
        <w:tc>
          <w:tcPr>
            <w:tcW w:w="107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铜</w:t>
            </w:r>
          </w:p>
        </w:tc>
        <w:tc>
          <w:tcPr>
            <w:tcW w:w="850"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铅</w:t>
            </w:r>
          </w:p>
        </w:tc>
        <w:tc>
          <w:tcPr>
            <w:tcW w:w="79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锌</w:t>
            </w:r>
          </w:p>
        </w:tc>
        <w:tc>
          <w:tcPr>
            <w:tcW w:w="79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镉</w:t>
            </w:r>
          </w:p>
        </w:tc>
        <w:tc>
          <w:tcPr>
            <w:tcW w:w="96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六价铬</w:t>
            </w:r>
          </w:p>
        </w:tc>
        <w:tc>
          <w:tcPr>
            <w:tcW w:w="79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砷</w:t>
            </w:r>
          </w:p>
        </w:tc>
        <w:tc>
          <w:tcPr>
            <w:tcW w:w="79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汞</w:t>
            </w:r>
          </w:p>
        </w:tc>
        <w:tc>
          <w:tcPr>
            <w:tcW w:w="85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评价标准</w:t>
            </w:r>
          </w:p>
        </w:tc>
        <w:tc>
          <w:tcPr>
            <w:tcW w:w="79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107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≦18000</w:t>
            </w:r>
          </w:p>
        </w:tc>
        <w:tc>
          <w:tcPr>
            <w:tcW w:w="85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≦800</w:t>
            </w:r>
          </w:p>
        </w:tc>
        <w:tc>
          <w:tcPr>
            <w:tcW w:w="79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79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≦65</w:t>
            </w:r>
          </w:p>
        </w:tc>
        <w:tc>
          <w:tcPr>
            <w:tcW w:w="96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≦5.7</w:t>
            </w:r>
          </w:p>
        </w:tc>
        <w:tc>
          <w:tcPr>
            <w:tcW w:w="79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≦60</w:t>
            </w:r>
          </w:p>
        </w:tc>
        <w:tc>
          <w:tcPr>
            <w:tcW w:w="794"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≦38</w:t>
            </w:r>
          </w:p>
        </w:tc>
        <w:tc>
          <w:tcPr>
            <w:tcW w:w="850"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≦900</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pStyle w:val="5"/>
        <w:bidi w:val="0"/>
        <w:rPr>
          <w:lang w:val="en-US" w:eastAsia="zh-CN"/>
        </w:rPr>
      </w:pPr>
      <w:bookmarkStart w:id="416" w:name="_Toc352"/>
      <w:r>
        <w:rPr>
          <w:lang w:val="en-US" w:eastAsia="zh-CN"/>
        </w:rPr>
        <w:t>污染物排放标准</w:t>
      </w:r>
      <w:bookmarkEnd w:id="413"/>
      <w:bookmarkEnd w:id="414"/>
      <w:bookmarkEnd w:id="416"/>
    </w:p>
    <w:p>
      <w:pPr>
        <w:widowControl w:val="0"/>
        <w:numPr>
          <w:ilvl w:val="0"/>
          <w:numId w:val="8"/>
        </w:numPr>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废气：</w:t>
      </w:r>
      <w:r>
        <w:rPr>
          <w:rFonts w:hint="eastAsia" w:ascii="Times New Roman" w:hAnsi="Times New Roman" w:eastAsia="宋体" w:cs="宋体"/>
          <w:kern w:val="2"/>
          <w:sz w:val="24"/>
          <w:szCs w:val="24"/>
          <w:lang w:val="en-US" w:eastAsia="zh-CN" w:bidi="ar-SA"/>
        </w:rPr>
        <w:t>施工期产生的扬尘执行《大气污染物综合排放标准》（GB16297-1996）中无组织排放监控浓度限值。本项目发泡属于合成树脂行业，但鉴于《合成树脂工业污染物排放标准》（GB31572-2015）</w:t>
      </w:r>
      <w:r>
        <w:rPr>
          <w:rFonts w:hint="eastAsia" w:cs="宋体"/>
          <w:kern w:val="2"/>
          <w:sz w:val="24"/>
          <w:szCs w:val="24"/>
          <w:lang w:val="en-US" w:eastAsia="zh-CN" w:bidi="ar-SA"/>
        </w:rPr>
        <w:t>中没有VOCs排放标准，故</w:t>
      </w:r>
      <w:r>
        <w:rPr>
          <w:rFonts w:hint="eastAsia" w:ascii="Times New Roman" w:hAnsi="Times New Roman" w:eastAsia="宋体" w:cs="宋体"/>
          <w:kern w:val="2"/>
          <w:sz w:val="24"/>
          <w:szCs w:val="24"/>
          <w:lang w:val="en-US" w:eastAsia="zh-CN" w:bidi="ar-SA"/>
        </w:rPr>
        <w:t>本项目VOCs排放</w:t>
      </w:r>
      <w:r>
        <w:rPr>
          <w:rFonts w:hint="eastAsia" w:cs="宋体"/>
          <w:kern w:val="2"/>
          <w:sz w:val="24"/>
          <w:szCs w:val="24"/>
          <w:lang w:val="en-US" w:eastAsia="zh-CN" w:bidi="ar-SA"/>
        </w:rPr>
        <w:t>标准执行</w:t>
      </w:r>
      <w:r>
        <w:rPr>
          <w:rFonts w:hint="eastAsia" w:ascii="Times New Roman" w:hAnsi="Times New Roman" w:eastAsia="宋体" w:cs="宋体"/>
          <w:kern w:val="2"/>
          <w:sz w:val="24"/>
          <w:szCs w:val="24"/>
          <w:lang w:val="en-US" w:eastAsia="zh-CN" w:bidi="ar-SA"/>
        </w:rPr>
        <w:t>天津市《工业企业挥发性有机物排放控制标准》（DB12/524-2014）表2中塑料制品制造业标准限值及表5厂界浓度限值。</w:t>
      </w:r>
      <w:r>
        <w:rPr>
          <w:rFonts w:ascii="Times New Roman" w:hAnsi="Times New Roman" w:eastAsia="宋体" w:cs="宋体"/>
          <w:kern w:val="2"/>
          <w:sz w:val="24"/>
          <w:szCs w:val="24"/>
          <w:lang w:val="en-US" w:eastAsia="zh-CN" w:bidi="ar-SA"/>
        </w:rPr>
        <w:t>大气污染物排放标准</w:t>
      </w:r>
      <w:r>
        <w:rPr>
          <w:rFonts w:hint="eastAsia" w:ascii="Times New Roman" w:hAnsi="Times New Roman" w:eastAsia="宋体" w:cs="宋体"/>
          <w:kern w:val="2"/>
          <w:sz w:val="24"/>
          <w:szCs w:val="24"/>
          <w:lang w:val="en-US" w:eastAsia="zh-CN" w:bidi="ar-SA"/>
        </w:rPr>
        <w:t>见</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_Ref16540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9</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kern w:val="2"/>
          <w:sz w:val="21"/>
          <w:szCs w:val="21"/>
          <w:lang w:val="en-US" w:eastAsia="zh-CN" w:bidi="ar-SA"/>
        </w:rPr>
      </w:pPr>
      <w:bookmarkStart w:id="417" w:name="_Ref16540"/>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9</w:t>
      </w:r>
      <w:r>
        <w:rPr>
          <w:rFonts w:ascii="Times New Roman" w:hAnsi="Times New Roman" w:eastAsia="宋体" w:cs="Times New Roman"/>
          <w:b/>
          <w:kern w:val="2"/>
          <w:sz w:val="21"/>
          <w:szCs w:val="21"/>
          <w:lang w:val="en-US" w:eastAsia="zh-CN" w:bidi="ar-SA"/>
        </w:rPr>
        <w:fldChar w:fldCharType="end"/>
      </w:r>
      <w:bookmarkEnd w:id="417"/>
      <w:r>
        <w:rPr>
          <w:rFonts w:ascii="Times New Roman" w:hAnsi="Times New Roman" w:eastAsia="宋体" w:cs="Times New Roman"/>
          <w:b/>
          <w:kern w:val="2"/>
          <w:sz w:val="21"/>
          <w:szCs w:val="21"/>
          <w:lang w:val="en-US" w:eastAsia="zh-CN" w:bidi="ar-SA"/>
        </w:rPr>
        <w:t>大气污染物排放标准</w:t>
      </w:r>
    </w:p>
    <w:tbl>
      <w:tblPr>
        <w:tblStyle w:val="22"/>
        <w:tblW w:w="8967"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531"/>
        <w:gridCol w:w="1757"/>
        <w:gridCol w:w="2324"/>
        <w:gridCol w:w="1930"/>
        <w:gridCol w:w="142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531"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污染物</w:t>
            </w:r>
          </w:p>
        </w:tc>
        <w:tc>
          <w:tcPr>
            <w:tcW w:w="1757"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最高允许排放浓度(mg/m</w:t>
            </w:r>
            <w:r>
              <w:rPr>
                <w:rFonts w:ascii="Times New Roman" w:hAnsi="Times New Roman" w:eastAsia="宋体" w:cs="Times New Roman"/>
                <w:kern w:val="2"/>
                <w:sz w:val="24"/>
                <w:szCs w:val="24"/>
                <w:vertAlign w:val="superscript"/>
                <w:lang w:val="en-US" w:eastAsia="zh-CN" w:bidi="ar-SA"/>
              </w:rPr>
              <w:t>3</w:t>
            </w:r>
            <w:r>
              <w:rPr>
                <w:rFonts w:ascii="Times New Roman" w:hAnsi="Times New Roman" w:eastAsia="宋体" w:cs="Times New Roman"/>
                <w:kern w:val="2"/>
                <w:sz w:val="24"/>
                <w:szCs w:val="24"/>
                <w:lang w:val="en-US" w:eastAsia="zh-CN" w:bidi="ar-SA"/>
              </w:rPr>
              <w:t>)</w:t>
            </w:r>
          </w:p>
        </w:tc>
        <w:tc>
          <w:tcPr>
            <w:tcW w:w="2324"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yellow"/>
                <w:lang w:val="en-US" w:eastAsia="zh-CN" w:bidi="ar-SA"/>
              </w:rPr>
            </w:pPr>
            <w:r>
              <w:rPr>
                <w:rFonts w:hint="eastAsia" w:cs="Times New Roman"/>
                <w:kern w:val="2"/>
                <w:sz w:val="24"/>
                <w:szCs w:val="24"/>
                <w:highlight w:val="none"/>
                <w:lang w:val="en-US" w:eastAsia="zh-CN" w:bidi="ar-SA"/>
              </w:rPr>
              <w:t>排气筒21</w:t>
            </w:r>
            <w:r>
              <w:rPr>
                <w:rFonts w:hint="eastAsia" w:ascii="Times New Roman" w:hAnsi="Times New Roman" w:eastAsia="宋体" w:cs="Times New Roman"/>
                <w:kern w:val="2"/>
                <w:sz w:val="24"/>
                <w:szCs w:val="24"/>
                <w:highlight w:val="none"/>
                <w:lang w:val="en-US" w:eastAsia="zh-CN" w:bidi="ar-SA"/>
              </w:rPr>
              <w:t>m</w:t>
            </w:r>
            <w:r>
              <w:rPr>
                <w:rFonts w:ascii="Times New Roman" w:hAnsi="Times New Roman" w:eastAsia="宋体" w:cs="Times New Roman"/>
                <w:kern w:val="2"/>
                <w:sz w:val="24"/>
                <w:szCs w:val="24"/>
                <w:highlight w:val="none"/>
                <w:lang w:val="en-US" w:eastAsia="zh-CN" w:bidi="ar-SA"/>
              </w:rPr>
              <w:t>时最高允许排放速率（kg/h）</w:t>
            </w:r>
          </w:p>
        </w:tc>
        <w:tc>
          <w:tcPr>
            <w:tcW w:w="3355" w:type="dxa"/>
            <w:gridSpan w:val="2"/>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无组织排放监控浓度限值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531"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757"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2324"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yellow"/>
                <w:lang w:val="en-US" w:eastAsia="zh-CN" w:bidi="ar-SA"/>
              </w:rPr>
            </w:pPr>
          </w:p>
        </w:tc>
        <w:tc>
          <w:tcPr>
            <w:tcW w:w="1930"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监控点</w:t>
            </w:r>
          </w:p>
        </w:tc>
        <w:tc>
          <w:tcPr>
            <w:tcW w:w="142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浓度mg/m</w:t>
            </w:r>
            <w:r>
              <w:rPr>
                <w:rFonts w:ascii="Times New Roman" w:hAnsi="Times New Roman" w:eastAsia="宋体" w:cs="Times New Roman"/>
                <w:kern w:val="2"/>
                <w:sz w:val="24"/>
                <w:szCs w:val="24"/>
                <w:vertAlign w:val="superscript"/>
                <w:lang w:val="en-US" w:eastAsia="zh-CN" w:bidi="ar-SA"/>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43" w:hRule="atLeast"/>
          <w:jc w:val="center"/>
        </w:trPr>
        <w:tc>
          <w:tcPr>
            <w:tcW w:w="153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VOCs</w:t>
            </w:r>
          </w:p>
        </w:tc>
        <w:tc>
          <w:tcPr>
            <w:tcW w:w="1757"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50</w:t>
            </w:r>
          </w:p>
        </w:tc>
        <w:tc>
          <w:tcPr>
            <w:tcW w:w="2324"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yellow"/>
                <w:lang w:val="en-US" w:eastAsia="zh-CN" w:bidi="ar-SA"/>
              </w:rPr>
            </w:pPr>
            <w:r>
              <w:rPr>
                <w:rFonts w:hint="eastAsia" w:cs="Times New Roman"/>
                <w:kern w:val="2"/>
                <w:sz w:val="24"/>
                <w:szCs w:val="24"/>
                <w:highlight w:val="none"/>
                <w:lang w:val="en-US" w:eastAsia="zh-CN" w:bidi="ar-SA"/>
              </w:rPr>
              <w:t>4.2</w:t>
            </w:r>
          </w:p>
        </w:tc>
        <w:tc>
          <w:tcPr>
            <w:tcW w:w="1930"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企业边界大气污染物浓度限值</w:t>
            </w:r>
          </w:p>
        </w:tc>
        <w:tc>
          <w:tcPr>
            <w:tcW w:w="1425"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2.0</w:t>
            </w:r>
          </w:p>
        </w:tc>
      </w:tr>
    </w:tbl>
    <w:p>
      <w:pPr>
        <w:rPr>
          <w:lang w:val="zh-CN"/>
        </w:rPr>
      </w:pP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t>废水：项目外排废水主要为生活</w:t>
      </w:r>
      <w:r>
        <w:rPr>
          <w:rFonts w:hint="eastAsia" w:ascii="Times New Roman" w:hAnsi="Times New Roman" w:eastAsia="宋体" w:cs="宋体"/>
          <w:kern w:val="2"/>
          <w:sz w:val="24"/>
          <w:szCs w:val="24"/>
          <w:lang w:val="en-US" w:eastAsia="zh-CN" w:bidi="ar-SA"/>
        </w:rPr>
        <w:t>污</w:t>
      </w:r>
      <w:r>
        <w:rPr>
          <w:rFonts w:ascii="Times New Roman" w:hAnsi="Times New Roman" w:eastAsia="宋体" w:cs="宋体"/>
          <w:kern w:val="2"/>
          <w:sz w:val="24"/>
          <w:szCs w:val="24"/>
          <w:lang w:val="en-US" w:eastAsia="zh-CN" w:bidi="ar-SA"/>
        </w:rPr>
        <w:t>水</w:t>
      </w:r>
      <w:r>
        <w:rPr>
          <w:rFonts w:hint="eastAsia" w:ascii="Times New Roman" w:hAnsi="Times New Roman" w:eastAsia="宋体" w:cs="宋体"/>
          <w:kern w:val="2"/>
          <w:sz w:val="24"/>
          <w:szCs w:val="24"/>
          <w:lang w:val="en-US" w:eastAsia="zh-CN" w:bidi="ar-SA"/>
        </w:rPr>
        <w:t>，生活污水</w:t>
      </w:r>
      <w:r>
        <w:rPr>
          <w:rFonts w:hint="eastAsia" w:cs="宋体"/>
          <w:kern w:val="2"/>
          <w:sz w:val="24"/>
          <w:szCs w:val="24"/>
          <w:lang w:val="en-US" w:eastAsia="zh-CN" w:bidi="ar-SA"/>
        </w:rPr>
        <w:t>经园区化粪池处理后达到《污水综合排放标准》（GB8978-1996）三级后</w:t>
      </w:r>
      <w:r>
        <w:rPr>
          <w:rFonts w:hint="eastAsia" w:ascii="Times New Roman" w:hAnsi="Times New Roman" w:eastAsia="宋体" w:cs="宋体"/>
          <w:kern w:val="2"/>
          <w:sz w:val="24"/>
          <w:szCs w:val="24"/>
          <w:lang w:val="en-US" w:eastAsia="zh-CN" w:bidi="ar-SA"/>
        </w:rPr>
        <w:t>排入卓达金谷创业园污水处理站，</w:t>
      </w:r>
      <w:r>
        <w:rPr>
          <w:rFonts w:hint="eastAsia" w:cs="宋体"/>
          <w:kern w:val="2"/>
          <w:sz w:val="24"/>
          <w:szCs w:val="24"/>
          <w:lang w:val="en-US" w:eastAsia="zh-CN" w:bidi="ar-SA"/>
        </w:rPr>
        <w:t>达到《城镇污水处理厂污染物排放标准》（GB18918-2002）一级A类标准</w:t>
      </w:r>
      <w:r>
        <w:rPr>
          <w:rFonts w:hint="eastAsia" w:ascii="Times New Roman" w:hAnsi="Times New Roman" w:eastAsia="宋体" w:cs="宋体"/>
          <w:kern w:val="2"/>
          <w:sz w:val="24"/>
          <w:szCs w:val="24"/>
          <w:lang w:val="en-US" w:eastAsia="zh-CN" w:bidi="ar-SA"/>
        </w:rPr>
        <w:t>后排入洋沙河至洋沙湖，最终受纳水体为湘江。项目</w:t>
      </w:r>
      <w:r>
        <w:rPr>
          <w:rFonts w:ascii="Times New Roman" w:hAnsi="Times New Roman" w:eastAsia="宋体" w:cs="宋体"/>
          <w:kern w:val="2"/>
          <w:sz w:val="24"/>
          <w:szCs w:val="24"/>
          <w:lang w:val="en-US" w:eastAsia="zh-CN" w:bidi="ar-SA"/>
        </w:rPr>
        <w:t>生活污水排放执行</w:t>
      </w:r>
      <w:r>
        <w:rPr>
          <w:rFonts w:ascii="Times New Roman" w:hAnsi="Times New Roman" w:eastAsia="宋体" w:cs="宋体"/>
          <w:kern w:val="2"/>
          <w:sz w:val="24"/>
          <w:szCs w:val="24"/>
          <w:lang w:val="zh-CN" w:eastAsia="zh-CN" w:bidi="ar-SA"/>
        </w:rPr>
        <w:t>标准</w:t>
      </w:r>
      <w:r>
        <w:rPr>
          <w:rFonts w:hint="eastAsia" w:ascii="Times New Roman" w:hAnsi="Times New Roman" w:eastAsia="宋体" w:cs="宋体"/>
          <w:kern w:val="2"/>
          <w:sz w:val="24"/>
          <w:szCs w:val="24"/>
          <w:lang w:val="zh-CN" w:eastAsia="zh-CN" w:bidi="ar-SA"/>
        </w:rPr>
        <w:t>见</w:t>
      </w:r>
      <w:r>
        <w:rPr>
          <w:rFonts w:hint="eastAsia" w:ascii="Times New Roman" w:hAnsi="Times New Roman" w:eastAsia="宋体" w:cs="宋体"/>
          <w:kern w:val="2"/>
          <w:sz w:val="24"/>
          <w:szCs w:val="24"/>
          <w:lang w:val="zh-CN" w:eastAsia="zh-CN" w:bidi="ar-SA"/>
        </w:rPr>
        <w:fldChar w:fldCharType="begin"/>
      </w:r>
      <w:r>
        <w:rPr>
          <w:rFonts w:hint="eastAsia" w:ascii="Times New Roman" w:hAnsi="Times New Roman" w:eastAsia="宋体" w:cs="宋体"/>
          <w:kern w:val="2"/>
          <w:sz w:val="24"/>
          <w:szCs w:val="24"/>
          <w:lang w:val="zh-CN" w:eastAsia="zh-CN" w:bidi="ar-SA"/>
        </w:rPr>
        <w:instrText xml:space="preserve"> REF _Ref16749 \h </w:instrText>
      </w:r>
      <w:r>
        <w:rPr>
          <w:rFonts w:hint="eastAsia" w:ascii="Times New Roman" w:hAnsi="Times New Roman" w:eastAsia="宋体" w:cs="宋体"/>
          <w:kern w:val="2"/>
          <w:sz w:val="24"/>
          <w:szCs w:val="24"/>
          <w:lang w:val="zh-CN"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10</w:t>
      </w:r>
      <w:r>
        <w:rPr>
          <w:rFonts w:hint="eastAsia" w:ascii="Times New Roman" w:hAnsi="Times New Roman" w:eastAsia="宋体" w:cs="宋体"/>
          <w:kern w:val="2"/>
          <w:sz w:val="24"/>
          <w:szCs w:val="24"/>
          <w:lang w:val="zh-CN" w:eastAsia="zh-CN" w:bidi="ar-SA"/>
        </w:rPr>
        <w:fldChar w:fldCharType="end"/>
      </w:r>
      <w:r>
        <w:rPr>
          <w:rFonts w:hint="eastAsia" w:ascii="Times New Roman" w:hAnsi="Times New Roman" w:eastAsia="宋体" w:cs="宋体"/>
          <w:kern w:val="2"/>
          <w:sz w:val="24"/>
          <w:szCs w:val="24"/>
          <w:lang w:val="zh-CN" w:eastAsia="zh-CN" w:bidi="ar-SA"/>
        </w:rPr>
        <w:t>。</w:t>
      </w:r>
    </w:p>
    <w:p>
      <w:pPr>
        <w:widowControl w:val="0"/>
        <w:spacing w:line="360" w:lineRule="auto"/>
        <w:jc w:val="center"/>
        <w:rPr>
          <w:rFonts w:ascii="Times New Roman" w:hAnsi="Times New Roman" w:eastAsia="宋体" w:cs="Times New Roman"/>
          <w:b/>
          <w:kern w:val="2"/>
          <w:sz w:val="21"/>
          <w:szCs w:val="21"/>
          <w:lang w:val="en-US" w:eastAsia="zh-CN" w:bidi="ar-SA"/>
        </w:rPr>
      </w:pPr>
      <w:bookmarkStart w:id="418" w:name="_Ref16749"/>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10</w:t>
      </w:r>
      <w:r>
        <w:rPr>
          <w:rFonts w:ascii="Times New Roman" w:hAnsi="Times New Roman" w:eastAsia="宋体" w:cs="Times New Roman"/>
          <w:b/>
          <w:kern w:val="2"/>
          <w:sz w:val="21"/>
          <w:szCs w:val="21"/>
          <w:lang w:val="en-US" w:eastAsia="zh-CN" w:bidi="ar-SA"/>
        </w:rPr>
        <w:fldChar w:fldCharType="end"/>
      </w:r>
      <w:bookmarkEnd w:id="418"/>
      <w:r>
        <w:rPr>
          <w:rFonts w:ascii="Times New Roman" w:hAnsi="Times New Roman" w:eastAsia="宋体" w:cs="Times New Roman"/>
          <w:b/>
          <w:kern w:val="2"/>
          <w:sz w:val="21"/>
          <w:szCs w:val="21"/>
          <w:lang w:val="en-US" w:eastAsia="zh-CN" w:bidi="ar-SA"/>
        </w:rPr>
        <w:t>项目生活污水排放执行</w:t>
      </w:r>
      <w:r>
        <w:rPr>
          <w:rFonts w:ascii="Times New Roman" w:hAnsi="Times New Roman" w:eastAsia="宋体" w:cs="Times New Roman"/>
          <w:b/>
          <w:kern w:val="2"/>
          <w:sz w:val="21"/>
          <w:szCs w:val="21"/>
          <w:lang w:val="zh-CN" w:eastAsia="zh-CN" w:bidi="ar-SA"/>
        </w:rPr>
        <w:t>标准</w:t>
      </w:r>
      <w:r>
        <w:rPr>
          <w:rFonts w:ascii="Times New Roman" w:hAnsi="Times New Roman" w:eastAsia="宋体" w:cs="Times New Roman"/>
          <w:b/>
          <w:kern w:val="2"/>
          <w:sz w:val="21"/>
          <w:szCs w:val="21"/>
          <w:lang w:val="en-US" w:eastAsia="zh-CN" w:bidi="ar-SA"/>
        </w:rPr>
        <w:t xml:space="preserve"> 单位：mg/L(pH</w:t>
      </w:r>
      <w:r>
        <w:rPr>
          <w:rFonts w:hint="eastAsia" w:ascii="Times New Roman" w:hAnsi="Times New Roman" w:eastAsia="宋体" w:cs="Times New Roman"/>
          <w:b/>
          <w:kern w:val="2"/>
          <w:sz w:val="21"/>
          <w:szCs w:val="21"/>
          <w:lang w:val="en-US" w:eastAsia="zh-CN" w:bidi="ar-SA"/>
        </w:rPr>
        <w:t>无量纲</w:t>
      </w:r>
      <w:r>
        <w:rPr>
          <w:rFonts w:ascii="Times New Roman" w:hAnsi="Times New Roman" w:eastAsia="宋体" w:cs="Times New Roman"/>
          <w:b/>
          <w:kern w:val="2"/>
          <w:sz w:val="21"/>
          <w:szCs w:val="21"/>
          <w:lang w:val="en-US" w:eastAsia="zh-CN" w:bidi="ar-SA"/>
        </w:rPr>
        <w:t>)</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834"/>
        <w:gridCol w:w="2880"/>
        <w:gridCol w:w="31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834" w:type="dxa"/>
            <w:vMerge w:val="restart"/>
            <w:noWrap w:val="0"/>
            <w:tcMar>
              <w:left w:w="0" w:type="dxa"/>
              <w:right w:w="0" w:type="dxa"/>
            </w:tcMar>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项目</w:t>
            </w:r>
          </w:p>
        </w:tc>
        <w:tc>
          <w:tcPr>
            <w:tcW w:w="5981" w:type="dxa"/>
            <w:gridSpan w:val="2"/>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最高允许浓度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834" w:type="dxa"/>
            <w:vMerge w:val="continue"/>
            <w:noWrap w:val="0"/>
            <w:tcMar>
              <w:left w:w="0" w:type="dxa"/>
              <w:right w:w="0" w:type="dxa"/>
            </w:tcMar>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288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cs="宋体"/>
                <w:kern w:val="2"/>
                <w:sz w:val="24"/>
                <w:szCs w:val="24"/>
                <w:lang w:val="en-US" w:eastAsia="zh-CN" w:bidi="ar-SA"/>
              </w:rPr>
              <w:t>GB8978-1996三级标准</w:t>
            </w:r>
          </w:p>
        </w:tc>
        <w:tc>
          <w:tcPr>
            <w:tcW w:w="3101" w:type="dxa"/>
            <w:noWrap w:val="0"/>
            <w:vAlign w:val="center"/>
          </w:tcPr>
          <w:p>
            <w:pPr>
              <w:widowControl w:val="0"/>
              <w:bidi w:val="0"/>
              <w:adjustRightInd w:val="0"/>
              <w:snapToGrid w:val="0"/>
              <w:spacing w:line="240" w:lineRule="auto"/>
              <w:jc w:val="center"/>
              <w:rPr>
                <w:rFonts w:hint="default"/>
                <w:lang w:val="en-US" w:eastAsia="zh-CN"/>
              </w:rPr>
            </w:pPr>
            <w:r>
              <w:rPr>
                <w:rFonts w:hint="eastAsia"/>
                <w:lang w:val="en-US" w:eastAsia="zh-CN"/>
              </w:rPr>
              <w:t>GB18918-2002一级A类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834" w:type="dxa"/>
            <w:noWrap w:val="0"/>
            <w:tcMar>
              <w:left w:w="0" w:type="dxa"/>
              <w:right w:w="0" w:type="dxa"/>
            </w:tcMar>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PH</w:t>
            </w:r>
          </w:p>
        </w:tc>
        <w:tc>
          <w:tcPr>
            <w:tcW w:w="288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6</w:t>
            </w:r>
            <w:r>
              <w:rPr>
                <w:rFonts w:hint="eastAsia"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9</w:t>
            </w:r>
          </w:p>
        </w:tc>
        <w:tc>
          <w:tcPr>
            <w:tcW w:w="310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6</w:t>
            </w:r>
            <w:r>
              <w:rPr>
                <w:rFonts w:hint="eastAsia"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834" w:type="dxa"/>
            <w:noWrap w:val="0"/>
            <w:tcMar>
              <w:left w:w="0" w:type="dxa"/>
              <w:right w:w="0"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COD</w:t>
            </w:r>
            <w:r>
              <w:rPr>
                <w:rFonts w:ascii="Times New Roman" w:hAnsi="Times New Roman" w:eastAsia="宋体" w:cs="Times New Roman"/>
                <w:kern w:val="2"/>
                <w:sz w:val="24"/>
                <w:szCs w:val="24"/>
                <w:vertAlign w:val="subscript"/>
                <w:lang w:val="en-US" w:eastAsia="zh-CN" w:bidi="ar-SA"/>
              </w:rPr>
              <w:t>Cr</w:t>
            </w:r>
          </w:p>
        </w:tc>
        <w:tc>
          <w:tcPr>
            <w:tcW w:w="288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500</w:t>
            </w:r>
          </w:p>
        </w:tc>
        <w:tc>
          <w:tcPr>
            <w:tcW w:w="3101"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834" w:type="dxa"/>
            <w:noWrap w:val="0"/>
            <w:tcMar>
              <w:left w:w="0" w:type="dxa"/>
              <w:right w:w="0"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NH</w:t>
            </w:r>
            <w:r>
              <w:rPr>
                <w:rFonts w:ascii="Times New Roman" w:hAnsi="Times New Roman" w:eastAsia="宋体" w:cs="Times New Roman"/>
                <w:kern w:val="2"/>
                <w:sz w:val="24"/>
                <w:szCs w:val="24"/>
                <w:vertAlign w:val="subscript"/>
                <w:lang w:val="en-US" w:eastAsia="zh-CN" w:bidi="ar-SA"/>
              </w:rPr>
              <w:t>3</w:t>
            </w:r>
            <w:r>
              <w:rPr>
                <w:rFonts w:ascii="Times New Roman" w:hAnsi="Times New Roman" w:eastAsia="宋体" w:cs="Times New Roman"/>
                <w:kern w:val="2"/>
                <w:sz w:val="24"/>
                <w:szCs w:val="24"/>
                <w:lang w:val="en-US" w:eastAsia="zh-CN" w:bidi="ar-SA"/>
              </w:rPr>
              <w:t>-N</w:t>
            </w:r>
          </w:p>
        </w:tc>
        <w:tc>
          <w:tcPr>
            <w:tcW w:w="288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3101"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834" w:type="dxa"/>
            <w:noWrap w:val="0"/>
            <w:tcMar>
              <w:left w:w="0" w:type="dxa"/>
              <w:right w:w="0"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BOD</w:t>
            </w:r>
            <w:r>
              <w:rPr>
                <w:rFonts w:ascii="Times New Roman" w:hAnsi="Times New Roman" w:eastAsia="宋体" w:cs="Times New Roman"/>
                <w:kern w:val="2"/>
                <w:sz w:val="24"/>
                <w:szCs w:val="24"/>
                <w:vertAlign w:val="subscript"/>
                <w:lang w:val="en-US" w:eastAsia="zh-CN" w:bidi="ar-SA"/>
              </w:rPr>
              <w:t>5</w:t>
            </w:r>
          </w:p>
        </w:tc>
        <w:tc>
          <w:tcPr>
            <w:tcW w:w="288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300</w:t>
            </w:r>
          </w:p>
        </w:tc>
        <w:tc>
          <w:tcPr>
            <w:tcW w:w="3101"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834" w:type="dxa"/>
            <w:noWrap w:val="0"/>
            <w:tcMar>
              <w:left w:w="0" w:type="dxa"/>
              <w:right w:w="0" w:type="dxa"/>
            </w:tcMar>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SS</w:t>
            </w:r>
          </w:p>
        </w:tc>
        <w:tc>
          <w:tcPr>
            <w:tcW w:w="288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400</w:t>
            </w:r>
          </w:p>
        </w:tc>
        <w:tc>
          <w:tcPr>
            <w:tcW w:w="3101"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10</w:t>
            </w:r>
          </w:p>
        </w:tc>
      </w:tr>
    </w:tbl>
    <w:p>
      <w:pPr>
        <w:widowControl w:val="0"/>
        <w:numPr>
          <w:ilvl w:val="0"/>
          <w:numId w:val="9"/>
        </w:numPr>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噪声：施工期噪声执行《建筑施工场界环境噪声排放标准》（GB12523-2011）标准，</w:t>
      </w:r>
      <w:r>
        <w:rPr>
          <w:rFonts w:hint="eastAsia" w:ascii="Times New Roman" w:hAnsi="Times New Roman" w:eastAsia="宋体" w:cs="宋体"/>
          <w:kern w:val="2"/>
          <w:sz w:val="24"/>
          <w:szCs w:val="24"/>
          <w:lang w:val="en-US" w:eastAsia="zh-CN" w:bidi="ar-SA"/>
        </w:rPr>
        <w:t>运营期</w:t>
      </w:r>
      <w:r>
        <w:rPr>
          <w:rFonts w:ascii="Times New Roman" w:hAnsi="Times New Roman" w:eastAsia="宋体" w:cs="宋体"/>
          <w:kern w:val="2"/>
          <w:sz w:val="24"/>
          <w:szCs w:val="24"/>
          <w:lang w:val="en-US" w:eastAsia="zh-CN" w:bidi="ar-SA"/>
        </w:rPr>
        <w:t>厂界执行《工业企业厂界环境噪声排放标准》（GB12348-2008）中的</w:t>
      </w:r>
      <w:r>
        <w:rPr>
          <w:rFonts w:hint="eastAsia" w:ascii="Times New Roman" w:hAnsi="Times New Roman" w:eastAsia="宋体" w:cs="宋体"/>
          <w:kern w:val="2"/>
          <w:sz w:val="24"/>
          <w:szCs w:val="24"/>
          <w:lang w:val="en-US" w:eastAsia="zh-CN" w:bidi="ar-SA"/>
        </w:rPr>
        <w:t>3</w:t>
      </w:r>
      <w:r>
        <w:rPr>
          <w:rFonts w:ascii="Times New Roman" w:hAnsi="Times New Roman" w:eastAsia="宋体" w:cs="宋体"/>
          <w:kern w:val="2"/>
          <w:sz w:val="24"/>
          <w:szCs w:val="24"/>
          <w:lang w:val="en-US" w:eastAsia="zh-CN" w:bidi="ar-SA"/>
        </w:rPr>
        <w:t>类标准</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工业企业厂界环境噪声排放标准限值</w:t>
      </w:r>
      <w:r>
        <w:rPr>
          <w:rFonts w:hint="eastAsia" w:ascii="Times New Roman" w:hAnsi="Times New Roman" w:eastAsia="宋体" w:cs="宋体"/>
          <w:kern w:val="2"/>
          <w:sz w:val="24"/>
          <w:szCs w:val="24"/>
          <w:lang w:val="en-US" w:eastAsia="zh-CN" w:bidi="ar-SA"/>
        </w:rPr>
        <w:t>见</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_Ref18193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11</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建筑施工场界环境噪声排放标准</w:t>
      </w:r>
      <w:r>
        <w:rPr>
          <w:rFonts w:hint="eastAsia" w:ascii="Times New Roman" w:hAnsi="Times New Roman" w:eastAsia="宋体" w:cs="宋体"/>
          <w:kern w:val="2"/>
          <w:sz w:val="24"/>
          <w:szCs w:val="24"/>
          <w:lang w:val="en-US" w:eastAsia="zh-CN" w:bidi="ar-SA"/>
        </w:rPr>
        <w:t>见</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_Ref18255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12</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kern w:val="2"/>
          <w:sz w:val="21"/>
          <w:szCs w:val="21"/>
          <w:lang w:val="en-US" w:eastAsia="zh-CN" w:bidi="ar-SA"/>
        </w:rPr>
      </w:pPr>
      <w:bookmarkStart w:id="419" w:name="_Ref18193"/>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11</w:t>
      </w:r>
      <w:r>
        <w:rPr>
          <w:rFonts w:ascii="Times New Roman" w:hAnsi="Times New Roman" w:eastAsia="宋体" w:cs="Times New Roman"/>
          <w:b/>
          <w:kern w:val="2"/>
          <w:sz w:val="21"/>
          <w:szCs w:val="21"/>
          <w:lang w:val="en-US" w:eastAsia="zh-CN" w:bidi="ar-SA"/>
        </w:rPr>
        <w:fldChar w:fldCharType="end"/>
      </w:r>
      <w:bookmarkEnd w:id="419"/>
      <w:r>
        <w:rPr>
          <w:rFonts w:ascii="Times New Roman" w:hAnsi="Times New Roman" w:eastAsia="宋体" w:cs="Times New Roman"/>
          <w:b/>
          <w:kern w:val="2"/>
          <w:sz w:val="21"/>
          <w:szCs w:val="21"/>
          <w:lang w:val="en-US" w:eastAsia="zh-CN" w:bidi="ar-SA"/>
        </w:rPr>
        <w:t>工业企业厂界环境噪声排放标准限值 单位：dB（A）</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33"/>
        <w:gridCol w:w="2745"/>
        <w:gridCol w:w="28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3" w:type="dxa"/>
            <w:tcBorders>
              <w:tl2br w:val="single" w:color="auto" w:sz="12" w:space="0"/>
            </w:tcBorders>
            <w:noWrap w:val="0"/>
            <w:vAlign w:val="center"/>
          </w:tcPr>
          <w:p>
            <w:pPr>
              <w:pStyle w:val="26"/>
              <w:bidi w:val="0"/>
              <w:jc w:val="right"/>
            </w:pPr>
            <w:r>
              <w:t>时段</w:t>
            </w:r>
          </w:p>
          <w:p>
            <w:pPr>
              <w:pStyle w:val="26"/>
              <w:bidi w:val="0"/>
              <w:jc w:val="left"/>
            </w:pPr>
            <w:r>
              <w:t>声环境功能类别</w:t>
            </w:r>
          </w:p>
        </w:tc>
        <w:tc>
          <w:tcPr>
            <w:tcW w:w="2745" w:type="dxa"/>
            <w:noWrap w:val="0"/>
            <w:vAlign w:val="center"/>
          </w:tcPr>
          <w:p>
            <w:pPr>
              <w:pStyle w:val="26"/>
              <w:bidi w:val="0"/>
            </w:pPr>
            <w:r>
              <w:t>昼间</w:t>
            </w:r>
          </w:p>
        </w:tc>
        <w:tc>
          <w:tcPr>
            <w:tcW w:w="2869" w:type="dxa"/>
            <w:noWrap w:val="0"/>
            <w:vAlign w:val="center"/>
          </w:tcPr>
          <w:p>
            <w:pPr>
              <w:pStyle w:val="26"/>
              <w:bidi w:val="0"/>
            </w:pPr>
            <w: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3" w:type="dxa"/>
            <w:noWrap w:val="0"/>
            <w:vAlign w:val="center"/>
          </w:tcPr>
          <w:p>
            <w:pPr>
              <w:pStyle w:val="26"/>
              <w:bidi w:val="0"/>
            </w:pPr>
            <w:r>
              <w:rPr>
                <w:rFonts w:hint="eastAsia"/>
              </w:rPr>
              <w:t>3</w:t>
            </w:r>
            <w:r>
              <w:t>类</w:t>
            </w:r>
          </w:p>
        </w:tc>
        <w:tc>
          <w:tcPr>
            <w:tcW w:w="2745" w:type="dxa"/>
            <w:noWrap w:val="0"/>
            <w:vAlign w:val="center"/>
          </w:tcPr>
          <w:p>
            <w:pPr>
              <w:pStyle w:val="26"/>
              <w:bidi w:val="0"/>
            </w:pPr>
            <w:r>
              <w:rPr>
                <w:rFonts w:hint="eastAsia"/>
              </w:rPr>
              <w:t>65</w:t>
            </w:r>
          </w:p>
        </w:tc>
        <w:tc>
          <w:tcPr>
            <w:tcW w:w="2869" w:type="dxa"/>
            <w:noWrap w:val="0"/>
            <w:vAlign w:val="center"/>
          </w:tcPr>
          <w:p>
            <w:pPr>
              <w:pStyle w:val="26"/>
              <w:bidi w:val="0"/>
              <w:rPr>
                <w:rFonts w:hint="eastAsia"/>
              </w:rPr>
            </w:pPr>
            <w:r>
              <w:t>5</w:t>
            </w:r>
            <w:r>
              <w:rPr>
                <w:rFonts w:hint="eastAsia"/>
              </w:rPr>
              <w:t>5</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420" w:name="_Ref18255"/>
    </w:p>
    <w:p>
      <w:pPr>
        <w:widowControl w:val="0"/>
        <w:spacing w:line="360" w:lineRule="auto"/>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12</w:t>
      </w:r>
      <w:r>
        <w:rPr>
          <w:rFonts w:ascii="Times New Roman" w:hAnsi="Times New Roman" w:eastAsia="宋体" w:cs="Times New Roman"/>
          <w:b/>
          <w:kern w:val="2"/>
          <w:sz w:val="21"/>
          <w:szCs w:val="21"/>
          <w:lang w:val="en-US" w:eastAsia="zh-CN" w:bidi="ar-SA"/>
        </w:rPr>
        <w:fldChar w:fldCharType="end"/>
      </w:r>
      <w:bookmarkEnd w:id="420"/>
      <w:r>
        <w:rPr>
          <w:rFonts w:ascii="Times New Roman" w:hAnsi="Times New Roman" w:eastAsia="宋体" w:cs="Times New Roman"/>
          <w:b/>
          <w:kern w:val="2"/>
          <w:sz w:val="21"/>
          <w:szCs w:val="21"/>
          <w:lang w:val="en-US" w:eastAsia="zh-CN" w:bidi="ar-SA"/>
        </w:rPr>
        <w:t>建筑施工场界环境噪声排放标准 单位：dB（A）</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94"/>
        <w:gridCol w:w="2313"/>
        <w:gridCol w:w="2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194" w:type="dxa"/>
            <w:tcBorders>
              <w:tl2br w:val="single" w:color="auto" w:sz="12" w:space="0"/>
            </w:tcBorders>
            <w:noWrap w:val="0"/>
            <w:vAlign w:val="center"/>
          </w:tcPr>
          <w:p>
            <w:pPr>
              <w:pStyle w:val="26"/>
              <w:bidi w:val="0"/>
              <w:jc w:val="right"/>
            </w:pPr>
            <w:r>
              <w:t>时段</w:t>
            </w:r>
          </w:p>
          <w:p>
            <w:pPr>
              <w:pStyle w:val="26"/>
              <w:bidi w:val="0"/>
              <w:jc w:val="left"/>
            </w:pPr>
            <w:r>
              <w:t>声环境功能类别</w:t>
            </w:r>
          </w:p>
        </w:tc>
        <w:tc>
          <w:tcPr>
            <w:tcW w:w="2313" w:type="dxa"/>
            <w:noWrap w:val="0"/>
            <w:vAlign w:val="center"/>
          </w:tcPr>
          <w:p>
            <w:pPr>
              <w:pStyle w:val="26"/>
              <w:bidi w:val="0"/>
            </w:pPr>
            <w:r>
              <w:t>昼间</w:t>
            </w:r>
          </w:p>
        </w:tc>
        <w:tc>
          <w:tcPr>
            <w:tcW w:w="2997" w:type="dxa"/>
            <w:noWrap w:val="0"/>
            <w:vAlign w:val="center"/>
          </w:tcPr>
          <w:p>
            <w:pPr>
              <w:pStyle w:val="26"/>
              <w:bidi w:val="0"/>
            </w:pPr>
            <w: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194" w:type="dxa"/>
            <w:noWrap w:val="0"/>
            <w:vAlign w:val="center"/>
          </w:tcPr>
          <w:p>
            <w:pPr>
              <w:pStyle w:val="26"/>
              <w:bidi w:val="0"/>
            </w:pPr>
            <w:r>
              <w:t>《建筑施工场界环境噪声排放标准》（GB12523-2011）</w:t>
            </w:r>
          </w:p>
        </w:tc>
        <w:tc>
          <w:tcPr>
            <w:tcW w:w="2313" w:type="dxa"/>
            <w:noWrap w:val="0"/>
            <w:vAlign w:val="center"/>
          </w:tcPr>
          <w:p>
            <w:pPr>
              <w:pStyle w:val="26"/>
              <w:bidi w:val="0"/>
            </w:pPr>
            <w:r>
              <w:t>70</w:t>
            </w:r>
          </w:p>
        </w:tc>
        <w:tc>
          <w:tcPr>
            <w:tcW w:w="2997" w:type="dxa"/>
            <w:noWrap w:val="0"/>
            <w:vAlign w:val="center"/>
          </w:tcPr>
          <w:p>
            <w:pPr>
              <w:pStyle w:val="26"/>
              <w:bidi w:val="0"/>
            </w:pPr>
            <w:r>
              <w:t>55</w:t>
            </w:r>
          </w:p>
        </w:tc>
      </w:tr>
    </w:tbl>
    <w:p/>
    <w:p>
      <w:pPr>
        <w:pStyle w:val="25"/>
        <w:bidi w:val="0"/>
        <w:rPr>
          <w:lang w:val="en-US" w:eastAsia="zh-CN"/>
        </w:rPr>
      </w:pPr>
      <w:r>
        <w:rPr>
          <w:lang w:val="en-US" w:eastAsia="zh-CN"/>
        </w:rPr>
        <w:t>（4）固体废物：一般固废执行《一般工业固体废物贮存、处置场污染控制标准》（GB18599-2001）及其修改单，危险废物执行《危险废物贮存污染控制标准》（GB18597-2001）及其修改单，生活垃圾执行《生活垃圾填埋场污染控制标准》（GB16889-2008）。</w:t>
      </w:r>
    </w:p>
    <w:p>
      <w:pPr>
        <w:pStyle w:val="2"/>
        <w:bidi w:val="0"/>
        <w:rPr>
          <w:lang w:val="en-US" w:eastAsia="zh-CN"/>
        </w:rPr>
      </w:pPr>
      <w:bookmarkStart w:id="421" w:name="_Toc17466_WPSOffice_Level2"/>
      <w:bookmarkStart w:id="422" w:name="_Toc16483"/>
      <w:bookmarkStart w:id="423" w:name="_Toc331351314"/>
      <w:bookmarkStart w:id="424" w:name="_Toc26263_WPSOffice_Level2"/>
      <w:bookmarkStart w:id="425" w:name="_Toc21499_WPSOffice_Level2"/>
      <w:bookmarkStart w:id="426" w:name="_Toc11229"/>
      <w:bookmarkStart w:id="427" w:name="_Toc22861_WPSOffice_Level2"/>
      <w:bookmarkStart w:id="428" w:name="_Toc372124931"/>
      <w:bookmarkStart w:id="429" w:name="_Toc25803_WPSOffice_Level2"/>
      <w:bookmarkStart w:id="430" w:name="_Toc30525"/>
      <w:bookmarkStart w:id="431" w:name="_Toc21924"/>
      <w:bookmarkStart w:id="432" w:name="_Toc6237"/>
      <w:bookmarkStart w:id="433" w:name="_Toc28504_WPSOffice_Level2"/>
      <w:bookmarkStart w:id="434" w:name="_Toc324516205"/>
      <w:bookmarkStart w:id="435" w:name="_Toc21105"/>
      <w:bookmarkStart w:id="436" w:name="_Toc353549400"/>
      <w:bookmarkStart w:id="437" w:name="_Toc324754189"/>
      <w:bookmarkStart w:id="438" w:name="_Toc24307"/>
      <w:bookmarkStart w:id="439" w:name="_Toc336615587"/>
      <w:bookmarkStart w:id="440" w:name="_Toc20110_WPSOffice_Level2"/>
      <w:r>
        <w:rPr>
          <w:lang w:val="en-US" w:eastAsia="zh-CN"/>
        </w:rPr>
        <w:t>评价工作等级和评价重点</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pPr>
        <w:pStyle w:val="4"/>
        <w:bidi w:val="0"/>
        <w:rPr>
          <w:lang w:val="en-US" w:eastAsia="zh-CN"/>
        </w:rPr>
      </w:pPr>
      <w:bookmarkStart w:id="441" w:name="_Toc3671"/>
      <w:bookmarkStart w:id="442" w:name="_Toc6220"/>
      <w:bookmarkStart w:id="443" w:name="_Toc27776_WPSOffice_Level3"/>
      <w:bookmarkStart w:id="444" w:name="_Toc19963"/>
      <w:bookmarkStart w:id="445" w:name="_Toc11892"/>
      <w:bookmarkStart w:id="446" w:name="_Toc26107"/>
      <w:bookmarkStart w:id="447" w:name="_Toc6766"/>
      <w:bookmarkStart w:id="448" w:name="_Toc26090"/>
      <w:bookmarkStart w:id="449" w:name="_Toc28368"/>
      <w:bookmarkStart w:id="450" w:name="_Toc28887"/>
      <w:bookmarkStart w:id="451" w:name="_Toc10194"/>
      <w:bookmarkStart w:id="452" w:name="_Toc22860"/>
      <w:bookmarkStart w:id="453" w:name="_Toc7907"/>
      <w:bookmarkStart w:id="454" w:name="_Toc30866"/>
      <w:bookmarkStart w:id="455" w:name="_Toc12412"/>
      <w:bookmarkStart w:id="456" w:name="_Toc29299"/>
      <w:bookmarkStart w:id="457" w:name="_Toc15618"/>
      <w:bookmarkStart w:id="458" w:name="_Toc15666_WPSOffice_Level3"/>
      <w:r>
        <w:rPr>
          <w:lang w:val="en-US" w:eastAsia="zh-CN"/>
        </w:rPr>
        <w:t>评价工作等级</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根据国家环保部颁布的相关《环境影响评价技术导则》，经分析而确定本项目大气、地</w:t>
      </w:r>
      <w:r>
        <w:rPr>
          <w:rFonts w:hint="eastAsia" w:ascii="Times New Roman" w:hAnsi="Times New Roman" w:eastAsia="宋体" w:cs="宋体"/>
          <w:kern w:val="2"/>
          <w:sz w:val="24"/>
          <w:szCs w:val="24"/>
          <w:lang w:val="en-US" w:eastAsia="zh-CN" w:bidi="ar-SA"/>
        </w:rPr>
        <w:t>表</w:t>
      </w:r>
      <w:r>
        <w:rPr>
          <w:rFonts w:ascii="Times New Roman" w:hAnsi="Times New Roman" w:eastAsia="宋体" w:cs="宋体"/>
          <w:kern w:val="2"/>
          <w:sz w:val="24"/>
          <w:szCs w:val="24"/>
          <w:lang w:val="en-US" w:eastAsia="zh-CN" w:bidi="ar-SA"/>
        </w:rPr>
        <w:t>水、地下水、声</w:t>
      </w:r>
      <w:r>
        <w:rPr>
          <w:rFonts w:hint="eastAsia" w:ascii="Times New Roman" w:hAnsi="Times New Roman" w:eastAsia="宋体" w:cs="宋体"/>
          <w:kern w:val="2"/>
          <w:sz w:val="24"/>
          <w:szCs w:val="24"/>
          <w:lang w:val="en-US" w:eastAsia="zh-CN" w:bidi="ar-SA"/>
        </w:rPr>
        <w:t>、土壤、生态</w:t>
      </w:r>
      <w:r>
        <w:rPr>
          <w:rFonts w:ascii="Times New Roman" w:hAnsi="Times New Roman" w:eastAsia="宋体" w:cs="宋体"/>
          <w:kern w:val="2"/>
          <w:sz w:val="24"/>
          <w:szCs w:val="24"/>
          <w:lang w:val="en-US" w:eastAsia="zh-CN" w:bidi="ar-SA"/>
        </w:rPr>
        <w:t>环境和环境风险影响评价等级。</w:t>
      </w:r>
    </w:p>
    <w:p>
      <w:pPr>
        <w:pStyle w:val="5"/>
        <w:bidi w:val="0"/>
        <w:rPr>
          <w:lang w:val="en-US" w:eastAsia="zh-CN"/>
        </w:rPr>
      </w:pPr>
      <w:bookmarkStart w:id="459" w:name="_Toc4640"/>
      <w:r>
        <w:rPr>
          <w:lang w:val="en-US" w:eastAsia="zh-CN"/>
        </w:rPr>
        <w:t>大气环境影响评价等级</w:t>
      </w:r>
      <w:bookmarkEnd w:id="459"/>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highlight w:val="none"/>
          <w:lang w:val="en-US" w:eastAsia="zh-CN" w:bidi="ar-SA"/>
        </w:rPr>
        <w:t>本项目运营后废气排放源主要有</w:t>
      </w:r>
      <w:r>
        <w:rPr>
          <w:rFonts w:ascii="Times New Roman" w:hAnsi="Times New Roman" w:eastAsia="宋体" w:cs="宋体"/>
          <w:kern w:val="2"/>
          <w:sz w:val="24"/>
          <w:szCs w:val="24"/>
          <w:highlight w:val="none"/>
          <w:lang w:val="en-US" w:eastAsia="zh-CN" w:bidi="ar-SA"/>
        </w:rPr>
        <w:t>生产装置产生的废气，与项目有关的大气污染物主要为</w:t>
      </w:r>
      <w:r>
        <w:rPr>
          <w:rFonts w:hint="eastAsia" w:cs="宋体"/>
          <w:kern w:val="2"/>
          <w:sz w:val="24"/>
          <w:szCs w:val="24"/>
          <w:highlight w:val="none"/>
          <w:lang w:val="en-US" w:eastAsia="zh-CN" w:bidi="ar-SA"/>
        </w:rPr>
        <w:t>VOCs</w:t>
      </w:r>
      <w:r>
        <w:rPr>
          <w:rFonts w:ascii="Times New Roman" w:hAnsi="Times New Roman" w:eastAsia="宋体" w:cs="宋体"/>
          <w:kern w:val="2"/>
          <w:sz w:val="24"/>
          <w:szCs w:val="24"/>
          <w:highlight w:val="none"/>
          <w:lang w:val="en-US" w:eastAsia="zh-CN" w:bidi="ar-SA"/>
        </w:rPr>
        <w:t>。</w:t>
      </w:r>
      <w:r>
        <w:rPr>
          <w:rFonts w:hint="eastAsia" w:ascii="Times New Roman" w:hAnsi="Times New Roman" w:eastAsia="宋体" w:cs="宋体"/>
          <w:kern w:val="2"/>
          <w:sz w:val="24"/>
          <w:szCs w:val="24"/>
          <w:highlight w:val="none"/>
          <w:lang w:val="en-US" w:eastAsia="zh-CN" w:bidi="ar-SA"/>
        </w:rPr>
        <w:t>本次评价选择项目废气污染物中的</w:t>
      </w:r>
      <w:r>
        <w:rPr>
          <w:rFonts w:hint="eastAsia" w:cs="宋体"/>
          <w:kern w:val="2"/>
          <w:sz w:val="24"/>
          <w:szCs w:val="24"/>
          <w:highlight w:val="none"/>
          <w:lang w:val="en-US" w:eastAsia="zh-CN" w:bidi="ar-SA"/>
        </w:rPr>
        <w:t>VOCs</w:t>
      </w:r>
      <w:r>
        <w:rPr>
          <w:rFonts w:hint="eastAsia" w:ascii="Times New Roman" w:hAnsi="Times New Roman" w:eastAsia="宋体" w:cs="宋体"/>
          <w:kern w:val="2"/>
          <w:sz w:val="24"/>
          <w:szCs w:val="24"/>
          <w:highlight w:val="none"/>
          <w:lang w:val="en-US" w:eastAsia="zh-CN" w:bidi="ar-SA"/>
        </w:rPr>
        <w:t>作为确定评价工作等级的污染物，</w:t>
      </w:r>
      <w:r>
        <w:rPr>
          <w:rFonts w:ascii="Times New Roman" w:hAnsi="Times New Roman" w:eastAsia="宋体" w:cs="宋体"/>
          <w:kern w:val="2"/>
          <w:sz w:val="24"/>
          <w:szCs w:val="24"/>
          <w:lang w:val="en-US" w:eastAsia="zh-CN" w:bidi="ar-SA"/>
        </w:rPr>
        <w:t>按照</w:t>
      </w:r>
      <w:r>
        <w:rPr>
          <w:rFonts w:hint="eastAsia" w:ascii="Times New Roman" w:hAnsi="Times New Roman" w:eastAsia="宋体" w:cs="宋体"/>
          <w:kern w:val="2"/>
          <w:sz w:val="24"/>
          <w:szCs w:val="24"/>
          <w:lang w:val="en-US" w:eastAsia="zh-CN" w:bidi="ar-SA"/>
        </w:rPr>
        <w:t>《环境影响评价技术导则 大气环境》</w:t>
      </w:r>
      <w:r>
        <w:rPr>
          <w:rFonts w:ascii="Times New Roman" w:hAnsi="Times New Roman" w:eastAsia="宋体" w:cs="宋体"/>
          <w:kern w:val="2"/>
          <w:sz w:val="24"/>
          <w:szCs w:val="24"/>
          <w:lang w:val="en-US" w:eastAsia="zh-CN" w:bidi="ar-SA"/>
        </w:rPr>
        <w:t>(HJ2.2-20</w:t>
      </w:r>
      <w:r>
        <w:rPr>
          <w:rFonts w:hint="eastAsia" w:ascii="Times New Roman" w:hAnsi="Times New Roman" w:eastAsia="宋体" w:cs="宋体"/>
          <w:kern w:val="2"/>
          <w:sz w:val="24"/>
          <w:szCs w:val="24"/>
          <w:lang w:val="en-US" w:eastAsia="zh-CN" w:bidi="ar-SA"/>
        </w:rPr>
        <w:t>18</w:t>
      </w:r>
      <w:r>
        <w:rPr>
          <w:rFonts w:ascii="Times New Roman" w:hAnsi="Times New Roman" w:eastAsia="宋体" w:cs="宋体"/>
          <w:kern w:val="2"/>
          <w:sz w:val="24"/>
          <w:szCs w:val="24"/>
          <w:lang w:val="en-US" w:eastAsia="zh-CN" w:bidi="ar-SA"/>
        </w:rPr>
        <w:t>)规定，分别计算每一种污染物的最大地面浓度占标率Pi(第i个污染物)，及第i个污染物的地面浓度达标准限值10%时所对应的最远距离D10%，并参照以下方法计算其最大浓度占标率。</w:t>
      </w:r>
    </w:p>
    <w:p>
      <w:r>
        <w:drawing>
          <wp:anchor distT="0" distB="0" distL="114300" distR="114300" simplePos="0" relativeHeight="251668480" behindDoc="0" locked="0" layoutInCell="1" allowOverlap="1">
            <wp:simplePos x="0" y="0"/>
            <wp:positionH relativeFrom="column">
              <wp:posOffset>1971675</wp:posOffset>
            </wp:positionH>
            <wp:positionV relativeFrom="paragraph">
              <wp:posOffset>85725</wp:posOffset>
            </wp:positionV>
            <wp:extent cx="1257300" cy="561340"/>
            <wp:effectExtent l="0" t="0" r="0" b="10160"/>
            <wp:wrapTopAndBottom/>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8"/>
                    <pic:cNvPicPr>
                      <a:picLocks noChangeAspect="1"/>
                    </pic:cNvPicPr>
                  </pic:nvPicPr>
                  <pic:blipFill>
                    <a:blip r:embed="rId26"/>
                    <a:stretch>
                      <a:fillRect/>
                    </a:stretch>
                  </pic:blipFill>
                  <pic:spPr>
                    <a:xfrm>
                      <a:off x="0" y="0"/>
                      <a:ext cx="1257300" cy="561340"/>
                    </a:xfrm>
                    <a:prstGeom prst="rect">
                      <a:avLst/>
                    </a:prstGeom>
                    <a:noFill/>
                    <a:ln>
                      <a:noFill/>
                    </a:ln>
                  </pic:spPr>
                </pic:pic>
              </a:graphicData>
            </a:graphic>
          </wp:anchor>
        </w:drawing>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式中：</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P</w:t>
      </w:r>
      <w:r>
        <w:rPr>
          <w:rFonts w:ascii="Times New Roman" w:hAnsi="Times New Roman" w:eastAsia="宋体" w:cs="宋体"/>
          <w:kern w:val="2"/>
          <w:sz w:val="24"/>
          <w:szCs w:val="24"/>
          <w:vertAlign w:val="subscript"/>
          <w:lang w:val="en-US" w:eastAsia="zh-CN" w:bidi="ar-SA"/>
        </w:rPr>
        <w:t>i</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第i个污染物的最大地面浓度占标率，%；</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C</w:t>
      </w:r>
      <w:r>
        <w:rPr>
          <w:rFonts w:ascii="Times New Roman" w:hAnsi="Times New Roman" w:eastAsia="宋体" w:cs="宋体"/>
          <w:kern w:val="2"/>
          <w:sz w:val="24"/>
          <w:szCs w:val="24"/>
          <w:vertAlign w:val="subscript"/>
          <w:lang w:val="en-US" w:eastAsia="zh-CN" w:bidi="ar-SA"/>
        </w:rPr>
        <w:t>i</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采用估算模式计算出的第i个污染物的最大地面浓度，</w:t>
      </w:r>
      <w:r>
        <w:rPr>
          <w:rFonts w:hint="default" w:ascii="Calibri" w:hAnsi="Calibri" w:eastAsia="宋体" w:cs="Calibri"/>
          <w:kern w:val="2"/>
          <w:sz w:val="24"/>
          <w:szCs w:val="24"/>
          <w:lang w:val="en-US" w:eastAsia="zh-CN" w:bidi="ar-SA"/>
        </w:rPr>
        <w:t>μ</w:t>
      </w:r>
      <w:r>
        <w:rPr>
          <w:rFonts w:ascii="Times New Roman" w:hAnsi="Times New Roman" w:eastAsia="宋体" w:cs="宋体"/>
          <w:kern w:val="2"/>
          <w:sz w:val="24"/>
          <w:szCs w:val="24"/>
          <w:lang w:val="en-US" w:eastAsia="zh-CN" w:bidi="ar-SA"/>
        </w:rPr>
        <w:t>g/m</w:t>
      </w:r>
      <w:r>
        <w:rPr>
          <w:rFonts w:ascii="Times New Roman" w:hAnsi="Times New Roman" w:eastAsia="宋体" w:cs="宋体"/>
          <w:kern w:val="2"/>
          <w:sz w:val="24"/>
          <w:szCs w:val="24"/>
          <w:vertAlign w:val="superscript"/>
          <w:lang w:val="en-US" w:eastAsia="zh-CN" w:bidi="ar-SA"/>
        </w:rPr>
        <w:t>3</w:t>
      </w:r>
      <w:r>
        <w:rPr>
          <w:rFonts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C</w:t>
      </w:r>
      <w:r>
        <w:rPr>
          <w:rFonts w:ascii="Times New Roman" w:hAnsi="Times New Roman" w:eastAsia="宋体" w:cs="宋体"/>
          <w:kern w:val="2"/>
          <w:sz w:val="24"/>
          <w:szCs w:val="24"/>
          <w:vertAlign w:val="subscript"/>
          <w:lang w:val="en-US" w:eastAsia="zh-CN" w:bidi="ar-SA"/>
        </w:rPr>
        <w:t>0i</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第i个污染物的环境空气质量标准，</w:t>
      </w:r>
      <w:r>
        <w:rPr>
          <w:rFonts w:hint="default" w:ascii="Calibri" w:hAnsi="Calibri" w:eastAsia="宋体" w:cs="Calibri"/>
          <w:kern w:val="2"/>
          <w:sz w:val="24"/>
          <w:szCs w:val="24"/>
          <w:lang w:val="en-US" w:eastAsia="zh-CN" w:bidi="ar-SA"/>
        </w:rPr>
        <w:t>μ</w:t>
      </w:r>
      <w:r>
        <w:rPr>
          <w:rFonts w:hint="eastAsia" w:ascii="Times New Roman" w:hAnsi="Times New Roman" w:eastAsia="宋体" w:cs="宋体"/>
          <w:kern w:val="2"/>
          <w:sz w:val="24"/>
          <w:szCs w:val="24"/>
          <w:lang w:val="en-US" w:eastAsia="zh-CN" w:bidi="ar-SA"/>
        </w:rPr>
        <w:t>g/m</w:t>
      </w:r>
      <w:r>
        <w:rPr>
          <w:rFonts w:hint="eastAsia" w:ascii="Times New Roman" w:hAnsi="Times New Roman" w:eastAsia="宋体" w:cs="宋体"/>
          <w:kern w:val="2"/>
          <w:sz w:val="24"/>
          <w:szCs w:val="24"/>
          <w:vertAlign w:val="superscript"/>
          <w:lang w:val="en-US" w:eastAsia="zh-CN" w:bidi="ar-SA"/>
        </w:rPr>
        <w:t>3</w:t>
      </w:r>
      <w:r>
        <w:rPr>
          <w:rFonts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C</w:t>
      </w:r>
      <w:r>
        <w:rPr>
          <w:rFonts w:hint="eastAsia" w:ascii="Times New Roman" w:hAnsi="Times New Roman" w:eastAsia="宋体" w:cs="宋体"/>
          <w:kern w:val="2"/>
          <w:sz w:val="24"/>
          <w:szCs w:val="24"/>
          <w:vertAlign w:val="subscript"/>
          <w:lang w:val="en-US" w:eastAsia="zh-CN" w:bidi="ar-SA"/>
        </w:rPr>
        <w:t>0</w:t>
      </w:r>
      <w:r>
        <w:rPr>
          <w:rFonts w:ascii="Times New Roman" w:hAnsi="Times New Roman" w:eastAsia="宋体" w:cs="宋体"/>
          <w:kern w:val="2"/>
          <w:sz w:val="24"/>
          <w:szCs w:val="24"/>
          <w:vertAlign w:val="subscript"/>
          <w:lang w:val="en-US" w:eastAsia="zh-CN" w:bidi="ar-SA"/>
        </w:rPr>
        <w:t>i</w:t>
      </w:r>
      <w:r>
        <w:rPr>
          <w:rFonts w:ascii="Times New Roman" w:hAnsi="Times New Roman" w:eastAsia="宋体" w:cs="宋体"/>
          <w:kern w:val="2"/>
          <w:sz w:val="24"/>
          <w:szCs w:val="24"/>
          <w:lang w:val="zh-CN" w:eastAsia="zh-CN" w:bidi="ar-SA"/>
        </w:rPr>
        <w:t>一般选用《环境空气质量标准》（</w:t>
      </w:r>
      <w:r>
        <w:rPr>
          <w:rFonts w:hint="eastAsia" w:ascii="Times New Roman" w:hAnsi="Times New Roman" w:eastAsia="宋体" w:cs="宋体"/>
          <w:kern w:val="2"/>
          <w:sz w:val="24"/>
          <w:szCs w:val="24"/>
          <w:lang w:val="en-US" w:eastAsia="zh-CN" w:bidi="ar-SA"/>
        </w:rPr>
        <w:t>GB</w:t>
      </w:r>
      <w:r>
        <w:rPr>
          <w:rFonts w:ascii="Times New Roman" w:hAnsi="Times New Roman" w:eastAsia="宋体" w:cs="宋体"/>
          <w:kern w:val="2"/>
          <w:sz w:val="24"/>
          <w:szCs w:val="24"/>
          <w:lang w:val="en-US" w:eastAsia="zh-CN" w:bidi="ar-SA"/>
        </w:rPr>
        <w:t>3095-2012</w:t>
      </w:r>
      <w:r>
        <w:rPr>
          <w:rFonts w:ascii="Times New Roman" w:hAnsi="Times New Roman" w:eastAsia="宋体" w:cs="宋体"/>
          <w:kern w:val="2"/>
          <w:sz w:val="24"/>
          <w:szCs w:val="24"/>
          <w:lang w:val="zh-CN" w:eastAsia="zh-CN" w:bidi="ar-SA"/>
        </w:rPr>
        <w:t>）中1小时平均取样时间的二级标准的浓度限值；《环境空气质量标准》（</w:t>
      </w:r>
      <w:r>
        <w:rPr>
          <w:rFonts w:ascii="Times New Roman" w:hAnsi="Times New Roman" w:eastAsia="宋体" w:cs="宋体"/>
          <w:kern w:val="2"/>
          <w:sz w:val="24"/>
          <w:szCs w:val="24"/>
          <w:lang w:val="en-US" w:eastAsia="zh-CN" w:bidi="ar-SA"/>
        </w:rPr>
        <w:t>GB3095-2012</w:t>
      </w:r>
      <w:r>
        <w:rPr>
          <w:rFonts w:ascii="Times New Roman" w:hAnsi="Times New Roman" w:eastAsia="宋体" w:cs="宋体"/>
          <w:kern w:val="2"/>
          <w:sz w:val="24"/>
          <w:szCs w:val="24"/>
          <w:lang w:val="zh-CN" w:eastAsia="zh-CN" w:bidi="ar-SA"/>
        </w:rPr>
        <w:t>）二级标准中没有规定的，采用</w:t>
      </w:r>
      <w:r>
        <w:rPr>
          <w:rFonts w:hint="eastAsia" w:ascii="Times New Roman" w:hAnsi="Times New Roman" w:eastAsia="宋体" w:cs="宋体"/>
          <w:kern w:val="2"/>
          <w:sz w:val="24"/>
          <w:szCs w:val="24"/>
          <w:lang w:val="en-US" w:eastAsia="zh-CN" w:bidi="ar-SA"/>
        </w:rPr>
        <w:t>《环境影响评价技术导则 大气环境》(HJ2.2-2018)中的附录D标准</w:t>
      </w:r>
      <w:r>
        <w:rPr>
          <w:rFonts w:ascii="Times New Roman" w:hAnsi="Times New Roman" w:eastAsia="宋体" w:cs="宋体"/>
          <w:kern w:val="2"/>
          <w:sz w:val="24"/>
          <w:szCs w:val="24"/>
          <w:lang w:val="en-US" w:eastAsia="zh-CN" w:bidi="ar-SA"/>
        </w:rPr>
        <w:t>中的规定限值</w:t>
      </w:r>
      <w:r>
        <w:rPr>
          <w:rFonts w:ascii="Times New Roman" w:hAnsi="Times New Roman" w:eastAsia="宋体" w:cs="宋体"/>
          <w:kern w:val="2"/>
          <w:sz w:val="24"/>
          <w:szCs w:val="24"/>
          <w:lang w:val="zh-CN" w:eastAsia="zh-CN" w:bidi="ar-SA"/>
        </w:rPr>
        <w:t>。</w:t>
      </w:r>
      <w:r>
        <w:rPr>
          <w:rFonts w:ascii="Times New Roman" w:hAnsi="Times New Roman" w:eastAsia="宋体" w:cs="宋体"/>
          <w:kern w:val="2"/>
          <w:sz w:val="24"/>
          <w:szCs w:val="24"/>
          <w:lang w:val="en-US" w:eastAsia="zh-CN" w:bidi="ar-SA"/>
        </w:rPr>
        <w:t>环境影响评价</w:t>
      </w:r>
      <w:r>
        <w:rPr>
          <w:rFonts w:hint="eastAsia" w:ascii="Times New Roman" w:hAnsi="Times New Roman" w:eastAsia="宋体" w:cs="宋体"/>
          <w:kern w:val="2"/>
          <w:sz w:val="24"/>
          <w:szCs w:val="24"/>
          <w:lang w:val="en-US" w:eastAsia="zh-CN" w:bidi="ar-SA"/>
        </w:rPr>
        <w:t>工作</w:t>
      </w:r>
      <w:r>
        <w:rPr>
          <w:rFonts w:ascii="Times New Roman" w:hAnsi="Times New Roman" w:eastAsia="宋体" w:cs="宋体"/>
          <w:kern w:val="2"/>
          <w:sz w:val="24"/>
          <w:szCs w:val="24"/>
          <w:lang w:val="en-US" w:eastAsia="zh-CN" w:bidi="ar-SA"/>
        </w:rPr>
        <w:t>等级</w:t>
      </w:r>
      <w:r>
        <w:rPr>
          <w:rFonts w:hint="eastAsia" w:ascii="Times New Roman" w:hAnsi="Times New Roman" w:eastAsia="宋体" w:cs="宋体"/>
          <w:kern w:val="2"/>
          <w:sz w:val="24"/>
          <w:szCs w:val="24"/>
          <w:lang w:val="en-US" w:eastAsia="zh-CN" w:bidi="ar-SA"/>
        </w:rPr>
        <w:t>及分级判据见</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_Ref19029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13</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kern w:val="2"/>
          <w:sz w:val="21"/>
          <w:szCs w:val="21"/>
          <w:lang w:val="en-US" w:eastAsia="zh-CN" w:bidi="ar-SA"/>
        </w:rPr>
      </w:pPr>
      <w:bookmarkStart w:id="460" w:name="_Ref19029"/>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13</w:t>
      </w:r>
      <w:r>
        <w:rPr>
          <w:rFonts w:ascii="Times New Roman" w:hAnsi="Times New Roman" w:eastAsia="宋体" w:cs="Times New Roman"/>
          <w:b/>
          <w:kern w:val="2"/>
          <w:sz w:val="21"/>
          <w:szCs w:val="21"/>
          <w:lang w:val="en-US" w:eastAsia="zh-CN" w:bidi="ar-SA"/>
        </w:rPr>
        <w:fldChar w:fldCharType="end"/>
      </w:r>
      <w:bookmarkEnd w:id="460"/>
      <w:r>
        <w:rPr>
          <w:rFonts w:ascii="Times New Roman" w:hAnsi="Times New Roman" w:eastAsia="宋体" w:cs="Times New Roman"/>
          <w:b/>
          <w:kern w:val="2"/>
          <w:sz w:val="21"/>
          <w:szCs w:val="21"/>
          <w:lang w:val="en-US" w:eastAsia="zh-CN" w:bidi="ar-SA"/>
        </w:rPr>
        <w:t>环境影响评价等级一览表</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67"/>
        <w:gridCol w:w="57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7" w:type="dxa"/>
            <w:noWrap w:val="0"/>
            <w:vAlign w:val="center"/>
          </w:tcPr>
          <w:p>
            <w:pPr>
              <w:pStyle w:val="26"/>
              <w:bidi w:val="0"/>
            </w:pPr>
            <w:r>
              <w:t>评价工作等级</w:t>
            </w:r>
          </w:p>
        </w:tc>
        <w:tc>
          <w:tcPr>
            <w:tcW w:w="5711" w:type="dxa"/>
            <w:noWrap w:val="0"/>
            <w:vAlign w:val="center"/>
          </w:tcPr>
          <w:p>
            <w:pPr>
              <w:pStyle w:val="26"/>
              <w:bidi w:val="0"/>
            </w:pPr>
            <w:r>
              <w:t>评价工作分级判据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7" w:type="dxa"/>
            <w:noWrap w:val="0"/>
            <w:vAlign w:val="center"/>
          </w:tcPr>
          <w:p>
            <w:pPr>
              <w:pStyle w:val="26"/>
              <w:bidi w:val="0"/>
            </w:pPr>
            <w:r>
              <w:t>一级</w:t>
            </w:r>
          </w:p>
        </w:tc>
        <w:tc>
          <w:tcPr>
            <w:tcW w:w="5711" w:type="dxa"/>
            <w:noWrap w:val="0"/>
            <w:vAlign w:val="center"/>
          </w:tcPr>
          <w:p>
            <w:pPr>
              <w:pStyle w:val="26"/>
              <w:bidi w:val="0"/>
              <w:rPr>
                <w:rFonts w:hint="eastAsia"/>
              </w:rPr>
            </w:pPr>
            <w:r>
              <w:t>P</w:t>
            </w:r>
            <w:r>
              <w:rPr>
                <w:vertAlign w:val="subscript"/>
              </w:rPr>
              <w:t>max</w:t>
            </w:r>
            <w:r>
              <w:rPr>
                <w:rFonts w:hint="eastAsia"/>
              </w:rPr>
              <w:t xml:space="preserve"> </w:t>
            </w:r>
            <w:r>
              <w:rPr>
                <w:rFonts w:hint="eastAsia"/>
                <w:lang w:eastAsia="zh-CN"/>
              </w:rPr>
              <w:t>≧</w:t>
            </w:r>
            <w:r>
              <w:rPr>
                <w:rFonts w:hint="eastAsia"/>
              </w:rPr>
              <w:t xml:space="preserve"> 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7" w:type="dxa"/>
            <w:noWrap w:val="0"/>
            <w:vAlign w:val="center"/>
          </w:tcPr>
          <w:p>
            <w:pPr>
              <w:pStyle w:val="26"/>
              <w:bidi w:val="0"/>
            </w:pPr>
            <w:r>
              <w:t>二级</w:t>
            </w:r>
          </w:p>
        </w:tc>
        <w:tc>
          <w:tcPr>
            <w:tcW w:w="5711" w:type="dxa"/>
            <w:noWrap w:val="0"/>
            <w:vAlign w:val="center"/>
          </w:tcPr>
          <w:p>
            <w:pPr>
              <w:pStyle w:val="26"/>
              <w:bidi w:val="0"/>
            </w:pPr>
            <w:r>
              <w:rPr>
                <w:rFonts w:hint="eastAsia"/>
              </w:rPr>
              <w:t xml:space="preserve">1 </w:t>
            </w:r>
            <w:r>
              <w:rPr>
                <w:rFonts w:hint="eastAsia"/>
                <w:lang w:eastAsia="zh-CN"/>
              </w:rPr>
              <w:t>≦</w:t>
            </w:r>
            <w:r>
              <w:t>P</w:t>
            </w:r>
            <w:r>
              <w:rPr>
                <w:vertAlign w:val="subscript"/>
              </w:rPr>
              <w:t>max</w:t>
            </w:r>
            <w:r>
              <w:rPr>
                <w:rFonts w:hint="eastAsia"/>
                <w:lang w:val="en-US" w:eastAsia="zh-CN"/>
              </w:rPr>
              <w:t xml:space="preserve"> &lt;1</w:t>
            </w:r>
            <w:r>
              <w:rPr>
                <w:rFonts w:hint="eastAsi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7" w:type="dxa"/>
            <w:noWrap w:val="0"/>
            <w:vAlign w:val="center"/>
          </w:tcPr>
          <w:p>
            <w:pPr>
              <w:pStyle w:val="26"/>
              <w:bidi w:val="0"/>
            </w:pPr>
            <w:r>
              <w:t>三级</w:t>
            </w:r>
          </w:p>
        </w:tc>
        <w:tc>
          <w:tcPr>
            <w:tcW w:w="5711" w:type="dxa"/>
            <w:noWrap w:val="0"/>
            <w:vAlign w:val="center"/>
          </w:tcPr>
          <w:p>
            <w:pPr>
              <w:pStyle w:val="26"/>
              <w:bidi w:val="0"/>
            </w:pPr>
            <w:r>
              <w:t>P</w:t>
            </w:r>
            <w:r>
              <w:rPr>
                <w:vertAlign w:val="subscript"/>
              </w:rPr>
              <w:t>max</w:t>
            </w:r>
            <w:r>
              <w:rPr>
                <w:rFonts w:hint="eastAsia"/>
                <w:lang w:val="en-US" w:eastAsia="zh-CN"/>
              </w:rPr>
              <w:t xml:space="preserve"> &lt;1</w:t>
            </w:r>
            <w:r>
              <w:rPr>
                <w:rFonts w:hint="eastAsia"/>
              </w:rPr>
              <w:t>%</w:t>
            </w:r>
          </w:p>
        </w:tc>
      </w:tr>
    </w:tbl>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highlight w:val="none"/>
          <w:lang w:val="en-US" w:eastAsia="zh-CN" w:bidi="ar-SA"/>
        </w:rPr>
      </w:pPr>
      <w:r>
        <w:rPr>
          <w:rFonts w:hint="eastAsia" w:ascii="Times New Roman" w:hAnsi="Times New Roman" w:eastAsia="宋体" w:cs="宋体"/>
          <w:kern w:val="2"/>
          <w:sz w:val="24"/>
          <w:szCs w:val="24"/>
          <w:highlight w:val="none"/>
          <w:lang w:val="en-US" w:eastAsia="zh-CN" w:bidi="ar-SA"/>
        </w:rPr>
        <w:t>从估算结果可知，本项目</w:t>
      </w:r>
      <w:r>
        <w:rPr>
          <w:rFonts w:ascii="Times New Roman" w:hAnsi="Times New Roman" w:eastAsia="宋体" w:cs="宋体"/>
          <w:kern w:val="2"/>
          <w:sz w:val="24"/>
          <w:szCs w:val="24"/>
          <w:highlight w:val="none"/>
          <w:lang w:val="en-US" w:eastAsia="zh-CN" w:bidi="ar-SA"/>
        </w:rPr>
        <w:t>P</w:t>
      </w:r>
      <w:r>
        <w:rPr>
          <w:rFonts w:ascii="Times New Roman" w:hAnsi="Times New Roman" w:eastAsia="宋体" w:cs="宋体"/>
          <w:kern w:val="2"/>
          <w:sz w:val="24"/>
          <w:szCs w:val="24"/>
          <w:highlight w:val="none"/>
          <w:vertAlign w:val="subscript"/>
          <w:lang w:val="en-US" w:eastAsia="zh-CN" w:bidi="ar-SA"/>
        </w:rPr>
        <w:t>max</w:t>
      </w:r>
      <w:r>
        <w:rPr>
          <w:rFonts w:hint="eastAsia" w:ascii="Times New Roman" w:hAnsi="Times New Roman" w:eastAsia="宋体" w:cs="宋体"/>
          <w:kern w:val="2"/>
          <w:sz w:val="24"/>
          <w:szCs w:val="24"/>
          <w:highlight w:val="none"/>
          <w:lang w:val="en-US" w:eastAsia="zh-CN" w:bidi="ar-SA"/>
        </w:rPr>
        <w:t>最大值出现在生产车间无组织排放的</w:t>
      </w:r>
      <w:r>
        <w:rPr>
          <w:rFonts w:hint="eastAsia" w:cs="宋体"/>
          <w:kern w:val="2"/>
          <w:sz w:val="24"/>
          <w:szCs w:val="24"/>
          <w:highlight w:val="none"/>
          <w:lang w:val="en-US" w:eastAsia="zh-CN" w:bidi="ar-SA"/>
        </w:rPr>
        <w:t>VOCs</w:t>
      </w:r>
      <w:r>
        <w:rPr>
          <w:rFonts w:hint="eastAsia" w:ascii="Times New Roman" w:hAnsi="Times New Roman" w:eastAsia="宋体" w:cs="宋体"/>
          <w:kern w:val="2"/>
          <w:sz w:val="24"/>
          <w:szCs w:val="24"/>
          <w:highlight w:val="none"/>
          <w:lang w:val="en-US" w:eastAsia="zh-CN" w:bidi="ar-SA"/>
        </w:rPr>
        <w:t>，其中</w:t>
      </w:r>
      <w:r>
        <w:rPr>
          <w:rFonts w:hint="eastAsia" w:cs="宋体"/>
          <w:kern w:val="2"/>
          <w:sz w:val="24"/>
          <w:szCs w:val="24"/>
          <w:highlight w:val="none"/>
          <w:lang w:val="en-US" w:eastAsia="zh-CN" w:bidi="ar-SA"/>
        </w:rPr>
        <w:t>VOCs</w:t>
      </w:r>
      <w:r>
        <w:rPr>
          <w:rFonts w:hint="eastAsia" w:ascii="Times New Roman" w:hAnsi="Times New Roman" w:eastAsia="宋体" w:cs="宋体"/>
          <w:kern w:val="2"/>
          <w:sz w:val="24"/>
          <w:szCs w:val="24"/>
          <w:highlight w:val="none"/>
          <w:lang w:val="en-US" w:eastAsia="zh-CN" w:bidi="ar-SA"/>
        </w:rPr>
        <w:t>的</w:t>
      </w:r>
      <w:r>
        <w:rPr>
          <w:rFonts w:ascii="Times New Roman" w:hAnsi="Times New Roman" w:eastAsia="宋体" w:cs="宋体"/>
          <w:kern w:val="2"/>
          <w:sz w:val="24"/>
          <w:szCs w:val="24"/>
          <w:highlight w:val="none"/>
          <w:lang w:val="en-US" w:eastAsia="zh-CN" w:bidi="ar-SA"/>
        </w:rPr>
        <w:t>C</w:t>
      </w:r>
      <w:r>
        <w:rPr>
          <w:rFonts w:ascii="Times New Roman" w:hAnsi="Times New Roman" w:eastAsia="宋体" w:cs="宋体"/>
          <w:kern w:val="2"/>
          <w:sz w:val="24"/>
          <w:szCs w:val="24"/>
          <w:highlight w:val="none"/>
          <w:vertAlign w:val="subscript"/>
          <w:lang w:val="en-US" w:eastAsia="zh-CN" w:bidi="ar-SA"/>
        </w:rPr>
        <w:t>max</w:t>
      </w:r>
      <w:r>
        <w:rPr>
          <w:rFonts w:hint="eastAsia" w:ascii="Times New Roman" w:hAnsi="Times New Roman" w:eastAsia="宋体" w:cs="宋体"/>
          <w:kern w:val="2"/>
          <w:sz w:val="24"/>
          <w:szCs w:val="24"/>
          <w:highlight w:val="none"/>
          <w:lang w:val="en-US" w:eastAsia="zh-CN" w:bidi="ar-SA"/>
        </w:rPr>
        <w:t>为1.3</w:t>
      </w:r>
      <w:r>
        <w:rPr>
          <w:rFonts w:hint="eastAsia" w:cs="宋体"/>
          <w:kern w:val="2"/>
          <w:sz w:val="24"/>
          <w:szCs w:val="24"/>
          <w:highlight w:val="none"/>
          <w:lang w:val="en-US" w:eastAsia="zh-CN" w:bidi="ar-SA"/>
        </w:rPr>
        <w:t>8</w:t>
      </w:r>
      <w:r>
        <w:rPr>
          <w:rFonts w:hint="default" w:ascii="Calibri" w:hAnsi="Calibri" w:eastAsia="宋体" w:cs="Calibri"/>
          <w:kern w:val="2"/>
          <w:sz w:val="24"/>
          <w:szCs w:val="24"/>
          <w:highlight w:val="none"/>
          <w:lang w:val="en-US" w:eastAsia="zh-CN" w:bidi="ar-SA"/>
        </w:rPr>
        <w:t>μ</w:t>
      </w:r>
      <w:r>
        <w:rPr>
          <w:rFonts w:hint="eastAsia" w:ascii="Times New Roman" w:hAnsi="Times New Roman" w:eastAsia="宋体" w:cs="宋体"/>
          <w:kern w:val="2"/>
          <w:sz w:val="24"/>
          <w:szCs w:val="24"/>
          <w:highlight w:val="none"/>
          <w:lang w:val="en-US" w:eastAsia="zh-CN" w:bidi="ar-SA"/>
        </w:rPr>
        <w:t>g/m</w:t>
      </w:r>
      <w:r>
        <w:rPr>
          <w:rFonts w:hint="eastAsia" w:ascii="Times New Roman" w:hAnsi="Times New Roman" w:eastAsia="宋体" w:cs="宋体"/>
          <w:kern w:val="2"/>
          <w:sz w:val="24"/>
          <w:szCs w:val="24"/>
          <w:highlight w:val="none"/>
          <w:vertAlign w:val="superscript"/>
          <w:lang w:val="en-US" w:eastAsia="zh-CN" w:bidi="ar-SA"/>
        </w:rPr>
        <w:t>3</w:t>
      </w:r>
      <w:r>
        <w:rPr>
          <w:rFonts w:hint="eastAsia" w:ascii="Times New Roman" w:hAnsi="Times New Roman" w:eastAsia="宋体" w:cs="宋体"/>
          <w:kern w:val="2"/>
          <w:sz w:val="24"/>
          <w:szCs w:val="24"/>
          <w:highlight w:val="none"/>
          <w:lang w:val="en-US" w:eastAsia="zh-CN" w:bidi="ar-SA"/>
        </w:rPr>
        <w:t>，</w:t>
      </w:r>
      <w:r>
        <w:rPr>
          <w:rFonts w:ascii="Times New Roman" w:hAnsi="Times New Roman" w:eastAsia="宋体" w:cs="宋体"/>
          <w:kern w:val="2"/>
          <w:sz w:val="24"/>
          <w:szCs w:val="24"/>
          <w:highlight w:val="none"/>
          <w:lang w:val="en-US" w:eastAsia="zh-CN" w:bidi="ar-SA"/>
        </w:rPr>
        <w:t>P</w:t>
      </w:r>
      <w:r>
        <w:rPr>
          <w:rFonts w:ascii="Times New Roman" w:hAnsi="Times New Roman" w:eastAsia="宋体" w:cs="宋体"/>
          <w:kern w:val="2"/>
          <w:sz w:val="24"/>
          <w:szCs w:val="24"/>
          <w:highlight w:val="none"/>
          <w:vertAlign w:val="subscript"/>
          <w:lang w:val="en-US" w:eastAsia="zh-CN" w:bidi="ar-SA"/>
        </w:rPr>
        <w:t>max</w:t>
      </w:r>
      <w:r>
        <w:rPr>
          <w:rFonts w:hint="eastAsia" w:ascii="Times New Roman" w:hAnsi="Times New Roman" w:eastAsia="宋体" w:cs="宋体"/>
          <w:kern w:val="2"/>
          <w:sz w:val="24"/>
          <w:szCs w:val="24"/>
          <w:highlight w:val="none"/>
          <w:lang w:val="en-US" w:eastAsia="zh-CN" w:bidi="ar-SA"/>
        </w:rPr>
        <w:t>为</w:t>
      </w:r>
      <w:r>
        <w:rPr>
          <w:rFonts w:hint="eastAsia" w:cs="宋体"/>
          <w:kern w:val="2"/>
          <w:sz w:val="24"/>
          <w:szCs w:val="24"/>
          <w:highlight w:val="none"/>
          <w:lang w:val="en-US" w:eastAsia="zh-CN" w:bidi="ar-SA"/>
        </w:rPr>
        <w:t>0.23</w:t>
      </w:r>
      <w:r>
        <w:rPr>
          <w:rFonts w:hint="eastAsia" w:ascii="Times New Roman" w:hAnsi="Times New Roman" w:eastAsia="宋体" w:cs="宋体"/>
          <w:kern w:val="2"/>
          <w:sz w:val="24"/>
          <w:szCs w:val="24"/>
          <w:highlight w:val="none"/>
          <w:lang w:val="en-US" w:eastAsia="zh-CN" w:bidi="ar-SA"/>
        </w:rPr>
        <w:t>%。根据《环境影响评价技术导则 大气环境》（</w:t>
      </w:r>
      <w:r>
        <w:rPr>
          <w:rFonts w:ascii="Times New Roman" w:hAnsi="Times New Roman" w:eastAsia="宋体" w:cs="宋体"/>
          <w:kern w:val="2"/>
          <w:sz w:val="24"/>
          <w:szCs w:val="24"/>
          <w:highlight w:val="none"/>
          <w:lang w:val="en-US" w:eastAsia="zh-CN" w:bidi="ar-SA"/>
        </w:rPr>
        <w:t>HJ2.2-2018</w:t>
      </w:r>
      <w:r>
        <w:rPr>
          <w:rFonts w:hint="eastAsia" w:ascii="Times New Roman" w:hAnsi="Times New Roman" w:eastAsia="宋体" w:cs="宋体"/>
          <w:kern w:val="2"/>
          <w:sz w:val="24"/>
          <w:szCs w:val="24"/>
          <w:highlight w:val="none"/>
          <w:lang w:val="en-US" w:eastAsia="zh-CN" w:bidi="ar-SA"/>
        </w:rPr>
        <w:t>）分级判据，确定本项目大气环境影响评价工作等级为三级。</w:t>
      </w:r>
    </w:p>
    <w:p>
      <w:pPr>
        <w:pStyle w:val="5"/>
        <w:bidi w:val="0"/>
        <w:rPr>
          <w:lang w:val="en-US" w:eastAsia="zh-CN"/>
        </w:rPr>
      </w:pPr>
      <w:bookmarkStart w:id="461" w:name="_Toc22997"/>
      <w:r>
        <w:rPr>
          <w:lang w:val="en-US" w:eastAsia="zh-CN"/>
        </w:rPr>
        <w:t>地表水环境影响评价等级</w:t>
      </w:r>
      <w:bookmarkEnd w:id="461"/>
    </w:p>
    <w:p>
      <w:pPr>
        <w:pStyle w:val="25"/>
        <w:bidi w:val="0"/>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根据</w:t>
      </w:r>
      <w:r>
        <w:rPr>
          <w:rFonts w:hint="eastAsia" w:ascii="Times New Roman" w:hAnsi="Times New Roman" w:eastAsia="宋体" w:cs="宋体"/>
          <w:kern w:val="2"/>
          <w:sz w:val="24"/>
          <w:szCs w:val="24"/>
          <w:lang w:val="en-US" w:eastAsia="zh-CN" w:bidi="ar-SA"/>
        </w:rPr>
        <w:t>《环境影响评价技术导则 地表水环境》</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HJ</w:t>
      </w:r>
      <w:r>
        <w:rPr>
          <w:rFonts w:ascii="Times New Roman" w:hAnsi="Times New Roman" w:eastAsia="宋体" w:cs="宋体"/>
          <w:kern w:val="2"/>
          <w:sz w:val="24"/>
          <w:szCs w:val="24"/>
          <w:lang w:val="en-US" w:eastAsia="zh-CN" w:bidi="ar-SA"/>
        </w:rPr>
        <w:t>2.3-</w:t>
      </w:r>
      <w:r>
        <w:rPr>
          <w:rFonts w:hint="eastAsia" w:ascii="Times New Roman" w:hAnsi="Times New Roman" w:eastAsia="宋体" w:cs="宋体"/>
          <w:kern w:val="2"/>
          <w:sz w:val="24"/>
          <w:szCs w:val="24"/>
          <w:lang w:val="en-US" w:eastAsia="zh-CN" w:bidi="ar-SA"/>
        </w:rPr>
        <w:t>2018</w:t>
      </w:r>
      <w:r>
        <w:rPr>
          <w:rFonts w:ascii="Times New Roman" w:hAnsi="Times New Roman" w:eastAsia="宋体" w:cs="宋体"/>
          <w:kern w:val="2"/>
          <w:sz w:val="24"/>
          <w:szCs w:val="24"/>
          <w:lang w:val="en-US" w:eastAsia="zh-CN" w:bidi="ar-SA"/>
        </w:rPr>
        <w:t>）中的相关要求和等级判定要求，</w:t>
      </w:r>
      <w:r>
        <w:rPr>
          <w:rFonts w:hint="eastAsia" w:ascii="Times New Roman" w:hAnsi="Times New Roman" w:eastAsia="宋体" w:cs="宋体"/>
          <w:kern w:val="2"/>
          <w:sz w:val="24"/>
          <w:szCs w:val="24"/>
          <w:lang w:val="en-US" w:eastAsia="zh-CN" w:bidi="ar-SA"/>
        </w:rPr>
        <w:t>同时</w:t>
      </w:r>
      <w:r>
        <w:rPr>
          <w:rFonts w:ascii="Times New Roman" w:hAnsi="Times New Roman" w:eastAsia="宋体" w:cs="宋体"/>
          <w:kern w:val="2"/>
          <w:sz w:val="24"/>
          <w:szCs w:val="24"/>
          <w:lang w:val="en-US" w:eastAsia="zh-CN" w:bidi="ar-SA"/>
        </w:rPr>
        <w:t>根据第5.</w:t>
      </w:r>
      <w:r>
        <w:rPr>
          <w:rFonts w:hint="eastAsia"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t>条表2中所列出的</w:t>
      </w:r>
      <w:r>
        <w:rPr>
          <w:rFonts w:hint="eastAsia" w:ascii="Times New Roman" w:hAnsi="Times New Roman" w:eastAsia="宋体" w:cs="宋体"/>
          <w:kern w:val="2"/>
          <w:sz w:val="24"/>
          <w:szCs w:val="24"/>
          <w:lang w:val="en-US" w:eastAsia="zh-CN" w:bidi="ar-SA"/>
        </w:rPr>
        <w:t>地表水环境</w:t>
      </w:r>
      <w:r>
        <w:rPr>
          <w:rFonts w:ascii="Times New Roman" w:hAnsi="Times New Roman" w:eastAsia="宋体" w:cs="宋体"/>
          <w:kern w:val="2"/>
          <w:sz w:val="24"/>
          <w:szCs w:val="24"/>
          <w:lang w:val="en-US" w:eastAsia="zh-CN" w:bidi="ar-SA"/>
        </w:rPr>
        <w:t>影响评价分级判据标准，本项目地表水环境影响评价工作等级确定依据见</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_Ref22229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14</w:t>
      </w:r>
      <w:r>
        <w:rPr>
          <w:rFonts w:hint="default"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bookmarkStart w:id="462" w:name="_Ref22229"/>
    </w:p>
    <w:p>
      <w:pPr>
        <w:widowControl w:val="0"/>
        <w:spacing w:line="360" w:lineRule="auto"/>
        <w:jc w:val="center"/>
        <w:rPr>
          <w:rFonts w:ascii="Times New Roman" w:hAnsi="Times New Roman" w:eastAsia="宋体" w:cs="Times New Roman"/>
          <w:b/>
          <w:kern w:val="2"/>
          <w:sz w:val="21"/>
          <w:szCs w:val="21"/>
          <w:lang w:val="en-US" w:eastAsia="zh-CN" w:bidi="ar-SA"/>
        </w:rPr>
        <w:sectPr>
          <w:pgSz w:w="11906" w:h="16838"/>
          <w:pgMar w:top="1587" w:right="1361" w:bottom="1474" w:left="1474"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pPr>
        <w:widowControl w:val="0"/>
        <w:spacing w:line="360" w:lineRule="auto"/>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14</w:t>
      </w:r>
      <w:r>
        <w:rPr>
          <w:rFonts w:ascii="Times New Roman" w:hAnsi="Times New Roman" w:eastAsia="宋体" w:cs="Times New Roman"/>
          <w:b/>
          <w:kern w:val="2"/>
          <w:sz w:val="21"/>
          <w:szCs w:val="21"/>
          <w:lang w:val="en-US" w:eastAsia="zh-CN" w:bidi="ar-SA"/>
        </w:rPr>
        <w:fldChar w:fldCharType="end"/>
      </w:r>
      <w:bookmarkEnd w:id="462"/>
      <w:r>
        <w:rPr>
          <w:rFonts w:hint="eastAsia" w:ascii="Times New Roman" w:hAnsi="Times New Roman" w:eastAsia="宋体" w:cs="Times New Roman"/>
          <w:b/>
          <w:kern w:val="2"/>
          <w:sz w:val="21"/>
          <w:szCs w:val="21"/>
          <w:lang w:val="en-US" w:eastAsia="zh-CN" w:bidi="ar-SA"/>
        </w:rPr>
        <w:t>地表水环境</w:t>
      </w:r>
      <w:r>
        <w:rPr>
          <w:rFonts w:ascii="Times New Roman" w:hAnsi="Times New Roman" w:eastAsia="宋体" w:cs="Times New Roman"/>
          <w:b/>
          <w:kern w:val="2"/>
          <w:sz w:val="21"/>
          <w:szCs w:val="21"/>
          <w:lang w:val="en-US" w:eastAsia="zh-CN" w:bidi="ar-SA"/>
        </w:rPr>
        <w:t>评价工作等级判定表</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70"/>
        <w:gridCol w:w="1697"/>
        <w:gridCol w:w="57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70"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评价等级</w:t>
            </w:r>
          </w:p>
        </w:tc>
        <w:tc>
          <w:tcPr>
            <w:tcW w:w="7447" w:type="dxa"/>
            <w:gridSpan w:val="2"/>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受纳水体情况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70"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69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排放方式</w:t>
            </w:r>
          </w:p>
        </w:tc>
        <w:tc>
          <w:tcPr>
            <w:tcW w:w="5750"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废水排放量</w:t>
            </w:r>
            <w:r>
              <w:rPr>
                <w:rFonts w:ascii="Times New Roman" w:hAnsi="Times New Roman" w:eastAsia="宋体" w:cs="Times New Roman"/>
                <w:kern w:val="2"/>
                <w:sz w:val="24"/>
                <w:szCs w:val="24"/>
                <w:lang w:val="en-US" w:eastAsia="zh-CN" w:bidi="ar-SA"/>
              </w:rPr>
              <w:t xml:space="preserve"> Q/</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m</w:t>
            </w:r>
            <w:r>
              <w:rPr>
                <w:rFonts w:ascii="Times New Roman" w:hAnsi="Times New Roman" w:eastAsia="宋体" w:cs="Times New Roman"/>
                <w:kern w:val="2"/>
                <w:sz w:val="24"/>
                <w:szCs w:val="24"/>
                <w:vertAlign w:val="superscript"/>
                <w:lang w:val="en-US" w:eastAsia="zh-CN" w:bidi="ar-SA"/>
              </w:rPr>
              <w:t>3</w:t>
            </w:r>
            <w:r>
              <w:rPr>
                <w:rFonts w:ascii="Times New Roman" w:hAnsi="Times New Roman" w:eastAsia="宋体" w:cs="Times New Roman"/>
                <w:kern w:val="2"/>
                <w:sz w:val="24"/>
                <w:szCs w:val="24"/>
                <w:lang w:val="en-US" w:eastAsia="zh-CN" w:bidi="ar-SA"/>
              </w:rPr>
              <w:t>/d</w:t>
            </w:r>
            <w:r>
              <w:rPr>
                <w:rFonts w:hint="eastAsia" w:ascii="Times New Roman" w:hAnsi="Times New Roman" w:eastAsia="宋体" w:cs="Times New Roman"/>
                <w:kern w:val="2"/>
                <w:sz w:val="24"/>
                <w:szCs w:val="24"/>
                <w:lang w:val="en-US" w:eastAsia="zh-CN" w:bidi="ar-SA"/>
              </w:rPr>
              <w:t>）水污染物当量数</w:t>
            </w:r>
            <w:r>
              <w:rPr>
                <w:rFonts w:ascii="Times New Roman" w:hAnsi="Times New Roman" w:eastAsia="宋体" w:cs="Times New Roman"/>
                <w:kern w:val="2"/>
                <w:sz w:val="24"/>
                <w:szCs w:val="24"/>
                <w:lang w:val="en-US" w:eastAsia="zh-CN" w:bidi="ar-SA"/>
              </w:rPr>
              <w:t xml:space="preserve"> W/</w:t>
            </w:r>
            <w:r>
              <w:rPr>
                <w:rFonts w:hint="eastAsia" w:ascii="Times New Roman" w:hAnsi="Times New Roman" w:eastAsia="宋体" w:cs="Times New Roman"/>
                <w:kern w:val="2"/>
                <w:sz w:val="24"/>
                <w:szCs w:val="24"/>
                <w:lang w:val="en-US" w:eastAsia="zh-CN" w:bidi="ar-SA"/>
              </w:rPr>
              <w:t>（无量纲）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70"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一级</w:t>
            </w:r>
          </w:p>
        </w:tc>
        <w:tc>
          <w:tcPr>
            <w:tcW w:w="169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直接排放</w:t>
            </w:r>
          </w:p>
        </w:tc>
        <w:tc>
          <w:tcPr>
            <w:tcW w:w="5750"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Q</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 xml:space="preserve">20000 </w:t>
            </w:r>
            <w:r>
              <w:rPr>
                <w:rFonts w:hint="eastAsia" w:ascii="Times New Roman" w:hAnsi="Times New Roman" w:eastAsia="宋体" w:cs="Times New Roman"/>
                <w:kern w:val="2"/>
                <w:sz w:val="24"/>
                <w:szCs w:val="24"/>
                <w:lang w:val="en-US" w:eastAsia="zh-CN" w:bidi="ar-SA"/>
              </w:rPr>
              <w:t>或</w:t>
            </w:r>
            <w:r>
              <w:rPr>
                <w:rFonts w:ascii="Times New Roman" w:hAnsi="Times New Roman" w:eastAsia="宋体" w:cs="Times New Roman"/>
                <w:kern w:val="2"/>
                <w:sz w:val="24"/>
                <w:szCs w:val="24"/>
                <w:lang w:val="en-US" w:eastAsia="zh-CN" w:bidi="ar-SA"/>
              </w:rPr>
              <w:t xml:space="preserve"> W</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600000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70"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二级</w:t>
            </w:r>
          </w:p>
        </w:tc>
        <w:tc>
          <w:tcPr>
            <w:tcW w:w="169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直接排放</w:t>
            </w:r>
          </w:p>
        </w:tc>
        <w:tc>
          <w:tcPr>
            <w:tcW w:w="5750"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70"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三级</w:t>
            </w:r>
            <w:r>
              <w:rPr>
                <w:rFonts w:ascii="Times New Roman" w:hAnsi="Times New Roman" w:eastAsia="宋体" w:cs="Times New Roman"/>
                <w:kern w:val="2"/>
                <w:sz w:val="24"/>
                <w:szCs w:val="24"/>
                <w:lang w:val="en-US" w:eastAsia="zh-CN" w:bidi="ar-SA"/>
              </w:rPr>
              <w:t>A</w:t>
            </w:r>
          </w:p>
        </w:tc>
        <w:tc>
          <w:tcPr>
            <w:tcW w:w="169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直接排放</w:t>
            </w:r>
          </w:p>
        </w:tc>
        <w:tc>
          <w:tcPr>
            <w:tcW w:w="5750"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Q</w:t>
            </w:r>
            <w:r>
              <w:rPr>
                <w:rFonts w:hint="eastAsia" w:ascii="Times New Roman" w:hAnsi="Times New Roman" w:eastAsia="宋体" w:cs="Times New Roman"/>
                <w:kern w:val="2"/>
                <w:sz w:val="24"/>
                <w:szCs w:val="24"/>
                <w:lang w:val="en-US" w:eastAsia="zh-CN" w:bidi="ar-SA"/>
              </w:rPr>
              <w:t xml:space="preserve"> &lt;</w:t>
            </w:r>
            <w:r>
              <w:rPr>
                <w:rFonts w:ascii="Times New Roman" w:hAnsi="Times New Roman" w:eastAsia="宋体" w:cs="Times New Roman"/>
                <w:kern w:val="2"/>
                <w:sz w:val="24"/>
                <w:szCs w:val="24"/>
                <w:lang w:val="en-US" w:eastAsia="zh-CN" w:bidi="ar-SA"/>
              </w:rPr>
              <w:t xml:space="preserve">200 </w:t>
            </w:r>
            <w:r>
              <w:rPr>
                <w:rFonts w:hint="eastAsia" w:ascii="Times New Roman" w:hAnsi="Times New Roman" w:eastAsia="宋体" w:cs="Times New Roman"/>
                <w:kern w:val="2"/>
                <w:sz w:val="24"/>
                <w:szCs w:val="24"/>
                <w:lang w:val="en-US" w:eastAsia="zh-CN" w:bidi="ar-SA"/>
              </w:rPr>
              <w:t>且</w:t>
            </w:r>
            <w:r>
              <w:rPr>
                <w:rFonts w:ascii="Times New Roman" w:hAnsi="Times New Roman" w:eastAsia="宋体" w:cs="Times New Roman"/>
                <w:kern w:val="2"/>
                <w:sz w:val="24"/>
                <w:szCs w:val="24"/>
                <w:lang w:val="en-US" w:eastAsia="zh-CN" w:bidi="ar-SA"/>
              </w:rPr>
              <w:t xml:space="preserve"> W</w:t>
            </w:r>
            <w:r>
              <w:rPr>
                <w:rFonts w:hint="eastAsia" w:ascii="Times New Roman" w:hAnsi="Times New Roman" w:eastAsia="宋体" w:cs="Times New Roman"/>
                <w:kern w:val="2"/>
                <w:sz w:val="24"/>
                <w:szCs w:val="24"/>
                <w:lang w:val="en-US" w:eastAsia="zh-CN" w:bidi="ar-SA"/>
              </w:rPr>
              <w:t xml:space="preserve"> &lt;</w:t>
            </w:r>
            <w:r>
              <w:rPr>
                <w:rFonts w:ascii="Times New Roman" w:hAnsi="Times New Roman" w:eastAsia="宋体" w:cs="Times New Roman"/>
                <w:kern w:val="2"/>
                <w:sz w:val="24"/>
                <w:szCs w:val="24"/>
                <w:lang w:val="en-US" w:eastAsia="zh-CN" w:bidi="ar-SA"/>
              </w:rPr>
              <w:t>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370"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三级</w:t>
            </w:r>
            <w:r>
              <w:rPr>
                <w:rFonts w:ascii="Times New Roman" w:hAnsi="Times New Roman" w:eastAsia="宋体" w:cs="Times New Roman"/>
                <w:kern w:val="2"/>
                <w:sz w:val="24"/>
                <w:szCs w:val="24"/>
                <w:lang w:val="en-US" w:eastAsia="zh-CN" w:bidi="ar-SA"/>
              </w:rPr>
              <w:t>B</w:t>
            </w:r>
          </w:p>
        </w:tc>
        <w:tc>
          <w:tcPr>
            <w:tcW w:w="169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间接排放</w:t>
            </w:r>
          </w:p>
        </w:tc>
        <w:tc>
          <w:tcPr>
            <w:tcW w:w="575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highlight w:val="none"/>
          <w:lang w:val="en-US" w:eastAsia="zh-CN" w:bidi="ar-SA"/>
        </w:rPr>
      </w:pPr>
      <w:r>
        <w:rPr>
          <w:rFonts w:ascii="Times New Roman" w:hAnsi="Times New Roman" w:eastAsia="宋体" w:cs="宋体"/>
          <w:kern w:val="2"/>
          <w:sz w:val="24"/>
          <w:szCs w:val="24"/>
          <w:lang w:val="en-US" w:eastAsia="zh-CN" w:bidi="ar-SA"/>
        </w:rPr>
        <w:t>由工程分析可知，</w:t>
      </w:r>
      <w:r>
        <w:rPr>
          <w:rFonts w:hint="eastAsia" w:ascii="Times New Roman" w:hAnsi="Times New Roman" w:eastAsia="宋体" w:cs="宋体"/>
          <w:kern w:val="2"/>
          <w:sz w:val="24"/>
          <w:szCs w:val="24"/>
          <w:lang w:val="en-US" w:eastAsia="zh-CN" w:bidi="ar-SA"/>
        </w:rPr>
        <w:t>生活污水</w:t>
      </w:r>
      <w:r>
        <w:rPr>
          <w:rFonts w:hint="eastAsia" w:cs="宋体"/>
          <w:kern w:val="2"/>
          <w:sz w:val="24"/>
          <w:szCs w:val="24"/>
          <w:lang w:val="en-US" w:eastAsia="zh-CN" w:bidi="ar-SA"/>
        </w:rPr>
        <w:t>经园区化粪池处理后达到《污水综合排放标准》（GB8978-1996）三级后</w:t>
      </w:r>
      <w:r>
        <w:rPr>
          <w:rFonts w:hint="eastAsia" w:ascii="Times New Roman" w:hAnsi="Times New Roman" w:eastAsia="宋体" w:cs="宋体"/>
          <w:kern w:val="2"/>
          <w:sz w:val="24"/>
          <w:szCs w:val="24"/>
          <w:lang w:val="en-US" w:eastAsia="zh-CN" w:bidi="ar-SA"/>
        </w:rPr>
        <w:t>排入卓达金谷创业园污水处理站，</w:t>
      </w:r>
      <w:r>
        <w:rPr>
          <w:rFonts w:hint="eastAsia" w:cs="宋体"/>
          <w:kern w:val="2"/>
          <w:sz w:val="24"/>
          <w:szCs w:val="24"/>
          <w:lang w:val="en-US" w:eastAsia="zh-CN" w:bidi="ar-SA"/>
        </w:rPr>
        <w:t>达到《城镇污水处理厂污染物排放标准》（GB18918-2002）一级A类标准</w:t>
      </w:r>
      <w:r>
        <w:rPr>
          <w:rFonts w:hint="eastAsia" w:ascii="Times New Roman" w:hAnsi="Times New Roman" w:eastAsia="宋体" w:cs="宋体"/>
          <w:kern w:val="2"/>
          <w:sz w:val="24"/>
          <w:szCs w:val="24"/>
          <w:lang w:val="en-US" w:eastAsia="zh-CN" w:bidi="ar-SA"/>
        </w:rPr>
        <w:t>后排入洋沙河至洋沙湖，最终受纳水体为湘江。</w:t>
      </w:r>
      <w:r>
        <w:rPr>
          <w:rFonts w:ascii="Times New Roman" w:hAnsi="Times New Roman" w:eastAsia="宋体" w:cs="宋体"/>
          <w:kern w:val="2"/>
          <w:sz w:val="24"/>
          <w:szCs w:val="24"/>
          <w:highlight w:val="none"/>
          <w:lang w:val="en-US" w:eastAsia="zh-CN" w:bidi="ar-SA"/>
        </w:rPr>
        <w:t>根据</w:t>
      </w:r>
      <w:r>
        <w:rPr>
          <w:rFonts w:hint="eastAsia" w:ascii="Times New Roman" w:hAnsi="Times New Roman" w:eastAsia="宋体" w:cs="宋体"/>
          <w:kern w:val="2"/>
          <w:sz w:val="24"/>
          <w:szCs w:val="24"/>
          <w:highlight w:val="none"/>
          <w:lang w:val="en-US" w:eastAsia="zh-CN" w:bidi="ar-SA"/>
        </w:rPr>
        <w:t>HJ2.3</w:t>
      </w:r>
      <w:r>
        <w:rPr>
          <w:rFonts w:ascii="Times New Roman" w:hAnsi="Times New Roman" w:eastAsia="宋体" w:cs="宋体"/>
          <w:kern w:val="2"/>
          <w:sz w:val="24"/>
          <w:szCs w:val="24"/>
          <w:highlight w:val="none"/>
          <w:lang w:val="en-US" w:eastAsia="zh-CN" w:bidi="ar-SA"/>
        </w:rPr>
        <w:t>-</w:t>
      </w:r>
      <w:r>
        <w:rPr>
          <w:rFonts w:hint="eastAsia" w:ascii="Times New Roman" w:hAnsi="Times New Roman" w:eastAsia="宋体" w:cs="宋体"/>
          <w:kern w:val="2"/>
          <w:sz w:val="24"/>
          <w:szCs w:val="24"/>
          <w:highlight w:val="none"/>
          <w:lang w:val="en-US" w:eastAsia="zh-CN" w:bidi="ar-SA"/>
        </w:rPr>
        <w:t>2018</w:t>
      </w:r>
      <w:r>
        <w:rPr>
          <w:rFonts w:ascii="Times New Roman" w:hAnsi="Times New Roman" w:eastAsia="宋体" w:cs="宋体"/>
          <w:kern w:val="2"/>
          <w:sz w:val="24"/>
          <w:szCs w:val="24"/>
          <w:highlight w:val="none"/>
          <w:lang w:val="en-US" w:eastAsia="zh-CN" w:bidi="ar-SA"/>
        </w:rPr>
        <w:t>第5.</w:t>
      </w:r>
      <w:r>
        <w:rPr>
          <w:rFonts w:hint="eastAsia" w:ascii="Times New Roman" w:hAnsi="Times New Roman" w:eastAsia="宋体" w:cs="宋体"/>
          <w:kern w:val="2"/>
          <w:sz w:val="24"/>
          <w:szCs w:val="24"/>
          <w:highlight w:val="none"/>
          <w:lang w:val="en-US" w:eastAsia="zh-CN" w:bidi="ar-SA"/>
        </w:rPr>
        <w:t>2.2.2</w:t>
      </w:r>
      <w:r>
        <w:rPr>
          <w:rFonts w:ascii="Times New Roman" w:hAnsi="Times New Roman" w:eastAsia="宋体" w:cs="宋体"/>
          <w:kern w:val="2"/>
          <w:sz w:val="24"/>
          <w:szCs w:val="24"/>
          <w:highlight w:val="none"/>
          <w:lang w:val="en-US" w:eastAsia="zh-CN" w:bidi="ar-SA"/>
        </w:rPr>
        <w:t>条</w:t>
      </w:r>
      <w:r>
        <w:rPr>
          <w:rFonts w:hint="eastAsia" w:ascii="Times New Roman" w:hAnsi="Times New Roman" w:eastAsia="宋体" w:cs="宋体"/>
          <w:kern w:val="2"/>
          <w:sz w:val="24"/>
          <w:szCs w:val="24"/>
          <w:highlight w:val="none"/>
          <w:lang w:val="en-US" w:eastAsia="zh-CN" w:bidi="ar-SA"/>
        </w:rPr>
        <w:t>间接排放建设项目评价等级为三级B</w:t>
      </w:r>
      <w:r>
        <w:rPr>
          <w:rFonts w:ascii="Times New Roman" w:hAnsi="Times New Roman" w:eastAsia="宋体" w:cs="宋体"/>
          <w:kern w:val="2"/>
          <w:sz w:val="24"/>
          <w:szCs w:val="24"/>
          <w:highlight w:val="none"/>
          <w:lang w:val="en-US" w:eastAsia="zh-CN" w:bidi="ar-SA"/>
        </w:rPr>
        <w:t>，根据</w:t>
      </w:r>
      <w:r>
        <w:rPr>
          <w:rFonts w:hint="eastAsia" w:ascii="Times New Roman" w:hAnsi="Times New Roman" w:eastAsia="宋体" w:cs="宋体"/>
          <w:kern w:val="2"/>
          <w:sz w:val="24"/>
          <w:szCs w:val="24"/>
          <w:highlight w:val="none"/>
          <w:lang w:val="en-US" w:eastAsia="zh-CN" w:bidi="ar-SA"/>
        </w:rPr>
        <w:t>5.4.2条，三级B评价，可不考虑评价时期，主要分析项目依托污水处理设施的废水排入污水处理厂的可行性分析。</w:t>
      </w:r>
    </w:p>
    <w:p>
      <w:pPr>
        <w:pStyle w:val="5"/>
        <w:bidi w:val="0"/>
        <w:rPr>
          <w:lang w:val="en-US" w:eastAsia="zh-CN"/>
        </w:rPr>
      </w:pPr>
      <w:bookmarkStart w:id="463" w:name="_Toc23816"/>
      <w:r>
        <w:rPr>
          <w:lang w:val="en-US" w:eastAsia="zh-CN"/>
        </w:rPr>
        <w:t>地下水环境影响评价等级</w:t>
      </w:r>
      <w:bookmarkEnd w:id="463"/>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根据《环境影响评价技术导则 地下水环境》（HJ610-2016）附录A，地下水环境影响评价项目类别为Ⅱ类；项目所在区域无集中式饮用水源等表1中的敏感区、较敏感区，即项目区域地下水环境敏感程度为不敏感。根据《环境影响评价技术导则 地下水环境》（HJ610-2016），项目地下水环境评价工作等级为三级评价，具体工作等级判断见</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_Ref23989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15</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p>
    <w:p>
      <w:pPr>
        <w:widowControl w:val="0"/>
        <w:spacing w:line="360" w:lineRule="auto"/>
        <w:jc w:val="center"/>
        <w:rPr>
          <w:rFonts w:hint="eastAsia" w:ascii="Times New Roman" w:hAnsi="Times New Roman" w:eastAsia="宋体" w:cs="Times New Roman"/>
          <w:b/>
          <w:kern w:val="2"/>
          <w:sz w:val="21"/>
          <w:szCs w:val="21"/>
          <w:lang w:val="en-US" w:eastAsia="zh-CN" w:bidi="ar-SA"/>
        </w:rPr>
      </w:pPr>
      <w:bookmarkStart w:id="464" w:name="_Ref23989"/>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15</w:t>
      </w:r>
      <w:r>
        <w:rPr>
          <w:rFonts w:ascii="Times New Roman" w:hAnsi="Times New Roman" w:eastAsia="宋体" w:cs="Times New Roman"/>
          <w:b/>
          <w:kern w:val="2"/>
          <w:sz w:val="21"/>
          <w:szCs w:val="21"/>
          <w:lang w:val="en-US" w:eastAsia="zh-CN" w:bidi="ar-SA"/>
        </w:rPr>
        <w:fldChar w:fldCharType="end"/>
      </w:r>
      <w:bookmarkEnd w:id="464"/>
      <w:r>
        <w:rPr>
          <w:rFonts w:hint="eastAsia" w:ascii="Times New Roman" w:hAnsi="Times New Roman" w:eastAsia="宋体" w:cs="Times New Roman"/>
          <w:b/>
          <w:kern w:val="2"/>
          <w:sz w:val="21"/>
          <w:szCs w:val="21"/>
          <w:lang w:val="en-US" w:eastAsia="zh-CN" w:bidi="ar-SA"/>
        </w:rPr>
        <w:t>项目地下水环境影响评价工作等级判据</w:t>
      </w:r>
    </w:p>
    <w:tbl>
      <w:tblPr>
        <w:tblStyle w:val="22"/>
        <w:tblW w:w="866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77"/>
        <w:gridCol w:w="1928"/>
        <w:gridCol w:w="1928"/>
        <w:gridCol w:w="19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2877" w:type="dxa"/>
            <w:tcBorders>
              <w:tl2br w:val="single" w:color="auto" w:sz="12" w:space="0"/>
            </w:tcBorders>
            <w:noWrap w:val="0"/>
            <w:vAlign w:val="center"/>
          </w:tcPr>
          <w:p>
            <w:pPr>
              <w:widowControl w:val="0"/>
              <w:bidi w:val="0"/>
              <w:adjustRightInd w:val="0"/>
              <w:snapToGrid w:val="0"/>
              <w:spacing w:line="240" w:lineRule="auto"/>
              <w:jc w:val="righ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项目类别</w:t>
            </w:r>
          </w:p>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环境敏感程度</w:t>
            </w:r>
          </w:p>
        </w:tc>
        <w:tc>
          <w:tcPr>
            <w:tcW w:w="192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Ⅰ类项目</w:t>
            </w:r>
          </w:p>
        </w:tc>
        <w:tc>
          <w:tcPr>
            <w:tcW w:w="192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Ⅱ类项目</w:t>
            </w:r>
          </w:p>
        </w:tc>
        <w:tc>
          <w:tcPr>
            <w:tcW w:w="192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Ⅲ类项目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87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敏感</w:t>
            </w:r>
          </w:p>
        </w:tc>
        <w:tc>
          <w:tcPr>
            <w:tcW w:w="192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一</w:t>
            </w:r>
          </w:p>
        </w:tc>
        <w:tc>
          <w:tcPr>
            <w:tcW w:w="192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一</w:t>
            </w:r>
          </w:p>
        </w:tc>
        <w:tc>
          <w:tcPr>
            <w:tcW w:w="192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87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较敏感</w:t>
            </w:r>
          </w:p>
        </w:tc>
        <w:tc>
          <w:tcPr>
            <w:tcW w:w="192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一</w:t>
            </w:r>
          </w:p>
        </w:tc>
        <w:tc>
          <w:tcPr>
            <w:tcW w:w="192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二</w:t>
            </w:r>
          </w:p>
        </w:tc>
        <w:tc>
          <w:tcPr>
            <w:tcW w:w="192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877" w:type="dxa"/>
            <w:shd w:val="clear" w:color="auto" w:fill="auto"/>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不敏感</w:t>
            </w:r>
          </w:p>
        </w:tc>
        <w:tc>
          <w:tcPr>
            <w:tcW w:w="1928" w:type="dxa"/>
            <w:shd w:val="clear" w:color="auto" w:fill="FFFFFF"/>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二</w:t>
            </w:r>
          </w:p>
        </w:tc>
        <w:tc>
          <w:tcPr>
            <w:tcW w:w="192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三</w:t>
            </w:r>
          </w:p>
        </w:tc>
        <w:tc>
          <w:tcPr>
            <w:tcW w:w="192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三</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465" w:name="OLE_LINK73"/>
      <w:bookmarkStart w:id="466" w:name="_Toc274984434"/>
      <w:bookmarkStart w:id="467" w:name="_Toc302936688"/>
      <w:bookmarkStart w:id="468" w:name="_Toc273462037"/>
      <w:bookmarkStart w:id="469" w:name="_Toc270622559"/>
      <w:bookmarkStart w:id="470" w:name="_Toc458169526"/>
      <w:bookmarkStart w:id="471" w:name="_Toc269630364"/>
      <w:bookmarkStart w:id="472" w:name="_Toc269630446"/>
      <w:bookmarkStart w:id="473" w:name="_Toc6240"/>
    </w:p>
    <w:bookmarkEnd w:id="465"/>
    <w:p>
      <w:pPr>
        <w:pStyle w:val="5"/>
        <w:bidi w:val="0"/>
        <w:rPr>
          <w:lang w:val="en-US" w:eastAsia="zh-CN"/>
        </w:rPr>
      </w:pPr>
      <w:bookmarkStart w:id="474" w:name="_Toc15911"/>
      <w:r>
        <w:rPr>
          <w:lang w:val="en-US" w:eastAsia="zh-CN"/>
        </w:rPr>
        <w:t>声环境</w:t>
      </w:r>
      <w:r>
        <w:rPr>
          <w:rFonts w:hint="eastAsia"/>
          <w:lang w:val="en-US" w:eastAsia="zh-CN"/>
        </w:rPr>
        <w:t>影响</w:t>
      </w:r>
      <w:r>
        <w:rPr>
          <w:lang w:val="en-US" w:eastAsia="zh-CN"/>
        </w:rPr>
        <w:t>评价</w:t>
      </w:r>
      <w:bookmarkEnd w:id="466"/>
      <w:bookmarkEnd w:id="467"/>
      <w:bookmarkEnd w:id="468"/>
      <w:bookmarkEnd w:id="469"/>
      <w:bookmarkEnd w:id="470"/>
      <w:bookmarkEnd w:id="471"/>
      <w:bookmarkEnd w:id="472"/>
      <w:r>
        <w:rPr>
          <w:lang w:val="en-US" w:eastAsia="zh-CN"/>
        </w:rPr>
        <w:t>等级</w:t>
      </w:r>
      <w:bookmarkEnd w:id="473"/>
      <w:bookmarkEnd w:id="474"/>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本项目位于</w:t>
      </w:r>
      <w:r>
        <w:rPr>
          <w:rFonts w:hint="eastAsia" w:ascii="Times New Roman" w:hAnsi="Times New Roman" w:eastAsia="宋体" w:cs="宋体"/>
          <w:kern w:val="2"/>
          <w:sz w:val="24"/>
          <w:szCs w:val="24"/>
          <w:lang w:val="en-US" w:eastAsia="zh-CN" w:bidi="ar-SA"/>
        </w:rPr>
        <w:t>工业园</w:t>
      </w:r>
      <w:r>
        <w:rPr>
          <w:rFonts w:ascii="Times New Roman" w:hAnsi="Times New Roman" w:eastAsia="宋体" w:cs="宋体"/>
          <w:kern w:val="2"/>
          <w:sz w:val="24"/>
          <w:szCs w:val="24"/>
          <w:lang w:val="en-US" w:eastAsia="zh-CN" w:bidi="ar-SA"/>
        </w:rPr>
        <w:t>，为声环境功能</w:t>
      </w:r>
      <w:r>
        <w:rPr>
          <w:rFonts w:hint="eastAsia" w:ascii="Times New Roman" w:hAnsi="Times New Roman" w:eastAsia="宋体" w:cs="宋体"/>
          <w:kern w:val="2"/>
          <w:sz w:val="24"/>
          <w:szCs w:val="24"/>
          <w:lang w:val="en-US" w:eastAsia="zh-CN" w:bidi="ar-SA"/>
        </w:rPr>
        <w:t>3</w:t>
      </w:r>
      <w:r>
        <w:rPr>
          <w:rFonts w:ascii="Times New Roman" w:hAnsi="Times New Roman" w:eastAsia="宋体" w:cs="宋体"/>
          <w:kern w:val="2"/>
          <w:sz w:val="24"/>
          <w:szCs w:val="24"/>
          <w:lang w:val="en-US" w:eastAsia="zh-CN" w:bidi="ar-SA"/>
        </w:rPr>
        <w:t>类区，本项目各类噪声设备在经过减振、隔声、消音等降噪措施后，最大增量不超过3dB(A)，受影响人口变化不大，根据</w:t>
      </w:r>
      <w:r>
        <w:rPr>
          <w:rFonts w:hint="eastAsia" w:ascii="Times New Roman" w:hAnsi="Times New Roman" w:eastAsia="宋体" w:cs="宋体"/>
          <w:kern w:val="2"/>
          <w:sz w:val="24"/>
          <w:szCs w:val="24"/>
          <w:lang w:val="en-US" w:eastAsia="zh-CN" w:bidi="ar-SA"/>
        </w:rPr>
        <w:t>《环境影响评价技术导则 声环境》</w:t>
      </w:r>
      <w:r>
        <w:rPr>
          <w:rFonts w:ascii="Times New Roman" w:hAnsi="Times New Roman" w:eastAsia="宋体" w:cs="宋体"/>
          <w:kern w:val="2"/>
          <w:sz w:val="24"/>
          <w:szCs w:val="24"/>
          <w:lang w:val="en-US" w:eastAsia="zh-CN" w:bidi="ar-SA"/>
        </w:rPr>
        <w:t>（HJ2.4-2009），本次评价对声环境影响评价定为三级。</w:t>
      </w:r>
    </w:p>
    <w:p>
      <w:pPr>
        <w:pStyle w:val="5"/>
        <w:bidi w:val="0"/>
        <w:rPr>
          <w:lang w:val="en-US" w:eastAsia="zh-CN"/>
        </w:rPr>
      </w:pPr>
      <w:bookmarkStart w:id="475" w:name="_Toc11666"/>
      <w:r>
        <w:rPr>
          <w:rFonts w:hint="eastAsia"/>
          <w:lang w:val="en-US" w:eastAsia="zh-CN"/>
        </w:rPr>
        <w:t>土壤</w:t>
      </w:r>
      <w:r>
        <w:rPr>
          <w:lang w:val="en-US" w:eastAsia="zh-CN"/>
        </w:rPr>
        <w:t>环境影响评价等级</w:t>
      </w:r>
      <w:bookmarkEnd w:id="475"/>
    </w:p>
    <w:p>
      <w:pPr>
        <w:pStyle w:val="25"/>
        <w:bidi w:val="0"/>
        <w:rPr>
          <w:rFonts w:hint="eastAsia" w:ascii="Times New Roman" w:hAnsi="Times New Roman" w:eastAsia="宋体" w:cs="宋体"/>
          <w:kern w:val="2"/>
          <w:sz w:val="24"/>
          <w:szCs w:val="24"/>
          <w:highlight w:val="none"/>
          <w:lang w:val="en-US" w:eastAsia="zh-CN" w:bidi="ar-SA"/>
        </w:rPr>
      </w:pPr>
      <w:r>
        <w:rPr>
          <w:rFonts w:hint="eastAsia" w:ascii="Times New Roman" w:hAnsi="Times New Roman" w:eastAsia="宋体" w:cs="宋体"/>
          <w:kern w:val="2"/>
          <w:sz w:val="24"/>
          <w:szCs w:val="24"/>
          <w:lang w:val="en-US" w:eastAsia="zh-CN" w:bidi="ar-SA"/>
        </w:rPr>
        <w:t>本项目为塑料制品制造行业中的发泡胶产业，属于初级形态塑料。根据《环境影响评价技术导则 土壤环境（试行）》（HJ964-2018）附录A，本项目属于</w:t>
      </w:r>
      <w:r>
        <w:rPr>
          <w:rFonts w:hint="eastAsia" w:ascii="Times New Roman" w:hAnsi="Times New Roman" w:eastAsia="宋体" w:cs="宋体"/>
          <w:kern w:val="2"/>
          <w:sz w:val="24"/>
          <w:szCs w:val="24"/>
          <w:highlight w:val="none"/>
          <w:lang w:val="en-US" w:eastAsia="zh-CN" w:bidi="ar-SA"/>
        </w:rPr>
        <w:t>“其他行业-全部”，土壤环境影响评价项目类别为Ⅳ类；且根据4.2.2中“根据行业特征、工艺特点或规模</w:t>
      </w:r>
      <w:r>
        <w:rPr>
          <w:rFonts w:hint="eastAsia" w:ascii="Times New Roman" w:hAnsi="Times New Roman" w:eastAsia="宋体" w:cs="宋体"/>
          <w:kern w:val="2"/>
          <w:sz w:val="24"/>
          <w:szCs w:val="24"/>
          <w:lang w:val="en-US" w:eastAsia="zh-CN" w:bidi="ar-SA"/>
        </w:rPr>
        <w:t>大小等将建设项目类别分为Ⅰ类、Ⅱ类、Ⅲ类、Ⅳ类，见附录A，其中Ⅳ类建设项目可不开展土壤环境影响评价”</w:t>
      </w:r>
      <w:r>
        <w:rPr>
          <w:rFonts w:hint="eastAsia" w:ascii="Times New Roman" w:hAnsi="Times New Roman" w:eastAsia="宋体" w:cs="宋体"/>
          <w:kern w:val="2"/>
          <w:sz w:val="24"/>
          <w:szCs w:val="24"/>
          <w:highlight w:val="none"/>
          <w:lang w:val="en-US" w:eastAsia="zh-CN" w:bidi="ar-SA"/>
        </w:rPr>
        <w:t>；根据《环境影响评价技术导则 土壤环境（试行）》（HJ964-2018），项目土壤环境评价工作等级低于三级，具体工作等级判断见</w:t>
      </w:r>
      <w:r>
        <w:rPr>
          <w:rFonts w:hint="eastAsia" w:ascii="Times New Roman" w:hAnsi="Times New Roman" w:eastAsia="宋体" w:cs="宋体"/>
          <w:kern w:val="2"/>
          <w:sz w:val="24"/>
          <w:szCs w:val="24"/>
          <w:highlight w:val="none"/>
          <w:lang w:val="en-US" w:eastAsia="zh-CN" w:bidi="ar-SA"/>
        </w:rPr>
        <w:fldChar w:fldCharType="begin"/>
      </w:r>
      <w:r>
        <w:rPr>
          <w:rFonts w:hint="eastAsia" w:ascii="Times New Roman" w:hAnsi="Times New Roman" w:eastAsia="宋体" w:cs="宋体"/>
          <w:kern w:val="2"/>
          <w:sz w:val="24"/>
          <w:szCs w:val="24"/>
          <w:highlight w:val="none"/>
          <w:lang w:val="en-US" w:eastAsia="zh-CN" w:bidi="ar-SA"/>
        </w:rPr>
        <w:instrText xml:space="preserve"> REF _Ref24381 \h </w:instrText>
      </w:r>
      <w:r>
        <w:rPr>
          <w:rFonts w:hint="eastAsia" w:ascii="Times New Roman" w:hAnsi="Times New Roman" w:eastAsia="宋体" w:cs="宋体"/>
          <w:kern w:val="2"/>
          <w:sz w:val="24"/>
          <w:szCs w:val="24"/>
          <w:highlight w:val="none"/>
          <w:lang w:val="en-US" w:eastAsia="zh-CN" w:bidi="ar-SA"/>
        </w:rPr>
        <w:fldChar w:fldCharType="separate"/>
      </w:r>
      <w:r>
        <w:rPr>
          <w:rFonts w:ascii="Times New Roman" w:hAnsi="Times New Roman" w:eastAsia="宋体" w:cs="宋体"/>
          <w:kern w:val="2"/>
          <w:sz w:val="24"/>
          <w:szCs w:val="24"/>
          <w:highlight w:val="none"/>
          <w:lang w:val="en-US" w:eastAsia="zh-CN" w:bidi="ar-SA"/>
        </w:rPr>
        <w:t xml:space="preserve">表 </w:t>
      </w:r>
      <w:r>
        <w:rPr>
          <w:rFonts w:ascii="Times New Roman" w:hAnsi="Times New Roman" w:eastAsia="宋体" w:cs="宋体"/>
          <w:kern w:val="2"/>
          <w:sz w:val="24"/>
          <w:szCs w:val="24"/>
          <w:highlight w:val="none"/>
          <w:lang w:val="en-US" w:eastAsia="zh-CN" w:bidi="ar-SA"/>
        </w:rPr>
        <w:fldChar w:fldCharType="begin"/>
      </w:r>
      <w:r>
        <w:rPr>
          <w:rFonts w:ascii="Times New Roman" w:hAnsi="Times New Roman" w:eastAsia="宋体" w:cs="宋体"/>
          <w:kern w:val="2"/>
          <w:sz w:val="24"/>
          <w:szCs w:val="24"/>
          <w:highlight w:val="none"/>
          <w:lang w:val="en-US" w:eastAsia="zh-CN" w:bidi="ar-SA"/>
        </w:rPr>
        <w:instrText xml:space="preserve"> STYLEREF 1 \s </w:instrText>
      </w:r>
      <w:r>
        <w:rPr>
          <w:rFonts w:ascii="Times New Roman" w:hAnsi="Times New Roman" w:eastAsia="宋体" w:cs="宋体"/>
          <w:kern w:val="2"/>
          <w:sz w:val="24"/>
          <w:szCs w:val="24"/>
          <w:highlight w:val="none"/>
          <w:lang w:val="en-US" w:eastAsia="zh-CN" w:bidi="ar-SA"/>
        </w:rPr>
        <w:fldChar w:fldCharType="separate"/>
      </w:r>
      <w:r>
        <w:rPr>
          <w:rFonts w:ascii="Times New Roman" w:hAnsi="Times New Roman" w:eastAsia="宋体" w:cs="宋体"/>
          <w:kern w:val="2"/>
          <w:sz w:val="24"/>
          <w:szCs w:val="24"/>
          <w:highlight w:val="none"/>
          <w:lang w:val="en-US" w:eastAsia="zh-CN" w:bidi="ar-SA"/>
        </w:rPr>
        <w:t>2</w:t>
      </w:r>
      <w:r>
        <w:rPr>
          <w:rFonts w:ascii="Times New Roman" w:hAnsi="Times New Roman" w:eastAsia="宋体" w:cs="宋体"/>
          <w:kern w:val="2"/>
          <w:sz w:val="24"/>
          <w:szCs w:val="24"/>
          <w:highlight w:val="none"/>
          <w:lang w:val="en-US" w:eastAsia="zh-CN" w:bidi="ar-SA"/>
        </w:rPr>
        <w:fldChar w:fldCharType="end"/>
      </w:r>
      <w:r>
        <w:rPr>
          <w:rFonts w:hint="eastAsia" w:ascii="Times New Roman" w:hAnsi="Times New Roman" w:eastAsia="宋体" w:cs="宋体"/>
          <w:kern w:val="2"/>
          <w:sz w:val="24"/>
          <w:szCs w:val="24"/>
          <w:highlight w:val="none"/>
          <w:lang w:val="en-US" w:eastAsia="zh-CN" w:bidi="ar-SA"/>
        </w:rPr>
        <w:t>-</w:t>
      </w:r>
      <w:r>
        <w:rPr>
          <w:rFonts w:ascii="Times New Roman" w:hAnsi="Times New Roman" w:eastAsia="宋体" w:cs="宋体"/>
          <w:kern w:val="2"/>
          <w:sz w:val="24"/>
          <w:szCs w:val="24"/>
          <w:highlight w:val="none"/>
          <w:lang w:val="en-US" w:eastAsia="zh-CN" w:bidi="ar-SA"/>
        </w:rPr>
        <w:t>16</w:t>
      </w:r>
      <w:r>
        <w:rPr>
          <w:rFonts w:hint="eastAsia" w:ascii="Times New Roman" w:hAnsi="Times New Roman" w:eastAsia="宋体" w:cs="宋体"/>
          <w:kern w:val="2"/>
          <w:sz w:val="24"/>
          <w:szCs w:val="24"/>
          <w:highlight w:val="none"/>
          <w:lang w:val="en-US" w:eastAsia="zh-CN" w:bidi="ar-SA"/>
        </w:rPr>
        <w:fldChar w:fldCharType="end"/>
      </w:r>
      <w:r>
        <w:rPr>
          <w:rFonts w:hint="eastAsia" w:ascii="Times New Roman" w:hAnsi="Times New Roman" w:eastAsia="宋体" w:cs="宋体"/>
          <w:kern w:val="2"/>
          <w:sz w:val="24"/>
          <w:szCs w:val="24"/>
          <w:highlight w:val="none"/>
          <w:lang w:val="en-US" w:eastAsia="zh-CN" w:bidi="ar-SA"/>
        </w:rPr>
        <w:t>。</w:t>
      </w:r>
      <w:bookmarkStart w:id="476" w:name="_Ref24381"/>
    </w:p>
    <w:p>
      <w:pPr>
        <w:widowControl w:val="0"/>
        <w:spacing w:line="360" w:lineRule="auto"/>
        <w:jc w:val="center"/>
        <w:rPr>
          <w:rFonts w:hint="eastAsia"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16</w:t>
      </w:r>
      <w:r>
        <w:rPr>
          <w:rFonts w:ascii="Times New Roman" w:hAnsi="Times New Roman" w:eastAsia="宋体" w:cs="Times New Roman"/>
          <w:b/>
          <w:kern w:val="2"/>
          <w:sz w:val="21"/>
          <w:szCs w:val="21"/>
          <w:lang w:val="en-US" w:eastAsia="zh-CN" w:bidi="ar-SA"/>
        </w:rPr>
        <w:fldChar w:fldCharType="end"/>
      </w:r>
      <w:bookmarkEnd w:id="476"/>
      <w:r>
        <w:rPr>
          <w:rFonts w:hint="eastAsia" w:ascii="Times New Roman" w:hAnsi="Times New Roman" w:eastAsia="宋体" w:cs="Times New Roman"/>
          <w:b/>
          <w:kern w:val="2"/>
          <w:sz w:val="21"/>
          <w:szCs w:val="21"/>
          <w:lang w:val="en-US" w:eastAsia="zh-CN" w:bidi="ar-SA"/>
        </w:rPr>
        <w:t>项目土壤环境影响评价工作等级判据</w:t>
      </w:r>
    </w:p>
    <w:tbl>
      <w:tblPr>
        <w:tblStyle w:val="2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3062"/>
        <w:gridCol w:w="641"/>
        <w:gridCol w:w="641"/>
        <w:gridCol w:w="641"/>
        <w:gridCol w:w="641"/>
        <w:gridCol w:w="641"/>
        <w:gridCol w:w="641"/>
        <w:gridCol w:w="641"/>
        <w:gridCol w:w="641"/>
        <w:gridCol w:w="6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54" w:hRule="atLeast"/>
        </w:trPr>
        <w:tc>
          <w:tcPr>
            <w:tcW w:w="3062" w:type="dxa"/>
            <w:vMerge w:val="restart"/>
            <w:tcBorders>
              <w:tl2br w:val="single" w:color="auto" w:sz="12" w:space="0"/>
            </w:tcBorders>
            <w:shd w:val="clear" w:color="auto" w:fill="FFFFFF"/>
            <w:noWrap w:val="0"/>
            <w:vAlign w:val="center"/>
          </w:tcPr>
          <w:p>
            <w:pPr>
              <w:pStyle w:val="26"/>
              <w:bidi w:val="0"/>
              <w:rPr>
                <w:lang w:val="en-US" w:eastAsia="zh-CN"/>
              </w:rPr>
            </w:pPr>
            <w:r>
              <w:rPr>
                <w:rFonts w:hint="eastAsia"/>
                <w:lang w:val="en-US" w:eastAsia="zh-CN"/>
              </w:rPr>
              <w:t xml:space="preserve">         评价工作等级</w:t>
            </w:r>
          </w:p>
          <w:p>
            <w:pPr>
              <w:pStyle w:val="26"/>
              <w:bidi w:val="0"/>
              <w:rPr>
                <w:rFonts w:hint="eastAsia"/>
                <w:lang w:val="en-US" w:eastAsia="zh-CN"/>
              </w:rPr>
            </w:pPr>
            <w:r>
              <w:rPr>
                <w:rFonts w:hint="eastAsia"/>
                <w:lang w:val="en-US" w:eastAsia="zh-CN"/>
              </w:rPr>
              <w:t xml:space="preserve">             占地规模</w:t>
            </w:r>
          </w:p>
          <w:p>
            <w:pPr>
              <w:pStyle w:val="26"/>
              <w:bidi w:val="0"/>
              <w:rPr>
                <w:rFonts w:hint="eastAsia"/>
                <w:lang w:val="en-US" w:eastAsia="zh-CN"/>
              </w:rPr>
            </w:pPr>
          </w:p>
          <w:p>
            <w:pPr>
              <w:pStyle w:val="26"/>
              <w:bidi w:val="0"/>
              <w:rPr>
                <w:lang w:val="en-US" w:eastAsia="zh-CN"/>
              </w:rPr>
            </w:pPr>
            <w:r>
              <w:rPr>
                <w:lang w:val="en-US" w:eastAsia="zh-CN"/>
              </w:rPr>
              <w:t>敏感程度</w:t>
            </w:r>
          </w:p>
        </w:tc>
        <w:tc>
          <w:tcPr>
            <w:tcW w:w="1923" w:type="dxa"/>
            <w:gridSpan w:val="3"/>
            <w:shd w:val="clear" w:color="auto" w:fill="FFFFFF"/>
            <w:noWrap w:val="0"/>
            <w:vAlign w:val="center"/>
          </w:tcPr>
          <w:p>
            <w:pPr>
              <w:pStyle w:val="26"/>
              <w:bidi w:val="0"/>
              <w:rPr>
                <w:lang w:val="en-US" w:eastAsia="zh-CN"/>
              </w:rPr>
            </w:pPr>
            <w:r>
              <w:rPr>
                <w:lang w:val="en-US" w:eastAsia="zh-CN"/>
              </w:rPr>
              <w:t>Ⅰ类项目</w:t>
            </w:r>
          </w:p>
        </w:tc>
        <w:tc>
          <w:tcPr>
            <w:tcW w:w="1923" w:type="dxa"/>
            <w:gridSpan w:val="3"/>
            <w:shd w:val="clear" w:color="auto" w:fill="FFFFFF"/>
            <w:noWrap w:val="0"/>
            <w:vAlign w:val="center"/>
          </w:tcPr>
          <w:p>
            <w:pPr>
              <w:pStyle w:val="26"/>
              <w:bidi w:val="0"/>
              <w:rPr>
                <w:lang w:val="en-US" w:eastAsia="zh-CN"/>
              </w:rPr>
            </w:pPr>
            <w:r>
              <w:rPr>
                <w:lang w:val="en-US" w:eastAsia="zh-CN"/>
              </w:rPr>
              <w:t>Ⅱ类项目</w:t>
            </w:r>
          </w:p>
        </w:tc>
        <w:tc>
          <w:tcPr>
            <w:tcW w:w="1923" w:type="dxa"/>
            <w:gridSpan w:val="3"/>
            <w:shd w:val="clear" w:color="auto" w:fill="FFFFFF"/>
            <w:noWrap w:val="0"/>
            <w:vAlign w:val="center"/>
          </w:tcPr>
          <w:p>
            <w:pPr>
              <w:pStyle w:val="26"/>
              <w:bidi w:val="0"/>
              <w:rPr>
                <w:lang w:val="en-US" w:eastAsia="zh-CN"/>
              </w:rPr>
            </w:pPr>
            <w:r>
              <w:rPr>
                <w:lang w:val="en-US" w:eastAsia="zh-CN"/>
              </w:rPr>
              <w:t>Ⅲ类项目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062" w:type="dxa"/>
            <w:vMerge w:val="continue"/>
            <w:shd w:val="clear" w:color="auto" w:fill="FFFFFF"/>
            <w:noWrap w:val="0"/>
            <w:vAlign w:val="center"/>
          </w:tcPr>
          <w:p>
            <w:pPr>
              <w:pStyle w:val="26"/>
              <w:bidi w:val="0"/>
              <w:rPr>
                <w:lang w:val="en-US" w:eastAsia="zh-CN"/>
              </w:rPr>
            </w:pPr>
          </w:p>
        </w:tc>
        <w:tc>
          <w:tcPr>
            <w:tcW w:w="641" w:type="dxa"/>
            <w:shd w:val="clear" w:color="auto" w:fill="FFFFFF"/>
            <w:noWrap w:val="0"/>
            <w:vAlign w:val="center"/>
          </w:tcPr>
          <w:p>
            <w:pPr>
              <w:pStyle w:val="26"/>
              <w:bidi w:val="0"/>
              <w:rPr>
                <w:lang w:val="en-US" w:eastAsia="zh-CN"/>
              </w:rPr>
            </w:pPr>
            <w:r>
              <w:rPr>
                <w:rFonts w:hint="eastAsia"/>
                <w:lang w:val="en-US" w:eastAsia="zh-CN"/>
              </w:rPr>
              <w:t>大</w:t>
            </w:r>
          </w:p>
        </w:tc>
        <w:tc>
          <w:tcPr>
            <w:tcW w:w="641" w:type="dxa"/>
            <w:shd w:val="clear" w:color="auto" w:fill="FFFFFF"/>
            <w:noWrap w:val="0"/>
            <w:vAlign w:val="center"/>
          </w:tcPr>
          <w:p>
            <w:pPr>
              <w:pStyle w:val="26"/>
              <w:bidi w:val="0"/>
              <w:rPr>
                <w:lang w:val="en-US" w:eastAsia="zh-CN"/>
              </w:rPr>
            </w:pPr>
            <w:r>
              <w:rPr>
                <w:rFonts w:hint="eastAsia"/>
                <w:lang w:val="en-US" w:eastAsia="zh-CN"/>
              </w:rPr>
              <w:t>中</w:t>
            </w:r>
          </w:p>
        </w:tc>
        <w:tc>
          <w:tcPr>
            <w:tcW w:w="641" w:type="dxa"/>
            <w:shd w:val="clear" w:color="auto" w:fill="FFFFFF"/>
            <w:noWrap w:val="0"/>
            <w:vAlign w:val="center"/>
          </w:tcPr>
          <w:p>
            <w:pPr>
              <w:pStyle w:val="26"/>
              <w:bidi w:val="0"/>
              <w:rPr>
                <w:lang w:val="en-US" w:eastAsia="zh-CN"/>
              </w:rPr>
            </w:pPr>
            <w:r>
              <w:rPr>
                <w:rFonts w:hint="eastAsia"/>
                <w:lang w:val="en-US" w:eastAsia="zh-CN"/>
              </w:rPr>
              <w:t>小</w:t>
            </w:r>
          </w:p>
        </w:tc>
        <w:tc>
          <w:tcPr>
            <w:tcW w:w="641" w:type="dxa"/>
            <w:shd w:val="clear" w:color="auto" w:fill="FFFFFF"/>
            <w:noWrap w:val="0"/>
            <w:vAlign w:val="center"/>
          </w:tcPr>
          <w:p>
            <w:pPr>
              <w:pStyle w:val="26"/>
              <w:bidi w:val="0"/>
              <w:rPr>
                <w:lang w:val="en-US" w:eastAsia="zh-CN"/>
              </w:rPr>
            </w:pPr>
            <w:r>
              <w:rPr>
                <w:rFonts w:hint="eastAsia"/>
                <w:lang w:val="en-US" w:eastAsia="zh-CN"/>
              </w:rPr>
              <w:t>大</w:t>
            </w:r>
          </w:p>
        </w:tc>
        <w:tc>
          <w:tcPr>
            <w:tcW w:w="641" w:type="dxa"/>
            <w:shd w:val="clear" w:color="auto" w:fill="FFFFFF"/>
            <w:noWrap w:val="0"/>
            <w:vAlign w:val="center"/>
          </w:tcPr>
          <w:p>
            <w:pPr>
              <w:pStyle w:val="26"/>
              <w:bidi w:val="0"/>
              <w:rPr>
                <w:lang w:val="en-US" w:eastAsia="zh-CN"/>
              </w:rPr>
            </w:pPr>
            <w:r>
              <w:rPr>
                <w:rFonts w:hint="eastAsia"/>
                <w:lang w:val="en-US" w:eastAsia="zh-CN"/>
              </w:rPr>
              <w:t>中</w:t>
            </w:r>
          </w:p>
        </w:tc>
        <w:tc>
          <w:tcPr>
            <w:tcW w:w="641" w:type="dxa"/>
            <w:shd w:val="clear" w:color="auto" w:fill="FFFFFF"/>
            <w:noWrap w:val="0"/>
            <w:vAlign w:val="center"/>
          </w:tcPr>
          <w:p>
            <w:pPr>
              <w:pStyle w:val="26"/>
              <w:bidi w:val="0"/>
              <w:rPr>
                <w:lang w:val="en-US" w:eastAsia="zh-CN"/>
              </w:rPr>
            </w:pPr>
            <w:r>
              <w:rPr>
                <w:rFonts w:hint="eastAsia"/>
                <w:lang w:val="en-US" w:eastAsia="zh-CN"/>
              </w:rPr>
              <w:t>小</w:t>
            </w:r>
          </w:p>
        </w:tc>
        <w:tc>
          <w:tcPr>
            <w:tcW w:w="641" w:type="dxa"/>
            <w:shd w:val="clear" w:color="auto" w:fill="FFFFFF"/>
            <w:noWrap w:val="0"/>
            <w:vAlign w:val="center"/>
          </w:tcPr>
          <w:p>
            <w:pPr>
              <w:pStyle w:val="26"/>
              <w:bidi w:val="0"/>
              <w:rPr>
                <w:lang w:val="en-US" w:eastAsia="zh-CN"/>
              </w:rPr>
            </w:pPr>
            <w:r>
              <w:rPr>
                <w:rFonts w:hint="eastAsia"/>
                <w:lang w:val="en-US" w:eastAsia="zh-CN"/>
              </w:rPr>
              <w:t>大</w:t>
            </w:r>
          </w:p>
        </w:tc>
        <w:tc>
          <w:tcPr>
            <w:tcW w:w="641" w:type="dxa"/>
            <w:shd w:val="clear" w:color="auto" w:fill="FFFFFF"/>
            <w:noWrap w:val="0"/>
            <w:vAlign w:val="center"/>
          </w:tcPr>
          <w:p>
            <w:pPr>
              <w:pStyle w:val="26"/>
              <w:bidi w:val="0"/>
              <w:rPr>
                <w:lang w:val="en-US" w:eastAsia="zh-CN"/>
              </w:rPr>
            </w:pPr>
            <w:r>
              <w:rPr>
                <w:rFonts w:hint="eastAsia"/>
                <w:lang w:val="en-US" w:eastAsia="zh-CN"/>
              </w:rPr>
              <w:t>中</w:t>
            </w:r>
          </w:p>
        </w:tc>
        <w:tc>
          <w:tcPr>
            <w:tcW w:w="641" w:type="dxa"/>
            <w:shd w:val="clear" w:color="auto" w:fill="FFFFFF"/>
            <w:noWrap w:val="0"/>
            <w:vAlign w:val="center"/>
          </w:tcPr>
          <w:p>
            <w:pPr>
              <w:pStyle w:val="26"/>
              <w:bidi w:val="0"/>
              <w:rPr>
                <w:lang w:val="en-US" w:eastAsia="zh-CN"/>
              </w:rPr>
            </w:pPr>
            <w:r>
              <w:rPr>
                <w:rFonts w:hint="eastAsia"/>
                <w:lang w:val="en-US" w:eastAsia="zh-CN"/>
              </w:rPr>
              <w:t>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062" w:type="dxa"/>
            <w:shd w:val="clear" w:color="auto" w:fill="FFFFFF"/>
            <w:noWrap w:val="0"/>
            <w:vAlign w:val="center"/>
          </w:tcPr>
          <w:p>
            <w:pPr>
              <w:pStyle w:val="26"/>
              <w:bidi w:val="0"/>
              <w:rPr>
                <w:lang w:val="en-US" w:eastAsia="zh-CN"/>
              </w:rPr>
            </w:pPr>
            <w:r>
              <w:rPr>
                <w:lang w:val="en-US" w:eastAsia="zh-CN"/>
              </w:rPr>
              <w:t>敏感</w:t>
            </w:r>
          </w:p>
        </w:tc>
        <w:tc>
          <w:tcPr>
            <w:tcW w:w="641" w:type="dxa"/>
            <w:shd w:val="clear" w:color="auto" w:fill="FFFFFF"/>
            <w:noWrap w:val="0"/>
            <w:vAlign w:val="center"/>
          </w:tcPr>
          <w:p>
            <w:pPr>
              <w:pStyle w:val="26"/>
              <w:bidi w:val="0"/>
              <w:rPr>
                <w:lang w:val="en-US" w:eastAsia="zh-CN"/>
              </w:rPr>
            </w:pPr>
            <w:r>
              <w:rPr>
                <w:lang w:val="en-US" w:eastAsia="zh-CN"/>
              </w:rPr>
              <w:t>一</w:t>
            </w:r>
          </w:p>
        </w:tc>
        <w:tc>
          <w:tcPr>
            <w:tcW w:w="641" w:type="dxa"/>
            <w:shd w:val="clear" w:color="auto" w:fill="FFFFFF"/>
            <w:noWrap w:val="0"/>
            <w:vAlign w:val="center"/>
          </w:tcPr>
          <w:p>
            <w:pPr>
              <w:pStyle w:val="26"/>
              <w:bidi w:val="0"/>
              <w:rPr>
                <w:lang w:val="en-US" w:eastAsia="zh-CN"/>
              </w:rPr>
            </w:pPr>
            <w:r>
              <w:rPr>
                <w:rFonts w:hint="eastAsia"/>
                <w:lang w:val="en-US" w:eastAsia="zh-CN"/>
              </w:rPr>
              <w:t>一</w:t>
            </w:r>
          </w:p>
        </w:tc>
        <w:tc>
          <w:tcPr>
            <w:tcW w:w="641" w:type="dxa"/>
            <w:shd w:val="clear" w:color="auto" w:fill="FFFFFF"/>
            <w:noWrap w:val="0"/>
            <w:vAlign w:val="center"/>
          </w:tcPr>
          <w:p>
            <w:pPr>
              <w:pStyle w:val="26"/>
              <w:bidi w:val="0"/>
              <w:rPr>
                <w:lang w:val="en-US" w:eastAsia="zh-CN"/>
              </w:rPr>
            </w:pPr>
            <w:r>
              <w:rPr>
                <w:rFonts w:hint="eastAsia"/>
                <w:lang w:val="en-US" w:eastAsia="zh-CN"/>
              </w:rPr>
              <w:t>一</w:t>
            </w:r>
          </w:p>
        </w:tc>
        <w:tc>
          <w:tcPr>
            <w:tcW w:w="641" w:type="dxa"/>
            <w:shd w:val="clear" w:color="auto" w:fill="FFFFFF"/>
            <w:noWrap w:val="0"/>
            <w:vAlign w:val="center"/>
          </w:tcPr>
          <w:p>
            <w:pPr>
              <w:pStyle w:val="26"/>
              <w:bidi w:val="0"/>
              <w:rPr>
                <w:lang w:val="en-US" w:eastAsia="zh-CN"/>
              </w:rPr>
            </w:pPr>
            <w:r>
              <w:rPr>
                <w:lang w:val="en-US" w:eastAsia="zh-CN"/>
              </w:rPr>
              <w:t>二</w:t>
            </w:r>
          </w:p>
        </w:tc>
        <w:tc>
          <w:tcPr>
            <w:tcW w:w="641" w:type="dxa"/>
            <w:shd w:val="clear" w:color="auto" w:fill="FFFFFF"/>
            <w:noWrap w:val="0"/>
            <w:vAlign w:val="center"/>
          </w:tcPr>
          <w:p>
            <w:pPr>
              <w:pStyle w:val="26"/>
              <w:bidi w:val="0"/>
              <w:rPr>
                <w:lang w:val="en-US" w:eastAsia="zh-CN"/>
              </w:rPr>
            </w:pPr>
            <w:r>
              <w:rPr>
                <w:lang w:val="en-US" w:eastAsia="zh-CN"/>
              </w:rPr>
              <w:t>二</w:t>
            </w:r>
          </w:p>
        </w:tc>
        <w:tc>
          <w:tcPr>
            <w:tcW w:w="641" w:type="dxa"/>
            <w:shd w:val="clear" w:color="auto" w:fill="FFFFFF"/>
            <w:noWrap w:val="0"/>
            <w:vAlign w:val="center"/>
          </w:tcPr>
          <w:p>
            <w:pPr>
              <w:pStyle w:val="26"/>
              <w:bidi w:val="0"/>
              <w:rPr>
                <w:lang w:val="en-US" w:eastAsia="zh-CN"/>
              </w:rPr>
            </w:pPr>
            <w:r>
              <w:rPr>
                <w:lang w:val="en-US" w:eastAsia="zh-CN"/>
              </w:rPr>
              <w:t>二</w:t>
            </w:r>
          </w:p>
        </w:tc>
        <w:tc>
          <w:tcPr>
            <w:tcW w:w="641" w:type="dxa"/>
            <w:shd w:val="clear" w:color="auto" w:fill="FFFFFF"/>
            <w:noWrap w:val="0"/>
            <w:vAlign w:val="center"/>
          </w:tcPr>
          <w:p>
            <w:pPr>
              <w:pStyle w:val="26"/>
              <w:bidi w:val="0"/>
              <w:rPr>
                <w:lang w:val="en-US" w:eastAsia="zh-CN"/>
              </w:rPr>
            </w:pPr>
            <w:r>
              <w:rPr>
                <w:lang w:val="en-US" w:eastAsia="zh-CN"/>
              </w:rPr>
              <w:t>三</w:t>
            </w:r>
          </w:p>
        </w:tc>
        <w:tc>
          <w:tcPr>
            <w:tcW w:w="641" w:type="dxa"/>
            <w:shd w:val="clear" w:color="auto" w:fill="FFFFFF"/>
            <w:noWrap w:val="0"/>
            <w:vAlign w:val="center"/>
          </w:tcPr>
          <w:p>
            <w:pPr>
              <w:pStyle w:val="26"/>
              <w:bidi w:val="0"/>
              <w:rPr>
                <w:lang w:val="en-US" w:eastAsia="zh-CN"/>
              </w:rPr>
            </w:pPr>
            <w:r>
              <w:rPr>
                <w:lang w:val="en-US" w:eastAsia="zh-CN"/>
              </w:rPr>
              <w:t>三</w:t>
            </w:r>
          </w:p>
        </w:tc>
        <w:tc>
          <w:tcPr>
            <w:tcW w:w="641" w:type="dxa"/>
            <w:shd w:val="clear" w:color="auto" w:fill="FFFFFF"/>
            <w:noWrap w:val="0"/>
            <w:vAlign w:val="center"/>
          </w:tcPr>
          <w:p>
            <w:pPr>
              <w:pStyle w:val="26"/>
              <w:bidi w:val="0"/>
              <w:rPr>
                <w:lang w:val="en-US" w:eastAsia="zh-CN"/>
              </w:rPr>
            </w:pPr>
            <w:r>
              <w:rPr>
                <w:lang w:val="en-US" w:eastAsia="zh-CN"/>
              </w:rPr>
              <w:t>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062" w:type="dxa"/>
            <w:shd w:val="clear" w:color="auto" w:fill="FFFFFF"/>
            <w:noWrap w:val="0"/>
            <w:vAlign w:val="center"/>
          </w:tcPr>
          <w:p>
            <w:pPr>
              <w:pStyle w:val="26"/>
              <w:bidi w:val="0"/>
              <w:rPr>
                <w:lang w:val="en-US" w:eastAsia="zh-CN"/>
              </w:rPr>
            </w:pPr>
            <w:r>
              <w:rPr>
                <w:lang w:val="en-US" w:eastAsia="zh-CN"/>
              </w:rPr>
              <w:t>较敏感</w:t>
            </w:r>
          </w:p>
        </w:tc>
        <w:tc>
          <w:tcPr>
            <w:tcW w:w="641" w:type="dxa"/>
            <w:shd w:val="clear" w:color="auto" w:fill="FFFFFF"/>
            <w:noWrap w:val="0"/>
            <w:vAlign w:val="center"/>
          </w:tcPr>
          <w:p>
            <w:pPr>
              <w:pStyle w:val="26"/>
              <w:bidi w:val="0"/>
              <w:rPr>
                <w:lang w:val="en-US" w:eastAsia="zh-CN"/>
              </w:rPr>
            </w:pPr>
            <w:r>
              <w:rPr>
                <w:lang w:val="en-US" w:eastAsia="zh-CN"/>
              </w:rPr>
              <w:t>一</w:t>
            </w:r>
          </w:p>
        </w:tc>
        <w:tc>
          <w:tcPr>
            <w:tcW w:w="641" w:type="dxa"/>
            <w:shd w:val="clear" w:color="auto" w:fill="FFFFFF"/>
            <w:noWrap w:val="0"/>
            <w:vAlign w:val="center"/>
          </w:tcPr>
          <w:p>
            <w:pPr>
              <w:pStyle w:val="26"/>
              <w:bidi w:val="0"/>
              <w:rPr>
                <w:lang w:val="en-US" w:eastAsia="zh-CN"/>
              </w:rPr>
            </w:pPr>
            <w:r>
              <w:rPr>
                <w:rFonts w:hint="eastAsia"/>
                <w:lang w:val="en-US" w:eastAsia="zh-CN"/>
              </w:rPr>
              <w:t>一</w:t>
            </w:r>
          </w:p>
        </w:tc>
        <w:tc>
          <w:tcPr>
            <w:tcW w:w="641" w:type="dxa"/>
            <w:shd w:val="clear" w:color="auto" w:fill="FFFFFF"/>
            <w:noWrap w:val="0"/>
            <w:vAlign w:val="center"/>
          </w:tcPr>
          <w:p>
            <w:pPr>
              <w:pStyle w:val="26"/>
              <w:bidi w:val="0"/>
              <w:rPr>
                <w:lang w:val="en-US" w:eastAsia="zh-CN"/>
              </w:rPr>
            </w:pPr>
            <w:r>
              <w:rPr>
                <w:rFonts w:hint="eastAsia"/>
                <w:lang w:val="en-US" w:eastAsia="zh-CN"/>
              </w:rPr>
              <w:t>二</w:t>
            </w:r>
          </w:p>
        </w:tc>
        <w:tc>
          <w:tcPr>
            <w:tcW w:w="641" w:type="dxa"/>
            <w:shd w:val="clear" w:color="auto" w:fill="FFFFFF"/>
            <w:noWrap w:val="0"/>
            <w:vAlign w:val="center"/>
          </w:tcPr>
          <w:p>
            <w:pPr>
              <w:pStyle w:val="26"/>
              <w:bidi w:val="0"/>
              <w:rPr>
                <w:lang w:val="en-US" w:eastAsia="zh-CN"/>
              </w:rPr>
            </w:pPr>
            <w:r>
              <w:rPr>
                <w:lang w:val="en-US" w:eastAsia="zh-CN"/>
              </w:rPr>
              <w:t>二</w:t>
            </w:r>
          </w:p>
        </w:tc>
        <w:tc>
          <w:tcPr>
            <w:tcW w:w="641" w:type="dxa"/>
            <w:shd w:val="clear" w:color="auto" w:fill="FFFFFF"/>
            <w:noWrap w:val="0"/>
            <w:vAlign w:val="center"/>
          </w:tcPr>
          <w:p>
            <w:pPr>
              <w:pStyle w:val="26"/>
              <w:bidi w:val="0"/>
              <w:rPr>
                <w:lang w:val="en-US" w:eastAsia="zh-CN"/>
              </w:rPr>
            </w:pPr>
            <w:r>
              <w:rPr>
                <w:lang w:val="en-US" w:eastAsia="zh-CN"/>
              </w:rPr>
              <w:t>二</w:t>
            </w:r>
          </w:p>
        </w:tc>
        <w:tc>
          <w:tcPr>
            <w:tcW w:w="641" w:type="dxa"/>
            <w:shd w:val="clear" w:color="auto" w:fill="FFFFFF"/>
            <w:noWrap w:val="0"/>
            <w:vAlign w:val="center"/>
          </w:tcPr>
          <w:p>
            <w:pPr>
              <w:pStyle w:val="26"/>
              <w:bidi w:val="0"/>
              <w:rPr>
                <w:lang w:val="en-US" w:eastAsia="zh-CN"/>
              </w:rPr>
            </w:pPr>
            <w:r>
              <w:rPr>
                <w:lang w:val="en-US" w:eastAsia="zh-CN"/>
              </w:rPr>
              <w:t>三</w:t>
            </w:r>
          </w:p>
        </w:tc>
        <w:tc>
          <w:tcPr>
            <w:tcW w:w="641" w:type="dxa"/>
            <w:shd w:val="clear" w:color="auto" w:fill="FFFFFF"/>
            <w:noWrap w:val="0"/>
            <w:vAlign w:val="center"/>
          </w:tcPr>
          <w:p>
            <w:pPr>
              <w:pStyle w:val="26"/>
              <w:bidi w:val="0"/>
              <w:rPr>
                <w:lang w:val="en-US" w:eastAsia="zh-CN"/>
              </w:rPr>
            </w:pPr>
            <w:r>
              <w:rPr>
                <w:lang w:val="en-US" w:eastAsia="zh-CN"/>
              </w:rPr>
              <w:t>三</w:t>
            </w:r>
          </w:p>
        </w:tc>
        <w:tc>
          <w:tcPr>
            <w:tcW w:w="641" w:type="dxa"/>
            <w:shd w:val="clear" w:color="auto" w:fill="FFFFFF"/>
            <w:noWrap w:val="0"/>
            <w:vAlign w:val="center"/>
          </w:tcPr>
          <w:p>
            <w:pPr>
              <w:pStyle w:val="26"/>
              <w:bidi w:val="0"/>
              <w:rPr>
                <w:lang w:val="en-US" w:eastAsia="zh-CN"/>
              </w:rPr>
            </w:pPr>
            <w:r>
              <w:rPr>
                <w:lang w:val="en-US" w:eastAsia="zh-CN"/>
              </w:rPr>
              <w:t>三</w:t>
            </w:r>
          </w:p>
        </w:tc>
        <w:tc>
          <w:tcPr>
            <w:tcW w:w="641" w:type="dxa"/>
            <w:shd w:val="clear" w:color="auto" w:fill="FFFFFF"/>
            <w:noWrap w:val="0"/>
            <w:vAlign w:val="center"/>
          </w:tcPr>
          <w:p>
            <w:pPr>
              <w:pStyle w:val="26"/>
              <w:bidi w:val="0"/>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062" w:type="dxa"/>
            <w:shd w:val="clear" w:color="auto" w:fill="FFFFFF"/>
            <w:noWrap w:val="0"/>
            <w:vAlign w:val="center"/>
          </w:tcPr>
          <w:p>
            <w:pPr>
              <w:pStyle w:val="26"/>
              <w:bidi w:val="0"/>
              <w:rPr>
                <w:lang w:val="en-US" w:eastAsia="zh-CN"/>
              </w:rPr>
            </w:pPr>
            <w:r>
              <w:rPr>
                <w:lang w:val="en-US" w:eastAsia="zh-CN"/>
              </w:rPr>
              <w:t>不敏感</w:t>
            </w:r>
          </w:p>
        </w:tc>
        <w:tc>
          <w:tcPr>
            <w:tcW w:w="641" w:type="dxa"/>
            <w:shd w:val="clear" w:color="auto" w:fill="FFFFFF"/>
            <w:noWrap w:val="0"/>
            <w:vAlign w:val="center"/>
          </w:tcPr>
          <w:p>
            <w:pPr>
              <w:pStyle w:val="26"/>
              <w:bidi w:val="0"/>
              <w:rPr>
                <w:lang w:val="en-US" w:eastAsia="zh-CN"/>
              </w:rPr>
            </w:pPr>
            <w:r>
              <w:rPr>
                <w:lang w:val="en-US" w:eastAsia="zh-CN"/>
              </w:rPr>
              <w:t>一</w:t>
            </w:r>
          </w:p>
        </w:tc>
        <w:tc>
          <w:tcPr>
            <w:tcW w:w="641" w:type="dxa"/>
            <w:shd w:val="clear" w:color="auto" w:fill="FFFFFF"/>
            <w:noWrap w:val="0"/>
            <w:vAlign w:val="center"/>
          </w:tcPr>
          <w:p>
            <w:pPr>
              <w:pStyle w:val="26"/>
              <w:bidi w:val="0"/>
              <w:rPr>
                <w:lang w:val="en-US" w:eastAsia="zh-CN"/>
              </w:rPr>
            </w:pPr>
            <w:r>
              <w:rPr>
                <w:rFonts w:hint="eastAsia"/>
                <w:lang w:val="en-US" w:eastAsia="zh-CN"/>
              </w:rPr>
              <w:t>二</w:t>
            </w:r>
          </w:p>
        </w:tc>
        <w:tc>
          <w:tcPr>
            <w:tcW w:w="641" w:type="dxa"/>
            <w:shd w:val="clear" w:color="auto" w:fill="FFFFFF"/>
            <w:noWrap w:val="0"/>
            <w:vAlign w:val="center"/>
          </w:tcPr>
          <w:p>
            <w:pPr>
              <w:pStyle w:val="26"/>
              <w:bidi w:val="0"/>
              <w:rPr>
                <w:lang w:val="en-US" w:eastAsia="zh-CN"/>
              </w:rPr>
            </w:pPr>
            <w:r>
              <w:rPr>
                <w:rFonts w:hint="eastAsia"/>
                <w:lang w:val="en-US" w:eastAsia="zh-CN"/>
              </w:rPr>
              <w:t>二</w:t>
            </w:r>
          </w:p>
        </w:tc>
        <w:tc>
          <w:tcPr>
            <w:tcW w:w="641" w:type="dxa"/>
            <w:shd w:val="clear" w:color="auto" w:fill="FFFFFF"/>
            <w:noWrap w:val="0"/>
            <w:vAlign w:val="center"/>
          </w:tcPr>
          <w:p>
            <w:pPr>
              <w:pStyle w:val="26"/>
              <w:bidi w:val="0"/>
              <w:rPr>
                <w:lang w:val="en-US" w:eastAsia="zh-CN"/>
              </w:rPr>
            </w:pPr>
            <w:r>
              <w:rPr>
                <w:lang w:val="en-US" w:eastAsia="zh-CN"/>
              </w:rPr>
              <w:t>二</w:t>
            </w:r>
          </w:p>
        </w:tc>
        <w:tc>
          <w:tcPr>
            <w:tcW w:w="641" w:type="dxa"/>
            <w:shd w:val="clear" w:color="auto" w:fill="FFFFFF"/>
            <w:noWrap w:val="0"/>
            <w:vAlign w:val="center"/>
          </w:tcPr>
          <w:p>
            <w:pPr>
              <w:pStyle w:val="26"/>
              <w:bidi w:val="0"/>
              <w:rPr>
                <w:lang w:val="en-US" w:eastAsia="zh-CN"/>
              </w:rPr>
            </w:pPr>
            <w:r>
              <w:rPr>
                <w:lang w:val="en-US" w:eastAsia="zh-CN"/>
              </w:rPr>
              <w:t>三</w:t>
            </w:r>
          </w:p>
        </w:tc>
        <w:tc>
          <w:tcPr>
            <w:tcW w:w="641" w:type="dxa"/>
            <w:shd w:val="clear" w:color="auto" w:fill="FFFFFF"/>
            <w:noWrap w:val="0"/>
            <w:vAlign w:val="center"/>
          </w:tcPr>
          <w:p>
            <w:pPr>
              <w:pStyle w:val="26"/>
              <w:bidi w:val="0"/>
              <w:rPr>
                <w:lang w:val="en-US" w:eastAsia="zh-CN"/>
              </w:rPr>
            </w:pPr>
            <w:r>
              <w:rPr>
                <w:lang w:val="en-US" w:eastAsia="zh-CN"/>
              </w:rPr>
              <w:t>三</w:t>
            </w:r>
          </w:p>
        </w:tc>
        <w:tc>
          <w:tcPr>
            <w:tcW w:w="641" w:type="dxa"/>
            <w:shd w:val="clear" w:color="auto" w:fill="FFFFFF"/>
            <w:noWrap w:val="0"/>
            <w:vAlign w:val="center"/>
          </w:tcPr>
          <w:p>
            <w:pPr>
              <w:pStyle w:val="26"/>
              <w:bidi w:val="0"/>
              <w:rPr>
                <w:lang w:val="en-US" w:eastAsia="zh-CN"/>
              </w:rPr>
            </w:pPr>
            <w:r>
              <w:rPr>
                <w:rFonts w:hint="eastAsia"/>
                <w:lang w:val="en-US" w:eastAsia="zh-CN"/>
              </w:rPr>
              <w:t>三</w:t>
            </w:r>
          </w:p>
        </w:tc>
        <w:tc>
          <w:tcPr>
            <w:tcW w:w="641" w:type="dxa"/>
            <w:shd w:val="clear" w:color="auto" w:fill="FFFFFF"/>
            <w:noWrap w:val="0"/>
            <w:vAlign w:val="center"/>
          </w:tcPr>
          <w:p>
            <w:pPr>
              <w:pStyle w:val="26"/>
              <w:bidi w:val="0"/>
              <w:rPr>
                <w:rFonts w:hint="default"/>
                <w:lang w:val="en-US" w:eastAsia="zh-CN"/>
              </w:rPr>
            </w:pPr>
            <w:r>
              <w:rPr>
                <w:rFonts w:hint="eastAsia"/>
                <w:lang w:val="en-US" w:eastAsia="zh-CN"/>
              </w:rPr>
              <w:t>/</w:t>
            </w:r>
          </w:p>
        </w:tc>
        <w:tc>
          <w:tcPr>
            <w:tcW w:w="641" w:type="dxa"/>
            <w:shd w:val="clear" w:color="auto" w:fill="FFFFFF"/>
            <w:noWrap w:val="0"/>
            <w:vAlign w:val="center"/>
          </w:tcPr>
          <w:p>
            <w:pPr>
              <w:pStyle w:val="26"/>
              <w:bidi w:val="0"/>
              <w:rPr>
                <w:rFonts w:hint="eastAsia"/>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831" w:type="dxa"/>
            <w:gridSpan w:val="10"/>
            <w:shd w:val="clear" w:color="auto" w:fill="FFFFFF"/>
            <w:noWrap w:val="0"/>
            <w:vAlign w:val="center"/>
          </w:tcPr>
          <w:p>
            <w:pPr>
              <w:pStyle w:val="26"/>
              <w:bidi w:val="0"/>
              <w:rPr>
                <w:rFonts w:hint="eastAsia"/>
                <w:lang w:val="en-US" w:eastAsia="zh-CN"/>
              </w:rPr>
            </w:pPr>
            <w:r>
              <w:rPr>
                <w:rFonts w:hint="eastAsia"/>
                <w:lang w:val="en-US" w:eastAsia="zh-CN"/>
              </w:rPr>
              <w:t>注：“/”表示可不开展土壤环境影响评价工作。</w:t>
            </w:r>
          </w:p>
        </w:tc>
      </w:tr>
    </w:tbl>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p>
    <w:p>
      <w:pPr>
        <w:pStyle w:val="5"/>
        <w:bidi w:val="0"/>
        <w:rPr>
          <w:lang w:val="en-US" w:eastAsia="zh-CN"/>
        </w:rPr>
      </w:pPr>
      <w:bookmarkStart w:id="477" w:name="_Toc28202"/>
      <w:r>
        <w:rPr>
          <w:lang w:val="en-US" w:eastAsia="zh-CN"/>
        </w:rPr>
        <w:t>生态环境影响评价等级</w:t>
      </w:r>
      <w:bookmarkEnd w:id="477"/>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本项目建设于</w:t>
      </w:r>
      <w:r>
        <w:rPr>
          <w:rFonts w:hint="eastAsia" w:ascii="Times New Roman" w:hAnsi="Times New Roman" w:eastAsia="宋体" w:cs="宋体"/>
          <w:kern w:val="2"/>
          <w:sz w:val="24"/>
          <w:szCs w:val="24"/>
          <w:lang w:val="en-US" w:eastAsia="zh-CN" w:bidi="ar-SA"/>
        </w:rPr>
        <w:t>湖南湘阴县金龙新区工业区卓达金谷创业园8栋，属于工业园范围</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其</w:t>
      </w:r>
      <w:r>
        <w:rPr>
          <w:rFonts w:ascii="Times New Roman" w:hAnsi="Times New Roman" w:eastAsia="宋体" w:cs="宋体"/>
          <w:kern w:val="2"/>
          <w:sz w:val="24"/>
          <w:szCs w:val="24"/>
          <w:lang w:val="en-US" w:eastAsia="zh-CN" w:bidi="ar-SA"/>
        </w:rPr>
        <w:t>占地面积较小；项目在建设、运营过程中对生态环境的影响主要局限于厂区范围，对生态环境的影响较小，根据《</w:t>
      </w:r>
      <w:r>
        <w:rPr>
          <w:rFonts w:hint="eastAsia" w:ascii="Times New Roman" w:hAnsi="Times New Roman" w:eastAsia="宋体" w:cs="宋体"/>
          <w:kern w:val="2"/>
          <w:sz w:val="24"/>
          <w:szCs w:val="24"/>
          <w:lang w:val="en-US" w:eastAsia="zh-CN" w:bidi="ar-SA"/>
        </w:rPr>
        <w:t>环境影响评价技术导则 生态环境</w:t>
      </w:r>
      <w:r>
        <w:rPr>
          <w:rFonts w:ascii="Times New Roman" w:hAnsi="Times New Roman" w:eastAsia="宋体" w:cs="宋体"/>
          <w:kern w:val="2"/>
          <w:sz w:val="24"/>
          <w:szCs w:val="24"/>
          <w:lang w:val="en-US" w:eastAsia="zh-CN" w:bidi="ar-SA"/>
        </w:rPr>
        <w:t>》（HJ19-2011）评价工作等级的划分原则，本项目做生态影响定性分析。</w:t>
      </w:r>
    </w:p>
    <w:p>
      <w:pPr>
        <w:pStyle w:val="5"/>
        <w:bidi w:val="0"/>
        <w:rPr>
          <w:lang w:val="en-US" w:eastAsia="zh-CN"/>
        </w:rPr>
      </w:pPr>
      <w:bookmarkStart w:id="478" w:name="_Toc27211"/>
      <w:r>
        <w:rPr>
          <w:lang w:val="en-US" w:eastAsia="zh-CN"/>
        </w:rPr>
        <w:t>环境风险影响评价等级确定</w:t>
      </w:r>
      <w:bookmarkEnd w:id="478"/>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479" w:name="_Toc31436"/>
      <w:bookmarkStart w:id="480" w:name="_Toc22375"/>
      <w:bookmarkStart w:id="481" w:name="_Toc12190"/>
      <w:bookmarkStart w:id="482" w:name="_Toc31636_WPSOffice_Level3"/>
      <w:bookmarkStart w:id="483" w:name="_Toc15277"/>
      <w:bookmarkStart w:id="484" w:name="_Toc14100_WPSOffice_Level3"/>
      <w:bookmarkStart w:id="485" w:name="_Toc29998"/>
      <w:bookmarkStart w:id="486" w:name="_Toc16014"/>
      <w:bookmarkStart w:id="487" w:name="_Toc2606"/>
      <w:bookmarkStart w:id="488" w:name="_Toc5732"/>
      <w:bookmarkStart w:id="489" w:name="_Toc8925"/>
      <w:bookmarkStart w:id="490" w:name="_Toc13736"/>
      <w:bookmarkStart w:id="491" w:name="_Toc8775"/>
      <w:bookmarkStart w:id="492" w:name="_Toc10986"/>
      <w:r>
        <w:rPr>
          <w:rFonts w:ascii="Times New Roman" w:hAnsi="Times New Roman" w:eastAsia="宋体" w:cs="宋体"/>
          <w:kern w:val="2"/>
          <w:sz w:val="24"/>
          <w:szCs w:val="24"/>
          <w:lang w:val="en-US" w:eastAsia="zh-CN" w:bidi="ar-SA"/>
        </w:rPr>
        <w:t>本项目无重大危险源，按《建设项目环境风险评价技术导则》（</w:t>
      </w:r>
      <w:r>
        <w:rPr>
          <w:rFonts w:hint="eastAsia" w:ascii="Times New Roman" w:hAnsi="Times New Roman" w:eastAsia="宋体" w:cs="宋体"/>
          <w:kern w:val="2"/>
          <w:sz w:val="24"/>
          <w:szCs w:val="24"/>
          <w:lang w:val="en-US" w:eastAsia="zh-CN" w:bidi="ar-SA"/>
        </w:rPr>
        <w:t>HJ169</w:t>
      </w:r>
      <w:r>
        <w:rPr>
          <w:rFonts w:ascii="Times New Roman" w:hAnsi="Times New Roman" w:eastAsia="宋体" w:cs="宋体"/>
          <w:kern w:val="2"/>
          <w:sz w:val="24"/>
          <w:szCs w:val="24"/>
          <w:lang w:val="en-US" w:eastAsia="zh-CN" w:bidi="ar-SA"/>
        </w:rPr>
        <w:t>-20</w:t>
      </w:r>
      <w:r>
        <w:rPr>
          <w:rFonts w:hint="eastAsia" w:ascii="Times New Roman" w:hAnsi="Times New Roman" w:eastAsia="宋体" w:cs="宋体"/>
          <w:kern w:val="2"/>
          <w:sz w:val="24"/>
          <w:szCs w:val="24"/>
          <w:lang w:val="en-US" w:eastAsia="zh-CN" w:bidi="ar-SA"/>
        </w:rPr>
        <w:t>18</w:t>
      </w:r>
      <w:r>
        <w:rPr>
          <w:rFonts w:ascii="Times New Roman" w:hAnsi="Times New Roman" w:eastAsia="宋体" w:cs="宋体"/>
          <w:kern w:val="2"/>
          <w:sz w:val="24"/>
          <w:szCs w:val="24"/>
          <w:lang w:val="en-US" w:eastAsia="zh-CN" w:bidi="ar-SA"/>
        </w:rPr>
        <w:t>）中的相关内容确定，本项目风险潜势为</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 2 \* ROMAN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II</w:t>
      </w:r>
      <w:r>
        <w:rPr>
          <w:rFonts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。本项目评价工作等级为</w:t>
      </w:r>
      <w:r>
        <w:rPr>
          <w:rFonts w:hint="eastAsia" w:ascii="Times New Roman" w:hAnsi="Times New Roman" w:eastAsia="宋体" w:cs="宋体"/>
          <w:kern w:val="2"/>
          <w:sz w:val="24"/>
          <w:szCs w:val="24"/>
          <w:lang w:val="en-US" w:eastAsia="zh-CN" w:bidi="ar-SA"/>
        </w:rPr>
        <w:t>三级（风险评价等级划分依据见</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_Ref25135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17</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环境风险</w:t>
      </w:r>
      <w:r>
        <w:rPr>
          <w:rFonts w:ascii="Times New Roman" w:hAnsi="Times New Roman" w:eastAsia="宋体" w:cs="宋体"/>
          <w:kern w:val="2"/>
          <w:sz w:val="24"/>
          <w:szCs w:val="24"/>
          <w:lang w:val="en-US" w:eastAsia="zh-CN" w:bidi="ar-SA"/>
        </w:rPr>
        <w:t>评价范围</w:t>
      </w:r>
      <w:r>
        <w:rPr>
          <w:rFonts w:hint="eastAsia" w:ascii="Times New Roman" w:hAnsi="Times New Roman" w:eastAsia="宋体" w:cs="宋体"/>
          <w:kern w:val="2"/>
          <w:sz w:val="24"/>
          <w:szCs w:val="24"/>
          <w:lang w:val="en-US" w:eastAsia="zh-CN" w:bidi="ar-SA"/>
        </w:rPr>
        <w:t>为项目边界</w:t>
      </w:r>
      <w:r>
        <w:rPr>
          <w:rFonts w:ascii="Times New Roman" w:hAnsi="Times New Roman" w:eastAsia="宋体" w:cs="宋体"/>
          <w:kern w:val="2"/>
          <w:sz w:val="24"/>
          <w:szCs w:val="24"/>
          <w:lang w:val="en-US" w:eastAsia="zh-CN" w:bidi="ar-SA"/>
        </w:rPr>
        <w:t>周围半径3.0km范围环境敏感点、人口集中区等。</w:t>
      </w:r>
    </w:p>
    <w:p>
      <w:pPr>
        <w:widowControl w:val="0"/>
        <w:spacing w:line="360" w:lineRule="auto"/>
        <w:jc w:val="center"/>
        <w:rPr>
          <w:rFonts w:ascii="Times New Roman" w:hAnsi="Times New Roman" w:eastAsia="宋体" w:cs="Times New Roman"/>
          <w:b/>
          <w:kern w:val="2"/>
          <w:sz w:val="21"/>
          <w:szCs w:val="21"/>
          <w:lang w:val="en-US" w:eastAsia="zh-CN" w:bidi="ar-SA"/>
        </w:rPr>
      </w:pPr>
      <w:bookmarkStart w:id="493" w:name="_Ref25135"/>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17</w:t>
      </w:r>
      <w:r>
        <w:rPr>
          <w:rFonts w:ascii="Times New Roman" w:hAnsi="Times New Roman" w:eastAsia="宋体" w:cs="Times New Roman"/>
          <w:b/>
          <w:kern w:val="2"/>
          <w:sz w:val="21"/>
          <w:szCs w:val="21"/>
          <w:lang w:val="en-US" w:eastAsia="zh-CN" w:bidi="ar-SA"/>
        </w:rPr>
        <w:fldChar w:fldCharType="end"/>
      </w:r>
      <w:bookmarkEnd w:id="493"/>
      <w:r>
        <w:rPr>
          <w:rFonts w:hint="eastAsia" w:cs="Times New Roman"/>
          <w:b/>
          <w:kern w:val="2"/>
          <w:sz w:val="21"/>
          <w:szCs w:val="21"/>
          <w:lang w:val="en-US" w:eastAsia="zh-CN" w:bidi="ar-SA"/>
        </w:rPr>
        <w:t xml:space="preserve">                                                                                                            </w:t>
      </w:r>
      <w:r>
        <w:rPr>
          <w:rFonts w:ascii="Times New Roman" w:hAnsi="Times New Roman" w:eastAsia="宋体" w:cs="Times New Roman"/>
          <w:b/>
          <w:kern w:val="2"/>
          <w:sz w:val="21"/>
          <w:szCs w:val="21"/>
          <w:lang w:val="en-US" w:eastAsia="zh-CN" w:bidi="ar-SA"/>
        </w:rPr>
        <w:t>划分</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65"/>
        <w:gridCol w:w="1417"/>
        <w:gridCol w:w="1417"/>
        <w:gridCol w:w="1417"/>
        <w:gridCol w:w="14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5" w:type="dxa"/>
            <w:noWrap w:val="0"/>
            <w:vAlign w:val="center"/>
          </w:tcPr>
          <w:p>
            <w:pPr>
              <w:pStyle w:val="26"/>
              <w:bidi w:val="0"/>
            </w:pPr>
            <w:bookmarkStart w:id="494" w:name="_Toc6924"/>
            <w:bookmarkStart w:id="495" w:name="_Toc12153"/>
            <w:r>
              <w:t>环境风险潜势</w:t>
            </w:r>
          </w:p>
        </w:tc>
        <w:tc>
          <w:tcPr>
            <w:tcW w:w="1417" w:type="dxa"/>
            <w:noWrap w:val="0"/>
            <w:vAlign w:val="center"/>
          </w:tcPr>
          <w:p>
            <w:pPr>
              <w:pStyle w:val="26"/>
              <w:bidi w:val="0"/>
            </w:pPr>
            <w:r>
              <w:fldChar w:fldCharType="begin"/>
            </w:r>
            <w:r>
              <w:instrText xml:space="preserve"> = 4 \* ROMAN </w:instrText>
            </w:r>
            <w:r>
              <w:fldChar w:fldCharType="separate"/>
            </w:r>
            <w:r>
              <w:t>IV</w:t>
            </w:r>
            <w:r>
              <w:fldChar w:fldCharType="end"/>
            </w:r>
            <w:r>
              <w:t>、</w:t>
            </w:r>
            <w:r>
              <w:fldChar w:fldCharType="begin"/>
            </w:r>
            <w:r>
              <w:instrText xml:space="preserve"> = 4 \* ROMAN </w:instrText>
            </w:r>
            <w:r>
              <w:fldChar w:fldCharType="separate"/>
            </w:r>
            <w:r>
              <w:t>IV</w:t>
            </w:r>
            <w:r>
              <w:fldChar w:fldCharType="end"/>
            </w:r>
            <w:r>
              <w:t>+</w:t>
            </w:r>
          </w:p>
        </w:tc>
        <w:tc>
          <w:tcPr>
            <w:tcW w:w="1417" w:type="dxa"/>
            <w:noWrap w:val="0"/>
            <w:vAlign w:val="center"/>
          </w:tcPr>
          <w:p>
            <w:pPr>
              <w:pStyle w:val="26"/>
              <w:bidi w:val="0"/>
            </w:pPr>
            <w:r>
              <w:fldChar w:fldCharType="begin"/>
            </w:r>
            <w:r>
              <w:instrText xml:space="preserve"> = 3 \* ROMAN </w:instrText>
            </w:r>
            <w:r>
              <w:fldChar w:fldCharType="separate"/>
            </w:r>
            <w:r>
              <w:t>III</w:t>
            </w:r>
            <w:r>
              <w:fldChar w:fldCharType="end"/>
            </w:r>
          </w:p>
        </w:tc>
        <w:tc>
          <w:tcPr>
            <w:tcW w:w="1417" w:type="dxa"/>
            <w:noWrap w:val="0"/>
            <w:vAlign w:val="center"/>
          </w:tcPr>
          <w:p>
            <w:pPr>
              <w:pStyle w:val="26"/>
              <w:bidi w:val="0"/>
            </w:pPr>
            <w:r>
              <w:fldChar w:fldCharType="begin"/>
            </w:r>
            <w:r>
              <w:instrText xml:space="preserve"> = 2 \* ROMAN </w:instrText>
            </w:r>
            <w:r>
              <w:fldChar w:fldCharType="separate"/>
            </w:r>
            <w:r>
              <w:t>II</w:t>
            </w:r>
            <w:r>
              <w:fldChar w:fldCharType="end"/>
            </w:r>
          </w:p>
        </w:tc>
        <w:tc>
          <w:tcPr>
            <w:tcW w:w="1417" w:type="dxa"/>
            <w:noWrap w:val="0"/>
            <w:vAlign w:val="center"/>
          </w:tcPr>
          <w:p>
            <w:pPr>
              <w:pStyle w:val="26"/>
              <w:bidi w:val="0"/>
            </w:pPr>
            <w:r>
              <w:fldChar w:fldCharType="begin"/>
            </w:r>
            <w:r>
              <w:instrText xml:space="preserve"> = 1 \* ROMAN </w:instrText>
            </w:r>
            <w:r>
              <w:fldChar w:fldCharType="separate"/>
            </w:r>
            <w:r>
              <w:t>I</w:t>
            </w:r>
            <w: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65" w:type="dxa"/>
            <w:noWrap w:val="0"/>
            <w:vAlign w:val="center"/>
          </w:tcPr>
          <w:p>
            <w:pPr>
              <w:pStyle w:val="26"/>
              <w:bidi w:val="0"/>
            </w:pPr>
            <w:r>
              <w:t>评价工作等级</w:t>
            </w:r>
          </w:p>
        </w:tc>
        <w:tc>
          <w:tcPr>
            <w:tcW w:w="1417" w:type="dxa"/>
            <w:noWrap w:val="0"/>
            <w:vAlign w:val="center"/>
          </w:tcPr>
          <w:p>
            <w:pPr>
              <w:pStyle w:val="26"/>
              <w:bidi w:val="0"/>
            </w:pPr>
            <w:r>
              <w:t>一</w:t>
            </w:r>
          </w:p>
        </w:tc>
        <w:tc>
          <w:tcPr>
            <w:tcW w:w="1417" w:type="dxa"/>
            <w:noWrap w:val="0"/>
            <w:vAlign w:val="center"/>
          </w:tcPr>
          <w:p>
            <w:pPr>
              <w:pStyle w:val="26"/>
              <w:bidi w:val="0"/>
            </w:pPr>
            <w:r>
              <w:t>二</w:t>
            </w:r>
          </w:p>
        </w:tc>
        <w:tc>
          <w:tcPr>
            <w:tcW w:w="1417" w:type="dxa"/>
            <w:noWrap w:val="0"/>
            <w:vAlign w:val="center"/>
          </w:tcPr>
          <w:p>
            <w:pPr>
              <w:pStyle w:val="26"/>
              <w:bidi w:val="0"/>
            </w:pPr>
            <w:r>
              <w:t>三</w:t>
            </w:r>
          </w:p>
        </w:tc>
        <w:tc>
          <w:tcPr>
            <w:tcW w:w="1417" w:type="dxa"/>
            <w:noWrap w:val="0"/>
            <w:vAlign w:val="center"/>
          </w:tcPr>
          <w:p>
            <w:pPr>
              <w:pStyle w:val="26"/>
              <w:bidi w:val="0"/>
            </w:pPr>
            <w:r>
              <w:t>简单分析</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496" w:name="_Toc100"/>
      <w:bookmarkStart w:id="497" w:name="_Toc7196"/>
    </w:p>
    <w:p>
      <w:pPr>
        <w:pStyle w:val="4"/>
        <w:bidi w:val="0"/>
        <w:rPr>
          <w:lang w:val="en-US" w:eastAsia="zh-CN"/>
        </w:rPr>
      </w:pPr>
      <w:bookmarkStart w:id="498" w:name="_Toc19975"/>
      <w:bookmarkStart w:id="499" w:name="_Toc15581"/>
      <w:r>
        <w:rPr>
          <w:lang w:val="en-US" w:eastAsia="zh-CN"/>
        </w:rPr>
        <w:t>评价重点</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4"/>
      <w:bookmarkEnd w:id="495"/>
      <w:bookmarkEnd w:id="496"/>
      <w:bookmarkEnd w:id="497"/>
      <w:bookmarkEnd w:id="498"/>
      <w:bookmarkEnd w:id="499"/>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根据项目特点和周围区域环境特点，本次环评的工作重点是：</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jc w:val="left"/>
        <w:textAlignment w:val="auto"/>
        <w:rPr>
          <w:rFonts w:ascii="Times New Roman" w:hAnsi="Times New Roman" w:eastAsia="宋体" w:cs="宋体"/>
          <w:kern w:val="2"/>
          <w:sz w:val="24"/>
          <w:szCs w:val="24"/>
          <w:lang w:val="en-US" w:eastAsia="zh-CN" w:bidi="ar-SA"/>
        </w:rPr>
      </w:pPr>
      <w:bookmarkStart w:id="500" w:name="_Toc20541_WPSOffice_Level3"/>
      <w:bookmarkStart w:id="501" w:name="_Toc15156_WPSOffice_Level3"/>
      <w:r>
        <w:rPr>
          <w:rFonts w:ascii="Times New Roman" w:hAnsi="Times New Roman" w:eastAsia="宋体" w:cs="宋体"/>
          <w:kern w:val="2"/>
          <w:sz w:val="24"/>
          <w:szCs w:val="24"/>
          <w:lang w:val="en-US" w:eastAsia="zh-CN" w:bidi="ar-SA"/>
        </w:rPr>
        <w:t>根据工程分析，分析本工程</w:t>
      </w:r>
      <w:r>
        <w:rPr>
          <w:rFonts w:hint="eastAsia" w:ascii="Times New Roman" w:hAnsi="Times New Roman" w:eastAsia="宋体" w:cs="宋体"/>
          <w:kern w:val="2"/>
          <w:sz w:val="24"/>
          <w:szCs w:val="24"/>
          <w:lang w:val="en-US" w:eastAsia="zh-CN" w:bidi="ar-SA"/>
        </w:rPr>
        <w:t>处理</w:t>
      </w:r>
      <w:r>
        <w:rPr>
          <w:rFonts w:ascii="Times New Roman" w:hAnsi="Times New Roman" w:eastAsia="宋体" w:cs="宋体"/>
          <w:kern w:val="2"/>
          <w:sz w:val="24"/>
          <w:szCs w:val="24"/>
          <w:lang w:val="en-US" w:eastAsia="zh-CN" w:bidi="ar-SA"/>
        </w:rPr>
        <w:t>工艺和排污特征；</w:t>
      </w:r>
      <w:bookmarkEnd w:id="500"/>
      <w:bookmarkEnd w:id="501"/>
    </w:p>
    <w:p>
      <w:pPr>
        <w:keepNext w:val="0"/>
        <w:keepLines w:val="0"/>
        <w:pageBreakBefore w:val="0"/>
        <w:widowControl w:val="0"/>
        <w:numPr>
          <w:ilvl w:val="0"/>
          <w:numId w:val="10"/>
        </w:numPr>
        <w:kinsoku/>
        <w:wordWrap/>
        <w:overflowPunct/>
        <w:topLinePunct w:val="0"/>
        <w:autoSpaceDE/>
        <w:autoSpaceDN/>
        <w:bidi w:val="0"/>
        <w:adjustRightInd/>
        <w:snapToGrid/>
        <w:ind w:left="0" w:firstLine="480" w:firstLineChars="200"/>
        <w:textAlignment w:val="auto"/>
      </w:pPr>
      <w:bookmarkStart w:id="502" w:name="_Toc4296_WPSOffice_Level3"/>
      <w:bookmarkStart w:id="503" w:name="_Toc22383_WPSOffice_Level3"/>
      <w:r>
        <w:t>对工程拟采取的污染防治措施进行可行性论证</w:t>
      </w:r>
      <w:bookmarkEnd w:id="502"/>
      <w:bookmarkEnd w:id="503"/>
      <w:r>
        <w:t>（尤其是废气治理措施）；</w:t>
      </w:r>
    </w:p>
    <w:p>
      <w:pPr>
        <w:keepNext w:val="0"/>
        <w:keepLines w:val="0"/>
        <w:pageBreakBefore w:val="0"/>
        <w:widowControl w:val="0"/>
        <w:numPr>
          <w:ilvl w:val="0"/>
          <w:numId w:val="10"/>
        </w:numPr>
        <w:kinsoku/>
        <w:wordWrap/>
        <w:overflowPunct/>
        <w:topLinePunct w:val="0"/>
        <w:autoSpaceDE/>
        <w:autoSpaceDN/>
        <w:bidi w:val="0"/>
        <w:adjustRightInd/>
        <w:snapToGrid/>
        <w:ind w:left="0" w:firstLine="480" w:firstLineChars="200"/>
        <w:textAlignment w:val="auto"/>
      </w:pPr>
      <w:bookmarkStart w:id="504" w:name="_Toc19552_WPSOffice_Level3"/>
      <w:bookmarkStart w:id="505" w:name="_Toc2496_WPSOffice_Level3"/>
      <w:r>
        <w:t>根据环境质量监测判断预测项目建设对区域环境质量的影响；</w:t>
      </w:r>
      <w:bookmarkEnd w:id="504"/>
      <w:bookmarkEnd w:id="505"/>
    </w:p>
    <w:p>
      <w:pPr>
        <w:keepNext w:val="0"/>
        <w:keepLines w:val="0"/>
        <w:pageBreakBefore w:val="0"/>
        <w:widowControl w:val="0"/>
        <w:numPr>
          <w:ilvl w:val="0"/>
          <w:numId w:val="10"/>
        </w:numPr>
        <w:kinsoku/>
        <w:wordWrap/>
        <w:overflowPunct/>
        <w:topLinePunct w:val="0"/>
        <w:autoSpaceDE/>
        <w:autoSpaceDN/>
        <w:bidi w:val="0"/>
        <w:adjustRightInd/>
        <w:snapToGrid/>
        <w:ind w:left="0" w:firstLine="480" w:firstLineChars="200"/>
        <w:textAlignment w:val="auto"/>
      </w:pPr>
      <w:bookmarkStart w:id="506" w:name="_Toc4865_WPSOffice_Level3"/>
      <w:bookmarkStart w:id="507" w:name="_Toc16343_WPSOffice_Level3"/>
      <w:r>
        <w:t>做好环境风险评价，分析项目事故风险因素。</w:t>
      </w:r>
      <w:bookmarkEnd w:id="506"/>
      <w:bookmarkEnd w:id="507"/>
    </w:p>
    <w:p>
      <w:pPr>
        <w:pStyle w:val="2"/>
        <w:bidi w:val="0"/>
        <w:rPr>
          <w:lang w:val="en-US" w:eastAsia="zh-CN"/>
        </w:rPr>
      </w:pPr>
      <w:bookmarkStart w:id="508" w:name="_Toc372124932"/>
      <w:bookmarkStart w:id="509" w:name="_Toc336615588"/>
      <w:bookmarkStart w:id="510" w:name="_Toc353549401"/>
      <w:bookmarkStart w:id="511" w:name="_Toc331351315"/>
      <w:bookmarkStart w:id="512" w:name="_Toc20892"/>
      <w:bookmarkStart w:id="513" w:name="_Toc20551_WPSOffice_Level2"/>
      <w:bookmarkStart w:id="514" w:name="_Toc8373_WPSOffice_Level2"/>
      <w:bookmarkStart w:id="515" w:name="_Toc10605_WPSOffice_Level2"/>
      <w:bookmarkStart w:id="516" w:name="_Toc24604"/>
      <w:bookmarkStart w:id="517" w:name="_Toc28408_WPSOffice_Level2"/>
      <w:bookmarkStart w:id="518" w:name="_Toc17614"/>
      <w:bookmarkStart w:id="519" w:name="_Toc11826"/>
      <w:bookmarkStart w:id="520" w:name="_Toc27777"/>
      <w:bookmarkStart w:id="521" w:name="_Toc1901"/>
      <w:bookmarkStart w:id="522" w:name="_Toc19537_WPSOffice_Level2"/>
      <w:bookmarkStart w:id="523" w:name="_Toc8452_WPSOffice_Level2"/>
      <w:bookmarkStart w:id="524" w:name="_Toc28994_WPSOffice_Level2"/>
      <w:bookmarkStart w:id="525" w:name="_Toc21749"/>
      <w:r>
        <w:rPr>
          <w:lang w:val="en-US" w:eastAsia="zh-CN"/>
        </w:rPr>
        <w:t>评价范围及环境敏感</w:t>
      </w:r>
      <w:bookmarkEnd w:id="508"/>
      <w:bookmarkEnd w:id="509"/>
      <w:bookmarkEnd w:id="510"/>
      <w:bookmarkEnd w:id="511"/>
      <w:r>
        <w:rPr>
          <w:lang w:val="en-US" w:eastAsia="zh-CN"/>
        </w:rPr>
        <w:t>目标</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pPr>
        <w:pStyle w:val="4"/>
        <w:bidi w:val="0"/>
        <w:rPr>
          <w:lang w:val="en-US" w:eastAsia="zh-CN"/>
        </w:rPr>
      </w:pPr>
      <w:bookmarkStart w:id="526" w:name="_Toc31814"/>
      <w:bookmarkStart w:id="527" w:name="_Toc29639"/>
      <w:bookmarkStart w:id="528" w:name="_Toc11454"/>
      <w:bookmarkStart w:id="529" w:name="_Toc28261"/>
      <w:bookmarkStart w:id="530" w:name="_Toc15585"/>
      <w:bookmarkStart w:id="531" w:name="_Toc12106"/>
      <w:bookmarkStart w:id="532" w:name="_Toc14164_WPSOffice_Level3"/>
      <w:bookmarkStart w:id="533" w:name="_Toc12397"/>
      <w:bookmarkStart w:id="534" w:name="_Toc5870"/>
      <w:bookmarkStart w:id="535" w:name="_Toc31381"/>
      <w:bookmarkStart w:id="536" w:name="_Toc29557_WPSOffice_Level3"/>
      <w:bookmarkStart w:id="537" w:name="_Toc24467"/>
      <w:bookmarkStart w:id="538" w:name="_Toc5647"/>
      <w:bookmarkStart w:id="539" w:name="_Toc3511"/>
      <w:bookmarkStart w:id="540" w:name="_Toc22387"/>
      <w:bookmarkStart w:id="541" w:name="_Toc428"/>
      <w:bookmarkStart w:id="542" w:name="_Toc15321"/>
      <w:bookmarkStart w:id="543" w:name="_Toc14129"/>
      <w:bookmarkStart w:id="544" w:name="_Toc15828"/>
      <w:bookmarkStart w:id="545" w:name="_Toc9537"/>
      <w:r>
        <w:rPr>
          <w:lang w:val="en-US" w:eastAsia="zh-CN"/>
        </w:rPr>
        <w:t>评价范围</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根据项目环境影响评价工作等级，评价范围见</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_Ref25919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18</w:t>
      </w:r>
      <w:r>
        <w:rPr>
          <w:rFonts w:hint="default"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kern w:val="2"/>
          <w:sz w:val="21"/>
          <w:szCs w:val="21"/>
          <w:lang w:val="en-US" w:eastAsia="zh-CN" w:bidi="ar-SA"/>
        </w:rPr>
      </w:pPr>
      <w:bookmarkStart w:id="546" w:name="_Ref25919"/>
      <w:bookmarkStart w:id="547" w:name="_Ref25906"/>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18</w:t>
      </w:r>
      <w:r>
        <w:rPr>
          <w:rFonts w:ascii="Times New Roman" w:hAnsi="Times New Roman" w:eastAsia="宋体" w:cs="Times New Roman"/>
          <w:b/>
          <w:kern w:val="2"/>
          <w:sz w:val="21"/>
          <w:szCs w:val="21"/>
          <w:lang w:val="en-US" w:eastAsia="zh-CN" w:bidi="ar-SA"/>
        </w:rPr>
        <w:fldChar w:fldCharType="end"/>
      </w:r>
      <w:bookmarkEnd w:id="546"/>
      <w:r>
        <w:rPr>
          <w:rFonts w:ascii="Times New Roman" w:hAnsi="Times New Roman" w:eastAsia="宋体" w:cs="Times New Roman"/>
          <w:b/>
          <w:kern w:val="2"/>
          <w:sz w:val="21"/>
          <w:szCs w:val="21"/>
          <w:lang w:val="en-US" w:eastAsia="zh-CN" w:bidi="ar-SA"/>
        </w:rPr>
        <w:t>项目评价范围一览表</w:t>
      </w:r>
      <w:bookmarkEnd w:id="547"/>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66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857" w:type="dxa"/>
            <w:tcBorders>
              <w:top w:val="single" w:color="auto" w:sz="12" w:space="0"/>
              <w:left w:val="single" w:color="auto" w:sz="12" w:space="0"/>
              <w:bottom w:val="single" w:color="auto" w:sz="4" w:space="0"/>
              <w:right w:val="single" w:color="auto" w:sz="4" w:space="0"/>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环境因素</w:t>
            </w:r>
          </w:p>
        </w:tc>
        <w:tc>
          <w:tcPr>
            <w:tcW w:w="6647" w:type="dxa"/>
            <w:tcBorders>
              <w:top w:val="single" w:color="auto" w:sz="12" w:space="0"/>
              <w:left w:val="single" w:color="auto" w:sz="4" w:space="0"/>
              <w:bottom w:val="single" w:color="auto" w:sz="4" w:space="0"/>
              <w:right w:val="single" w:color="auto" w:sz="12" w:space="0"/>
            </w:tcBorders>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评  价  范  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12" w:space="0"/>
              <w:bottom w:val="single" w:color="auto" w:sz="4" w:space="0"/>
              <w:right w:val="single" w:color="auto" w:sz="4" w:space="0"/>
            </w:tcBorders>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地表水环境</w:t>
            </w:r>
          </w:p>
        </w:tc>
        <w:tc>
          <w:tcPr>
            <w:tcW w:w="6647" w:type="dxa"/>
            <w:tcBorders>
              <w:top w:val="single" w:color="auto" w:sz="4" w:space="0"/>
              <w:left w:val="single" w:color="auto" w:sz="4" w:space="0"/>
              <w:bottom w:val="single" w:color="auto" w:sz="4" w:space="0"/>
              <w:right w:val="single" w:color="auto" w:sz="12" w:space="0"/>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12" w:space="0"/>
              <w:bottom w:val="single" w:color="auto" w:sz="4" w:space="0"/>
              <w:right w:val="single" w:color="auto" w:sz="4" w:space="0"/>
            </w:tcBorders>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地下水环境</w:t>
            </w:r>
          </w:p>
        </w:tc>
        <w:tc>
          <w:tcPr>
            <w:tcW w:w="6647" w:type="dxa"/>
            <w:tcBorders>
              <w:top w:val="single" w:color="auto" w:sz="4" w:space="0"/>
              <w:left w:val="single" w:color="auto" w:sz="4" w:space="0"/>
              <w:bottom w:val="single" w:color="auto" w:sz="4" w:space="0"/>
              <w:right w:val="single" w:color="auto" w:sz="12" w:space="0"/>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项目厂址区域地下水流向上游</w:t>
            </w:r>
            <w:r>
              <w:rPr>
                <w:rFonts w:hint="eastAsia" w:ascii="Times New Roman" w:hAnsi="Times New Roman" w:eastAsia="宋体" w:cs="Times New Roman"/>
                <w:kern w:val="2"/>
                <w:sz w:val="24"/>
                <w:szCs w:val="24"/>
                <w:highlight w:val="none"/>
                <w:lang w:val="en-US" w:eastAsia="zh-CN" w:bidi="ar-SA"/>
              </w:rPr>
              <w:t>1</w:t>
            </w:r>
            <w:r>
              <w:rPr>
                <w:rFonts w:ascii="Times New Roman" w:hAnsi="Times New Roman" w:eastAsia="宋体" w:cs="Times New Roman"/>
                <w:kern w:val="2"/>
                <w:sz w:val="24"/>
                <w:szCs w:val="24"/>
                <w:highlight w:val="none"/>
                <w:lang w:val="en-US" w:eastAsia="zh-CN" w:bidi="ar-SA"/>
              </w:rPr>
              <w:t>km至下游约</w:t>
            </w:r>
            <w:r>
              <w:rPr>
                <w:rFonts w:hint="eastAsia" w:ascii="Times New Roman" w:hAnsi="Times New Roman" w:eastAsia="宋体" w:cs="Times New Roman"/>
                <w:kern w:val="2"/>
                <w:sz w:val="24"/>
                <w:szCs w:val="24"/>
                <w:highlight w:val="none"/>
                <w:lang w:val="en-US" w:eastAsia="zh-CN" w:bidi="ar-SA"/>
              </w:rPr>
              <w:t>2</w:t>
            </w:r>
            <w:r>
              <w:rPr>
                <w:rFonts w:ascii="Times New Roman" w:hAnsi="Times New Roman" w:eastAsia="宋体" w:cs="Times New Roman"/>
                <w:kern w:val="2"/>
                <w:sz w:val="24"/>
                <w:szCs w:val="24"/>
                <w:highlight w:val="none"/>
                <w:lang w:val="en-US" w:eastAsia="zh-CN" w:bidi="ar-SA"/>
              </w:rPr>
              <w:t>km</w:t>
            </w:r>
            <w:r>
              <w:rPr>
                <w:rFonts w:hint="eastAsia" w:ascii="Times New Roman" w:hAnsi="Times New Roman" w:eastAsia="宋体" w:cs="Times New Roman"/>
                <w:kern w:val="2"/>
                <w:sz w:val="24"/>
                <w:szCs w:val="24"/>
                <w:highlight w:val="none"/>
                <w:lang w:val="en-US" w:eastAsia="zh-CN" w:bidi="ar-SA"/>
              </w:rPr>
              <w:t>，宽2km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12" w:space="0"/>
              <w:bottom w:val="single" w:color="auto" w:sz="4" w:space="0"/>
              <w:right w:val="single" w:color="auto" w:sz="4" w:space="0"/>
            </w:tcBorders>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环境空气</w:t>
            </w:r>
          </w:p>
        </w:tc>
        <w:tc>
          <w:tcPr>
            <w:tcW w:w="6647" w:type="dxa"/>
            <w:tcBorders>
              <w:top w:val="single" w:color="auto" w:sz="4" w:space="0"/>
              <w:left w:val="single" w:color="auto" w:sz="4" w:space="0"/>
              <w:bottom w:val="single" w:color="auto" w:sz="4" w:space="0"/>
              <w:right w:val="single" w:color="auto" w:sz="12" w:space="0"/>
            </w:tcBorders>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以</w:t>
            </w:r>
            <w:r>
              <w:rPr>
                <w:rFonts w:ascii="Times New Roman" w:hAnsi="Times New Roman" w:eastAsia="宋体" w:cs="Times New Roman"/>
                <w:kern w:val="2"/>
                <w:sz w:val="24"/>
                <w:szCs w:val="24"/>
                <w:highlight w:val="none"/>
                <w:lang w:val="en-US" w:eastAsia="zh-CN" w:bidi="ar-SA"/>
              </w:rPr>
              <w:t>项目为中心，</w:t>
            </w:r>
            <w:r>
              <w:rPr>
                <w:rFonts w:hint="eastAsia" w:ascii="Times New Roman" w:hAnsi="Times New Roman" w:eastAsia="宋体" w:cs="Times New Roman"/>
                <w:kern w:val="2"/>
                <w:sz w:val="24"/>
                <w:szCs w:val="24"/>
                <w:highlight w:val="none"/>
                <w:lang w:val="en-US" w:eastAsia="zh-CN" w:bidi="ar-SA"/>
              </w:rPr>
              <w:t>5</w:t>
            </w:r>
            <w:r>
              <w:rPr>
                <w:rFonts w:ascii="Times New Roman" w:hAnsi="Times New Roman" w:eastAsia="宋体" w:cs="Times New Roman"/>
                <w:kern w:val="2"/>
                <w:sz w:val="24"/>
                <w:szCs w:val="24"/>
                <w:highlight w:val="none"/>
                <w:lang w:val="en-US" w:eastAsia="zh-CN" w:bidi="ar-SA"/>
              </w:rPr>
              <w:t>km为</w:t>
            </w:r>
            <w:r>
              <w:rPr>
                <w:rFonts w:hint="eastAsia" w:ascii="Times New Roman" w:hAnsi="Times New Roman" w:eastAsia="宋体" w:cs="Times New Roman"/>
                <w:kern w:val="2"/>
                <w:sz w:val="24"/>
                <w:szCs w:val="24"/>
                <w:highlight w:val="none"/>
                <w:lang w:val="en-US" w:eastAsia="zh-CN" w:bidi="ar-SA"/>
              </w:rPr>
              <w:t>边长</w:t>
            </w:r>
            <w:r>
              <w:rPr>
                <w:rFonts w:ascii="Times New Roman" w:hAnsi="Times New Roman" w:eastAsia="宋体" w:cs="Times New Roman"/>
                <w:kern w:val="2"/>
                <w:sz w:val="24"/>
                <w:szCs w:val="24"/>
                <w:highlight w:val="none"/>
                <w:lang w:val="en-US" w:eastAsia="zh-CN" w:bidi="ar-SA"/>
              </w:rPr>
              <w:t>的</w:t>
            </w:r>
            <w:r>
              <w:rPr>
                <w:rFonts w:hint="eastAsia" w:ascii="Times New Roman" w:hAnsi="Times New Roman" w:eastAsia="宋体" w:cs="Times New Roman"/>
                <w:kern w:val="2"/>
                <w:sz w:val="24"/>
                <w:szCs w:val="24"/>
                <w:highlight w:val="none"/>
                <w:lang w:val="en-US" w:eastAsia="zh-CN" w:bidi="ar-SA"/>
              </w:rPr>
              <w:t>矩形</w:t>
            </w:r>
            <w:r>
              <w:rPr>
                <w:rFonts w:ascii="Times New Roman" w:hAnsi="Times New Roman" w:eastAsia="宋体" w:cs="Times New Roman"/>
                <w:kern w:val="2"/>
                <w:sz w:val="24"/>
                <w:szCs w:val="24"/>
                <w:highlight w:val="none"/>
                <w:lang w:val="en-US" w:eastAsia="zh-CN" w:bidi="ar-SA"/>
              </w:rPr>
              <w:t>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12" w:space="0"/>
              <w:bottom w:val="single" w:color="auto" w:sz="4" w:space="0"/>
              <w:right w:val="single" w:color="auto" w:sz="4" w:space="0"/>
            </w:tcBorders>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噪声</w:t>
            </w:r>
          </w:p>
        </w:tc>
        <w:tc>
          <w:tcPr>
            <w:tcW w:w="6647" w:type="dxa"/>
            <w:tcBorders>
              <w:top w:val="single" w:color="auto" w:sz="4" w:space="0"/>
              <w:left w:val="single" w:color="auto" w:sz="4" w:space="0"/>
              <w:bottom w:val="single" w:color="auto" w:sz="4" w:space="0"/>
              <w:right w:val="single" w:color="auto" w:sz="12" w:space="0"/>
            </w:tcBorders>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拟建工程厂界及外围200m内敏感点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12" w:space="0"/>
              <w:bottom w:val="single" w:color="auto" w:sz="4" w:space="0"/>
              <w:right w:val="single" w:color="auto" w:sz="4" w:space="0"/>
            </w:tcBorders>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土壤</w:t>
            </w:r>
          </w:p>
        </w:tc>
        <w:tc>
          <w:tcPr>
            <w:tcW w:w="6647" w:type="dxa"/>
            <w:tcBorders>
              <w:top w:val="single" w:color="auto" w:sz="4" w:space="0"/>
              <w:left w:val="single" w:color="auto" w:sz="4" w:space="0"/>
              <w:bottom w:val="single" w:color="auto" w:sz="4" w:space="0"/>
              <w:right w:val="single" w:color="auto" w:sz="12" w:space="0"/>
            </w:tcBorders>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可不开展土壤环境影响评价工作。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12" w:space="0"/>
              <w:bottom w:val="single" w:color="auto" w:sz="4" w:space="0"/>
              <w:right w:val="single" w:color="auto" w:sz="4" w:space="0"/>
            </w:tcBorders>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生态环境</w:t>
            </w:r>
          </w:p>
        </w:tc>
        <w:tc>
          <w:tcPr>
            <w:tcW w:w="6647" w:type="dxa"/>
            <w:tcBorders>
              <w:top w:val="single" w:color="auto" w:sz="4" w:space="0"/>
              <w:left w:val="single" w:color="auto" w:sz="4" w:space="0"/>
              <w:bottom w:val="single" w:color="auto" w:sz="4" w:space="0"/>
              <w:right w:val="single" w:color="auto" w:sz="12" w:space="0"/>
            </w:tcBorders>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本项目厂界范围以内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12" w:space="0"/>
              <w:bottom w:val="single" w:color="auto" w:sz="12" w:space="0"/>
              <w:right w:val="single" w:color="auto" w:sz="4" w:space="0"/>
            </w:tcBorders>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环境风险</w:t>
            </w:r>
          </w:p>
        </w:tc>
        <w:tc>
          <w:tcPr>
            <w:tcW w:w="6647" w:type="dxa"/>
            <w:tcBorders>
              <w:top w:val="single" w:color="auto" w:sz="4" w:space="0"/>
              <w:left w:val="single" w:color="auto" w:sz="4" w:space="0"/>
              <w:bottom w:val="single" w:color="auto" w:sz="12" w:space="0"/>
              <w:right w:val="single" w:color="auto" w:sz="12" w:space="0"/>
            </w:tcBorders>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距离</w:t>
            </w:r>
            <w:r>
              <w:rPr>
                <w:rFonts w:ascii="Times New Roman" w:hAnsi="Times New Roman" w:eastAsia="宋体" w:cs="Times New Roman"/>
                <w:kern w:val="2"/>
                <w:sz w:val="24"/>
                <w:szCs w:val="24"/>
                <w:highlight w:val="none"/>
                <w:lang w:val="en-US" w:eastAsia="zh-CN" w:bidi="ar-SA"/>
              </w:rPr>
              <w:t>本项目</w:t>
            </w:r>
            <w:r>
              <w:rPr>
                <w:rFonts w:hint="eastAsia" w:ascii="Times New Roman" w:hAnsi="Times New Roman" w:eastAsia="宋体" w:cs="Times New Roman"/>
                <w:kern w:val="2"/>
                <w:sz w:val="24"/>
                <w:szCs w:val="24"/>
                <w:highlight w:val="none"/>
                <w:lang w:val="en-US" w:eastAsia="zh-CN" w:bidi="ar-SA"/>
              </w:rPr>
              <w:t>边界</w:t>
            </w:r>
            <w:r>
              <w:rPr>
                <w:rFonts w:ascii="Times New Roman" w:hAnsi="Times New Roman" w:eastAsia="宋体" w:cs="Times New Roman"/>
                <w:kern w:val="2"/>
                <w:sz w:val="24"/>
                <w:szCs w:val="24"/>
                <w:highlight w:val="none"/>
                <w:lang w:val="en-US" w:eastAsia="zh-CN" w:bidi="ar-SA"/>
              </w:rPr>
              <w:t>3km范围内的区域</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548" w:name="_Toc23839"/>
      <w:bookmarkStart w:id="549" w:name="_Toc15186"/>
      <w:bookmarkStart w:id="550" w:name="_Toc12871"/>
      <w:bookmarkStart w:id="551" w:name="_Toc2046"/>
      <w:bookmarkStart w:id="552" w:name="_Toc27592"/>
      <w:bookmarkStart w:id="553" w:name="_Toc4196"/>
      <w:bookmarkStart w:id="554" w:name="_Toc24616_WPSOffice_Level3"/>
      <w:bookmarkStart w:id="555" w:name="_Toc8963"/>
      <w:bookmarkStart w:id="556" w:name="_Toc28937"/>
      <w:bookmarkStart w:id="557" w:name="_Toc1956"/>
      <w:bookmarkStart w:id="558" w:name="_Toc16169_WPSOffice_Level3"/>
      <w:bookmarkStart w:id="559" w:name="_Toc28930"/>
      <w:bookmarkStart w:id="560" w:name="_Toc9880"/>
      <w:bookmarkStart w:id="561" w:name="_Toc22430"/>
      <w:bookmarkStart w:id="562" w:name="_Toc26954"/>
      <w:bookmarkStart w:id="563" w:name="_Toc14113"/>
      <w:bookmarkStart w:id="564" w:name="_Toc15512"/>
      <w:bookmarkStart w:id="565" w:name="_Toc10661"/>
    </w:p>
    <w:p>
      <w:pPr>
        <w:pStyle w:val="4"/>
        <w:bidi w:val="0"/>
        <w:rPr>
          <w:lang w:val="en-US" w:eastAsia="zh-CN"/>
        </w:rPr>
      </w:pPr>
      <w:bookmarkStart w:id="566" w:name="_Toc3109"/>
      <w:bookmarkStart w:id="567" w:name="_Toc3168"/>
      <w:r>
        <w:rPr>
          <w:lang w:val="en-US" w:eastAsia="zh-CN"/>
        </w:rPr>
        <w:t>环境敏感目标</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pPr>
        <w:widowControl w:val="0"/>
        <w:bidi w:val="0"/>
        <w:spacing w:line="360" w:lineRule="auto"/>
        <w:ind w:firstLine="480" w:firstLineChars="200"/>
        <w:jc w:val="left"/>
        <w:rPr>
          <w:rFonts w:hint="eastAsia" w:ascii="Times New Roman" w:hAnsi="Times New Roman" w:eastAsia="宋体" w:cs="宋体"/>
          <w:kern w:val="2"/>
          <w:sz w:val="24"/>
          <w:szCs w:val="24"/>
          <w:highlight w:val="cyan"/>
          <w:lang w:val="en-US" w:eastAsia="zh-CN" w:bidi="ar-SA"/>
        </w:rPr>
      </w:pPr>
      <w:r>
        <w:rPr>
          <w:rFonts w:ascii="Times New Roman" w:hAnsi="Times New Roman" w:eastAsia="宋体" w:cs="宋体"/>
          <w:kern w:val="2"/>
          <w:sz w:val="24"/>
          <w:szCs w:val="24"/>
          <w:lang w:val="en-US" w:eastAsia="zh-CN" w:bidi="ar-SA"/>
        </w:rPr>
        <w:t>根据现场勘查，项目评价范围内的主要环境敏感保护目标有：人口集中的居民区、村庄、河流等，具体见</w:t>
      </w:r>
      <w:r>
        <w:rPr>
          <w:rFonts w:ascii="Times New Roman" w:hAnsi="Times New Roman" w:eastAsia="宋体" w:cs="宋体"/>
          <w:kern w:val="2"/>
          <w:sz w:val="24"/>
          <w:szCs w:val="24"/>
          <w:highlight w:val="cyan"/>
          <w:lang w:val="en-US" w:eastAsia="zh-CN" w:bidi="ar-SA"/>
        </w:rPr>
        <w:fldChar w:fldCharType="begin"/>
      </w:r>
      <w:r>
        <w:rPr>
          <w:rFonts w:ascii="Times New Roman" w:hAnsi="Times New Roman" w:eastAsia="宋体" w:cs="宋体"/>
          <w:kern w:val="2"/>
          <w:sz w:val="24"/>
          <w:szCs w:val="24"/>
          <w:highlight w:val="cyan"/>
          <w:lang w:val="en-US" w:eastAsia="zh-CN" w:bidi="ar-SA"/>
        </w:rPr>
        <w:instrText xml:space="preserve"> REF _Ref27065 \h </w:instrText>
      </w:r>
      <w:r>
        <w:rPr>
          <w:rFonts w:ascii="Times New Roman" w:hAnsi="Times New Roman" w:eastAsia="宋体" w:cs="宋体"/>
          <w:kern w:val="2"/>
          <w:sz w:val="24"/>
          <w:szCs w:val="24"/>
          <w:highlight w:val="cyan"/>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19</w:t>
      </w:r>
      <w:r>
        <w:rPr>
          <w:rFonts w:ascii="Times New Roman" w:hAnsi="Times New Roman" w:eastAsia="宋体" w:cs="宋体"/>
          <w:kern w:val="2"/>
          <w:sz w:val="24"/>
          <w:szCs w:val="24"/>
          <w:highlight w:val="cyan"/>
          <w:lang w:val="en-US" w:eastAsia="zh-CN" w:bidi="ar-SA"/>
        </w:rPr>
        <w:fldChar w:fldCharType="end"/>
      </w:r>
      <w:r>
        <w:rPr>
          <w:rFonts w:hint="eastAsia" w:ascii="Times New Roman" w:hAnsi="Times New Roman" w:eastAsia="宋体" w:cs="宋体"/>
          <w:kern w:val="2"/>
          <w:sz w:val="24"/>
          <w:szCs w:val="24"/>
          <w:lang w:val="en-US" w:eastAsia="zh-CN" w:bidi="ar-SA"/>
        </w:rPr>
        <w:t>和</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_Ref27153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20</w:t>
      </w:r>
      <w:r>
        <w:rPr>
          <w:rFonts w:hint="eastAsia"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项目环境敏感点分布详情见</w:t>
      </w:r>
      <w:r>
        <w:rPr>
          <w:rFonts w:hint="eastAsia" w:ascii="Times New Roman" w:hAnsi="Times New Roman" w:eastAsia="宋体" w:cs="宋体"/>
          <w:kern w:val="2"/>
          <w:sz w:val="24"/>
          <w:szCs w:val="24"/>
          <w:highlight w:val="none"/>
          <w:lang w:val="en-US" w:eastAsia="zh-CN" w:bidi="ar-SA"/>
        </w:rPr>
        <w:t>附图6</w:t>
      </w:r>
      <w:r>
        <w:rPr>
          <w:rFonts w:hint="eastAsia"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kern w:val="2"/>
          <w:sz w:val="21"/>
          <w:szCs w:val="21"/>
          <w:lang w:val="en-US" w:eastAsia="zh-CN" w:bidi="ar-SA"/>
        </w:rPr>
        <w:sectPr>
          <w:pgSz w:w="11906" w:h="16838"/>
          <w:pgMar w:top="1587" w:right="1361" w:bottom="1474" w:left="1474" w:header="851" w:footer="992" w:gutter="0"/>
          <w:pgBorders>
            <w:top w:val="none" w:sz="0" w:space="0"/>
            <w:left w:val="none" w:sz="0" w:space="0"/>
            <w:bottom w:val="none" w:sz="0" w:space="0"/>
            <w:right w:val="none" w:sz="0" w:space="0"/>
          </w:pgBorders>
          <w:pgNumType w:fmt="decimal"/>
          <w:cols w:space="0" w:num="1"/>
          <w:rtlGutter w:val="0"/>
          <w:docGrid w:linePitch="312" w:charSpace="0"/>
        </w:sectPr>
      </w:pPr>
      <w:bookmarkStart w:id="568" w:name="_Ref27065"/>
    </w:p>
    <w:p>
      <w:pPr>
        <w:widowControl w:val="0"/>
        <w:spacing w:line="360" w:lineRule="auto"/>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19</w:t>
      </w:r>
      <w:r>
        <w:rPr>
          <w:rFonts w:ascii="Times New Roman" w:hAnsi="Times New Roman" w:eastAsia="宋体" w:cs="Times New Roman"/>
          <w:b/>
          <w:kern w:val="2"/>
          <w:sz w:val="21"/>
          <w:szCs w:val="21"/>
          <w:lang w:val="en-US" w:eastAsia="zh-CN" w:bidi="ar-SA"/>
        </w:rPr>
        <w:fldChar w:fldCharType="end"/>
      </w:r>
      <w:bookmarkEnd w:id="568"/>
      <w:r>
        <w:rPr>
          <w:rFonts w:hint="eastAsia" w:ascii="Times New Roman" w:hAnsi="Times New Roman" w:eastAsia="宋体" w:cs="Times New Roman"/>
          <w:b/>
          <w:kern w:val="2"/>
          <w:sz w:val="21"/>
          <w:szCs w:val="21"/>
          <w:lang w:val="en-US" w:eastAsia="zh-CN" w:bidi="ar-SA"/>
        </w:rPr>
        <w:t>项目环境空气保护目标</w:t>
      </w:r>
    </w:p>
    <w:tbl>
      <w:tblPr>
        <w:tblStyle w:val="22"/>
        <w:tblW w:w="94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1323"/>
        <w:gridCol w:w="1320"/>
        <w:gridCol w:w="840"/>
        <w:gridCol w:w="1305"/>
        <w:gridCol w:w="1590"/>
        <w:gridCol w:w="855"/>
        <w:gridCol w:w="9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5" w:type="dxa"/>
            <w:vMerge w:val="restart"/>
            <w:noWrap w:val="0"/>
            <w:vAlign w:val="center"/>
          </w:tcPr>
          <w:p>
            <w:pPr>
              <w:pStyle w:val="26"/>
              <w:bidi w:val="0"/>
              <w:rPr>
                <w:rFonts w:hint="eastAsia"/>
                <w:lang w:val="en-US" w:eastAsia="zh-CN"/>
              </w:rPr>
            </w:pPr>
            <w:r>
              <w:rPr>
                <w:rFonts w:hint="eastAsia"/>
                <w:lang w:val="en-US" w:eastAsia="zh-CN"/>
              </w:rPr>
              <w:t>名称</w:t>
            </w:r>
          </w:p>
        </w:tc>
        <w:tc>
          <w:tcPr>
            <w:tcW w:w="2643" w:type="dxa"/>
            <w:gridSpan w:val="2"/>
            <w:noWrap w:val="0"/>
            <w:vAlign w:val="center"/>
          </w:tcPr>
          <w:p>
            <w:pPr>
              <w:pStyle w:val="26"/>
              <w:bidi w:val="0"/>
              <w:rPr>
                <w:rFonts w:hint="eastAsia"/>
                <w:lang w:val="en-US" w:eastAsia="zh-CN"/>
              </w:rPr>
            </w:pPr>
            <w:r>
              <w:rPr>
                <w:rFonts w:hint="eastAsia"/>
                <w:lang w:val="en-US" w:eastAsia="zh-CN"/>
              </w:rPr>
              <w:t>地理坐标</w:t>
            </w:r>
          </w:p>
        </w:tc>
        <w:tc>
          <w:tcPr>
            <w:tcW w:w="840" w:type="dxa"/>
            <w:vMerge w:val="restart"/>
            <w:noWrap w:val="0"/>
            <w:vAlign w:val="center"/>
          </w:tcPr>
          <w:p>
            <w:pPr>
              <w:pStyle w:val="26"/>
              <w:bidi w:val="0"/>
              <w:rPr>
                <w:rFonts w:hint="eastAsia"/>
                <w:lang w:val="en-US" w:eastAsia="zh-CN"/>
              </w:rPr>
            </w:pPr>
            <w:r>
              <w:rPr>
                <w:rFonts w:hint="eastAsia"/>
                <w:lang w:val="en-US" w:eastAsia="zh-CN"/>
              </w:rPr>
              <w:t>保护对象</w:t>
            </w:r>
          </w:p>
        </w:tc>
        <w:tc>
          <w:tcPr>
            <w:tcW w:w="1305" w:type="dxa"/>
            <w:vMerge w:val="restart"/>
            <w:noWrap w:val="0"/>
            <w:vAlign w:val="center"/>
          </w:tcPr>
          <w:p>
            <w:pPr>
              <w:pStyle w:val="26"/>
              <w:bidi w:val="0"/>
              <w:rPr>
                <w:rFonts w:hint="eastAsia"/>
                <w:lang w:val="en-US" w:eastAsia="zh-CN"/>
              </w:rPr>
            </w:pPr>
            <w:r>
              <w:rPr>
                <w:rFonts w:hint="eastAsia"/>
                <w:lang w:val="en-US" w:eastAsia="zh-CN"/>
              </w:rPr>
              <w:t>保护内容</w:t>
            </w:r>
          </w:p>
        </w:tc>
        <w:tc>
          <w:tcPr>
            <w:tcW w:w="1590" w:type="dxa"/>
            <w:vMerge w:val="restart"/>
            <w:noWrap w:val="0"/>
            <w:vAlign w:val="center"/>
          </w:tcPr>
          <w:p>
            <w:pPr>
              <w:pStyle w:val="26"/>
              <w:bidi w:val="0"/>
              <w:rPr>
                <w:rFonts w:hint="eastAsia"/>
                <w:lang w:val="en-US" w:eastAsia="zh-CN"/>
              </w:rPr>
            </w:pPr>
            <w:r>
              <w:rPr>
                <w:rFonts w:hint="eastAsia"/>
                <w:lang w:val="en-US" w:eastAsia="zh-CN"/>
              </w:rPr>
              <w:t>保护功能区</w:t>
            </w:r>
          </w:p>
        </w:tc>
        <w:tc>
          <w:tcPr>
            <w:tcW w:w="855" w:type="dxa"/>
            <w:vMerge w:val="restart"/>
            <w:noWrap w:val="0"/>
            <w:vAlign w:val="center"/>
          </w:tcPr>
          <w:p>
            <w:pPr>
              <w:pStyle w:val="26"/>
              <w:bidi w:val="0"/>
              <w:rPr>
                <w:rFonts w:hint="eastAsia"/>
                <w:lang w:val="en-US" w:eastAsia="zh-CN"/>
              </w:rPr>
            </w:pPr>
            <w:r>
              <w:rPr>
                <w:rFonts w:hint="eastAsia"/>
                <w:lang w:val="en-US" w:eastAsia="zh-CN"/>
              </w:rPr>
              <w:t>相对厂址方位</w:t>
            </w:r>
          </w:p>
        </w:tc>
        <w:tc>
          <w:tcPr>
            <w:tcW w:w="945" w:type="dxa"/>
            <w:vMerge w:val="restart"/>
            <w:noWrap w:val="0"/>
            <w:vAlign w:val="center"/>
          </w:tcPr>
          <w:p>
            <w:pPr>
              <w:pStyle w:val="26"/>
              <w:bidi w:val="0"/>
              <w:rPr>
                <w:rFonts w:hint="default"/>
                <w:lang w:val="en-US" w:eastAsia="zh-CN"/>
              </w:rPr>
            </w:pPr>
            <w:r>
              <w:rPr>
                <w:rFonts w:hint="eastAsia"/>
                <w:lang w:val="en-US" w:eastAsia="zh-CN"/>
              </w:rPr>
              <w:t>相对厂界距离/m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5" w:type="dxa"/>
            <w:vMerge w:val="continue"/>
            <w:noWrap w:val="0"/>
            <w:vAlign w:val="center"/>
          </w:tcPr>
          <w:p>
            <w:pPr>
              <w:pStyle w:val="26"/>
              <w:bidi w:val="0"/>
              <w:rPr>
                <w:rFonts w:hint="eastAsia"/>
                <w:lang w:val="en-US" w:eastAsia="zh-CN"/>
              </w:rPr>
            </w:pPr>
          </w:p>
        </w:tc>
        <w:tc>
          <w:tcPr>
            <w:tcW w:w="1323" w:type="dxa"/>
            <w:noWrap w:val="0"/>
            <w:vAlign w:val="center"/>
          </w:tcPr>
          <w:p>
            <w:pPr>
              <w:pStyle w:val="26"/>
              <w:bidi w:val="0"/>
              <w:rPr>
                <w:rFonts w:hint="eastAsia"/>
                <w:lang w:val="en-US" w:eastAsia="zh-CN"/>
              </w:rPr>
            </w:pPr>
            <w:r>
              <w:rPr>
                <w:rFonts w:hint="eastAsia"/>
                <w:lang w:val="en-US" w:eastAsia="zh-CN"/>
              </w:rPr>
              <w:t>E</w:t>
            </w:r>
          </w:p>
        </w:tc>
        <w:tc>
          <w:tcPr>
            <w:tcW w:w="1320" w:type="dxa"/>
            <w:noWrap w:val="0"/>
            <w:vAlign w:val="center"/>
          </w:tcPr>
          <w:p>
            <w:pPr>
              <w:pStyle w:val="26"/>
              <w:bidi w:val="0"/>
              <w:rPr>
                <w:rFonts w:hint="eastAsia"/>
                <w:lang w:val="en-US" w:eastAsia="zh-CN"/>
              </w:rPr>
            </w:pPr>
            <w:r>
              <w:rPr>
                <w:rFonts w:hint="eastAsia"/>
                <w:lang w:val="en-US" w:eastAsia="zh-CN"/>
              </w:rPr>
              <w:t>N</w:t>
            </w:r>
          </w:p>
        </w:tc>
        <w:tc>
          <w:tcPr>
            <w:tcW w:w="840" w:type="dxa"/>
            <w:vMerge w:val="continue"/>
            <w:noWrap w:val="0"/>
            <w:vAlign w:val="center"/>
          </w:tcPr>
          <w:p>
            <w:pPr>
              <w:pStyle w:val="26"/>
              <w:bidi w:val="0"/>
              <w:rPr>
                <w:rFonts w:hint="eastAsia"/>
                <w:lang w:val="en-US" w:eastAsia="zh-CN"/>
              </w:rPr>
            </w:pPr>
          </w:p>
        </w:tc>
        <w:tc>
          <w:tcPr>
            <w:tcW w:w="1305" w:type="dxa"/>
            <w:vMerge w:val="continue"/>
            <w:noWrap w:val="0"/>
            <w:vAlign w:val="center"/>
          </w:tcPr>
          <w:p>
            <w:pPr>
              <w:pStyle w:val="26"/>
              <w:bidi w:val="0"/>
              <w:rPr>
                <w:rFonts w:hint="eastAsia"/>
                <w:lang w:val="en-US" w:eastAsia="zh-CN"/>
              </w:rPr>
            </w:pPr>
          </w:p>
        </w:tc>
        <w:tc>
          <w:tcPr>
            <w:tcW w:w="1590" w:type="dxa"/>
            <w:vMerge w:val="continue"/>
            <w:noWrap w:val="0"/>
            <w:vAlign w:val="center"/>
          </w:tcPr>
          <w:p>
            <w:pPr>
              <w:pStyle w:val="26"/>
              <w:bidi w:val="0"/>
              <w:rPr>
                <w:rFonts w:hint="eastAsia"/>
                <w:lang w:val="en-US" w:eastAsia="zh-CN"/>
              </w:rPr>
            </w:pPr>
          </w:p>
        </w:tc>
        <w:tc>
          <w:tcPr>
            <w:tcW w:w="855" w:type="dxa"/>
            <w:vMerge w:val="continue"/>
            <w:noWrap w:val="0"/>
            <w:vAlign w:val="center"/>
          </w:tcPr>
          <w:p>
            <w:pPr>
              <w:pStyle w:val="26"/>
              <w:bidi w:val="0"/>
              <w:rPr>
                <w:rFonts w:hint="eastAsia"/>
                <w:lang w:val="en-US" w:eastAsia="zh-CN"/>
              </w:rPr>
            </w:pPr>
          </w:p>
        </w:tc>
        <w:tc>
          <w:tcPr>
            <w:tcW w:w="945" w:type="dxa"/>
            <w:vMerge w:val="continue"/>
            <w:noWrap w:val="0"/>
            <w:vAlign w:val="center"/>
          </w:tcPr>
          <w:p>
            <w:pPr>
              <w:pStyle w:val="26"/>
              <w:bidi w:val="0"/>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95" w:type="dxa"/>
            <w:noWrap w:val="0"/>
            <w:vAlign w:val="center"/>
          </w:tcPr>
          <w:p>
            <w:pPr>
              <w:pStyle w:val="26"/>
              <w:bidi w:val="0"/>
              <w:rPr>
                <w:rFonts w:hint="eastAsia"/>
                <w:lang w:val="en-US" w:eastAsia="zh-CN"/>
              </w:rPr>
            </w:pPr>
            <w:r>
              <w:rPr>
                <w:rFonts w:hint="eastAsia"/>
                <w:lang w:val="en-US" w:eastAsia="zh-CN"/>
              </w:rPr>
              <w:t>金龙安置小区</w:t>
            </w:r>
          </w:p>
        </w:tc>
        <w:tc>
          <w:tcPr>
            <w:tcW w:w="1323" w:type="dxa"/>
            <w:noWrap w:val="0"/>
            <w:vAlign w:val="center"/>
          </w:tcPr>
          <w:p>
            <w:pPr>
              <w:pStyle w:val="26"/>
              <w:bidi w:val="0"/>
              <w:rPr>
                <w:rFonts w:hint="eastAsia"/>
                <w:lang w:val="en-US" w:eastAsia="zh-CN"/>
              </w:rPr>
            </w:pPr>
            <w:r>
              <w:rPr>
                <w:rFonts w:hint="eastAsia"/>
                <w:lang w:val="en-US" w:eastAsia="zh-CN"/>
              </w:rPr>
              <w:t>112°56′06.03〞</w:t>
            </w:r>
          </w:p>
        </w:tc>
        <w:tc>
          <w:tcPr>
            <w:tcW w:w="1320" w:type="dxa"/>
            <w:noWrap w:val="0"/>
            <w:vAlign w:val="center"/>
          </w:tcPr>
          <w:p>
            <w:pPr>
              <w:pStyle w:val="26"/>
              <w:bidi w:val="0"/>
              <w:rPr>
                <w:rFonts w:hint="eastAsia"/>
                <w:lang w:val="en-US" w:eastAsia="zh-CN"/>
              </w:rPr>
            </w:pPr>
            <w:r>
              <w:rPr>
                <w:rFonts w:hint="eastAsia"/>
                <w:lang w:val="en-US" w:eastAsia="zh-CN"/>
              </w:rPr>
              <w:t>28°31′53.37〞</w:t>
            </w:r>
          </w:p>
        </w:tc>
        <w:tc>
          <w:tcPr>
            <w:tcW w:w="840" w:type="dxa"/>
            <w:vMerge w:val="restart"/>
            <w:noWrap w:val="0"/>
            <w:vAlign w:val="center"/>
          </w:tcPr>
          <w:p>
            <w:pPr>
              <w:pStyle w:val="26"/>
              <w:bidi w:val="0"/>
              <w:rPr>
                <w:rFonts w:hint="eastAsia"/>
                <w:lang w:val="en-US" w:eastAsia="zh-CN"/>
              </w:rPr>
            </w:pPr>
            <w:r>
              <w:rPr>
                <w:rFonts w:hint="eastAsia"/>
                <w:lang w:val="en-US" w:eastAsia="zh-CN"/>
              </w:rPr>
              <w:t>居民</w:t>
            </w:r>
          </w:p>
        </w:tc>
        <w:tc>
          <w:tcPr>
            <w:tcW w:w="1305" w:type="dxa"/>
            <w:noWrap w:val="0"/>
            <w:vAlign w:val="center"/>
          </w:tcPr>
          <w:p>
            <w:pPr>
              <w:pStyle w:val="26"/>
              <w:bidi w:val="0"/>
              <w:rPr>
                <w:rFonts w:hint="eastAsia"/>
                <w:lang w:val="en-US" w:eastAsia="zh-CN"/>
              </w:rPr>
            </w:pPr>
            <w:r>
              <w:rPr>
                <w:rFonts w:hint="eastAsia"/>
                <w:lang w:val="en-US" w:eastAsia="zh-CN"/>
              </w:rPr>
              <w:t>约700户</w:t>
            </w:r>
          </w:p>
        </w:tc>
        <w:tc>
          <w:tcPr>
            <w:tcW w:w="1590" w:type="dxa"/>
            <w:vMerge w:val="restart"/>
            <w:noWrap w:val="0"/>
            <w:vAlign w:val="center"/>
          </w:tcPr>
          <w:p>
            <w:pPr>
              <w:pStyle w:val="26"/>
              <w:bidi w:val="0"/>
              <w:rPr>
                <w:rFonts w:hint="eastAsia"/>
                <w:lang w:val="en-US" w:eastAsia="zh-CN"/>
              </w:rPr>
            </w:pPr>
            <w:r>
              <w:rPr>
                <w:rFonts w:hint="eastAsia"/>
                <w:lang w:val="en-US" w:eastAsia="zh-CN"/>
              </w:rPr>
              <w:t>《环境空气质量标准》（GB3095-2012），二级</w:t>
            </w:r>
          </w:p>
        </w:tc>
        <w:tc>
          <w:tcPr>
            <w:tcW w:w="855" w:type="dxa"/>
            <w:noWrap w:val="0"/>
            <w:vAlign w:val="center"/>
          </w:tcPr>
          <w:p>
            <w:pPr>
              <w:pStyle w:val="26"/>
              <w:bidi w:val="0"/>
              <w:rPr>
                <w:rFonts w:hint="eastAsia"/>
                <w:lang w:val="en-US" w:eastAsia="zh-CN"/>
              </w:rPr>
            </w:pPr>
            <w:r>
              <w:rPr>
                <w:rFonts w:hint="eastAsia"/>
                <w:lang w:val="en-US" w:eastAsia="zh-CN"/>
              </w:rPr>
              <w:t>E</w:t>
            </w:r>
          </w:p>
        </w:tc>
        <w:tc>
          <w:tcPr>
            <w:tcW w:w="945" w:type="dxa"/>
            <w:noWrap w:val="0"/>
            <w:vAlign w:val="center"/>
          </w:tcPr>
          <w:p>
            <w:pPr>
              <w:pStyle w:val="26"/>
              <w:bidi w:val="0"/>
              <w:rPr>
                <w:rFonts w:hint="default"/>
                <w:lang w:val="en-US" w:eastAsia="zh-CN"/>
              </w:rPr>
            </w:pPr>
            <w:r>
              <w:rPr>
                <w:rFonts w:hint="eastAsia"/>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95" w:type="dxa"/>
            <w:noWrap w:val="0"/>
            <w:vAlign w:val="center"/>
          </w:tcPr>
          <w:p>
            <w:pPr>
              <w:pStyle w:val="26"/>
              <w:bidi w:val="0"/>
              <w:rPr>
                <w:rFonts w:hint="eastAsia"/>
                <w:lang w:val="en-US" w:eastAsia="zh-CN"/>
              </w:rPr>
            </w:pPr>
            <w:r>
              <w:rPr>
                <w:rFonts w:hint="eastAsia"/>
                <w:lang w:val="en-US" w:eastAsia="zh-CN"/>
              </w:rPr>
              <w:t>庙塘垅</w:t>
            </w:r>
          </w:p>
        </w:tc>
        <w:tc>
          <w:tcPr>
            <w:tcW w:w="1323" w:type="dxa"/>
            <w:noWrap w:val="0"/>
            <w:vAlign w:val="center"/>
          </w:tcPr>
          <w:p>
            <w:pPr>
              <w:pStyle w:val="26"/>
              <w:bidi w:val="0"/>
              <w:rPr>
                <w:rFonts w:hint="eastAsia"/>
                <w:lang w:val="en-US" w:eastAsia="zh-CN"/>
              </w:rPr>
            </w:pPr>
            <w:r>
              <w:rPr>
                <w:rFonts w:hint="eastAsia"/>
                <w:lang w:val="en-US" w:eastAsia="zh-CN"/>
              </w:rPr>
              <w:t>112°56′15.22〞</w:t>
            </w:r>
          </w:p>
        </w:tc>
        <w:tc>
          <w:tcPr>
            <w:tcW w:w="1320" w:type="dxa"/>
            <w:noWrap w:val="0"/>
            <w:vAlign w:val="center"/>
          </w:tcPr>
          <w:p>
            <w:pPr>
              <w:pStyle w:val="26"/>
              <w:bidi w:val="0"/>
              <w:rPr>
                <w:rFonts w:hint="eastAsia"/>
                <w:lang w:val="en-US" w:eastAsia="zh-CN"/>
              </w:rPr>
            </w:pPr>
            <w:r>
              <w:rPr>
                <w:rFonts w:hint="eastAsia"/>
                <w:lang w:val="en-US" w:eastAsia="zh-CN"/>
              </w:rPr>
              <w:t>28°31′56.13〞</w:t>
            </w:r>
          </w:p>
        </w:tc>
        <w:tc>
          <w:tcPr>
            <w:tcW w:w="840" w:type="dxa"/>
            <w:vMerge w:val="continue"/>
            <w:noWrap w:val="0"/>
            <w:vAlign w:val="center"/>
          </w:tcPr>
          <w:p>
            <w:pPr>
              <w:pStyle w:val="26"/>
              <w:bidi w:val="0"/>
              <w:rPr>
                <w:rFonts w:hint="eastAsia"/>
                <w:lang w:val="en-US" w:eastAsia="zh-CN"/>
              </w:rPr>
            </w:pPr>
          </w:p>
        </w:tc>
        <w:tc>
          <w:tcPr>
            <w:tcW w:w="1305" w:type="dxa"/>
            <w:noWrap w:val="0"/>
            <w:vAlign w:val="center"/>
          </w:tcPr>
          <w:p>
            <w:pPr>
              <w:pStyle w:val="26"/>
              <w:bidi w:val="0"/>
              <w:rPr>
                <w:rFonts w:hint="eastAsia"/>
                <w:lang w:val="en-US" w:eastAsia="zh-CN"/>
              </w:rPr>
            </w:pPr>
            <w:r>
              <w:rPr>
                <w:rFonts w:hint="eastAsia"/>
                <w:lang w:val="en-US" w:eastAsia="zh-CN"/>
              </w:rPr>
              <w:t>约53户</w:t>
            </w:r>
          </w:p>
        </w:tc>
        <w:tc>
          <w:tcPr>
            <w:tcW w:w="1590" w:type="dxa"/>
            <w:vMerge w:val="continue"/>
            <w:noWrap w:val="0"/>
            <w:vAlign w:val="center"/>
          </w:tcPr>
          <w:p>
            <w:pPr>
              <w:pStyle w:val="26"/>
              <w:bidi w:val="0"/>
              <w:rPr>
                <w:rFonts w:hint="eastAsia"/>
                <w:lang w:val="en-US" w:eastAsia="zh-CN"/>
              </w:rPr>
            </w:pPr>
          </w:p>
        </w:tc>
        <w:tc>
          <w:tcPr>
            <w:tcW w:w="855" w:type="dxa"/>
            <w:noWrap w:val="0"/>
            <w:vAlign w:val="center"/>
          </w:tcPr>
          <w:p>
            <w:pPr>
              <w:pStyle w:val="26"/>
              <w:bidi w:val="0"/>
              <w:rPr>
                <w:rFonts w:hint="eastAsia"/>
                <w:lang w:val="en-US" w:eastAsia="zh-CN"/>
              </w:rPr>
            </w:pPr>
            <w:r>
              <w:rPr>
                <w:rFonts w:hint="eastAsia"/>
                <w:lang w:val="en-US" w:eastAsia="zh-CN"/>
              </w:rPr>
              <w:t>E</w:t>
            </w:r>
          </w:p>
        </w:tc>
        <w:tc>
          <w:tcPr>
            <w:tcW w:w="945" w:type="dxa"/>
            <w:noWrap w:val="0"/>
            <w:vAlign w:val="center"/>
          </w:tcPr>
          <w:p>
            <w:pPr>
              <w:pStyle w:val="26"/>
              <w:bidi w:val="0"/>
              <w:rPr>
                <w:rFonts w:hint="default"/>
                <w:lang w:val="en-US" w:eastAsia="zh-CN"/>
              </w:rPr>
            </w:pPr>
            <w:r>
              <w:rPr>
                <w:rFonts w:hint="eastAsia"/>
                <w:lang w:val="en-US" w:eastAsia="zh-CN"/>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95" w:type="dxa"/>
            <w:noWrap w:val="0"/>
            <w:vAlign w:val="center"/>
          </w:tcPr>
          <w:p>
            <w:pPr>
              <w:pStyle w:val="26"/>
              <w:bidi w:val="0"/>
              <w:rPr>
                <w:rFonts w:hint="eastAsia"/>
                <w:lang w:val="en-US" w:eastAsia="zh-CN"/>
              </w:rPr>
            </w:pPr>
            <w:r>
              <w:rPr>
                <w:rFonts w:hint="eastAsia"/>
                <w:lang w:val="en-US" w:eastAsia="zh-CN"/>
              </w:rPr>
              <w:t>界头铺</w:t>
            </w:r>
          </w:p>
        </w:tc>
        <w:tc>
          <w:tcPr>
            <w:tcW w:w="1323" w:type="dxa"/>
            <w:noWrap w:val="0"/>
            <w:vAlign w:val="center"/>
          </w:tcPr>
          <w:p>
            <w:pPr>
              <w:pStyle w:val="26"/>
              <w:bidi w:val="0"/>
              <w:rPr>
                <w:rFonts w:hint="eastAsia"/>
                <w:lang w:val="en-US" w:eastAsia="zh-CN"/>
              </w:rPr>
            </w:pPr>
            <w:r>
              <w:rPr>
                <w:rFonts w:hint="eastAsia"/>
                <w:lang w:val="en-US" w:eastAsia="zh-CN"/>
              </w:rPr>
              <w:t>112°55′51.40〞</w:t>
            </w:r>
          </w:p>
        </w:tc>
        <w:tc>
          <w:tcPr>
            <w:tcW w:w="1320" w:type="dxa"/>
            <w:noWrap w:val="0"/>
            <w:vAlign w:val="center"/>
          </w:tcPr>
          <w:p>
            <w:pPr>
              <w:pStyle w:val="26"/>
              <w:bidi w:val="0"/>
              <w:rPr>
                <w:rFonts w:hint="eastAsia"/>
                <w:lang w:val="en-US" w:eastAsia="zh-CN"/>
              </w:rPr>
            </w:pPr>
            <w:r>
              <w:rPr>
                <w:rFonts w:hint="eastAsia"/>
                <w:lang w:val="en-US" w:eastAsia="zh-CN"/>
              </w:rPr>
              <w:t>28°32′11.83〞</w:t>
            </w:r>
          </w:p>
        </w:tc>
        <w:tc>
          <w:tcPr>
            <w:tcW w:w="840" w:type="dxa"/>
            <w:vMerge w:val="continue"/>
            <w:noWrap w:val="0"/>
            <w:vAlign w:val="center"/>
          </w:tcPr>
          <w:p>
            <w:pPr>
              <w:pStyle w:val="26"/>
              <w:bidi w:val="0"/>
              <w:rPr>
                <w:rFonts w:hint="eastAsia"/>
                <w:lang w:val="en-US" w:eastAsia="zh-CN"/>
              </w:rPr>
            </w:pPr>
          </w:p>
        </w:tc>
        <w:tc>
          <w:tcPr>
            <w:tcW w:w="1305" w:type="dxa"/>
            <w:noWrap w:val="0"/>
            <w:vAlign w:val="center"/>
          </w:tcPr>
          <w:p>
            <w:pPr>
              <w:pStyle w:val="26"/>
              <w:bidi w:val="0"/>
              <w:rPr>
                <w:rFonts w:hint="eastAsia"/>
                <w:lang w:val="en-US" w:eastAsia="zh-CN"/>
              </w:rPr>
            </w:pPr>
            <w:r>
              <w:rPr>
                <w:rFonts w:hint="eastAsia"/>
                <w:lang w:val="en-US" w:eastAsia="zh-CN"/>
              </w:rPr>
              <w:t>约154户</w:t>
            </w:r>
          </w:p>
        </w:tc>
        <w:tc>
          <w:tcPr>
            <w:tcW w:w="1590" w:type="dxa"/>
            <w:vMerge w:val="continue"/>
            <w:noWrap w:val="0"/>
            <w:vAlign w:val="center"/>
          </w:tcPr>
          <w:p>
            <w:pPr>
              <w:pStyle w:val="26"/>
              <w:bidi w:val="0"/>
              <w:rPr>
                <w:rFonts w:hint="eastAsia"/>
                <w:lang w:val="en-US" w:eastAsia="zh-CN"/>
              </w:rPr>
            </w:pPr>
          </w:p>
        </w:tc>
        <w:tc>
          <w:tcPr>
            <w:tcW w:w="855" w:type="dxa"/>
            <w:noWrap w:val="0"/>
            <w:vAlign w:val="center"/>
          </w:tcPr>
          <w:p>
            <w:pPr>
              <w:pStyle w:val="26"/>
              <w:bidi w:val="0"/>
              <w:rPr>
                <w:rFonts w:hint="eastAsia"/>
                <w:lang w:val="en-US" w:eastAsia="zh-CN"/>
              </w:rPr>
            </w:pPr>
            <w:r>
              <w:rPr>
                <w:rFonts w:hint="eastAsia"/>
                <w:lang w:val="en-US" w:eastAsia="zh-CN"/>
              </w:rPr>
              <w:t>EN</w:t>
            </w:r>
          </w:p>
        </w:tc>
        <w:tc>
          <w:tcPr>
            <w:tcW w:w="945" w:type="dxa"/>
            <w:noWrap w:val="0"/>
            <w:vAlign w:val="center"/>
          </w:tcPr>
          <w:p>
            <w:pPr>
              <w:pStyle w:val="26"/>
              <w:bidi w:val="0"/>
              <w:rPr>
                <w:rFonts w:hint="default"/>
                <w:lang w:val="en-US" w:eastAsia="zh-CN"/>
              </w:rPr>
            </w:pPr>
            <w:r>
              <w:rPr>
                <w:rFonts w:hint="eastAsia"/>
                <w:lang w:val="en-US" w:eastAsia="zh-CN"/>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95" w:type="dxa"/>
            <w:noWrap w:val="0"/>
            <w:vAlign w:val="center"/>
          </w:tcPr>
          <w:p>
            <w:pPr>
              <w:pStyle w:val="26"/>
              <w:bidi w:val="0"/>
              <w:rPr>
                <w:rFonts w:hint="eastAsia"/>
                <w:lang w:val="en-US" w:eastAsia="zh-CN"/>
              </w:rPr>
            </w:pPr>
            <w:r>
              <w:rPr>
                <w:rFonts w:hint="eastAsia"/>
                <w:lang w:val="en-US" w:eastAsia="zh-CN"/>
              </w:rPr>
              <w:t>新塘村</w:t>
            </w:r>
          </w:p>
        </w:tc>
        <w:tc>
          <w:tcPr>
            <w:tcW w:w="1323" w:type="dxa"/>
            <w:noWrap w:val="0"/>
            <w:vAlign w:val="center"/>
          </w:tcPr>
          <w:p>
            <w:pPr>
              <w:pStyle w:val="26"/>
              <w:bidi w:val="0"/>
              <w:rPr>
                <w:rFonts w:hint="eastAsia"/>
                <w:lang w:val="en-US" w:eastAsia="zh-CN"/>
              </w:rPr>
            </w:pPr>
            <w:r>
              <w:rPr>
                <w:rFonts w:hint="eastAsia"/>
                <w:lang w:val="en-US" w:eastAsia="zh-CN"/>
              </w:rPr>
              <w:t>112°54′55.28〞</w:t>
            </w:r>
          </w:p>
        </w:tc>
        <w:tc>
          <w:tcPr>
            <w:tcW w:w="1320" w:type="dxa"/>
            <w:noWrap w:val="0"/>
            <w:vAlign w:val="center"/>
          </w:tcPr>
          <w:p>
            <w:pPr>
              <w:pStyle w:val="26"/>
              <w:bidi w:val="0"/>
              <w:rPr>
                <w:rFonts w:hint="eastAsia"/>
                <w:lang w:val="en-US" w:eastAsia="zh-CN"/>
              </w:rPr>
            </w:pPr>
            <w:r>
              <w:rPr>
                <w:rFonts w:hint="eastAsia"/>
                <w:lang w:val="en-US" w:eastAsia="zh-CN"/>
              </w:rPr>
              <w:t>28°32′25.16〞</w:t>
            </w:r>
          </w:p>
        </w:tc>
        <w:tc>
          <w:tcPr>
            <w:tcW w:w="840" w:type="dxa"/>
            <w:vMerge w:val="continue"/>
            <w:noWrap w:val="0"/>
            <w:vAlign w:val="center"/>
          </w:tcPr>
          <w:p>
            <w:pPr>
              <w:pStyle w:val="26"/>
              <w:bidi w:val="0"/>
              <w:rPr>
                <w:rFonts w:hint="eastAsia"/>
                <w:lang w:val="en-US" w:eastAsia="zh-CN"/>
              </w:rPr>
            </w:pPr>
          </w:p>
        </w:tc>
        <w:tc>
          <w:tcPr>
            <w:tcW w:w="1305" w:type="dxa"/>
            <w:noWrap w:val="0"/>
            <w:vAlign w:val="center"/>
          </w:tcPr>
          <w:p>
            <w:pPr>
              <w:pStyle w:val="26"/>
              <w:bidi w:val="0"/>
              <w:rPr>
                <w:rFonts w:hint="eastAsia"/>
                <w:lang w:val="en-US" w:eastAsia="zh-CN"/>
              </w:rPr>
            </w:pPr>
            <w:r>
              <w:rPr>
                <w:rFonts w:hint="eastAsia"/>
                <w:lang w:val="en-US" w:eastAsia="zh-CN"/>
              </w:rPr>
              <w:t>约23户</w:t>
            </w:r>
          </w:p>
        </w:tc>
        <w:tc>
          <w:tcPr>
            <w:tcW w:w="1590" w:type="dxa"/>
            <w:vMerge w:val="continue"/>
            <w:noWrap w:val="0"/>
            <w:vAlign w:val="center"/>
          </w:tcPr>
          <w:p>
            <w:pPr>
              <w:pStyle w:val="26"/>
              <w:bidi w:val="0"/>
              <w:rPr>
                <w:rFonts w:hint="eastAsia"/>
                <w:lang w:val="en-US" w:eastAsia="zh-CN"/>
              </w:rPr>
            </w:pPr>
          </w:p>
        </w:tc>
        <w:tc>
          <w:tcPr>
            <w:tcW w:w="855" w:type="dxa"/>
            <w:noWrap w:val="0"/>
            <w:vAlign w:val="center"/>
          </w:tcPr>
          <w:p>
            <w:pPr>
              <w:pStyle w:val="26"/>
              <w:bidi w:val="0"/>
              <w:rPr>
                <w:rFonts w:hint="eastAsia"/>
                <w:lang w:val="en-US" w:eastAsia="zh-CN"/>
              </w:rPr>
            </w:pPr>
            <w:r>
              <w:rPr>
                <w:rFonts w:hint="eastAsia"/>
                <w:lang w:val="en-US" w:eastAsia="zh-CN"/>
              </w:rPr>
              <w:t>WN</w:t>
            </w:r>
          </w:p>
        </w:tc>
        <w:tc>
          <w:tcPr>
            <w:tcW w:w="945" w:type="dxa"/>
            <w:noWrap w:val="0"/>
            <w:vAlign w:val="center"/>
          </w:tcPr>
          <w:p>
            <w:pPr>
              <w:pStyle w:val="26"/>
              <w:bidi w:val="0"/>
              <w:rPr>
                <w:rFonts w:hint="default"/>
                <w:lang w:val="en-US" w:eastAsia="zh-CN"/>
              </w:rPr>
            </w:pPr>
            <w:r>
              <w:rPr>
                <w:rFonts w:hint="eastAsia"/>
                <w:lang w:val="en-US" w:eastAsia="zh-CN"/>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95" w:type="dxa"/>
            <w:noWrap w:val="0"/>
            <w:vAlign w:val="center"/>
          </w:tcPr>
          <w:p>
            <w:pPr>
              <w:pStyle w:val="26"/>
              <w:bidi w:val="0"/>
              <w:rPr>
                <w:rFonts w:hint="eastAsia"/>
                <w:lang w:val="en-US" w:eastAsia="zh-CN"/>
              </w:rPr>
            </w:pPr>
            <w:r>
              <w:rPr>
                <w:rFonts w:hint="eastAsia"/>
                <w:lang w:val="en-US" w:eastAsia="zh-CN"/>
              </w:rPr>
              <w:t>恒大溪上桃花源</w:t>
            </w:r>
          </w:p>
        </w:tc>
        <w:tc>
          <w:tcPr>
            <w:tcW w:w="1323" w:type="dxa"/>
            <w:noWrap w:val="0"/>
            <w:vAlign w:val="center"/>
          </w:tcPr>
          <w:p>
            <w:pPr>
              <w:pStyle w:val="26"/>
              <w:bidi w:val="0"/>
              <w:rPr>
                <w:rFonts w:hint="eastAsia"/>
                <w:lang w:val="en-US" w:eastAsia="zh-CN"/>
              </w:rPr>
            </w:pPr>
            <w:r>
              <w:rPr>
                <w:rFonts w:hint="eastAsia"/>
                <w:lang w:val="en-US" w:eastAsia="zh-CN"/>
              </w:rPr>
              <w:t>112°56′28.29〞</w:t>
            </w:r>
          </w:p>
        </w:tc>
        <w:tc>
          <w:tcPr>
            <w:tcW w:w="1320" w:type="dxa"/>
            <w:noWrap w:val="0"/>
            <w:vAlign w:val="center"/>
          </w:tcPr>
          <w:p>
            <w:pPr>
              <w:pStyle w:val="26"/>
              <w:bidi w:val="0"/>
              <w:rPr>
                <w:rFonts w:hint="eastAsia"/>
                <w:lang w:val="en-US" w:eastAsia="zh-CN"/>
              </w:rPr>
            </w:pPr>
            <w:r>
              <w:rPr>
                <w:rFonts w:hint="eastAsia"/>
                <w:lang w:val="en-US" w:eastAsia="zh-CN"/>
              </w:rPr>
              <w:t>28°31′27.19〞</w:t>
            </w:r>
          </w:p>
        </w:tc>
        <w:tc>
          <w:tcPr>
            <w:tcW w:w="840" w:type="dxa"/>
            <w:vMerge w:val="continue"/>
            <w:noWrap w:val="0"/>
            <w:vAlign w:val="center"/>
          </w:tcPr>
          <w:p>
            <w:pPr>
              <w:pStyle w:val="26"/>
              <w:bidi w:val="0"/>
              <w:rPr>
                <w:rFonts w:hint="eastAsia"/>
                <w:lang w:val="en-US" w:eastAsia="zh-CN"/>
              </w:rPr>
            </w:pPr>
          </w:p>
        </w:tc>
        <w:tc>
          <w:tcPr>
            <w:tcW w:w="1305" w:type="dxa"/>
            <w:noWrap w:val="0"/>
            <w:vAlign w:val="center"/>
          </w:tcPr>
          <w:p>
            <w:pPr>
              <w:pStyle w:val="26"/>
              <w:bidi w:val="0"/>
              <w:rPr>
                <w:rFonts w:hint="eastAsia"/>
                <w:lang w:val="en-US" w:eastAsia="zh-CN"/>
              </w:rPr>
            </w:pPr>
            <w:r>
              <w:rPr>
                <w:rFonts w:hint="eastAsia"/>
                <w:lang w:val="en-US" w:eastAsia="zh-CN"/>
              </w:rPr>
              <w:t>约400户</w:t>
            </w:r>
          </w:p>
        </w:tc>
        <w:tc>
          <w:tcPr>
            <w:tcW w:w="1590" w:type="dxa"/>
            <w:vMerge w:val="continue"/>
            <w:noWrap w:val="0"/>
            <w:vAlign w:val="center"/>
          </w:tcPr>
          <w:p>
            <w:pPr>
              <w:pStyle w:val="26"/>
              <w:bidi w:val="0"/>
              <w:rPr>
                <w:rFonts w:hint="eastAsia"/>
                <w:lang w:val="en-US" w:eastAsia="zh-CN"/>
              </w:rPr>
            </w:pPr>
          </w:p>
        </w:tc>
        <w:tc>
          <w:tcPr>
            <w:tcW w:w="855" w:type="dxa"/>
            <w:noWrap w:val="0"/>
            <w:vAlign w:val="center"/>
          </w:tcPr>
          <w:p>
            <w:pPr>
              <w:pStyle w:val="26"/>
              <w:bidi w:val="0"/>
              <w:rPr>
                <w:rFonts w:hint="default"/>
                <w:lang w:val="en-US" w:eastAsia="zh-CN"/>
              </w:rPr>
            </w:pPr>
            <w:r>
              <w:rPr>
                <w:rFonts w:hint="eastAsia"/>
                <w:lang w:val="en-US" w:eastAsia="zh-CN"/>
              </w:rPr>
              <w:t>ES</w:t>
            </w:r>
          </w:p>
        </w:tc>
        <w:tc>
          <w:tcPr>
            <w:tcW w:w="945" w:type="dxa"/>
            <w:noWrap w:val="0"/>
            <w:vAlign w:val="center"/>
          </w:tcPr>
          <w:p>
            <w:pPr>
              <w:pStyle w:val="26"/>
              <w:bidi w:val="0"/>
              <w:rPr>
                <w:rFonts w:hint="default"/>
                <w:lang w:val="en-US" w:eastAsia="zh-CN"/>
              </w:rPr>
            </w:pPr>
            <w:r>
              <w:rPr>
                <w:rFonts w:hint="eastAsia"/>
                <w:lang w:val="en-US" w:eastAsia="zh-CN"/>
              </w:rPr>
              <w:t>1000</w:t>
            </w:r>
          </w:p>
        </w:tc>
      </w:tr>
    </w:tbl>
    <w:p>
      <w:pPr>
        <w:pStyle w:val="25"/>
        <w:bidi w:val="0"/>
        <w:rPr>
          <w:lang w:val="en-US" w:eastAsia="zh-CN"/>
        </w:rPr>
      </w:pPr>
      <w:bookmarkStart w:id="569" w:name="_Ref27153"/>
    </w:p>
    <w:p>
      <w:pPr>
        <w:widowControl w:val="0"/>
        <w:spacing w:line="360" w:lineRule="auto"/>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20</w:t>
      </w:r>
      <w:r>
        <w:rPr>
          <w:rFonts w:ascii="Times New Roman" w:hAnsi="Times New Roman" w:eastAsia="宋体" w:cs="Times New Roman"/>
          <w:b/>
          <w:kern w:val="2"/>
          <w:sz w:val="21"/>
          <w:szCs w:val="21"/>
          <w:lang w:val="en-US" w:eastAsia="zh-CN" w:bidi="ar-SA"/>
        </w:rPr>
        <w:fldChar w:fldCharType="end"/>
      </w:r>
      <w:bookmarkEnd w:id="569"/>
      <w:r>
        <w:rPr>
          <w:rFonts w:ascii="Times New Roman" w:hAnsi="Times New Roman" w:eastAsia="宋体" w:cs="Times New Roman"/>
          <w:b/>
          <w:kern w:val="2"/>
          <w:sz w:val="21"/>
          <w:szCs w:val="21"/>
          <w:lang w:val="en-US" w:eastAsia="zh-CN" w:bidi="ar-SA"/>
        </w:rPr>
        <w:t>项目周边主要环境敏感目标和保护目标一览表</w:t>
      </w:r>
      <w:bookmarkStart w:id="570" w:name="_Toc324516210"/>
      <w:bookmarkStart w:id="571" w:name="_Toc324754194"/>
      <w:bookmarkStart w:id="572" w:name="_Toc336615591"/>
      <w:bookmarkStart w:id="573" w:name="_Toc10838"/>
      <w:bookmarkStart w:id="574" w:name="_Toc372124935"/>
      <w:bookmarkStart w:id="575" w:name="_Toc353549404"/>
      <w:bookmarkStart w:id="576" w:name="_Toc331351318"/>
    </w:p>
    <w:tbl>
      <w:tblPr>
        <w:tblStyle w:val="22"/>
        <w:tblW w:w="917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432"/>
        <w:gridCol w:w="1493"/>
        <w:gridCol w:w="1834"/>
        <w:gridCol w:w="1650"/>
        <w:gridCol w:w="276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432" w:type="dxa"/>
            <w:noWrap w:val="0"/>
            <w:vAlign w:val="center"/>
          </w:tcPr>
          <w:p>
            <w:pPr>
              <w:pStyle w:val="26"/>
              <w:bidi w:val="0"/>
              <w:rPr>
                <w:rFonts w:hint="eastAsia"/>
                <w:lang w:val="en-US" w:eastAsia="zh-CN"/>
              </w:rPr>
            </w:pPr>
            <w:r>
              <w:rPr>
                <w:rFonts w:hint="eastAsia"/>
                <w:lang w:val="en-US" w:eastAsia="zh-CN"/>
              </w:rPr>
              <w:t>环境因素</w:t>
            </w:r>
          </w:p>
        </w:tc>
        <w:tc>
          <w:tcPr>
            <w:tcW w:w="1493" w:type="dxa"/>
            <w:noWrap w:val="0"/>
            <w:vAlign w:val="center"/>
          </w:tcPr>
          <w:p>
            <w:pPr>
              <w:pStyle w:val="26"/>
              <w:bidi w:val="0"/>
              <w:rPr>
                <w:rFonts w:hint="eastAsia"/>
                <w:lang w:val="en-US" w:eastAsia="zh-CN"/>
              </w:rPr>
            </w:pPr>
            <w:r>
              <w:rPr>
                <w:rFonts w:hint="eastAsia"/>
                <w:lang w:val="en-US" w:eastAsia="zh-CN"/>
              </w:rPr>
              <w:t>环境保护目标</w:t>
            </w:r>
          </w:p>
        </w:tc>
        <w:tc>
          <w:tcPr>
            <w:tcW w:w="1834" w:type="dxa"/>
            <w:noWrap w:val="0"/>
            <w:vAlign w:val="center"/>
          </w:tcPr>
          <w:p>
            <w:pPr>
              <w:pStyle w:val="26"/>
              <w:bidi w:val="0"/>
              <w:rPr>
                <w:rFonts w:hint="eastAsia"/>
                <w:lang w:val="en-US" w:eastAsia="zh-CN"/>
              </w:rPr>
            </w:pPr>
            <w:r>
              <w:rPr>
                <w:rFonts w:hint="eastAsia"/>
                <w:lang w:val="en-US" w:eastAsia="zh-CN"/>
              </w:rPr>
              <w:t>与项目相对</w:t>
            </w:r>
          </w:p>
          <w:p>
            <w:pPr>
              <w:pStyle w:val="26"/>
              <w:bidi w:val="0"/>
              <w:rPr>
                <w:rFonts w:hint="eastAsia"/>
                <w:lang w:val="en-US" w:eastAsia="zh-CN"/>
              </w:rPr>
            </w:pPr>
            <w:r>
              <w:rPr>
                <w:rFonts w:hint="eastAsia"/>
                <w:lang w:val="en-US" w:eastAsia="zh-CN"/>
              </w:rPr>
              <w:t>方位和距离</w:t>
            </w:r>
          </w:p>
        </w:tc>
        <w:tc>
          <w:tcPr>
            <w:tcW w:w="1650" w:type="dxa"/>
            <w:noWrap w:val="0"/>
            <w:vAlign w:val="center"/>
          </w:tcPr>
          <w:p>
            <w:pPr>
              <w:pStyle w:val="26"/>
              <w:bidi w:val="0"/>
              <w:rPr>
                <w:rFonts w:hint="eastAsia"/>
                <w:lang w:val="en-US" w:eastAsia="zh-CN"/>
              </w:rPr>
            </w:pPr>
            <w:r>
              <w:rPr>
                <w:rFonts w:hint="eastAsia"/>
                <w:lang w:val="en-US" w:eastAsia="zh-CN"/>
              </w:rPr>
              <w:t>功能/规模</w:t>
            </w:r>
          </w:p>
        </w:tc>
        <w:tc>
          <w:tcPr>
            <w:tcW w:w="2766" w:type="dxa"/>
            <w:noWrap w:val="0"/>
            <w:vAlign w:val="center"/>
          </w:tcPr>
          <w:p>
            <w:pPr>
              <w:pStyle w:val="26"/>
              <w:bidi w:val="0"/>
              <w:rPr>
                <w:rFonts w:hint="eastAsia"/>
                <w:lang w:val="en-US" w:eastAsia="zh-CN"/>
              </w:rPr>
            </w:pPr>
            <w:r>
              <w:rPr>
                <w:rFonts w:hint="eastAsia"/>
                <w:lang w:val="en-US" w:eastAsia="zh-CN"/>
              </w:rPr>
              <w:t>保护对象及等级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432" w:type="dxa"/>
            <w:vMerge w:val="restart"/>
            <w:noWrap w:val="0"/>
            <w:vAlign w:val="center"/>
          </w:tcPr>
          <w:p>
            <w:pPr>
              <w:pStyle w:val="26"/>
              <w:bidi w:val="0"/>
              <w:rPr>
                <w:rFonts w:hint="eastAsia"/>
                <w:lang w:val="en-US" w:eastAsia="zh-CN"/>
              </w:rPr>
            </w:pPr>
            <w:r>
              <w:rPr>
                <w:rFonts w:hint="eastAsia"/>
                <w:lang w:val="en-US" w:eastAsia="zh-CN"/>
              </w:rPr>
              <w:t>地表水环境</w:t>
            </w:r>
          </w:p>
        </w:tc>
        <w:tc>
          <w:tcPr>
            <w:tcW w:w="1493" w:type="dxa"/>
            <w:noWrap w:val="0"/>
            <w:vAlign w:val="center"/>
          </w:tcPr>
          <w:p>
            <w:pPr>
              <w:pStyle w:val="26"/>
              <w:bidi w:val="0"/>
              <w:rPr>
                <w:rFonts w:hint="eastAsia"/>
                <w:lang w:val="en-US" w:eastAsia="zh-CN"/>
              </w:rPr>
            </w:pPr>
            <w:r>
              <w:rPr>
                <w:rFonts w:hint="eastAsia"/>
                <w:lang w:val="en-US" w:eastAsia="zh-CN"/>
              </w:rPr>
              <w:t>洋沙河</w:t>
            </w:r>
          </w:p>
        </w:tc>
        <w:tc>
          <w:tcPr>
            <w:tcW w:w="1834" w:type="dxa"/>
            <w:noWrap w:val="0"/>
            <w:vAlign w:val="center"/>
          </w:tcPr>
          <w:p>
            <w:pPr>
              <w:pStyle w:val="26"/>
              <w:bidi w:val="0"/>
              <w:rPr>
                <w:rFonts w:hint="eastAsia"/>
                <w:lang w:val="en-US" w:eastAsia="zh-CN"/>
              </w:rPr>
            </w:pPr>
            <w:r>
              <w:rPr>
                <w:rFonts w:hint="eastAsia"/>
                <w:lang w:val="en-US" w:eastAsia="zh-CN"/>
              </w:rPr>
              <w:t>WN，200m</w:t>
            </w:r>
          </w:p>
        </w:tc>
        <w:tc>
          <w:tcPr>
            <w:tcW w:w="1650" w:type="dxa"/>
            <w:noWrap w:val="0"/>
            <w:vAlign w:val="center"/>
          </w:tcPr>
          <w:p>
            <w:pPr>
              <w:pStyle w:val="26"/>
              <w:bidi w:val="0"/>
              <w:rPr>
                <w:rFonts w:hint="eastAsia"/>
                <w:lang w:val="en-US" w:eastAsia="zh-CN"/>
              </w:rPr>
            </w:pPr>
            <w:r>
              <w:rPr>
                <w:rFonts w:hint="eastAsia"/>
                <w:lang w:val="en-US" w:eastAsia="zh-CN"/>
              </w:rPr>
              <w:t>小河，兼具排洪及农灌功能</w:t>
            </w:r>
          </w:p>
        </w:tc>
        <w:tc>
          <w:tcPr>
            <w:tcW w:w="2766" w:type="dxa"/>
            <w:vMerge w:val="restart"/>
            <w:noWrap w:val="0"/>
            <w:vAlign w:val="center"/>
          </w:tcPr>
          <w:p>
            <w:pPr>
              <w:pStyle w:val="26"/>
              <w:bidi w:val="0"/>
              <w:rPr>
                <w:rFonts w:hint="eastAsia"/>
                <w:lang w:val="en-US" w:eastAsia="zh-CN"/>
              </w:rPr>
            </w:pPr>
            <w:r>
              <w:rPr>
                <w:rFonts w:hint="eastAsia"/>
                <w:lang w:val="en-US" w:eastAsia="zh-CN"/>
              </w:rPr>
              <w:t>《地表水环境质量标准》(GB3838-2002)Ⅲ类标准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432" w:type="dxa"/>
            <w:vMerge w:val="continue"/>
            <w:tcBorders>
              <w:bottom w:val="single" w:color="auto" w:sz="4" w:space="0"/>
            </w:tcBorders>
            <w:noWrap w:val="0"/>
            <w:vAlign w:val="center"/>
          </w:tcPr>
          <w:p>
            <w:pPr>
              <w:pStyle w:val="26"/>
              <w:bidi w:val="0"/>
              <w:rPr>
                <w:rFonts w:hint="eastAsia"/>
                <w:lang w:val="en-US" w:eastAsia="zh-CN"/>
              </w:rPr>
            </w:pPr>
          </w:p>
        </w:tc>
        <w:tc>
          <w:tcPr>
            <w:tcW w:w="1493" w:type="dxa"/>
            <w:tcBorders>
              <w:bottom w:val="single" w:color="auto" w:sz="4" w:space="0"/>
            </w:tcBorders>
            <w:noWrap w:val="0"/>
            <w:vAlign w:val="center"/>
          </w:tcPr>
          <w:p>
            <w:pPr>
              <w:pStyle w:val="26"/>
              <w:bidi w:val="0"/>
              <w:rPr>
                <w:rFonts w:hint="eastAsia"/>
                <w:lang w:val="en-US" w:eastAsia="zh-CN"/>
              </w:rPr>
            </w:pPr>
            <w:r>
              <w:rPr>
                <w:rFonts w:hint="eastAsia"/>
                <w:lang w:val="en-US" w:eastAsia="zh-CN"/>
              </w:rPr>
              <w:t>洋沙湖</w:t>
            </w:r>
          </w:p>
        </w:tc>
        <w:tc>
          <w:tcPr>
            <w:tcW w:w="1834" w:type="dxa"/>
            <w:noWrap w:val="0"/>
            <w:vAlign w:val="center"/>
          </w:tcPr>
          <w:p>
            <w:pPr>
              <w:pStyle w:val="26"/>
              <w:bidi w:val="0"/>
              <w:rPr>
                <w:rFonts w:hint="eastAsia"/>
                <w:lang w:val="en-US" w:eastAsia="zh-CN"/>
              </w:rPr>
            </w:pPr>
            <w:r>
              <w:rPr>
                <w:rFonts w:hint="eastAsia"/>
                <w:lang w:val="en-US" w:eastAsia="zh-CN"/>
              </w:rPr>
              <w:t>E，1000m</w:t>
            </w:r>
          </w:p>
        </w:tc>
        <w:tc>
          <w:tcPr>
            <w:tcW w:w="1650" w:type="dxa"/>
            <w:tcBorders>
              <w:bottom w:val="single" w:color="auto" w:sz="4" w:space="0"/>
            </w:tcBorders>
            <w:noWrap w:val="0"/>
            <w:vAlign w:val="center"/>
          </w:tcPr>
          <w:p>
            <w:pPr>
              <w:pStyle w:val="26"/>
              <w:bidi w:val="0"/>
              <w:rPr>
                <w:rFonts w:hint="eastAsia"/>
                <w:lang w:val="en-US" w:eastAsia="zh-CN"/>
              </w:rPr>
            </w:pPr>
            <w:r>
              <w:rPr>
                <w:rFonts w:hint="eastAsia"/>
                <w:lang w:val="en-US" w:eastAsia="zh-CN"/>
              </w:rPr>
              <w:t>水库，兼具排洪及农灌功能</w:t>
            </w:r>
          </w:p>
        </w:tc>
        <w:tc>
          <w:tcPr>
            <w:tcW w:w="2766" w:type="dxa"/>
            <w:vMerge w:val="continue"/>
            <w:tcBorders>
              <w:bottom w:val="single" w:color="auto" w:sz="4" w:space="0"/>
            </w:tcBorders>
            <w:noWrap w:val="0"/>
            <w:vAlign w:val="center"/>
          </w:tcPr>
          <w:p>
            <w:pPr>
              <w:pStyle w:val="26"/>
              <w:bidi w:val="0"/>
              <w:rPr>
                <w:rFonts w:hint="eastAsia"/>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432" w:type="dxa"/>
            <w:noWrap w:val="0"/>
            <w:vAlign w:val="center"/>
          </w:tcPr>
          <w:p>
            <w:pPr>
              <w:pStyle w:val="26"/>
              <w:bidi w:val="0"/>
              <w:rPr>
                <w:rFonts w:hint="eastAsia"/>
                <w:lang w:val="en-US" w:eastAsia="zh-CN"/>
              </w:rPr>
            </w:pPr>
            <w:r>
              <w:rPr>
                <w:rFonts w:hint="eastAsia"/>
                <w:lang w:val="en-US" w:eastAsia="zh-CN"/>
              </w:rPr>
              <w:t>声环境</w:t>
            </w:r>
          </w:p>
        </w:tc>
        <w:tc>
          <w:tcPr>
            <w:tcW w:w="4977" w:type="dxa"/>
            <w:gridSpan w:val="3"/>
            <w:noWrap w:val="0"/>
            <w:vAlign w:val="center"/>
          </w:tcPr>
          <w:p>
            <w:pPr>
              <w:pStyle w:val="26"/>
              <w:bidi w:val="0"/>
              <w:rPr>
                <w:rFonts w:hint="eastAsia"/>
                <w:lang w:val="en-US" w:eastAsia="zh-CN"/>
              </w:rPr>
            </w:pPr>
            <w:r>
              <w:rPr>
                <w:rFonts w:hint="eastAsia"/>
                <w:lang w:val="en-US" w:eastAsia="zh-CN"/>
              </w:rPr>
              <w:t>项目200m范围内无声环境敏感点</w:t>
            </w:r>
          </w:p>
        </w:tc>
        <w:tc>
          <w:tcPr>
            <w:tcW w:w="2766" w:type="dxa"/>
            <w:noWrap w:val="0"/>
            <w:vAlign w:val="center"/>
          </w:tcPr>
          <w:p>
            <w:pPr>
              <w:pStyle w:val="26"/>
              <w:bidi w:val="0"/>
              <w:rPr>
                <w:rFonts w:hint="eastAsia"/>
                <w:lang w:val="en-US" w:eastAsia="zh-CN"/>
              </w:rPr>
            </w:pPr>
            <w:r>
              <w:rPr>
                <w:rFonts w:hint="eastAsia"/>
                <w:lang w:val="en-US" w:eastAsia="zh-CN"/>
              </w:rPr>
              <w:t>《声环境质量标准》(GB3096-2008)3类标准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432" w:type="dxa"/>
            <w:noWrap w:val="0"/>
            <w:vAlign w:val="center"/>
          </w:tcPr>
          <w:p>
            <w:pPr>
              <w:pStyle w:val="26"/>
              <w:bidi w:val="0"/>
              <w:rPr>
                <w:rFonts w:hint="eastAsia"/>
                <w:lang w:val="en-US" w:eastAsia="zh-CN"/>
              </w:rPr>
            </w:pPr>
            <w:r>
              <w:rPr>
                <w:rFonts w:hint="eastAsia"/>
                <w:lang w:val="en-US" w:eastAsia="zh-CN"/>
              </w:rPr>
              <w:t>地下水环境</w:t>
            </w:r>
          </w:p>
        </w:tc>
        <w:tc>
          <w:tcPr>
            <w:tcW w:w="4977" w:type="dxa"/>
            <w:gridSpan w:val="3"/>
            <w:noWrap w:val="0"/>
            <w:vAlign w:val="center"/>
          </w:tcPr>
          <w:p>
            <w:pPr>
              <w:pStyle w:val="26"/>
              <w:bidi w:val="0"/>
              <w:rPr>
                <w:rFonts w:hint="eastAsia"/>
                <w:lang w:val="en-US" w:eastAsia="zh-CN"/>
              </w:rPr>
            </w:pPr>
            <w:r>
              <w:rPr>
                <w:rFonts w:hint="eastAsia"/>
                <w:lang w:val="en-US" w:eastAsia="zh-CN"/>
              </w:rPr>
              <w:t>项目所在地区域地下水流向上游1km至下游约2km，宽2km范围地下水</w:t>
            </w:r>
          </w:p>
        </w:tc>
        <w:tc>
          <w:tcPr>
            <w:tcW w:w="2766" w:type="dxa"/>
            <w:noWrap w:val="0"/>
            <w:vAlign w:val="center"/>
          </w:tcPr>
          <w:p>
            <w:pPr>
              <w:pStyle w:val="26"/>
              <w:bidi w:val="0"/>
              <w:rPr>
                <w:rFonts w:hint="eastAsia"/>
                <w:lang w:val="en-US" w:eastAsia="zh-CN"/>
              </w:rPr>
            </w:pPr>
            <w:r>
              <w:rPr>
                <w:rFonts w:hint="eastAsia"/>
                <w:lang w:val="en-US" w:eastAsia="zh-CN"/>
              </w:rPr>
              <w:t>《地下水质量标准》（GB/T14848-2017）III类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04" w:hRule="atLeast"/>
          <w:jc w:val="center"/>
        </w:trPr>
        <w:tc>
          <w:tcPr>
            <w:tcW w:w="1432" w:type="dxa"/>
            <w:noWrap w:val="0"/>
            <w:vAlign w:val="center"/>
          </w:tcPr>
          <w:p>
            <w:pPr>
              <w:pStyle w:val="26"/>
              <w:bidi w:val="0"/>
              <w:rPr>
                <w:rFonts w:hint="eastAsia"/>
                <w:lang w:val="en-US" w:eastAsia="zh-CN"/>
              </w:rPr>
            </w:pPr>
            <w:r>
              <w:rPr>
                <w:rFonts w:hint="eastAsia"/>
                <w:lang w:val="en-US" w:eastAsia="zh-CN"/>
              </w:rPr>
              <w:t>土壤环境</w:t>
            </w:r>
          </w:p>
        </w:tc>
        <w:tc>
          <w:tcPr>
            <w:tcW w:w="4977" w:type="dxa"/>
            <w:gridSpan w:val="3"/>
            <w:noWrap w:val="0"/>
            <w:vAlign w:val="center"/>
          </w:tcPr>
          <w:p>
            <w:pPr>
              <w:pStyle w:val="26"/>
              <w:bidi w:val="0"/>
              <w:rPr>
                <w:rFonts w:hint="eastAsia"/>
                <w:lang w:val="en-US" w:eastAsia="zh-CN"/>
              </w:rPr>
            </w:pPr>
            <w:r>
              <w:rPr>
                <w:rFonts w:hint="eastAsia"/>
                <w:lang w:val="en-US" w:eastAsia="zh-CN"/>
              </w:rPr>
              <w:t>建设项目周边的土壤</w:t>
            </w:r>
          </w:p>
        </w:tc>
        <w:tc>
          <w:tcPr>
            <w:tcW w:w="2766" w:type="dxa"/>
            <w:noWrap w:val="0"/>
            <w:vAlign w:val="center"/>
          </w:tcPr>
          <w:p>
            <w:pPr>
              <w:pStyle w:val="26"/>
              <w:bidi w:val="0"/>
              <w:rPr>
                <w:rFonts w:hint="eastAsia"/>
                <w:lang w:val="en-US" w:eastAsia="zh-CN"/>
              </w:rPr>
            </w:pPr>
            <w:r>
              <w:rPr>
                <w:rFonts w:hint="eastAsia"/>
                <w:lang w:val="en-US" w:eastAsia="zh-CN"/>
              </w:rPr>
              <w:t>《土壤环境质量建设用地土壤污染风险管控标准（试行）》（GB36600-2018）附录A中的Ⅳ类</w:t>
            </w:r>
          </w:p>
        </w:tc>
      </w:tr>
    </w:tbl>
    <w:p>
      <w:pPr>
        <w:pStyle w:val="25"/>
        <w:bidi w:val="0"/>
      </w:pPr>
    </w:p>
    <w:p>
      <w:pPr>
        <w:pStyle w:val="25"/>
        <w:bidi w:val="0"/>
      </w:pPr>
    </w:p>
    <w:p>
      <w:pPr>
        <w:pStyle w:val="25"/>
        <w:bidi w:val="0"/>
        <w:sectPr>
          <w:pgSz w:w="11906" w:h="16838"/>
          <w:pgMar w:top="1587" w:right="1361" w:bottom="1474" w:left="1474"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3"/>
        <w:bidi w:val="0"/>
        <w:rPr>
          <w:rFonts w:hint="default"/>
          <w:lang w:val="en-US" w:eastAsia="zh-CN"/>
        </w:rPr>
      </w:pPr>
      <w:bookmarkStart w:id="577" w:name="_Toc23597_WPSOffice_Level3"/>
      <w:bookmarkStart w:id="578" w:name="_Toc25563_WPSOffice_Level3"/>
      <w:bookmarkStart w:id="579" w:name="_Toc17469_WPSOffice_Level1"/>
      <w:bookmarkStart w:id="580" w:name="_Toc20789"/>
      <w:bookmarkStart w:id="581" w:name="_Toc13497"/>
      <w:bookmarkStart w:id="582" w:name="_Toc10708"/>
      <w:bookmarkStart w:id="583" w:name="_Toc2361_WPSOffice_Level1"/>
      <w:bookmarkStart w:id="584" w:name="_Toc18036"/>
      <w:bookmarkStart w:id="585" w:name="_Toc25274_WPSOffice_Level1"/>
      <w:bookmarkStart w:id="586" w:name="_Toc20978"/>
      <w:bookmarkStart w:id="587" w:name="_Toc367"/>
      <w:r>
        <w:rPr>
          <w:lang w:val="en-US" w:eastAsia="zh-CN"/>
        </w:rPr>
        <w:t>拟建</w:t>
      </w:r>
      <w:r>
        <w:rPr>
          <w:rFonts w:hint="default"/>
          <w:lang w:val="en-US" w:eastAsia="zh-CN"/>
        </w:rPr>
        <w:t>项目概况</w:t>
      </w:r>
      <w:bookmarkEnd w:id="577"/>
      <w:bookmarkEnd w:id="578"/>
      <w:bookmarkEnd w:id="579"/>
      <w:bookmarkEnd w:id="580"/>
      <w:bookmarkEnd w:id="581"/>
      <w:bookmarkEnd w:id="582"/>
      <w:bookmarkEnd w:id="583"/>
      <w:bookmarkEnd w:id="584"/>
    </w:p>
    <w:p>
      <w:pPr>
        <w:pStyle w:val="2"/>
        <w:bidi w:val="0"/>
        <w:rPr>
          <w:lang w:val="en-US" w:eastAsia="zh-CN"/>
        </w:rPr>
      </w:pPr>
      <w:bookmarkStart w:id="588" w:name="_Toc30648"/>
      <w:bookmarkStart w:id="589" w:name="_Toc10130"/>
      <w:bookmarkStart w:id="590" w:name="_Toc22541_WPSOffice_Level2"/>
      <w:bookmarkStart w:id="591" w:name="_Toc21948"/>
      <w:bookmarkStart w:id="592" w:name="_Toc7447_WPSOffice_Level2"/>
      <w:bookmarkStart w:id="593" w:name="_Toc11602"/>
      <w:r>
        <w:rPr>
          <w:lang w:val="en-US" w:eastAsia="zh-CN"/>
        </w:rPr>
        <w:t>工程概况</w:t>
      </w:r>
      <w:bookmarkEnd w:id="588"/>
      <w:bookmarkEnd w:id="589"/>
      <w:bookmarkEnd w:id="590"/>
      <w:bookmarkEnd w:id="591"/>
      <w:bookmarkEnd w:id="592"/>
      <w:bookmarkEnd w:id="593"/>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594" w:name="_Toc9258"/>
      <w:bookmarkStart w:id="595" w:name="_Toc32506"/>
      <w:bookmarkStart w:id="596" w:name="_Toc5239"/>
      <w:bookmarkStart w:id="597" w:name="_Toc5697"/>
      <w:bookmarkStart w:id="598" w:name="_Toc4070"/>
      <w:bookmarkStart w:id="599" w:name="_Toc27869"/>
      <w:bookmarkStart w:id="600" w:name="_Toc24666"/>
      <w:bookmarkStart w:id="601" w:name="_Toc6152"/>
      <w:r>
        <w:rPr>
          <w:rFonts w:ascii="Times New Roman" w:hAnsi="Times New Roman" w:eastAsia="宋体" w:cs="宋体"/>
          <w:kern w:val="2"/>
          <w:sz w:val="24"/>
          <w:szCs w:val="24"/>
          <w:lang w:val="en-US" w:eastAsia="zh-CN" w:bidi="ar-SA"/>
        </w:rPr>
        <w:t>根据现场调查及企业提供的资料可知，项目</w:t>
      </w:r>
      <w:r>
        <w:rPr>
          <w:rFonts w:hint="eastAsia" w:ascii="Times New Roman" w:hAnsi="Times New Roman" w:eastAsia="宋体" w:cs="宋体"/>
          <w:kern w:val="2"/>
          <w:sz w:val="24"/>
          <w:szCs w:val="24"/>
          <w:lang w:val="en-US" w:eastAsia="zh-CN" w:bidi="ar-SA"/>
        </w:rPr>
        <w:t>利用湖南湘阴县金龙新区工业区卓达金谷创业园8栋空置厂房的</w:t>
      </w:r>
      <w:r>
        <w:rPr>
          <w:rFonts w:ascii="Times New Roman" w:hAnsi="Times New Roman" w:eastAsia="宋体" w:cs="宋体"/>
          <w:kern w:val="2"/>
          <w:sz w:val="24"/>
          <w:szCs w:val="24"/>
          <w:lang w:val="en-US" w:eastAsia="zh-CN" w:bidi="ar-SA"/>
        </w:rPr>
        <w:t>基础设施进行生产，</w:t>
      </w:r>
      <w:r>
        <w:rPr>
          <w:rFonts w:hint="eastAsia" w:ascii="Times New Roman" w:hAnsi="Times New Roman" w:eastAsia="宋体" w:cs="宋体"/>
          <w:kern w:val="2"/>
          <w:sz w:val="24"/>
          <w:szCs w:val="24"/>
          <w:lang w:val="en-US" w:eastAsia="zh-CN" w:bidi="ar-SA"/>
        </w:rPr>
        <w:t>年产6500吨</w:t>
      </w:r>
      <w:r>
        <w:rPr>
          <w:rFonts w:hint="eastAsia" w:cs="宋体"/>
          <w:kern w:val="2"/>
          <w:sz w:val="24"/>
          <w:szCs w:val="24"/>
          <w:lang w:val="en-US" w:eastAsia="zh-CN" w:bidi="ar-SA"/>
        </w:rPr>
        <w:t>聚氨酯发泡胶材料</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不新征地，不新建建筑物；因此本项目</w:t>
      </w:r>
      <w:r>
        <w:rPr>
          <w:rFonts w:hint="eastAsia" w:ascii="Times New Roman" w:hAnsi="Times New Roman" w:eastAsia="宋体" w:cs="宋体"/>
          <w:kern w:val="2"/>
          <w:sz w:val="24"/>
          <w:szCs w:val="24"/>
          <w:lang w:val="en-US" w:eastAsia="zh-CN" w:bidi="ar-SA"/>
        </w:rPr>
        <w:t>基本</w:t>
      </w:r>
      <w:r>
        <w:rPr>
          <w:rFonts w:ascii="Times New Roman" w:hAnsi="Times New Roman" w:eastAsia="宋体" w:cs="宋体"/>
          <w:kern w:val="2"/>
          <w:sz w:val="24"/>
          <w:szCs w:val="24"/>
          <w:lang w:val="en-US" w:eastAsia="zh-CN" w:bidi="ar-SA"/>
        </w:rPr>
        <w:t>无相关土建</w:t>
      </w:r>
      <w:r>
        <w:rPr>
          <w:rFonts w:hint="eastAsia" w:ascii="Times New Roman" w:hAnsi="Times New Roman" w:eastAsia="宋体" w:cs="宋体"/>
          <w:kern w:val="2"/>
          <w:sz w:val="24"/>
          <w:szCs w:val="24"/>
          <w:lang w:val="en-US" w:eastAsia="zh-CN" w:bidi="ar-SA"/>
        </w:rPr>
        <w:t>工程</w:t>
      </w:r>
      <w:r>
        <w:rPr>
          <w:rFonts w:ascii="Times New Roman" w:hAnsi="Times New Roman" w:eastAsia="宋体" w:cs="宋体"/>
          <w:kern w:val="2"/>
          <w:sz w:val="24"/>
          <w:szCs w:val="24"/>
          <w:lang w:val="en-US" w:eastAsia="zh-CN" w:bidi="ar-SA"/>
        </w:rPr>
        <w:t>。主要工程为生产车间建设</w:t>
      </w:r>
      <w:r>
        <w:rPr>
          <w:rFonts w:hint="eastAsia" w:ascii="Times New Roman" w:hAnsi="Times New Roman" w:eastAsia="宋体" w:cs="宋体"/>
          <w:kern w:val="2"/>
          <w:sz w:val="24"/>
          <w:szCs w:val="24"/>
          <w:lang w:val="en-US" w:eastAsia="zh-CN" w:bidi="ar-SA"/>
        </w:rPr>
        <w:t>和生产</w:t>
      </w:r>
      <w:r>
        <w:rPr>
          <w:rFonts w:ascii="Times New Roman" w:hAnsi="Times New Roman" w:eastAsia="宋体" w:cs="宋体"/>
          <w:kern w:val="2"/>
          <w:sz w:val="24"/>
          <w:szCs w:val="24"/>
          <w:lang w:val="en-US" w:eastAsia="zh-CN" w:bidi="ar-SA"/>
        </w:rPr>
        <w:t>设施</w:t>
      </w:r>
      <w:r>
        <w:rPr>
          <w:rFonts w:hint="eastAsia" w:ascii="Times New Roman" w:hAnsi="Times New Roman" w:eastAsia="宋体" w:cs="宋体"/>
          <w:kern w:val="2"/>
          <w:sz w:val="24"/>
          <w:szCs w:val="24"/>
          <w:lang w:val="en-US" w:eastAsia="zh-CN" w:bidi="ar-SA"/>
        </w:rPr>
        <w:t>设备</w:t>
      </w:r>
      <w:r>
        <w:rPr>
          <w:rFonts w:ascii="Times New Roman" w:hAnsi="Times New Roman" w:eastAsia="宋体" w:cs="宋体"/>
          <w:kern w:val="2"/>
          <w:sz w:val="24"/>
          <w:szCs w:val="24"/>
          <w:lang w:val="en-US" w:eastAsia="zh-CN" w:bidi="ar-SA"/>
        </w:rPr>
        <w:t>的安装</w:t>
      </w:r>
      <w:r>
        <w:rPr>
          <w:rFonts w:hint="eastAsia" w:ascii="Times New Roman" w:hAnsi="Times New Roman" w:eastAsia="宋体" w:cs="宋体"/>
          <w:kern w:val="2"/>
          <w:sz w:val="24"/>
          <w:szCs w:val="24"/>
          <w:lang w:val="en-US" w:eastAsia="zh-CN" w:bidi="ar-SA"/>
        </w:rPr>
        <w:t>调试</w:t>
      </w:r>
      <w:r>
        <w:rPr>
          <w:rFonts w:ascii="Times New Roman" w:hAnsi="Times New Roman" w:eastAsia="宋体" w:cs="宋体"/>
          <w:kern w:val="2"/>
          <w:sz w:val="24"/>
          <w:szCs w:val="24"/>
          <w:lang w:val="en-US" w:eastAsia="zh-CN" w:bidi="ar-SA"/>
        </w:rPr>
        <w:t>。</w:t>
      </w:r>
    </w:p>
    <w:p>
      <w:pPr>
        <w:pStyle w:val="4"/>
        <w:bidi w:val="0"/>
        <w:rPr>
          <w:lang w:val="en-US" w:eastAsia="zh-CN"/>
        </w:rPr>
      </w:pPr>
      <w:bookmarkStart w:id="602" w:name="_Toc3073"/>
      <w:bookmarkStart w:id="603" w:name="_Toc821"/>
      <w:bookmarkStart w:id="604" w:name="_Toc8847"/>
      <w:bookmarkStart w:id="605" w:name="_Toc8303"/>
      <w:bookmarkStart w:id="606" w:name="_Toc20490"/>
      <w:bookmarkStart w:id="607" w:name="_Toc5504"/>
      <w:r>
        <w:rPr>
          <w:lang w:val="en-US" w:eastAsia="zh-CN"/>
        </w:rPr>
        <w:t>项目基本情况</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bookmarkEnd w:id="570"/>
    <w:bookmarkEnd w:id="571"/>
    <w:bookmarkEnd w:id="572"/>
    <w:bookmarkEnd w:id="573"/>
    <w:bookmarkEnd w:id="574"/>
    <w:bookmarkEnd w:id="575"/>
    <w:bookmarkEnd w:id="576"/>
    <w:bookmarkEnd w:id="585"/>
    <w:bookmarkEnd w:id="586"/>
    <w:bookmarkEnd w:id="587"/>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项目名称：</w:t>
      </w:r>
      <w:r>
        <w:rPr>
          <w:rFonts w:hint="eastAsia" w:ascii="Times New Roman" w:hAnsi="Times New Roman" w:eastAsia="宋体" w:cs="宋体"/>
          <w:kern w:val="2"/>
          <w:sz w:val="24"/>
          <w:szCs w:val="24"/>
          <w:lang w:val="en-US" w:eastAsia="zh-CN" w:bidi="ar-SA"/>
        </w:rPr>
        <w:t>年产6500吨</w:t>
      </w:r>
      <w:r>
        <w:rPr>
          <w:rFonts w:hint="eastAsia" w:cs="宋体"/>
          <w:kern w:val="2"/>
          <w:sz w:val="24"/>
          <w:szCs w:val="24"/>
          <w:lang w:val="en-US" w:eastAsia="zh-CN" w:bidi="ar-SA"/>
        </w:rPr>
        <w:t>聚氨酯发泡胶材料</w:t>
      </w:r>
      <w:r>
        <w:rPr>
          <w:rFonts w:hint="eastAsia" w:ascii="Times New Roman" w:hAnsi="Times New Roman" w:eastAsia="宋体" w:cs="宋体"/>
          <w:kern w:val="2"/>
          <w:sz w:val="24"/>
          <w:szCs w:val="24"/>
          <w:lang w:val="en-US" w:eastAsia="zh-CN" w:bidi="ar-SA"/>
        </w:rPr>
        <w:t>生产项目</w:t>
      </w:r>
      <w:r>
        <w:rPr>
          <w:rFonts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建设单位</w:t>
      </w:r>
      <w:r>
        <w:rPr>
          <w:rFonts w:hint="eastAsia" w:ascii="Times New Roman" w:hAnsi="Times New Roman" w:eastAsia="宋体" w:cs="宋体"/>
          <w:kern w:val="2"/>
          <w:sz w:val="24"/>
          <w:szCs w:val="24"/>
          <w:lang w:val="en-US" w:eastAsia="zh-CN" w:bidi="ar-SA"/>
        </w:rPr>
        <w:t>：湖南聚特新材料有限公司</w:t>
      </w:r>
      <w:r>
        <w:rPr>
          <w:rFonts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拟建地点：</w:t>
      </w:r>
      <w:r>
        <w:rPr>
          <w:rFonts w:hint="eastAsia" w:ascii="Times New Roman" w:hAnsi="Times New Roman" w:eastAsia="宋体" w:cs="宋体"/>
          <w:kern w:val="2"/>
          <w:sz w:val="24"/>
          <w:szCs w:val="24"/>
          <w:lang w:val="en-US" w:eastAsia="zh-CN" w:bidi="ar-SA"/>
        </w:rPr>
        <w:t>湖南湘阴县金龙新区工业区卓达金谷创业园第8栋厂房</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东经112°55′48〞，北纬28°32′1〞；</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建设性质</w:t>
      </w:r>
      <w:r>
        <w:rPr>
          <w:rFonts w:hint="eastAsia" w:ascii="Times New Roman" w:hAnsi="Times New Roman" w:eastAsia="宋体" w:cs="宋体"/>
          <w:kern w:val="2"/>
          <w:sz w:val="24"/>
          <w:szCs w:val="24"/>
          <w:lang w:val="en-US" w:eastAsia="zh-CN" w:bidi="ar-SA"/>
        </w:rPr>
        <w:t>：新建</w:t>
      </w:r>
      <w:r>
        <w:rPr>
          <w:rFonts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生产规模：</w:t>
      </w:r>
      <w:r>
        <w:rPr>
          <w:rFonts w:hint="eastAsia" w:ascii="Times New Roman" w:hAnsi="Times New Roman" w:eastAsia="宋体" w:cs="宋体"/>
          <w:kern w:val="2"/>
          <w:sz w:val="24"/>
          <w:szCs w:val="24"/>
          <w:lang w:val="en-US" w:eastAsia="zh-CN" w:bidi="ar-SA"/>
        </w:rPr>
        <w:t>年产6500吨</w:t>
      </w:r>
      <w:r>
        <w:rPr>
          <w:rFonts w:hint="eastAsia" w:cs="宋体"/>
          <w:kern w:val="2"/>
          <w:sz w:val="24"/>
          <w:szCs w:val="24"/>
          <w:lang w:val="en-US" w:eastAsia="zh-CN" w:bidi="ar-SA"/>
        </w:rPr>
        <w:t>聚氨酯发泡胶材料</w:t>
      </w:r>
      <w:r>
        <w:rPr>
          <w:rFonts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项目总用地面积</w:t>
      </w:r>
      <w:r>
        <w:rPr>
          <w:rFonts w:hint="eastAsia" w:ascii="Times New Roman" w:hAnsi="Times New Roman" w:eastAsia="宋体" w:cs="宋体"/>
          <w:kern w:val="2"/>
          <w:sz w:val="24"/>
          <w:szCs w:val="24"/>
          <w:lang w:val="en-US" w:eastAsia="zh-CN" w:bidi="ar-SA"/>
        </w:rPr>
        <w:t>：2400m</w:t>
      </w:r>
      <w:r>
        <w:rPr>
          <w:rFonts w:hint="eastAsia" w:ascii="Times New Roman" w:hAnsi="Times New Roman" w:eastAsia="宋体" w:cs="宋体"/>
          <w:kern w:val="2"/>
          <w:sz w:val="24"/>
          <w:szCs w:val="24"/>
          <w:vertAlign w:val="superscript"/>
          <w:lang w:val="en-US" w:eastAsia="zh-CN" w:bidi="ar-SA"/>
        </w:rPr>
        <w:t>2</w:t>
      </w:r>
      <w:r>
        <w:rPr>
          <w:rFonts w:hint="eastAsia"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投资情况：本项目建设</w:t>
      </w:r>
      <w:r>
        <w:rPr>
          <w:rFonts w:hint="eastAsia" w:ascii="Times New Roman" w:hAnsi="Times New Roman" w:eastAsia="宋体" w:cs="宋体"/>
          <w:kern w:val="2"/>
          <w:sz w:val="24"/>
          <w:szCs w:val="24"/>
          <w:lang w:val="en-US" w:eastAsia="zh-CN" w:bidi="ar-SA"/>
        </w:rPr>
        <w:t>总</w:t>
      </w:r>
      <w:r>
        <w:rPr>
          <w:rFonts w:ascii="Times New Roman" w:hAnsi="Times New Roman" w:eastAsia="宋体" w:cs="宋体"/>
          <w:kern w:val="2"/>
          <w:sz w:val="24"/>
          <w:szCs w:val="24"/>
          <w:lang w:val="en-US" w:eastAsia="zh-CN" w:bidi="ar-SA"/>
        </w:rPr>
        <w:t>投资</w:t>
      </w:r>
      <w:r>
        <w:rPr>
          <w:rFonts w:hint="eastAsia" w:ascii="Times New Roman" w:hAnsi="Times New Roman" w:eastAsia="宋体" w:cs="宋体"/>
          <w:kern w:val="2"/>
          <w:sz w:val="24"/>
          <w:szCs w:val="24"/>
          <w:lang w:val="en-US" w:eastAsia="zh-CN" w:bidi="ar-SA"/>
        </w:rPr>
        <w:t>5000万元</w:t>
      </w:r>
      <w:r>
        <w:rPr>
          <w:rFonts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行业类别：C2924泡沫塑料制造；</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项目建设周期：本项目计划总工期</w:t>
      </w:r>
      <w:r>
        <w:rPr>
          <w:rFonts w:hint="eastAsia"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t>个月</w:t>
      </w:r>
      <w:bookmarkStart w:id="608" w:name="_Toc66197798"/>
      <w:bookmarkStart w:id="609" w:name="_Toc66199265"/>
      <w:bookmarkStart w:id="610" w:name="_Toc107630118"/>
      <w:bookmarkStart w:id="611" w:name="_Toc107218770"/>
      <w:bookmarkStart w:id="612" w:name="_Toc107219455"/>
      <w:bookmarkStart w:id="613" w:name="_Toc66712066"/>
      <w:r>
        <w:rPr>
          <w:rFonts w:ascii="Times New Roman" w:hAnsi="Times New Roman" w:eastAsia="宋体" w:cs="宋体"/>
          <w:kern w:val="2"/>
          <w:sz w:val="24"/>
          <w:szCs w:val="24"/>
          <w:lang w:val="en-US" w:eastAsia="zh-CN" w:bidi="ar-SA"/>
        </w:rPr>
        <w:t>；</w:t>
      </w:r>
    </w:p>
    <w:bookmarkEnd w:id="608"/>
    <w:bookmarkEnd w:id="609"/>
    <w:bookmarkEnd w:id="610"/>
    <w:bookmarkEnd w:id="611"/>
    <w:bookmarkEnd w:id="612"/>
    <w:bookmarkEnd w:id="613"/>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614" w:name="_Toc17637"/>
      <w:bookmarkStart w:id="615" w:name="_Toc29716"/>
      <w:bookmarkStart w:id="616" w:name="_Toc1021"/>
      <w:bookmarkStart w:id="617" w:name="_Toc21186"/>
      <w:bookmarkStart w:id="618" w:name="_Toc14103"/>
      <w:bookmarkStart w:id="619" w:name="_Toc32572"/>
      <w:r>
        <w:rPr>
          <w:rFonts w:ascii="Times New Roman" w:hAnsi="Times New Roman" w:eastAsia="宋体" w:cs="宋体"/>
          <w:kern w:val="2"/>
          <w:sz w:val="24"/>
          <w:szCs w:val="24"/>
          <w:lang w:val="en-US" w:eastAsia="zh-CN" w:bidi="ar-SA"/>
        </w:rPr>
        <w:t>项目</w:t>
      </w:r>
      <w:r>
        <w:rPr>
          <w:rFonts w:hint="eastAsia" w:ascii="Times New Roman" w:hAnsi="Times New Roman" w:eastAsia="宋体" w:cs="宋体"/>
          <w:kern w:val="2"/>
          <w:sz w:val="24"/>
          <w:szCs w:val="24"/>
          <w:lang w:val="en-US" w:eastAsia="zh-CN" w:bidi="ar-SA"/>
        </w:rPr>
        <w:t>厂房</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为现有空置厂房。</w:t>
      </w:r>
    </w:p>
    <w:p>
      <w:pPr>
        <w:widowControl w:val="0"/>
        <w:bidi w:val="0"/>
        <w:spacing w:line="360" w:lineRule="auto"/>
        <w:ind w:firstLine="480" w:firstLineChars="200"/>
        <w:jc w:val="left"/>
        <w:rPr>
          <w:rFonts w:hint="eastAsia" w:ascii="Times New Roman" w:hAnsi="Times New Roman" w:eastAsia="宋体" w:cs="宋体"/>
          <w:color w:val="auto"/>
          <w:kern w:val="2"/>
          <w:sz w:val="24"/>
          <w:szCs w:val="24"/>
          <w:highlight w:val="none"/>
          <w:lang w:val="en-US" w:eastAsia="zh-CN" w:bidi="ar-SA"/>
        </w:rPr>
      </w:pPr>
      <w:r>
        <w:rPr>
          <w:rFonts w:ascii="Times New Roman" w:hAnsi="Times New Roman" w:eastAsia="宋体" w:cs="宋体"/>
          <w:color w:val="auto"/>
          <w:kern w:val="2"/>
          <w:sz w:val="24"/>
          <w:szCs w:val="24"/>
          <w:highlight w:val="none"/>
          <w:lang w:val="en-US" w:eastAsia="zh-CN" w:bidi="ar-SA"/>
        </w:rPr>
        <w:t>项目四周情况：</w:t>
      </w:r>
      <w:r>
        <w:rPr>
          <w:rFonts w:hint="eastAsia" w:ascii="Times New Roman" w:hAnsi="Times New Roman" w:eastAsia="宋体" w:cs="宋体"/>
          <w:color w:val="auto"/>
          <w:kern w:val="2"/>
          <w:sz w:val="24"/>
          <w:szCs w:val="24"/>
          <w:highlight w:val="none"/>
          <w:lang w:val="en-US" w:eastAsia="zh-CN" w:bidi="ar-SA"/>
        </w:rPr>
        <w:t>东面为湖南斯迪儿展览展示有限责任公司（11A栋，生产展览展示柜），南面为湖南木之玖家具有限公司（9A栋，生产家具），西面为湖南威邦新材料有限公司（1A栋、2A栋，生产新型</w:t>
      </w:r>
      <w:r>
        <w:rPr>
          <w:rFonts w:ascii="Times New Roman" w:hAnsi="Times New Roman" w:eastAsia="宋体" w:cs="宋体"/>
          <w:color w:val="auto"/>
          <w:kern w:val="2"/>
          <w:sz w:val="24"/>
          <w:szCs w:val="21"/>
          <w:lang w:val="en-US" w:eastAsia="zh-CN" w:bidi="ar-SA"/>
        </w:rPr>
        <w:t>干混建材</w:t>
      </w:r>
      <w:r>
        <w:rPr>
          <w:rFonts w:hint="eastAsia" w:ascii="Times New Roman" w:hAnsi="Times New Roman" w:eastAsia="宋体" w:cs="宋体"/>
          <w:color w:val="auto"/>
          <w:kern w:val="2"/>
          <w:sz w:val="24"/>
          <w:szCs w:val="24"/>
          <w:highlight w:val="none"/>
          <w:lang w:val="en-US" w:eastAsia="zh-CN" w:bidi="ar-SA"/>
        </w:rPr>
        <w:t>），北面为空置厂房（7A栋）。</w:t>
      </w:r>
    </w:p>
    <w:p>
      <w:pPr>
        <w:pStyle w:val="25"/>
        <w:bidi w:val="0"/>
        <w:rPr>
          <w:rFonts w:hint="eastAsia"/>
        </w:rPr>
      </w:pPr>
      <w:r>
        <w:rPr>
          <w:rFonts w:hint="eastAsia"/>
        </w:rPr>
        <w:t>与周边企业相容性：</w:t>
      </w:r>
      <w:r>
        <w:rPr>
          <w:rFonts w:hint="eastAsia"/>
          <w:lang w:eastAsia="zh-CN"/>
        </w:rPr>
        <w:t>本</w:t>
      </w:r>
      <w:r>
        <w:rPr>
          <w:rFonts w:hint="eastAsia"/>
        </w:rPr>
        <w:t>项目与</w:t>
      </w:r>
      <w:r>
        <w:rPr>
          <w:rFonts w:hint="eastAsia" w:ascii="Times New Roman" w:hAnsi="Times New Roman" w:eastAsia="宋体" w:cs="宋体"/>
          <w:color w:val="auto"/>
          <w:kern w:val="2"/>
          <w:sz w:val="24"/>
          <w:szCs w:val="24"/>
          <w:highlight w:val="none"/>
          <w:lang w:val="en-US" w:eastAsia="zh-CN" w:bidi="ar-SA"/>
        </w:rPr>
        <w:t>斯迪儿展览展示</w:t>
      </w:r>
      <w:r>
        <w:rPr>
          <w:rFonts w:hint="eastAsia" w:cs="宋体"/>
          <w:color w:val="auto"/>
          <w:kern w:val="2"/>
          <w:sz w:val="24"/>
          <w:szCs w:val="24"/>
          <w:highlight w:val="none"/>
          <w:lang w:val="en-US" w:eastAsia="zh-CN" w:bidi="ar-SA"/>
        </w:rPr>
        <w:t>公司、</w:t>
      </w:r>
      <w:r>
        <w:rPr>
          <w:rFonts w:hint="eastAsia" w:ascii="Times New Roman" w:hAnsi="Times New Roman" w:eastAsia="宋体" w:cs="宋体"/>
          <w:color w:val="auto"/>
          <w:kern w:val="2"/>
          <w:sz w:val="24"/>
          <w:szCs w:val="24"/>
          <w:highlight w:val="none"/>
          <w:lang w:val="en-US" w:eastAsia="zh-CN" w:bidi="ar-SA"/>
        </w:rPr>
        <w:t>木之玖家具</w:t>
      </w:r>
      <w:r>
        <w:rPr>
          <w:rFonts w:hint="eastAsia" w:cs="宋体"/>
          <w:color w:val="auto"/>
          <w:kern w:val="2"/>
          <w:sz w:val="24"/>
          <w:szCs w:val="24"/>
          <w:highlight w:val="none"/>
          <w:lang w:val="en-US" w:eastAsia="zh-CN" w:bidi="ar-SA"/>
        </w:rPr>
        <w:t>公司、</w:t>
      </w:r>
      <w:r>
        <w:rPr>
          <w:rFonts w:hint="eastAsia" w:ascii="Times New Roman" w:hAnsi="Times New Roman" w:eastAsia="宋体" w:cs="宋体"/>
          <w:color w:val="auto"/>
          <w:kern w:val="2"/>
          <w:sz w:val="24"/>
          <w:szCs w:val="24"/>
          <w:highlight w:val="none"/>
          <w:lang w:val="en-US" w:eastAsia="zh-CN" w:bidi="ar-SA"/>
        </w:rPr>
        <w:t>威邦新材料</w:t>
      </w:r>
      <w:r>
        <w:rPr>
          <w:rFonts w:hint="eastAsia" w:cs="宋体"/>
          <w:color w:val="auto"/>
          <w:kern w:val="2"/>
          <w:sz w:val="24"/>
          <w:szCs w:val="24"/>
          <w:highlight w:val="none"/>
          <w:lang w:val="en-US" w:eastAsia="zh-CN" w:bidi="ar-SA"/>
        </w:rPr>
        <w:t>公司</w:t>
      </w:r>
      <w:r>
        <w:rPr>
          <w:rFonts w:hint="eastAsia"/>
        </w:rPr>
        <w:t>的产品无直接冲突，且之间相隔道路墙壁，本项目为密闭厂房，故本项目与</w:t>
      </w:r>
      <w:r>
        <w:rPr>
          <w:rFonts w:hint="eastAsia"/>
          <w:lang w:eastAsia="zh-CN"/>
        </w:rPr>
        <w:t>相邻企业</w:t>
      </w:r>
      <w:r>
        <w:rPr>
          <w:rFonts w:hint="eastAsia"/>
        </w:rPr>
        <w:t>之间无相互影响，相容性较好。</w:t>
      </w:r>
    </w:p>
    <w:p>
      <w:pPr>
        <w:pStyle w:val="25"/>
        <w:bidi w:val="0"/>
        <w:rPr>
          <w:rFonts w:hint="eastAsia"/>
          <w:u w:val="single"/>
          <w:lang w:val="en-US" w:eastAsia="zh-CN"/>
        </w:rPr>
      </w:pPr>
      <w:r>
        <w:rPr>
          <w:rFonts w:hint="eastAsia"/>
          <w:u w:val="single"/>
          <w:lang w:eastAsia="zh-CN"/>
        </w:rPr>
        <w:t>位于创业园</w:t>
      </w:r>
      <w:r>
        <w:rPr>
          <w:rFonts w:hint="eastAsia"/>
          <w:u w:val="single"/>
          <w:lang w:val="en-US" w:eastAsia="zh-CN"/>
        </w:rPr>
        <w:t>13A栋的湘阴同源食品有限公司</w:t>
      </w:r>
      <w:r>
        <w:rPr>
          <w:rFonts w:hint="eastAsia"/>
          <w:u w:val="single"/>
        </w:rPr>
        <w:t>为豆制品制造</w:t>
      </w:r>
      <w:r>
        <w:rPr>
          <w:rFonts w:hint="eastAsia"/>
          <w:u w:val="single"/>
          <w:lang w:eastAsia="zh-CN"/>
        </w:rPr>
        <w:t>行业，</w:t>
      </w:r>
      <w:r>
        <w:rPr>
          <w:rFonts w:hint="eastAsia"/>
          <w:u w:val="single"/>
          <w:lang w:val="en-US" w:eastAsia="zh-CN"/>
        </w:rPr>
        <w:t>18A栋的岳阳冠元食品科技有限公司为食品加工行业，</w:t>
      </w:r>
      <w:r>
        <w:rPr>
          <w:rFonts w:hint="eastAsia"/>
          <w:u w:val="single"/>
        </w:rPr>
        <w:t>与本项目的相容性一般，但本项目与</w:t>
      </w:r>
      <w:r>
        <w:rPr>
          <w:rFonts w:hint="eastAsia"/>
          <w:u w:val="single"/>
          <w:lang w:eastAsia="zh-CN"/>
        </w:rPr>
        <w:t>同源食品和冠元食品之</w:t>
      </w:r>
      <w:r>
        <w:rPr>
          <w:rFonts w:hint="eastAsia"/>
          <w:u w:val="single"/>
        </w:rPr>
        <w:t>间相隔道路墙壁，</w:t>
      </w:r>
      <w:r>
        <w:rPr>
          <w:rFonts w:hint="eastAsia"/>
          <w:u w:val="single"/>
          <w:lang w:eastAsia="zh-CN"/>
        </w:rPr>
        <w:t>本项目与同源食品相距</w:t>
      </w:r>
      <w:r>
        <w:rPr>
          <w:rFonts w:hint="eastAsia"/>
          <w:u w:val="single"/>
          <w:lang w:val="en-US" w:eastAsia="zh-CN"/>
        </w:rPr>
        <w:t>120m，与</w:t>
      </w:r>
      <w:r>
        <w:rPr>
          <w:rFonts w:hint="eastAsia"/>
          <w:u w:val="single"/>
          <w:lang w:eastAsia="zh-CN"/>
        </w:rPr>
        <w:t>冠元食品相距</w:t>
      </w:r>
      <w:r>
        <w:rPr>
          <w:rFonts w:hint="eastAsia"/>
          <w:u w:val="single"/>
          <w:lang w:val="en-US" w:eastAsia="zh-CN"/>
        </w:rPr>
        <w:t>170m。</w:t>
      </w:r>
      <w:r>
        <w:rPr>
          <w:rFonts w:hint="eastAsia"/>
          <w:u w:val="single"/>
        </w:rPr>
        <w:t>本项目为密闭厂房，</w:t>
      </w:r>
      <w:r>
        <w:rPr>
          <w:rFonts w:hint="eastAsia"/>
          <w:u w:val="single"/>
          <w:lang w:eastAsia="zh-CN"/>
        </w:rPr>
        <w:t>同源食品和冠元食品均</w:t>
      </w:r>
      <w:r>
        <w:rPr>
          <w:rFonts w:hint="eastAsia"/>
          <w:u w:val="single"/>
        </w:rPr>
        <w:t>位于本项目的侧风向</w:t>
      </w:r>
      <w:r>
        <w:rPr>
          <w:rFonts w:hint="eastAsia"/>
          <w:u w:val="single"/>
          <w:lang w:eastAsia="zh-CN"/>
        </w:rPr>
        <w:t>，</w:t>
      </w:r>
      <w:r>
        <w:rPr>
          <w:rFonts w:hint="eastAsia"/>
          <w:u w:val="single"/>
        </w:rPr>
        <w:t>故本项目与同源食品</w:t>
      </w:r>
      <w:r>
        <w:rPr>
          <w:rFonts w:hint="eastAsia"/>
          <w:u w:val="single"/>
          <w:lang w:eastAsia="zh-CN"/>
        </w:rPr>
        <w:t>和冠元食品</w:t>
      </w:r>
      <w:r>
        <w:rPr>
          <w:rFonts w:hint="eastAsia"/>
          <w:u w:val="single"/>
        </w:rPr>
        <w:t>之间无相互影响。</w:t>
      </w:r>
    </w:p>
    <w:p>
      <w:pPr>
        <w:pStyle w:val="4"/>
        <w:bidi w:val="0"/>
        <w:rPr>
          <w:lang w:val="en-US" w:eastAsia="zh-CN"/>
        </w:rPr>
      </w:pPr>
      <w:bookmarkStart w:id="620" w:name="_Toc6534"/>
      <w:bookmarkStart w:id="621" w:name="_Toc23776"/>
      <w:bookmarkStart w:id="622" w:name="_Toc24460"/>
      <w:bookmarkStart w:id="623" w:name="_Toc15931"/>
      <w:bookmarkStart w:id="624" w:name="_Toc30239"/>
      <w:bookmarkStart w:id="625" w:name="_Toc11152"/>
      <w:bookmarkStart w:id="626" w:name="_Toc32530"/>
      <w:bookmarkStart w:id="627" w:name="_Toc5881"/>
      <w:r>
        <w:rPr>
          <w:lang w:val="en-US" w:eastAsia="zh-CN"/>
        </w:rPr>
        <w:t>工程建设内容</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628" w:name="_Toc24976"/>
      <w:bookmarkStart w:id="629" w:name="_Toc26147"/>
      <w:bookmarkStart w:id="630" w:name="_Toc10687"/>
      <w:bookmarkStart w:id="631" w:name="_Toc17299"/>
      <w:bookmarkStart w:id="632" w:name="_Toc361241080"/>
      <w:bookmarkStart w:id="633" w:name="OLE_LINK13"/>
      <w:bookmarkStart w:id="634" w:name="_Toc24891"/>
      <w:bookmarkStart w:id="635" w:name="_Toc18971"/>
      <w:bookmarkStart w:id="636" w:name="_Toc32582"/>
      <w:bookmarkStart w:id="637" w:name="_Toc25920"/>
      <w:bookmarkStart w:id="638" w:name="_Toc22939"/>
      <w:bookmarkStart w:id="639" w:name="_Toc10285"/>
      <w:bookmarkStart w:id="640" w:name="_Toc328401075"/>
      <w:r>
        <w:rPr>
          <w:rFonts w:ascii="Times New Roman" w:hAnsi="Times New Roman" w:eastAsia="宋体" w:cs="宋体"/>
          <w:kern w:val="2"/>
          <w:sz w:val="24"/>
          <w:szCs w:val="24"/>
          <w:lang w:val="en-US" w:eastAsia="zh-CN" w:bidi="ar-SA"/>
        </w:rPr>
        <w:t>本项目建筑面积</w:t>
      </w:r>
      <w:r>
        <w:rPr>
          <w:rFonts w:hint="eastAsia" w:ascii="Times New Roman" w:hAnsi="Times New Roman" w:eastAsia="宋体" w:cs="宋体"/>
          <w:kern w:val="2"/>
          <w:sz w:val="24"/>
          <w:szCs w:val="24"/>
          <w:lang w:val="en-US" w:eastAsia="zh-CN" w:bidi="ar-SA"/>
        </w:rPr>
        <w:t>约为2400</w:t>
      </w:r>
      <w:r>
        <w:rPr>
          <w:rFonts w:ascii="Times New Roman" w:hAnsi="Times New Roman" w:eastAsia="宋体" w:cs="宋体"/>
          <w:kern w:val="2"/>
          <w:sz w:val="24"/>
          <w:szCs w:val="24"/>
          <w:lang w:val="en-US" w:eastAsia="zh-CN" w:bidi="ar-SA"/>
        </w:rPr>
        <w:t>m</w:t>
      </w:r>
      <w:r>
        <w:rPr>
          <w:rFonts w:ascii="Times New Roman" w:hAnsi="Times New Roman" w:eastAsia="宋体" w:cs="宋体"/>
          <w:kern w:val="2"/>
          <w:sz w:val="24"/>
          <w:szCs w:val="24"/>
          <w:vertAlign w:val="superscript"/>
          <w:lang w:val="en-US" w:eastAsia="zh-CN" w:bidi="ar-SA"/>
        </w:rPr>
        <w:t>2</w:t>
      </w:r>
      <w:r>
        <w:rPr>
          <w:rFonts w:ascii="Times New Roman" w:hAnsi="Times New Roman" w:eastAsia="宋体" w:cs="宋体"/>
          <w:kern w:val="2"/>
          <w:sz w:val="24"/>
          <w:szCs w:val="24"/>
          <w:lang w:val="en-US" w:eastAsia="zh-CN" w:bidi="ar-SA"/>
        </w:rPr>
        <w:t>，项目组成具体情况如</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REF _Ref17842 \h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3</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w:t>
      </w:r>
      <w:r>
        <w:rPr>
          <w:rFonts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所示。项目</w:t>
      </w:r>
      <w:r>
        <w:rPr>
          <w:rFonts w:hint="eastAsia" w:ascii="Times New Roman" w:hAnsi="Times New Roman" w:eastAsia="宋体" w:cs="宋体"/>
          <w:kern w:val="2"/>
          <w:sz w:val="24"/>
          <w:szCs w:val="24"/>
          <w:lang w:val="en-US" w:eastAsia="zh-CN" w:bidi="ar-SA"/>
        </w:rPr>
        <w:t>建设地址位于湖南湘阴县金龙新区工业区卓达金谷创业园8栋厂房</w:t>
      </w:r>
      <w:r>
        <w:rPr>
          <w:rFonts w:ascii="Times New Roman" w:hAnsi="Times New Roman" w:eastAsia="宋体" w:cs="宋体"/>
          <w:kern w:val="2"/>
          <w:sz w:val="24"/>
          <w:szCs w:val="24"/>
          <w:lang w:val="en-US" w:eastAsia="zh-CN" w:bidi="ar-SA"/>
        </w:rPr>
        <w:t>，利用现有建筑设施建设本项目。项目主体工程、仓储工程、辅助工程均为已建建筑，不需另外建设，本项目主要建设</w:t>
      </w:r>
      <w:r>
        <w:rPr>
          <w:rFonts w:hint="eastAsia" w:ascii="Times New Roman" w:hAnsi="Times New Roman" w:eastAsia="宋体" w:cs="宋体"/>
          <w:kern w:val="2"/>
          <w:sz w:val="24"/>
          <w:szCs w:val="24"/>
          <w:lang w:val="en-US" w:eastAsia="zh-CN" w:bidi="ar-SA"/>
        </w:rPr>
        <w:t>为车间布置及</w:t>
      </w:r>
      <w:r>
        <w:rPr>
          <w:rFonts w:ascii="Times New Roman" w:hAnsi="Times New Roman" w:eastAsia="宋体" w:cs="宋体"/>
          <w:kern w:val="2"/>
          <w:sz w:val="24"/>
          <w:szCs w:val="24"/>
          <w:lang w:val="en-US" w:eastAsia="zh-CN" w:bidi="ar-SA"/>
        </w:rPr>
        <w:t>生产设备的安装和环保工程的建设。</w:t>
      </w:r>
      <w:r>
        <w:rPr>
          <w:rFonts w:hint="eastAsia" w:ascii="Times New Roman" w:hAnsi="Times New Roman" w:eastAsia="宋体" w:cs="宋体"/>
          <w:kern w:val="2"/>
          <w:sz w:val="24"/>
          <w:szCs w:val="24"/>
          <w:lang w:val="en-US" w:eastAsia="zh-CN" w:bidi="ar-SA"/>
        </w:rPr>
        <w:t>生产</w:t>
      </w:r>
      <w:r>
        <w:rPr>
          <w:rFonts w:ascii="Times New Roman" w:hAnsi="Times New Roman" w:eastAsia="宋体" w:cs="宋体"/>
          <w:kern w:val="2"/>
          <w:sz w:val="24"/>
          <w:szCs w:val="24"/>
          <w:lang w:val="en-US" w:eastAsia="zh-CN" w:bidi="ar-SA"/>
        </w:rPr>
        <w:t>规模为</w:t>
      </w:r>
      <w:r>
        <w:rPr>
          <w:rFonts w:hint="eastAsia" w:ascii="Times New Roman" w:hAnsi="Times New Roman" w:eastAsia="宋体" w:cs="宋体"/>
          <w:kern w:val="2"/>
          <w:sz w:val="24"/>
          <w:szCs w:val="24"/>
          <w:lang w:val="en-US" w:eastAsia="zh-CN" w:bidi="ar-SA"/>
        </w:rPr>
        <w:t>年产6500吨</w:t>
      </w:r>
      <w:r>
        <w:rPr>
          <w:rFonts w:hint="eastAsia" w:cs="宋体"/>
          <w:kern w:val="2"/>
          <w:sz w:val="24"/>
          <w:szCs w:val="24"/>
          <w:lang w:val="en-US" w:eastAsia="zh-CN" w:bidi="ar-SA"/>
        </w:rPr>
        <w:t>聚氨酯发泡胶材料</w:t>
      </w:r>
      <w:r>
        <w:rPr>
          <w:rFonts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kern w:val="2"/>
          <w:sz w:val="21"/>
          <w:szCs w:val="21"/>
          <w:lang w:val="en-US" w:eastAsia="zh-CN" w:bidi="ar-SA"/>
        </w:rPr>
      </w:pPr>
      <w:bookmarkStart w:id="641" w:name="_Ref17842"/>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3</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bookmarkEnd w:id="641"/>
      <w:r>
        <w:rPr>
          <w:rFonts w:ascii="Times New Roman" w:hAnsi="Times New Roman" w:eastAsia="宋体" w:cs="Times New Roman"/>
          <w:b/>
          <w:kern w:val="2"/>
          <w:sz w:val="21"/>
          <w:szCs w:val="21"/>
          <w:lang w:val="en-US" w:eastAsia="zh-CN" w:bidi="ar-SA"/>
        </w:rPr>
        <w:t>项目主要</w:t>
      </w:r>
      <w:r>
        <w:rPr>
          <w:rFonts w:hint="eastAsia" w:cs="Times New Roman"/>
          <w:b/>
          <w:kern w:val="2"/>
          <w:sz w:val="21"/>
          <w:szCs w:val="21"/>
          <w:lang w:val="en-US" w:eastAsia="zh-CN" w:bidi="ar-SA"/>
        </w:rPr>
        <w:t>建设内容</w:t>
      </w:r>
      <w:r>
        <w:rPr>
          <w:rFonts w:ascii="Times New Roman" w:hAnsi="Times New Roman" w:eastAsia="宋体" w:cs="Times New Roman"/>
          <w:b/>
          <w:kern w:val="2"/>
          <w:sz w:val="21"/>
          <w:szCs w:val="21"/>
          <w:lang w:val="en-US" w:eastAsia="zh-CN" w:bidi="ar-SA"/>
        </w:rPr>
        <w:t>一览表</w:t>
      </w:r>
    </w:p>
    <w:tbl>
      <w:tblPr>
        <w:tblStyle w:val="23"/>
        <w:tblW w:w="879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1401"/>
        <w:gridCol w:w="61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项目类型</w:t>
            </w:r>
          </w:p>
        </w:tc>
        <w:tc>
          <w:tcPr>
            <w:tcW w:w="14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4"/>
                <w:szCs w:val="22"/>
                <w:u w:val="none"/>
                <w:lang w:val="en-US" w:eastAsia="zh-CN" w:bidi="ar-SA"/>
              </w:rPr>
            </w:pPr>
            <w:bookmarkStart w:id="642" w:name="_Toc505078411"/>
            <w:r>
              <w:rPr>
                <w:rFonts w:hint="default" w:ascii="Times New Roman" w:hAnsi="Times New Roman" w:eastAsia="宋体" w:cs="Times New Roman"/>
                <w:kern w:val="2"/>
                <w:sz w:val="24"/>
                <w:szCs w:val="22"/>
                <w:u w:val="none"/>
                <w:lang w:val="en-US" w:eastAsia="zh-CN" w:bidi="ar-SA"/>
              </w:rPr>
              <w:t>名称</w:t>
            </w:r>
            <w:bookmarkEnd w:id="642"/>
          </w:p>
        </w:tc>
        <w:tc>
          <w:tcPr>
            <w:tcW w:w="61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4"/>
                <w:szCs w:val="22"/>
                <w:u w:val="none"/>
                <w:lang w:val="en-US" w:eastAsia="zh-CN" w:bidi="ar-SA"/>
              </w:rPr>
            </w:pPr>
            <w:bookmarkStart w:id="643" w:name="_Toc505078412"/>
            <w:r>
              <w:rPr>
                <w:rFonts w:hint="default" w:ascii="Times New Roman" w:hAnsi="Times New Roman" w:eastAsia="宋体" w:cs="Times New Roman"/>
                <w:kern w:val="2"/>
                <w:sz w:val="24"/>
                <w:szCs w:val="22"/>
                <w:u w:val="none"/>
                <w:lang w:val="en-US" w:eastAsia="zh-CN" w:bidi="ar-SA"/>
              </w:rPr>
              <w:t>内容与规模</w:t>
            </w:r>
            <w:bookmarkEnd w:id="64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4"/>
                <w:szCs w:val="22"/>
                <w:u w:val="none"/>
                <w:lang w:val="en-US" w:eastAsia="zh-CN" w:bidi="ar-SA"/>
              </w:rPr>
            </w:pPr>
            <w:bookmarkStart w:id="644" w:name="_Toc505078413"/>
            <w:r>
              <w:rPr>
                <w:rFonts w:hint="default" w:ascii="Times New Roman" w:hAnsi="Times New Roman" w:eastAsia="宋体" w:cs="Times New Roman"/>
                <w:kern w:val="2"/>
                <w:sz w:val="24"/>
                <w:szCs w:val="22"/>
                <w:u w:val="none"/>
                <w:lang w:val="en-US" w:eastAsia="zh-CN" w:bidi="ar-SA"/>
              </w:rPr>
              <w:t>主体工程</w:t>
            </w:r>
            <w:bookmarkEnd w:id="644"/>
          </w:p>
        </w:tc>
        <w:tc>
          <w:tcPr>
            <w:tcW w:w="14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4"/>
                <w:szCs w:val="22"/>
                <w:u w:val="none"/>
                <w:lang w:val="en-US" w:eastAsia="zh-CN" w:bidi="ar-SA"/>
              </w:rPr>
            </w:pPr>
            <w:r>
              <w:rPr>
                <w:rFonts w:hint="default" w:ascii="Times New Roman" w:hAnsi="Times New Roman" w:eastAsia="宋体" w:cs="Times New Roman"/>
                <w:kern w:val="2"/>
                <w:sz w:val="24"/>
                <w:szCs w:val="22"/>
                <w:u w:val="none"/>
                <w:lang w:val="en-US" w:eastAsia="zh-CN" w:bidi="ar-SA"/>
              </w:rPr>
              <w:t>生产车间</w:t>
            </w:r>
          </w:p>
        </w:tc>
        <w:tc>
          <w:tcPr>
            <w:tcW w:w="61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default" w:ascii="Times New Roman" w:hAnsi="Times New Roman" w:eastAsia="宋体" w:cs="Times New Roman"/>
                <w:kern w:val="2"/>
                <w:sz w:val="24"/>
                <w:szCs w:val="22"/>
                <w:u w:val="none"/>
                <w:lang w:val="en-US" w:eastAsia="zh-CN" w:bidi="ar-SA"/>
              </w:rPr>
            </w:pPr>
            <w:r>
              <w:rPr>
                <w:rFonts w:hint="eastAsia" w:ascii="Times New Roman" w:hAnsi="Times New Roman" w:eastAsia="宋体" w:cs="Times New Roman"/>
                <w:kern w:val="2"/>
                <w:sz w:val="24"/>
                <w:szCs w:val="22"/>
                <w:u w:val="none"/>
                <w:lang w:val="en-US" w:eastAsia="zh-CN" w:bidi="ar-SA"/>
              </w:rPr>
              <w:t>卓达地产厂房</w:t>
            </w:r>
            <w:r>
              <w:rPr>
                <w:rFonts w:hint="default" w:ascii="Times New Roman" w:hAnsi="Times New Roman" w:eastAsia="宋体" w:cs="Times New Roman"/>
                <w:kern w:val="2"/>
                <w:sz w:val="24"/>
                <w:szCs w:val="22"/>
                <w:u w:val="none"/>
                <w:lang w:val="en-US" w:eastAsia="zh-CN" w:bidi="ar-SA"/>
              </w:rPr>
              <w:t>一</w:t>
            </w:r>
            <w:r>
              <w:rPr>
                <w:rFonts w:hint="eastAsia" w:ascii="Times New Roman" w:hAnsi="Times New Roman" w:eastAsia="宋体" w:cs="Times New Roman"/>
                <w:kern w:val="2"/>
                <w:sz w:val="24"/>
                <w:szCs w:val="22"/>
                <w:u w:val="none"/>
                <w:lang w:val="en-US" w:eastAsia="zh-CN" w:bidi="ar-SA"/>
              </w:rPr>
              <w:t>期8号栋共有4</w:t>
            </w:r>
            <w:r>
              <w:rPr>
                <w:rFonts w:hint="default" w:ascii="Times New Roman" w:hAnsi="Times New Roman" w:eastAsia="宋体" w:cs="Times New Roman"/>
                <w:kern w:val="2"/>
                <w:sz w:val="24"/>
                <w:szCs w:val="22"/>
                <w:u w:val="none"/>
                <w:lang w:val="en-US" w:eastAsia="zh-CN" w:bidi="ar-SA"/>
              </w:rPr>
              <w:t>层，</w:t>
            </w:r>
            <w:r>
              <w:rPr>
                <w:rFonts w:hint="eastAsia" w:ascii="Times New Roman" w:hAnsi="Times New Roman" w:eastAsia="宋体" w:cs="Times New Roman"/>
                <w:kern w:val="2"/>
                <w:sz w:val="24"/>
                <w:szCs w:val="22"/>
                <w:u w:val="none"/>
                <w:lang w:val="en-US" w:eastAsia="zh-CN" w:bidi="ar-SA"/>
              </w:rPr>
              <w:t>1层用于生产，2层用于办公、实验，</w:t>
            </w:r>
            <w:r>
              <w:rPr>
                <w:rFonts w:hint="eastAsia" w:cs="Times New Roman"/>
                <w:kern w:val="2"/>
                <w:sz w:val="24"/>
                <w:szCs w:val="22"/>
                <w:u w:val="none"/>
                <w:lang w:val="en-US" w:eastAsia="zh-CN" w:bidi="ar-SA"/>
              </w:rPr>
              <w:t>3层和4层当前空置</w:t>
            </w:r>
            <w:r>
              <w:rPr>
                <w:rFonts w:hint="eastAsia" w:ascii="Times New Roman" w:hAnsi="Times New Roman" w:eastAsia="宋体" w:cs="Times New Roman"/>
                <w:kern w:val="2"/>
                <w:sz w:val="24"/>
                <w:szCs w:val="22"/>
                <w:u w:val="none"/>
                <w:lang w:val="en-US" w:eastAsia="zh-CN" w:bidi="ar-SA"/>
              </w:rPr>
              <w:t>。建筑</w:t>
            </w:r>
            <w:r>
              <w:rPr>
                <w:rFonts w:hint="default" w:ascii="Times New Roman" w:hAnsi="Times New Roman" w:eastAsia="宋体" w:cs="Times New Roman"/>
                <w:kern w:val="2"/>
                <w:sz w:val="24"/>
                <w:szCs w:val="22"/>
                <w:u w:val="none"/>
                <w:lang w:val="en-US" w:eastAsia="zh-CN" w:bidi="ar-SA"/>
              </w:rPr>
              <w:t>面积</w:t>
            </w:r>
            <w:r>
              <w:rPr>
                <w:rFonts w:hint="eastAsia" w:cs="Times New Roman"/>
                <w:kern w:val="2"/>
                <w:sz w:val="24"/>
                <w:szCs w:val="22"/>
                <w:u w:val="none"/>
                <w:lang w:val="en-US" w:eastAsia="zh-CN" w:bidi="ar-SA"/>
              </w:rPr>
              <w:t>约为</w:t>
            </w:r>
            <w:r>
              <w:rPr>
                <w:rFonts w:hint="eastAsia" w:ascii="Times New Roman" w:hAnsi="Times New Roman" w:eastAsia="宋体" w:cs="Times New Roman"/>
                <w:kern w:val="2"/>
                <w:sz w:val="24"/>
                <w:szCs w:val="22"/>
                <w:u w:val="none"/>
                <w:lang w:val="en-US" w:eastAsia="zh-CN" w:bidi="ar-SA"/>
              </w:rPr>
              <w:t>2400</w:t>
            </w:r>
            <w:r>
              <w:rPr>
                <w:rFonts w:hint="default" w:ascii="Times New Roman" w:hAnsi="Times New Roman" w:eastAsia="宋体" w:cs="Times New Roman"/>
                <w:kern w:val="2"/>
                <w:sz w:val="24"/>
                <w:szCs w:val="22"/>
                <w:u w:val="none"/>
                <w:lang w:val="en-US" w:eastAsia="zh-CN" w:bidi="ar-SA"/>
              </w:rPr>
              <w:t>m</w:t>
            </w:r>
            <w:r>
              <w:rPr>
                <w:rFonts w:hint="default" w:ascii="Times New Roman" w:hAnsi="Times New Roman" w:eastAsia="宋体" w:cs="Times New Roman"/>
                <w:kern w:val="2"/>
                <w:sz w:val="24"/>
                <w:szCs w:val="22"/>
                <w:u w:val="none"/>
                <w:vertAlign w:val="superscript"/>
                <w:lang w:val="en-US" w:eastAsia="zh-CN" w:bidi="ar-SA"/>
              </w:rPr>
              <w:t>2</w:t>
            </w:r>
            <w:r>
              <w:rPr>
                <w:rFonts w:hint="default" w:ascii="Times New Roman" w:hAnsi="Times New Roman" w:eastAsia="宋体" w:cs="Times New Roman"/>
                <w:kern w:val="2"/>
                <w:sz w:val="24"/>
                <w:szCs w:val="22"/>
                <w:u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4"/>
                <w:szCs w:val="22"/>
                <w:u w:val="none"/>
                <w:lang w:val="en-US" w:eastAsia="zh-CN" w:bidi="ar-SA"/>
              </w:rPr>
            </w:pPr>
            <w:bookmarkStart w:id="645" w:name="_Toc505078422"/>
            <w:r>
              <w:rPr>
                <w:rFonts w:hint="default" w:ascii="Times New Roman" w:hAnsi="Times New Roman" w:eastAsia="宋体" w:cs="Times New Roman"/>
                <w:kern w:val="2"/>
                <w:sz w:val="24"/>
                <w:szCs w:val="22"/>
                <w:u w:val="none"/>
                <w:lang w:val="en-US" w:eastAsia="zh-CN" w:bidi="ar-SA"/>
              </w:rPr>
              <w:t>公用工程</w:t>
            </w:r>
            <w:bookmarkEnd w:id="645"/>
          </w:p>
        </w:tc>
        <w:tc>
          <w:tcPr>
            <w:tcW w:w="14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4"/>
                <w:szCs w:val="22"/>
                <w:u w:val="none"/>
                <w:lang w:val="en-US" w:eastAsia="zh-CN" w:bidi="ar-SA"/>
              </w:rPr>
            </w:pPr>
            <w:bookmarkStart w:id="646" w:name="_Toc505078423"/>
            <w:r>
              <w:rPr>
                <w:rFonts w:hint="default" w:ascii="Times New Roman" w:hAnsi="Times New Roman" w:eastAsia="宋体" w:cs="Times New Roman"/>
                <w:kern w:val="2"/>
                <w:sz w:val="24"/>
                <w:szCs w:val="22"/>
                <w:u w:val="none"/>
                <w:lang w:val="en-US" w:eastAsia="zh-CN" w:bidi="ar-SA"/>
              </w:rPr>
              <w:t>供水系统</w:t>
            </w:r>
            <w:bookmarkEnd w:id="646"/>
          </w:p>
        </w:tc>
        <w:tc>
          <w:tcPr>
            <w:tcW w:w="61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4"/>
                <w:szCs w:val="22"/>
                <w:u w:val="none"/>
                <w:lang w:val="en-US" w:eastAsia="zh-CN" w:bidi="ar-SA"/>
              </w:rPr>
            </w:pPr>
            <w:r>
              <w:rPr>
                <w:rFonts w:hint="default" w:ascii="Times New Roman" w:hAnsi="Times New Roman" w:eastAsia="宋体" w:cs="Times New Roman"/>
                <w:kern w:val="2"/>
                <w:sz w:val="24"/>
                <w:szCs w:val="22"/>
                <w:u w:val="none"/>
                <w:lang w:val="en-US" w:eastAsia="zh-CN" w:bidi="ar-SA"/>
              </w:rPr>
              <w:t>项目用水由湘阴</w:t>
            </w:r>
            <w:r>
              <w:rPr>
                <w:rFonts w:hint="eastAsia" w:ascii="Times New Roman" w:hAnsi="Times New Roman" w:eastAsia="宋体" w:cs="Times New Roman"/>
                <w:kern w:val="2"/>
                <w:sz w:val="24"/>
                <w:szCs w:val="22"/>
                <w:u w:val="none"/>
                <w:lang w:val="en-US" w:eastAsia="zh-CN" w:bidi="ar-SA"/>
              </w:rPr>
              <w:t>县</w:t>
            </w:r>
            <w:r>
              <w:rPr>
                <w:rFonts w:hint="default" w:ascii="Times New Roman" w:hAnsi="Times New Roman" w:eastAsia="宋体" w:cs="Times New Roman"/>
                <w:kern w:val="2"/>
                <w:sz w:val="24"/>
                <w:szCs w:val="22"/>
                <w:u w:val="none"/>
                <w:lang w:val="en-US" w:eastAsia="zh-CN" w:bidi="ar-SA"/>
              </w:rPr>
              <w:t>金龙新区自来水管网供给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22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4"/>
                <w:szCs w:val="22"/>
                <w:u w:val="none"/>
                <w:lang w:val="en-US" w:eastAsia="zh-CN" w:bidi="ar-SA"/>
              </w:rPr>
            </w:pPr>
          </w:p>
        </w:tc>
        <w:tc>
          <w:tcPr>
            <w:tcW w:w="14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4"/>
                <w:szCs w:val="22"/>
                <w:u w:val="none"/>
                <w:lang w:val="en-US" w:eastAsia="zh-CN" w:bidi="ar-SA"/>
              </w:rPr>
            </w:pPr>
            <w:bookmarkStart w:id="647" w:name="_Toc505078425"/>
            <w:r>
              <w:rPr>
                <w:rFonts w:hint="default" w:ascii="Times New Roman" w:hAnsi="Times New Roman" w:eastAsia="宋体" w:cs="Times New Roman"/>
                <w:kern w:val="2"/>
                <w:sz w:val="24"/>
                <w:szCs w:val="22"/>
                <w:u w:val="none"/>
                <w:lang w:val="en-US" w:eastAsia="zh-CN" w:bidi="ar-SA"/>
              </w:rPr>
              <w:t>排水系统</w:t>
            </w:r>
            <w:bookmarkEnd w:id="647"/>
          </w:p>
        </w:tc>
        <w:tc>
          <w:tcPr>
            <w:tcW w:w="61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default" w:ascii="Times New Roman" w:hAnsi="Times New Roman" w:eastAsia="宋体" w:cs="Times New Roman"/>
                <w:kern w:val="2"/>
                <w:sz w:val="24"/>
                <w:szCs w:val="22"/>
                <w:u w:val="none"/>
                <w:lang w:val="en-US" w:eastAsia="zh-CN" w:bidi="ar-SA"/>
              </w:rPr>
            </w:pPr>
            <w:r>
              <w:rPr>
                <w:rFonts w:hint="default" w:ascii="Times New Roman" w:hAnsi="Times New Roman" w:eastAsia="宋体" w:cs="Times New Roman"/>
                <w:kern w:val="2"/>
                <w:sz w:val="24"/>
                <w:szCs w:val="22"/>
                <w:u w:val="none"/>
                <w:lang w:val="en-US" w:eastAsia="zh-CN" w:bidi="ar-SA"/>
              </w:rPr>
              <w:t>卓达金谷创业园污水处理站</w:t>
            </w:r>
            <w:r>
              <w:rPr>
                <w:rFonts w:hint="eastAsia" w:ascii="Times New Roman" w:hAnsi="Times New Roman" w:eastAsia="宋体" w:cs="Times New Roman"/>
                <w:kern w:val="2"/>
                <w:sz w:val="24"/>
                <w:szCs w:val="22"/>
                <w:u w:val="none"/>
                <w:lang w:val="en-US" w:eastAsia="zh-CN" w:bidi="ar-SA"/>
              </w:rPr>
              <w:t>1500t</w:t>
            </w:r>
            <w:r>
              <w:rPr>
                <w:rFonts w:hint="default" w:ascii="Times New Roman" w:hAnsi="Times New Roman" w:eastAsia="宋体" w:cs="Times New Roman"/>
                <w:kern w:val="2"/>
                <w:sz w:val="24"/>
                <w:szCs w:val="22"/>
                <w:u w:val="none"/>
                <w:lang w:val="en-US" w:eastAsia="zh-CN" w:bidi="ar-SA"/>
              </w:rPr>
              <w:t>/d</w:t>
            </w:r>
            <w:r>
              <w:rPr>
                <w:rFonts w:hint="eastAsia" w:ascii="Times New Roman" w:hAnsi="Times New Roman" w:eastAsia="宋体" w:cs="Times New Roman"/>
                <w:kern w:val="2"/>
                <w:sz w:val="24"/>
                <w:szCs w:val="22"/>
                <w:u w:val="none"/>
                <w:lang w:val="en-US" w:eastAsia="zh-CN" w:bidi="ar-SA"/>
              </w:rPr>
              <w:t>工业废水和生活</w:t>
            </w:r>
            <w:r>
              <w:rPr>
                <w:rFonts w:hint="default" w:ascii="Times New Roman" w:hAnsi="Times New Roman" w:eastAsia="宋体" w:cs="Times New Roman"/>
                <w:kern w:val="2"/>
                <w:sz w:val="24"/>
                <w:szCs w:val="22"/>
                <w:u w:val="none"/>
                <w:lang w:val="en-US" w:eastAsia="zh-CN" w:bidi="ar-SA"/>
              </w:rPr>
              <w:t>污水处理站</w:t>
            </w:r>
            <w:r>
              <w:rPr>
                <w:rFonts w:hint="eastAsia" w:ascii="Times New Roman" w:hAnsi="Times New Roman" w:eastAsia="宋体" w:cs="Times New Roman"/>
                <w:kern w:val="2"/>
                <w:sz w:val="24"/>
                <w:szCs w:val="22"/>
                <w:u w:val="none"/>
                <w:lang w:val="en-US" w:eastAsia="zh-CN" w:bidi="ar-SA"/>
              </w:rPr>
              <w:t>及配套管网已建成投运，出水由</w:t>
            </w:r>
            <w:r>
              <w:rPr>
                <w:rFonts w:hint="eastAsia" w:cs="Times New Roman"/>
                <w:kern w:val="2"/>
                <w:sz w:val="24"/>
                <w:szCs w:val="22"/>
                <w:u w:val="none"/>
                <w:lang w:val="en-US" w:eastAsia="zh-CN" w:bidi="ar-SA"/>
              </w:rPr>
              <w:t>洋沙河</w:t>
            </w:r>
            <w:r>
              <w:rPr>
                <w:rFonts w:hint="eastAsia" w:ascii="Times New Roman" w:hAnsi="Times New Roman" w:eastAsia="宋体" w:cs="Times New Roman"/>
                <w:kern w:val="2"/>
                <w:sz w:val="24"/>
                <w:szCs w:val="22"/>
                <w:u w:val="none"/>
                <w:lang w:val="en-US" w:eastAsia="zh-CN" w:bidi="ar-SA"/>
              </w:rPr>
              <w:t>排入洋沙湖，然后汇入湘江。生活污水</w:t>
            </w:r>
            <w:r>
              <w:rPr>
                <w:rFonts w:hint="eastAsia" w:cs="Times New Roman"/>
                <w:kern w:val="2"/>
                <w:sz w:val="24"/>
                <w:szCs w:val="22"/>
                <w:u w:val="none"/>
                <w:lang w:val="en-US" w:eastAsia="zh-CN" w:bidi="ar-SA"/>
              </w:rPr>
              <w:t>经园区化粪池处理后达到《污水综合排放标准》（GB8978-1996）三级后</w:t>
            </w:r>
            <w:r>
              <w:rPr>
                <w:rFonts w:hint="default" w:ascii="Times New Roman" w:hAnsi="Times New Roman" w:eastAsia="宋体" w:cs="Times New Roman"/>
                <w:kern w:val="2"/>
                <w:sz w:val="24"/>
                <w:szCs w:val="22"/>
                <w:u w:val="none"/>
                <w:lang w:val="en-US" w:eastAsia="zh-CN" w:bidi="ar-SA"/>
              </w:rPr>
              <w:t>排入</w:t>
            </w:r>
            <w:r>
              <w:rPr>
                <w:rFonts w:hint="eastAsia" w:ascii="Times New Roman" w:hAnsi="Times New Roman" w:eastAsia="宋体" w:cs="Times New Roman"/>
                <w:kern w:val="2"/>
                <w:sz w:val="24"/>
                <w:szCs w:val="22"/>
                <w:u w:val="none"/>
                <w:lang w:val="en-US" w:eastAsia="zh-CN" w:bidi="ar-SA"/>
              </w:rPr>
              <w:t>卓达金谷创业园污水处理站</w:t>
            </w:r>
            <w:r>
              <w:rPr>
                <w:rFonts w:hint="default" w:ascii="Times New Roman" w:hAnsi="Times New Roman" w:eastAsia="宋体" w:cs="Times New Roman"/>
                <w:kern w:val="2"/>
                <w:sz w:val="24"/>
                <w:szCs w:val="22"/>
                <w:u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4"/>
                <w:szCs w:val="22"/>
                <w:u w:val="none"/>
                <w:lang w:val="en-US" w:eastAsia="zh-CN" w:bidi="ar-SA"/>
              </w:rPr>
            </w:pPr>
          </w:p>
        </w:tc>
        <w:tc>
          <w:tcPr>
            <w:tcW w:w="14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4"/>
                <w:szCs w:val="22"/>
                <w:u w:val="none"/>
                <w:lang w:val="en-US" w:eastAsia="zh-CN" w:bidi="ar-SA"/>
              </w:rPr>
            </w:pPr>
            <w:bookmarkStart w:id="648" w:name="_Toc505078427"/>
            <w:r>
              <w:rPr>
                <w:rFonts w:hint="default" w:ascii="Times New Roman" w:hAnsi="Times New Roman" w:eastAsia="宋体" w:cs="Times New Roman"/>
                <w:kern w:val="2"/>
                <w:sz w:val="24"/>
                <w:szCs w:val="22"/>
                <w:u w:val="none"/>
                <w:lang w:val="en-US" w:eastAsia="zh-CN" w:bidi="ar-SA"/>
              </w:rPr>
              <w:t>供电系统</w:t>
            </w:r>
            <w:bookmarkEnd w:id="648"/>
          </w:p>
        </w:tc>
        <w:tc>
          <w:tcPr>
            <w:tcW w:w="61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4"/>
                <w:szCs w:val="22"/>
                <w:u w:val="none"/>
                <w:lang w:val="en-US" w:eastAsia="zh-CN" w:bidi="ar-SA"/>
              </w:rPr>
            </w:pPr>
            <w:r>
              <w:rPr>
                <w:rFonts w:hint="default" w:ascii="Times New Roman" w:hAnsi="Times New Roman" w:eastAsia="宋体" w:cs="Times New Roman"/>
                <w:kern w:val="2"/>
                <w:sz w:val="24"/>
                <w:szCs w:val="22"/>
                <w:u w:val="none"/>
                <w:lang w:val="en-US" w:eastAsia="zh-CN" w:bidi="ar-SA"/>
              </w:rPr>
              <w:t>由</w:t>
            </w:r>
            <w:r>
              <w:rPr>
                <w:rFonts w:hint="eastAsia" w:ascii="Times New Roman" w:hAnsi="Times New Roman" w:eastAsia="宋体" w:cs="Times New Roman"/>
                <w:kern w:val="2"/>
                <w:sz w:val="24"/>
                <w:szCs w:val="22"/>
                <w:u w:val="none"/>
                <w:lang w:val="en-US" w:eastAsia="zh-CN" w:bidi="ar-SA"/>
              </w:rPr>
              <w:t>湘阴县金龙新区卓达金谷创业园</w:t>
            </w:r>
            <w:r>
              <w:rPr>
                <w:rFonts w:hint="eastAsia" w:cs="Times New Roman"/>
                <w:kern w:val="2"/>
                <w:sz w:val="24"/>
                <w:szCs w:val="22"/>
                <w:u w:val="none"/>
                <w:lang w:val="en-US" w:eastAsia="zh-CN" w:bidi="ar-SA"/>
              </w:rPr>
              <w:t>区</w:t>
            </w:r>
            <w:r>
              <w:rPr>
                <w:rFonts w:hint="default" w:ascii="Times New Roman" w:hAnsi="Times New Roman" w:eastAsia="宋体" w:cs="Times New Roman"/>
                <w:kern w:val="2"/>
                <w:sz w:val="24"/>
                <w:szCs w:val="22"/>
                <w:u w:val="none"/>
                <w:lang w:val="en-US" w:eastAsia="zh-CN" w:bidi="ar-SA"/>
              </w:rPr>
              <w:t>提供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4"/>
                <w:szCs w:val="22"/>
                <w:u w:val="none"/>
                <w:lang w:val="en-US" w:eastAsia="zh-CN" w:bidi="ar-SA"/>
              </w:rPr>
            </w:pPr>
            <w:r>
              <w:rPr>
                <w:rFonts w:hint="default" w:ascii="Times New Roman" w:hAnsi="Times New Roman" w:eastAsia="宋体" w:cs="Times New Roman"/>
                <w:kern w:val="2"/>
                <w:sz w:val="24"/>
                <w:szCs w:val="22"/>
                <w:u w:val="none"/>
                <w:lang w:val="en-US" w:eastAsia="zh-CN" w:bidi="ar-SA"/>
              </w:rPr>
              <w:t>环保工程</w:t>
            </w:r>
          </w:p>
        </w:tc>
        <w:tc>
          <w:tcPr>
            <w:tcW w:w="14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4"/>
                <w:szCs w:val="22"/>
                <w:u w:val="none"/>
                <w:lang w:val="en-US" w:eastAsia="zh-CN" w:bidi="ar-SA"/>
              </w:rPr>
            </w:pPr>
            <w:r>
              <w:rPr>
                <w:rFonts w:hint="default" w:ascii="Times New Roman" w:hAnsi="Times New Roman" w:eastAsia="宋体" w:cs="Times New Roman"/>
                <w:kern w:val="2"/>
                <w:sz w:val="24"/>
                <w:szCs w:val="22"/>
                <w:u w:val="none"/>
                <w:lang w:val="en-US" w:eastAsia="zh-CN" w:bidi="ar-SA"/>
              </w:rPr>
              <w:t>废气防治措施</w:t>
            </w:r>
          </w:p>
        </w:tc>
        <w:tc>
          <w:tcPr>
            <w:tcW w:w="61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4"/>
                <w:szCs w:val="22"/>
                <w:u w:val="none"/>
                <w:lang w:val="en-US" w:eastAsia="zh-CN" w:bidi="ar-SA"/>
              </w:rPr>
            </w:pPr>
            <w:r>
              <w:rPr>
                <w:rFonts w:hint="default" w:ascii="Times New Roman" w:hAnsi="Times New Roman" w:eastAsia="宋体" w:cs="Times New Roman"/>
                <w:kern w:val="2"/>
                <w:sz w:val="24"/>
                <w:szCs w:val="22"/>
                <w:u w:val="none"/>
                <w:lang w:val="en-US" w:eastAsia="zh-CN" w:bidi="ar-SA"/>
              </w:rPr>
              <w:t>集气罩收集</w:t>
            </w:r>
            <w:r>
              <w:rPr>
                <w:rFonts w:hint="eastAsia" w:cs="Times New Roman"/>
                <w:kern w:val="2"/>
                <w:sz w:val="24"/>
                <w:szCs w:val="22"/>
                <w:u w:val="none"/>
                <w:lang w:val="en-US" w:eastAsia="zh-CN" w:bidi="ar-SA"/>
              </w:rPr>
              <w:t>+</w:t>
            </w:r>
            <w:r>
              <w:rPr>
                <w:color w:val="000000"/>
              </w:rPr>
              <w:t>UV光解净化器</w:t>
            </w:r>
            <w:r>
              <w:rPr>
                <w:rFonts w:hint="eastAsia"/>
                <w:color w:val="000000"/>
                <w:lang w:val="en-US" w:eastAsia="zh-CN"/>
              </w:rPr>
              <w:t>+</w:t>
            </w:r>
            <w:r>
              <w:rPr>
                <w:rFonts w:hint="default" w:ascii="Times New Roman" w:hAnsi="Times New Roman" w:eastAsia="宋体" w:cs="Times New Roman"/>
                <w:kern w:val="2"/>
                <w:sz w:val="24"/>
                <w:szCs w:val="22"/>
                <w:u w:val="none"/>
                <w:lang w:val="en-US" w:eastAsia="zh-CN" w:bidi="ar-SA"/>
              </w:rPr>
              <w:t>活性炭吸附</w:t>
            </w:r>
            <w:r>
              <w:rPr>
                <w:rFonts w:hint="eastAsia" w:ascii="Times New Roman" w:hAnsi="Times New Roman" w:eastAsia="宋体" w:cs="Times New Roman"/>
                <w:kern w:val="2"/>
                <w:sz w:val="24"/>
                <w:szCs w:val="22"/>
                <w:u w:val="none"/>
                <w:lang w:val="en-US" w:eastAsia="zh-CN" w:bidi="ar-SA"/>
              </w:rPr>
              <w:t>装置</w:t>
            </w:r>
            <w:r>
              <w:rPr>
                <w:rFonts w:hint="default" w:ascii="Times New Roman" w:hAnsi="Times New Roman" w:eastAsia="宋体" w:cs="Times New Roman"/>
                <w:kern w:val="2"/>
                <w:sz w:val="24"/>
                <w:szCs w:val="22"/>
                <w:u w:val="none"/>
                <w:lang w:val="en-US" w:eastAsia="zh-CN" w:bidi="ar-SA"/>
              </w:rPr>
              <w:t>处理</w:t>
            </w:r>
            <w:r>
              <w:rPr>
                <w:rFonts w:hint="eastAsia" w:ascii="Times New Roman" w:hAnsi="Times New Roman" w:eastAsia="宋体" w:cs="Times New Roman"/>
                <w:kern w:val="2"/>
                <w:sz w:val="24"/>
                <w:szCs w:val="22"/>
                <w:u w:val="none"/>
                <w:lang w:val="en-US" w:eastAsia="zh-CN" w:bidi="ar-SA"/>
              </w:rPr>
              <w:t>后外排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2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4"/>
                <w:szCs w:val="22"/>
                <w:u w:val="none"/>
                <w:lang w:val="en-US" w:eastAsia="zh-CN" w:bidi="ar-SA"/>
              </w:rPr>
            </w:pPr>
          </w:p>
        </w:tc>
        <w:tc>
          <w:tcPr>
            <w:tcW w:w="14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4"/>
                <w:szCs w:val="22"/>
                <w:u w:val="none"/>
                <w:lang w:val="en-US" w:eastAsia="zh-CN" w:bidi="ar-SA"/>
              </w:rPr>
            </w:pPr>
            <w:r>
              <w:rPr>
                <w:rFonts w:hint="default" w:ascii="Times New Roman" w:hAnsi="Times New Roman" w:eastAsia="宋体" w:cs="Times New Roman"/>
                <w:kern w:val="2"/>
                <w:sz w:val="24"/>
                <w:szCs w:val="22"/>
                <w:u w:val="none"/>
                <w:lang w:val="en-US" w:eastAsia="zh-CN" w:bidi="ar-SA"/>
              </w:rPr>
              <w:t>废水防治措施</w:t>
            </w:r>
          </w:p>
        </w:tc>
        <w:tc>
          <w:tcPr>
            <w:tcW w:w="61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default" w:ascii="Times New Roman" w:hAnsi="Times New Roman" w:eastAsia="宋体" w:cs="Times New Roman"/>
                <w:kern w:val="2"/>
                <w:sz w:val="24"/>
                <w:szCs w:val="22"/>
                <w:u w:val="none"/>
                <w:lang w:val="en-US" w:eastAsia="zh-CN" w:bidi="ar-SA"/>
              </w:rPr>
            </w:pPr>
            <w:r>
              <w:rPr>
                <w:rFonts w:hint="eastAsia" w:ascii="Times New Roman" w:hAnsi="Times New Roman" w:eastAsia="宋体" w:cs="Times New Roman"/>
                <w:kern w:val="2"/>
                <w:sz w:val="24"/>
                <w:szCs w:val="22"/>
                <w:u w:val="none"/>
                <w:lang w:val="en-US" w:eastAsia="zh-CN" w:bidi="ar-SA"/>
              </w:rPr>
              <w:t>生活污水通过</w:t>
            </w:r>
            <w:r>
              <w:rPr>
                <w:rFonts w:hint="default" w:ascii="Times New Roman" w:hAnsi="Times New Roman" w:eastAsia="宋体" w:cs="Times New Roman"/>
                <w:kern w:val="2"/>
                <w:sz w:val="24"/>
                <w:szCs w:val="22"/>
                <w:u w:val="none"/>
                <w:lang w:val="en-US" w:eastAsia="zh-CN" w:bidi="ar-SA"/>
              </w:rPr>
              <w:t>园区</w:t>
            </w:r>
            <w:r>
              <w:rPr>
                <w:rFonts w:hint="eastAsia" w:ascii="Times New Roman" w:hAnsi="Times New Roman" w:eastAsia="宋体" w:cs="Times New Roman"/>
                <w:kern w:val="2"/>
                <w:sz w:val="24"/>
                <w:szCs w:val="22"/>
                <w:u w:val="none"/>
                <w:lang w:val="en-US" w:eastAsia="zh-CN" w:bidi="ar-SA"/>
              </w:rPr>
              <w:t>化粪池处理后</w:t>
            </w:r>
            <w:r>
              <w:rPr>
                <w:rFonts w:hint="default" w:ascii="Times New Roman" w:hAnsi="Times New Roman" w:eastAsia="宋体" w:cs="Times New Roman"/>
                <w:kern w:val="2"/>
                <w:sz w:val="24"/>
                <w:szCs w:val="22"/>
                <w:u w:val="none"/>
                <w:lang w:val="en-US" w:eastAsia="zh-CN" w:bidi="ar-SA"/>
              </w:rPr>
              <w:t>排入</w:t>
            </w:r>
            <w:r>
              <w:rPr>
                <w:rFonts w:hint="eastAsia" w:ascii="Times New Roman" w:hAnsi="Times New Roman" w:eastAsia="宋体" w:cs="Times New Roman"/>
                <w:kern w:val="2"/>
                <w:sz w:val="24"/>
                <w:szCs w:val="22"/>
                <w:u w:val="none"/>
                <w:lang w:val="en-US" w:eastAsia="zh-CN" w:bidi="ar-SA"/>
              </w:rPr>
              <w:t>卓达金谷创业园污水处理站</w:t>
            </w:r>
            <w:r>
              <w:rPr>
                <w:rFonts w:hint="eastAsia" w:cs="Times New Roman"/>
                <w:kern w:val="2"/>
                <w:sz w:val="24"/>
                <w:szCs w:val="22"/>
                <w:u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4"/>
                <w:szCs w:val="22"/>
                <w:u w:val="none"/>
                <w:lang w:val="en-US" w:eastAsia="zh-CN" w:bidi="ar-SA"/>
              </w:rPr>
            </w:pPr>
          </w:p>
        </w:tc>
        <w:tc>
          <w:tcPr>
            <w:tcW w:w="14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4"/>
                <w:szCs w:val="22"/>
                <w:u w:val="none"/>
                <w:lang w:val="en-US" w:eastAsia="zh-CN" w:bidi="ar-SA"/>
              </w:rPr>
            </w:pPr>
            <w:bookmarkStart w:id="649" w:name="_Toc505078432"/>
            <w:r>
              <w:rPr>
                <w:rFonts w:hint="default" w:ascii="Times New Roman" w:hAnsi="Times New Roman" w:eastAsia="宋体" w:cs="Times New Roman"/>
                <w:kern w:val="2"/>
                <w:sz w:val="24"/>
                <w:szCs w:val="22"/>
                <w:u w:val="none"/>
                <w:lang w:val="en-US" w:eastAsia="zh-CN" w:bidi="ar-SA"/>
              </w:rPr>
              <w:t>噪声防治措施</w:t>
            </w:r>
            <w:bookmarkEnd w:id="649"/>
          </w:p>
        </w:tc>
        <w:tc>
          <w:tcPr>
            <w:tcW w:w="61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4"/>
                <w:szCs w:val="22"/>
                <w:u w:val="none"/>
                <w:lang w:val="en-US" w:eastAsia="zh-CN" w:bidi="ar-SA"/>
              </w:rPr>
            </w:pPr>
            <w:r>
              <w:rPr>
                <w:rFonts w:hint="default" w:ascii="Times New Roman" w:hAnsi="Times New Roman" w:eastAsia="宋体" w:cs="Times New Roman"/>
                <w:kern w:val="2"/>
                <w:sz w:val="24"/>
                <w:szCs w:val="22"/>
                <w:u w:val="none"/>
                <w:lang w:val="en-US" w:eastAsia="zh-CN" w:bidi="ar-SA"/>
              </w:rPr>
              <w:t>选用低噪声设备、基础减振、软连接等措施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22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4"/>
                <w:szCs w:val="22"/>
                <w:u w:val="none"/>
                <w:lang w:val="en-US" w:eastAsia="zh-CN" w:bidi="ar-SA"/>
              </w:rPr>
            </w:pPr>
          </w:p>
        </w:tc>
        <w:tc>
          <w:tcPr>
            <w:tcW w:w="14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kern w:val="2"/>
                <w:sz w:val="24"/>
                <w:szCs w:val="22"/>
                <w:u w:val="none"/>
                <w:lang w:val="en-US" w:eastAsia="zh-CN" w:bidi="ar-SA"/>
              </w:rPr>
            </w:pPr>
            <w:r>
              <w:rPr>
                <w:rFonts w:hint="default" w:ascii="Times New Roman" w:hAnsi="Times New Roman" w:eastAsia="宋体" w:cs="Times New Roman"/>
                <w:kern w:val="2"/>
                <w:sz w:val="24"/>
                <w:szCs w:val="22"/>
                <w:u w:val="none"/>
                <w:lang w:val="en-US" w:eastAsia="zh-CN" w:bidi="ar-SA"/>
              </w:rPr>
              <w:t>固废防治措施</w:t>
            </w:r>
          </w:p>
        </w:tc>
        <w:tc>
          <w:tcPr>
            <w:tcW w:w="61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default" w:ascii="Times New Roman" w:hAnsi="Times New Roman" w:eastAsia="宋体" w:cs="Times New Roman"/>
                <w:kern w:val="2"/>
                <w:sz w:val="24"/>
                <w:szCs w:val="22"/>
                <w:u w:val="none"/>
                <w:lang w:val="en-US" w:eastAsia="zh-CN" w:bidi="ar-SA"/>
              </w:rPr>
            </w:pPr>
            <w:r>
              <w:rPr>
                <w:rFonts w:hint="eastAsia" w:ascii="Times New Roman" w:hAnsi="Times New Roman" w:eastAsia="宋体" w:cs="Times New Roman"/>
                <w:color w:val="000000"/>
                <w:kern w:val="2"/>
                <w:sz w:val="24"/>
                <w:szCs w:val="22"/>
                <w:u w:val="none"/>
                <w:lang w:val="en-US" w:eastAsia="zh-CN" w:bidi="ar-SA"/>
              </w:rPr>
              <w:t>原料桶标签纸</w:t>
            </w:r>
            <w:r>
              <w:rPr>
                <w:rFonts w:hint="eastAsia" w:ascii="Times New Roman" w:hAnsi="Times New Roman" w:eastAsia="宋体" w:cs="Times New Roman"/>
                <w:kern w:val="2"/>
                <w:sz w:val="24"/>
                <w:szCs w:val="22"/>
                <w:u w:val="none"/>
                <w:lang w:val="en-US" w:eastAsia="zh-CN" w:bidi="ar-SA"/>
              </w:rPr>
              <w:t>、破损包装桶</w:t>
            </w:r>
            <w:r>
              <w:rPr>
                <w:rFonts w:hint="eastAsia" w:cs="Times New Roman"/>
                <w:kern w:val="2"/>
                <w:sz w:val="24"/>
                <w:szCs w:val="22"/>
                <w:u w:val="none"/>
                <w:lang w:val="en-US" w:eastAsia="zh-CN" w:bidi="ar-SA"/>
              </w:rPr>
              <w:t>、</w:t>
            </w:r>
            <w:r>
              <w:rPr>
                <w:rFonts w:hint="eastAsia" w:cs="宋体"/>
                <w:kern w:val="2"/>
                <w:sz w:val="24"/>
                <w:szCs w:val="24"/>
                <w:lang w:val="en-US" w:eastAsia="zh-CN" w:bidi="ar-SA"/>
              </w:rPr>
              <w:t>实验室固废</w:t>
            </w:r>
            <w:r>
              <w:rPr>
                <w:rFonts w:hint="eastAsia" w:ascii="Times New Roman" w:hAnsi="Times New Roman" w:eastAsia="宋体" w:cs="Times New Roman"/>
                <w:kern w:val="2"/>
                <w:sz w:val="24"/>
                <w:szCs w:val="22"/>
                <w:u w:val="none"/>
                <w:lang w:val="en-US" w:eastAsia="zh-CN" w:bidi="ar-SA"/>
              </w:rPr>
              <w:t>和</w:t>
            </w:r>
            <w:r>
              <w:rPr>
                <w:rFonts w:hint="default" w:ascii="Times New Roman" w:hAnsi="Times New Roman" w:eastAsia="宋体" w:cs="Times New Roman"/>
                <w:kern w:val="2"/>
                <w:sz w:val="24"/>
                <w:szCs w:val="22"/>
                <w:u w:val="none"/>
                <w:lang w:val="en-US" w:eastAsia="zh-CN" w:bidi="ar-SA"/>
              </w:rPr>
              <w:t>生活垃圾属一般固体废物，收集后由环卫部门定期清运。</w:t>
            </w:r>
            <w:r>
              <w:rPr>
                <w:rFonts w:hint="eastAsia" w:ascii="Times New Roman" w:hAnsi="Times New Roman" w:eastAsia="宋体" w:cs="Times New Roman"/>
                <w:kern w:val="2"/>
                <w:sz w:val="24"/>
                <w:szCs w:val="22"/>
                <w:u w:val="none"/>
                <w:lang w:val="en-US" w:eastAsia="zh-CN" w:bidi="ar-SA"/>
              </w:rPr>
              <w:t>废活性炭</w:t>
            </w:r>
            <w:r>
              <w:rPr>
                <w:rFonts w:hint="eastAsia" w:cs="Times New Roman"/>
                <w:kern w:val="2"/>
                <w:sz w:val="24"/>
                <w:szCs w:val="22"/>
                <w:u w:val="none"/>
                <w:lang w:val="en-US" w:eastAsia="zh-CN" w:bidi="ar-SA"/>
              </w:rPr>
              <w:t>和</w:t>
            </w:r>
            <w:r>
              <w:rPr>
                <w:rFonts w:hint="eastAsia" w:cs="宋体"/>
                <w:kern w:val="2"/>
                <w:sz w:val="24"/>
                <w:szCs w:val="24"/>
                <w:lang w:val="en-US" w:eastAsia="zh-CN" w:bidi="ar-SA"/>
              </w:rPr>
              <w:t>电动叉车废弃电瓶</w:t>
            </w:r>
            <w:r>
              <w:rPr>
                <w:rFonts w:hint="eastAsia" w:ascii="Times New Roman" w:hAnsi="Times New Roman" w:eastAsia="宋体" w:cs="Times New Roman"/>
                <w:kern w:val="2"/>
                <w:sz w:val="24"/>
                <w:szCs w:val="22"/>
                <w:u w:val="none"/>
                <w:lang w:val="en-US" w:eastAsia="zh-CN" w:bidi="ar-SA"/>
              </w:rPr>
              <w:t>暂存危废</w:t>
            </w:r>
            <w:r>
              <w:rPr>
                <w:rFonts w:hint="eastAsia" w:cs="Times New Roman"/>
                <w:kern w:val="2"/>
                <w:sz w:val="24"/>
                <w:szCs w:val="22"/>
                <w:u w:val="none"/>
                <w:lang w:val="en-US" w:eastAsia="zh-CN" w:bidi="ar-SA"/>
              </w:rPr>
              <w:t>暂存区</w:t>
            </w:r>
            <w:r>
              <w:rPr>
                <w:rFonts w:hint="eastAsia"/>
                <w:lang w:val="en-US" w:eastAsia="zh-CN"/>
              </w:rPr>
              <w:t>（2m×2m）</w:t>
            </w:r>
            <w:r>
              <w:rPr>
                <w:rFonts w:hint="eastAsia" w:ascii="Times New Roman" w:hAnsi="Times New Roman" w:eastAsia="宋体" w:cs="Times New Roman"/>
                <w:kern w:val="2"/>
                <w:sz w:val="24"/>
                <w:szCs w:val="22"/>
                <w:u w:val="none"/>
                <w:lang w:val="en-US" w:eastAsia="zh-CN" w:bidi="ar-SA"/>
              </w:rPr>
              <w:t>，定期交由有资质单位处理。</w:t>
            </w:r>
          </w:p>
        </w:tc>
      </w:tr>
      <w:bookmarkEnd w:id="628"/>
      <w:bookmarkEnd w:id="629"/>
      <w:bookmarkEnd w:id="630"/>
      <w:bookmarkEnd w:id="631"/>
    </w:tbl>
    <w:p>
      <w:bookmarkStart w:id="650" w:name="_Toc5574"/>
      <w:bookmarkStart w:id="651" w:name="_Toc19393"/>
      <w:bookmarkStart w:id="652" w:name="_Toc21419"/>
      <w:bookmarkStart w:id="653" w:name="_Toc18856"/>
      <w:bookmarkStart w:id="654" w:name="_Toc162"/>
      <w:bookmarkStart w:id="655" w:name="_Toc4330"/>
    </w:p>
    <w:p>
      <w:pPr>
        <w:pStyle w:val="4"/>
        <w:bidi w:val="0"/>
        <w:rPr>
          <w:lang w:val="en-US" w:eastAsia="zh-CN"/>
        </w:rPr>
      </w:pPr>
      <w:bookmarkStart w:id="656" w:name="_Toc19430"/>
      <w:bookmarkStart w:id="657" w:name="_Toc22998"/>
      <w:r>
        <w:rPr>
          <w:lang w:val="en-US" w:eastAsia="zh-CN"/>
        </w:rPr>
        <w:t>产品</w:t>
      </w:r>
      <w:bookmarkEnd w:id="650"/>
      <w:bookmarkEnd w:id="651"/>
      <w:bookmarkEnd w:id="652"/>
      <w:bookmarkEnd w:id="653"/>
      <w:r>
        <w:rPr>
          <w:rFonts w:hint="eastAsia"/>
          <w:lang w:val="en-US" w:eastAsia="zh-CN"/>
        </w:rPr>
        <w:t>规模及产品性能</w:t>
      </w:r>
      <w:bookmarkEnd w:id="656"/>
      <w:bookmarkEnd w:id="657"/>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本项目生产规模为：年产6500吨</w:t>
      </w:r>
      <w:r>
        <w:rPr>
          <w:rFonts w:hint="eastAsia" w:cs="宋体"/>
          <w:kern w:val="2"/>
          <w:sz w:val="24"/>
          <w:szCs w:val="24"/>
          <w:lang w:val="en-US" w:eastAsia="zh-CN" w:bidi="ar-SA"/>
        </w:rPr>
        <w:t>聚氨酯发泡胶材料</w:t>
      </w:r>
      <w:r>
        <w:rPr>
          <w:rFonts w:hint="eastAsia" w:ascii="Times New Roman" w:hAnsi="Times New Roman" w:eastAsia="宋体" w:cs="宋体"/>
          <w:kern w:val="2"/>
          <w:sz w:val="24"/>
          <w:szCs w:val="24"/>
          <w:lang w:val="en-US" w:eastAsia="zh-CN" w:bidi="ar-SA"/>
        </w:rPr>
        <w:t>，产品规模及产品性能见</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_Ref17914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3</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2</w:t>
      </w:r>
      <w:r>
        <w:rPr>
          <w:rFonts w:hint="default"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和</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_Ref17914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3</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-3</w:t>
      </w:r>
      <w:r>
        <w:rPr>
          <w:rFonts w:hint="default"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kern w:val="2"/>
          <w:sz w:val="21"/>
          <w:szCs w:val="21"/>
          <w:lang w:val="en-US" w:eastAsia="zh-CN" w:bidi="ar-SA"/>
        </w:rPr>
        <w:sectPr>
          <w:pgSz w:w="11906" w:h="16838"/>
          <w:pgMar w:top="1417" w:right="1417" w:bottom="1134" w:left="1701" w:header="851" w:footer="992" w:gutter="0"/>
          <w:pgBorders>
            <w:top w:val="none" w:sz="0" w:space="0"/>
            <w:left w:val="none" w:sz="0" w:space="0"/>
            <w:bottom w:val="none" w:sz="0" w:space="0"/>
            <w:right w:val="none" w:sz="0" w:space="0"/>
          </w:pgBorders>
          <w:pgNumType w:fmt="decimal"/>
          <w:cols w:space="0" w:num="1"/>
          <w:rtlGutter w:val="0"/>
          <w:docGrid w:linePitch="312" w:charSpace="0"/>
        </w:sectPr>
      </w:pPr>
      <w:bookmarkStart w:id="658" w:name="_Ref17914"/>
    </w:p>
    <w:p>
      <w:pPr>
        <w:widowControl w:val="0"/>
        <w:spacing w:line="360" w:lineRule="auto"/>
        <w:jc w:val="center"/>
        <w:rPr>
          <w:rFonts w:hint="eastAsia"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3</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fldChar w:fldCharType="end"/>
      </w:r>
      <w:bookmarkEnd w:id="658"/>
      <w:r>
        <w:rPr>
          <w:rFonts w:ascii="Times New Roman" w:hAnsi="Times New Roman" w:eastAsia="宋体" w:cs="Times New Roman"/>
          <w:b/>
          <w:kern w:val="2"/>
          <w:sz w:val="21"/>
          <w:szCs w:val="21"/>
          <w:lang w:val="en-US" w:eastAsia="zh-CN" w:bidi="ar-SA"/>
        </w:rPr>
        <w:t>产品</w:t>
      </w:r>
      <w:r>
        <w:rPr>
          <w:rFonts w:hint="eastAsia" w:ascii="Times New Roman" w:hAnsi="Times New Roman" w:eastAsia="宋体" w:cs="Times New Roman"/>
          <w:b/>
          <w:kern w:val="2"/>
          <w:sz w:val="21"/>
          <w:szCs w:val="21"/>
          <w:lang w:val="en-US" w:eastAsia="zh-CN" w:bidi="ar-SA"/>
        </w:rPr>
        <w:t>规模</w:t>
      </w:r>
    </w:p>
    <w:tbl>
      <w:tblPr>
        <w:tblStyle w:val="23"/>
        <w:tblW w:w="412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24"/>
        <w:gridCol w:w="1701"/>
        <w:gridCol w:w="1701"/>
        <w:gridCol w:w="17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24" w:type="dxa"/>
            <w:tcBorders>
              <w:tl2br w:val="nil"/>
              <w:tr2bl w:val="nil"/>
            </w:tcBorders>
            <w:noWrap w:val="0"/>
            <w:vAlign w:val="center"/>
          </w:tcPr>
          <w:p>
            <w:pPr>
              <w:pStyle w:val="26"/>
              <w:bidi w:val="0"/>
              <w:rPr>
                <w:rFonts w:hint="default"/>
                <w:lang w:val="en-US" w:eastAsia="zh-CN"/>
              </w:rPr>
            </w:pPr>
            <w:bookmarkStart w:id="659" w:name="_Toc3351"/>
            <w:bookmarkStart w:id="660" w:name="_Toc18353"/>
            <w:bookmarkStart w:id="661" w:name="_Toc4656"/>
            <w:bookmarkStart w:id="662" w:name="_Toc28514"/>
            <w:r>
              <w:rPr>
                <w:rFonts w:hint="default"/>
                <w:lang w:val="en-US" w:eastAsia="zh-CN"/>
              </w:rPr>
              <w:t>产品类型</w:t>
            </w:r>
          </w:p>
        </w:tc>
        <w:tc>
          <w:tcPr>
            <w:tcW w:w="1701" w:type="dxa"/>
            <w:tcBorders>
              <w:tl2br w:val="nil"/>
              <w:tr2bl w:val="nil"/>
            </w:tcBorders>
            <w:noWrap w:val="0"/>
            <w:vAlign w:val="center"/>
          </w:tcPr>
          <w:p>
            <w:pPr>
              <w:pStyle w:val="26"/>
              <w:bidi w:val="0"/>
              <w:rPr>
                <w:rFonts w:hint="default"/>
                <w:lang w:val="en-US" w:eastAsia="zh-CN"/>
              </w:rPr>
            </w:pPr>
            <w:r>
              <w:rPr>
                <w:rFonts w:hint="default"/>
                <w:lang w:val="en-US" w:eastAsia="zh-CN"/>
              </w:rPr>
              <w:t>单位</w:t>
            </w:r>
          </w:p>
        </w:tc>
        <w:tc>
          <w:tcPr>
            <w:tcW w:w="1701" w:type="dxa"/>
            <w:tcBorders>
              <w:tl2br w:val="nil"/>
              <w:tr2bl w:val="nil"/>
            </w:tcBorders>
            <w:noWrap w:val="0"/>
            <w:vAlign w:val="center"/>
          </w:tcPr>
          <w:p>
            <w:pPr>
              <w:pStyle w:val="26"/>
              <w:bidi w:val="0"/>
              <w:rPr>
                <w:rFonts w:hint="default"/>
                <w:lang w:val="en-US" w:eastAsia="zh-CN"/>
              </w:rPr>
            </w:pPr>
            <w:r>
              <w:rPr>
                <w:rFonts w:hint="eastAsia"/>
                <w:lang w:val="en-US" w:eastAsia="zh-CN"/>
              </w:rPr>
              <w:t>生产规模</w:t>
            </w:r>
          </w:p>
        </w:tc>
        <w:tc>
          <w:tcPr>
            <w:tcW w:w="1701" w:type="dxa"/>
            <w:tcBorders>
              <w:tl2br w:val="nil"/>
              <w:tr2bl w:val="nil"/>
            </w:tcBorders>
            <w:noWrap w:val="0"/>
            <w:vAlign w:val="center"/>
          </w:tcPr>
          <w:p>
            <w:pPr>
              <w:pStyle w:val="26"/>
              <w:bidi w:val="0"/>
              <w:rPr>
                <w:rFonts w:hint="default"/>
                <w:lang w:val="en-US" w:eastAsia="zh-CN"/>
              </w:rPr>
            </w:pPr>
            <w:r>
              <w:rPr>
                <w:rFonts w:hint="default"/>
                <w:lang w:val="en-US" w:eastAsia="zh-CN"/>
              </w:rPr>
              <w:t>包装规格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24" w:type="dxa"/>
            <w:tcBorders>
              <w:tl2br w:val="nil"/>
              <w:tr2bl w:val="nil"/>
            </w:tcBorders>
            <w:noWrap w:val="0"/>
            <w:vAlign w:val="center"/>
          </w:tcPr>
          <w:p>
            <w:pPr>
              <w:pStyle w:val="26"/>
              <w:bidi w:val="0"/>
              <w:rPr>
                <w:rFonts w:hint="default"/>
                <w:lang w:val="en-US" w:eastAsia="zh-CN"/>
              </w:rPr>
            </w:pPr>
            <w:r>
              <w:rPr>
                <w:rFonts w:hint="eastAsia"/>
                <w:lang w:val="en-US" w:eastAsia="zh-CN"/>
              </w:rPr>
              <w:t>聚氨酯发泡胶材料</w:t>
            </w:r>
          </w:p>
        </w:tc>
        <w:tc>
          <w:tcPr>
            <w:tcW w:w="1701" w:type="dxa"/>
            <w:tcBorders>
              <w:tl2br w:val="nil"/>
              <w:tr2bl w:val="nil"/>
            </w:tcBorders>
            <w:noWrap w:val="0"/>
            <w:vAlign w:val="center"/>
          </w:tcPr>
          <w:p>
            <w:pPr>
              <w:pStyle w:val="26"/>
              <w:bidi w:val="0"/>
              <w:rPr>
                <w:rFonts w:hint="default"/>
                <w:lang w:val="en-US" w:eastAsia="zh-CN"/>
              </w:rPr>
            </w:pPr>
            <w:r>
              <w:rPr>
                <w:rFonts w:hint="default"/>
                <w:lang w:val="en-US" w:eastAsia="zh-CN"/>
              </w:rPr>
              <w:t>t/a</w:t>
            </w:r>
          </w:p>
        </w:tc>
        <w:tc>
          <w:tcPr>
            <w:tcW w:w="1701" w:type="dxa"/>
            <w:tcBorders>
              <w:tl2br w:val="nil"/>
              <w:tr2bl w:val="nil"/>
            </w:tcBorders>
            <w:noWrap w:val="0"/>
            <w:vAlign w:val="center"/>
          </w:tcPr>
          <w:p>
            <w:pPr>
              <w:pStyle w:val="26"/>
              <w:bidi w:val="0"/>
              <w:rPr>
                <w:rFonts w:hint="default"/>
                <w:lang w:val="en-US" w:eastAsia="zh-CN"/>
              </w:rPr>
            </w:pPr>
            <w:r>
              <w:rPr>
                <w:rFonts w:hint="eastAsia"/>
                <w:lang w:val="en-US" w:eastAsia="zh-CN"/>
              </w:rPr>
              <w:t>6500</w:t>
            </w:r>
          </w:p>
        </w:tc>
        <w:tc>
          <w:tcPr>
            <w:tcW w:w="1701" w:type="dxa"/>
            <w:tcBorders>
              <w:tl2br w:val="nil"/>
              <w:tr2bl w:val="nil"/>
            </w:tcBorders>
            <w:noWrap w:val="0"/>
            <w:vAlign w:val="center"/>
          </w:tcPr>
          <w:p>
            <w:pPr>
              <w:pStyle w:val="26"/>
              <w:bidi w:val="0"/>
              <w:rPr>
                <w:rFonts w:hint="default"/>
                <w:lang w:val="en-US" w:eastAsia="zh-CN"/>
              </w:rPr>
            </w:pPr>
            <w:r>
              <w:rPr>
                <w:rFonts w:hint="eastAsia"/>
                <w:lang w:val="en-US" w:eastAsia="zh-CN"/>
              </w:rPr>
              <w:t>200L桶装</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bidi w:val="0"/>
        <w:spacing w:line="360" w:lineRule="auto"/>
        <w:jc w:val="center"/>
        <w:rPr>
          <w:rFonts w:hint="eastAsia"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3</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3</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产品性能</w:t>
      </w:r>
    </w:p>
    <w:tbl>
      <w:tblPr>
        <w:tblStyle w:val="23"/>
        <w:tblW w:w="728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58"/>
        <w:gridCol w:w="2635"/>
        <w:gridCol w:w="368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8" w:type="dxa"/>
            <w:tcBorders>
              <w:tl2br w:val="nil"/>
              <w:tr2bl w:val="nil"/>
            </w:tcBorders>
            <w:vAlign w:val="center"/>
          </w:tcPr>
          <w:p>
            <w:pPr>
              <w:pStyle w:val="26"/>
              <w:bidi w:val="0"/>
              <w:rPr>
                <w:rFonts w:hint="default"/>
                <w:lang w:val="en-US" w:eastAsia="zh-CN"/>
              </w:rPr>
            </w:pPr>
            <w:r>
              <w:rPr>
                <w:rFonts w:hint="eastAsia"/>
                <w:lang w:val="en-US" w:eastAsia="zh-CN"/>
              </w:rPr>
              <w:t>序号</w:t>
            </w:r>
          </w:p>
        </w:tc>
        <w:tc>
          <w:tcPr>
            <w:tcW w:w="2635" w:type="dxa"/>
            <w:tcBorders>
              <w:tl2br w:val="nil"/>
              <w:tr2bl w:val="nil"/>
            </w:tcBorders>
            <w:vAlign w:val="center"/>
          </w:tcPr>
          <w:p>
            <w:pPr>
              <w:pStyle w:val="26"/>
              <w:bidi w:val="0"/>
              <w:rPr>
                <w:rFonts w:hint="default"/>
                <w:lang w:val="en-US" w:eastAsia="zh-CN"/>
              </w:rPr>
            </w:pPr>
            <w:r>
              <w:rPr>
                <w:rFonts w:hint="eastAsia"/>
                <w:lang w:val="en-US" w:eastAsia="zh-CN"/>
              </w:rPr>
              <w:t>项目</w:t>
            </w:r>
          </w:p>
        </w:tc>
        <w:tc>
          <w:tcPr>
            <w:tcW w:w="3689" w:type="dxa"/>
            <w:tcBorders>
              <w:tl2br w:val="nil"/>
              <w:tr2bl w:val="nil"/>
            </w:tcBorders>
            <w:vAlign w:val="center"/>
          </w:tcPr>
          <w:p>
            <w:pPr>
              <w:pStyle w:val="26"/>
              <w:bidi w:val="0"/>
              <w:rPr>
                <w:rFonts w:hint="default"/>
                <w:lang w:val="en-US" w:eastAsia="zh-CN"/>
              </w:rPr>
            </w:pPr>
            <w:r>
              <w:rPr>
                <w:rFonts w:hint="eastAsia"/>
                <w:lang w:val="en-US" w:eastAsia="zh-CN"/>
              </w:rPr>
              <w:t>规格指标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8" w:type="dxa"/>
            <w:tcBorders>
              <w:tl2br w:val="nil"/>
              <w:tr2bl w:val="nil"/>
            </w:tcBorders>
            <w:vAlign w:val="center"/>
          </w:tcPr>
          <w:p>
            <w:pPr>
              <w:pStyle w:val="26"/>
              <w:bidi w:val="0"/>
              <w:rPr>
                <w:rFonts w:hint="default"/>
                <w:lang w:val="en-US" w:eastAsia="zh-CN"/>
              </w:rPr>
            </w:pPr>
            <w:r>
              <w:rPr>
                <w:rFonts w:hint="eastAsia"/>
                <w:lang w:val="en-US" w:eastAsia="zh-CN"/>
              </w:rPr>
              <w:t>1</w:t>
            </w:r>
          </w:p>
        </w:tc>
        <w:tc>
          <w:tcPr>
            <w:tcW w:w="2635" w:type="dxa"/>
            <w:tcBorders>
              <w:tl2br w:val="nil"/>
              <w:tr2bl w:val="nil"/>
            </w:tcBorders>
            <w:vAlign w:val="center"/>
          </w:tcPr>
          <w:p>
            <w:pPr>
              <w:pStyle w:val="26"/>
              <w:bidi w:val="0"/>
              <w:rPr>
                <w:lang w:val="en-US" w:eastAsia="zh-CN"/>
              </w:rPr>
            </w:pPr>
            <w:r>
              <w:rPr>
                <w:rFonts w:hint="default"/>
                <w:lang w:val="en-US" w:eastAsia="zh-CN"/>
              </w:rPr>
              <w:t>颜色</w:t>
            </w:r>
          </w:p>
        </w:tc>
        <w:tc>
          <w:tcPr>
            <w:tcW w:w="3689" w:type="dxa"/>
            <w:tcBorders>
              <w:tl2br w:val="nil"/>
              <w:tr2bl w:val="nil"/>
            </w:tcBorders>
            <w:vAlign w:val="center"/>
          </w:tcPr>
          <w:p>
            <w:pPr>
              <w:pStyle w:val="26"/>
              <w:bidi w:val="0"/>
              <w:rPr>
                <w:lang w:val="en-US" w:eastAsia="zh-CN"/>
              </w:rPr>
            </w:pPr>
            <w:r>
              <w:rPr>
                <w:rFonts w:hint="default"/>
                <w:lang w:val="en-US" w:eastAsia="zh-CN"/>
              </w:rPr>
              <w:t>米黄色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8" w:type="dxa"/>
            <w:tcBorders>
              <w:tl2br w:val="nil"/>
              <w:tr2bl w:val="nil"/>
            </w:tcBorders>
            <w:vAlign w:val="center"/>
          </w:tcPr>
          <w:p>
            <w:pPr>
              <w:pStyle w:val="26"/>
              <w:bidi w:val="0"/>
              <w:rPr>
                <w:rFonts w:hint="default"/>
                <w:lang w:val="en-US" w:eastAsia="zh-CN"/>
              </w:rPr>
            </w:pPr>
            <w:r>
              <w:rPr>
                <w:rFonts w:hint="eastAsia"/>
                <w:lang w:val="en-US" w:eastAsia="zh-CN"/>
              </w:rPr>
              <w:t>2</w:t>
            </w:r>
          </w:p>
        </w:tc>
        <w:tc>
          <w:tcPr>
            <w:tcW w:w="2635" w:type="dxa"/>
            <w:tcBorders>
              <w:tl2br w:val="nil"/>
              <w:tr2bl w:val="nil"/>
            </w:tcBorders>
            <w:vAlign w:val="center"/>
          </w:tcPr>
          <w:p>
            <w:pPr>
              <w:pStyle w:val="26"/>
              <w:bidi w:val="0"/>
              <w:rPr>
                <w:lang w:val="en-US" w:eastAsia="zh-CN"/>
              </w:rPr>
            </w:pPr>
            <w:r>
              <w:rPr>
                <w:rFonts w:hint="default"/>
                <w:lang w:val="en-US" w:eastAsia="zh-CN"/>
              </w:rPr>
              <w:t>比重</w:t>
            </w:r>
          </w:p>
        </w:tc>
        <w:tc>
          <w:tcPr>
            <w:tcW w:w="3689" w:type="dxa"/>
            <w:tcBorders>
              <w:tl2br w:val="nil"/>
              <w:tr2bl w:val="nil"/>
            </w:tcBorders>
            <w:vAlign w:val="center"/>
          </w:tcPr>
          <w:p>
            <w:pPr>
              <w:pStyle w:val="26"/>
              <w:bidi w:val="0"/>
              <w:rPr>
                <w:rFonts w:hint="default"/>
                <w:lang w:val="en-US" w:eastAsia="zh-CN"/>
              </w:rPr>
            </w:pPr>
            <w:r>
              <w:rPr>
                <w:rFonts w:hint="default"/>
                <w:lang w:val="en-US" w:eastAsia="zh-CN"/>
              </w:rPr>
              <w:t>25</w:t>
            </w:r>
            <w:r>
              <w:rPr>
                <w:rFonts w:hint="eastAsia"/>
                <w:lang w:val="en-US" w:eastAsia="zh-CN"/>
              </w:rPr>
              <w:t xml:space="preserve"> kg/m</w:t>
            </w:r>
            <w:r>
              <w:rPr>
                <w:rFonts w:hint="eastAsia"/>
                <w:vertAlign w:val="superscript"/>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8" w:type="dxa"/>
            <w:tcBorders>
              <w:tl2br w:val="nil"/>
              <w:tr2bl w:val="nil"/>
            </w:tcBorders>
            <w:vAlign w:val="center"/>
          </w:tcPr>
          <w:p>
            <w:pPr>
              <w:pStyle w:val="26"/>
              <w:bidi w:val="0"/>
              <w:rPr>
                <w:rFonts w:hint="default"/>
                <w:lang w:val="en-US" w:eastAsia="zh-CN"/>
              </w:rPr>
            </w:pPr>
            <w:r>
              <w:rPr>
                <w:rFonts w:hint="eastAsia"/>
                <w:lang w:val="en-US" w:eastAsia="zh-CN"/>
              </w:rPr>
              <w:t>3</w:t>
            </w:r>
          </w:p>
        </w:tc>
        <w:tc>
          <w:tcPr>
            <w:tcW w:w="2635" w:type="dxa"/>
            <w:tcBorders>
              <w:tl2br w:val="nil"/>
              <w:tr2bl w:val="nil"/>
            </w:tcBorders>
            <w:vAlign w:val="center"/>
          </w:tcPr>
          <w:p>
            <w:pPr>
              <w:pStyle w:val="26"/>
              <w:bidi w:val="0"/>
              <w:rPr>
                <w:lang w:val="en-US" w:eastAsia="zh-CN"/>
              </w:rPr>
            </w:pPr>
            <w:r>
              <w:rPr>
                <w:rFonts w:hint="default"/>
                <w:lang w:val="en-US" w:eastAsia="zh-CN"/>
              </w:rPr>
              <w:t>耐火实验</w:t>
            </w:r>
          </w:p>
        </w:tc>
        <w:tc>
          <w:tcPr>
            <w:tcW w:w="3689" w:type="dxa"/>
            <w:tcBorders>
              <w:tl2br w:val="nil"/>
              <w:tr2bl w:val="nil"/>
            </w:tcBorders>
            <w:vAlign w:val="center"/>
          </w:tcPr>
          <w:p>
            <w:pPr>
              <w:pStyle w:val="26"/>
              <w:bidi w:val="0"/>
              <w:rPr>
                <w:lang w:val="en-US" w:eastAsia="zh-CN"/>
              </w:rPr>
            </w:pPr>
            <w:r>
              <w:rPr>
                <w:rFonts w:hint="default"/>
                <w:lang w:val="en-US" w:eastAsia="zh-CN"/>
              </w:rPr>
              <w:t>B3级，根据德国工业标准4102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8" w:type="dxa"/>
            <w:tcBorders>
              <w:tl2br w:val="nil"/>
              <w:tr2bl w:val="nil"/>
            </w:tcBorders>
            <w:vAlign w:val="center"/>
          </w:tcPr>
          <w:p>
            <w:pPr>
              <w:pStyle w:val="26"/>
              <w:bidi w:val="0"/>
              <w:rPr>
                <w:rFonts w:hint="default"/>
                <w:lang w:val="en-US" w:eastAsia="zh-CN"/>
              </w:rPr>
            </w:pPr>
            <w:r>
              <w:rPr>
                <w:rFonts w:hint="eastAsia"/>
                <w:lang w:val="en-US" w:eastAsia="zh-CN"/>
              </w:rPr>
              <w:t>4</w:t>
            </w:r>
          </w:p>
        </w:tc>
        <w:tc>
          <w:tcPr>
            <w:tcW w:w="2635" w:type="dxa"/>
            <w:tcBorders>
              <w:tl2br w:val="nil"/>
              <w:tr2bl w:val="nil"/>
            </w:tcBorders>
            <w:vAlign w:val="center"/>
          </w:tcPr>
          <w:p>
            <w:pPr>
              <w:pStyle w:val="26"/>
              <w:bidi w:val="0"/>
              <w:rPr>
                <w:lang w:val="en-US" w:eastAsia="zh-CN"/>
              </w:rPr>
            </w:pPr>
            <w:r>
              <w:rPr>
                <w:rFonts w:hint="default"/>
                <w:lang w:val="en-US" w:eastAsia="zh-CN"/>
              </w:rPr>
              <w:t>耐压强度</w:t>
            </w:r>
          </w:p>
        </w:tc>
        <w:tc>
          <w:tcPr>
            <w:tcW w:w="3689" w:type="dxa"/>
            <w:tcBorders>
              <w:tl2br w:val="nil"/>
              <w:tr2bl w:val="nil"/>
            </w:tcBorders>
            <w:vAlign w:val="center"/>
          </w:tcPr>
          <w:p>
            <w:pPr>
              <w:pStyle w:val="26"/>
              <w:bidi w:val="0"/>
              <w:rPr>
                <w:lang w:val="en-US" w:eastAsia="zh-CN"/>
              </w:rPr>
            </w:pPr>
            <w:r>
              <w:rPr>
                <w:rFonts w:hint="default"/>
                <w:lang w:val="en-US" w:eastAsia="zh-CN"/>
              </w:rPr>
              <w:t>9×10</w:t>
            </w:r>
            <w:r>
              <w:rPr>
                <w:rFonts w:hint="default"/>
                <w:vertAlign w:val="superscript"/>
                <w:lang w:val="en-US" w:eastAsia="zh-CN"/>
              </w:rPr>
              <w:t>4</w:t>
            </w:r>
            <w:r>
              <w:rPr>
                <w:rFonts w:hint="default"/>
                <w:lang w:val="en-US" w:eastAsia="zh-CN"/>
              </w:rPr>
              <w:t>/m</w:t>
            </w:r>
            <w:r>
              <w:rPr>
                <w:rFonts w:hint="default"/>
                <w:vertAlign w:val="superscript"/>
                <w:lang w:val="en-US" w:eastAsia="zh-CN"/>
              </w:rPr>
              <w:t>2</w:t>
            </w:r>
            <w:r>
              <w:rPr>
                <w:rFonts w:hint="default"/>
                <w:lang w:val="en-US" w:eastAsia="zh-CN"/>
              </w:rPr>
              <w:t>-10%变形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8" w:type="dxa"/>
            <w:tcBorders>
              <w:tl2br w:val="nil"/>
              <w:tr2bl w:val="nil"/>
            </w:tcBorders>
            <w:vAlign w:val="center"/>
          </w:tcPr>
          <w:p>
            <w:pPr>
              <w:pStyle w:val="26"/>
              <w:bidi w:val="0"/>
              <w:rPr>
                <w:rFonts w:hint="default"/>
                <w:lang w:val="en-US" w:eastAsia="zh-CN"/>
              </w:rPr>
            </w:pPr>
            <w:r>
              <w:rPr>
                <w:rFonts w:hint="eastAsia"/>
                <w:lang w:val="en-US" w:eastAsia="zh-CN"/>
              </w:rPr>
              <w:t>5</w:t>
            </w:r>
          </w:p>
        </w:tc>
        <w:tc>
          <w:tcPr>
            <w:tcW w:w="2635" w:type="dxa"/>
            <w:tcBorders>
              <w:tl2br w:val="nil"/>
              <w:tr2bl w:val="nil"/>
            </w:tcBorders>
            <w:vAlign w:val="center"/>
          </w:tcPr>
          <w:p>
            <w:pPr>
              <w:pStyle w:val="26"/>
              <w:bidi w:val="0"/>
              <w:rPr>
                <w:lang w:val="en-US" w:eastAsia="zh-CN"/>
              </w:rPr>
            </w:pPr>
            <w:r>
              <w:rPr>
                <w:rFonts w:hint="default"/>
                <w:lang w:val="en-US" w:eastAsia="zh-CN"/>
              </w:rPr>
              <w:t>抗张强度</w:t>
            </w:r>
          </w:p>
        </w:tc>
        <w:tc>
          <w:tcPr>
            <w:tcW w:w="3689" w:type="dxa"/>
            <w:tcBorders>
              <w:tl2br w:val="nil"/>
              <w:tr2bl w:val="nil"/>
            </w:tcBorders>
            <w:vAlign w:val="center"/>
          </w:tcPr>
          <w:p>
            <w:pPr>
              <w:pStyle w:val="26"/>
              <w:bidi w:val="0"/>
              <w:rPr>
                <w:lang w:val="en-US" w:eastAsia="zh-CN"/>
              </w:rPr>
            </w:pPr>
            <w:r>
              <w:rPr>
                <w:rFonts w:hint="default"/>
                <w:lang w:val="en-US" w:eastAsia="zh-CN"/>
              </w:rPr>
              <w:t>14×10</w:t>
            </w:r>
            <w:r>
              <w:rPr>
                <w:rFonts w:hint="default"/>
                <w:vertAlign w:val="superscript"/>
                <w:lang w:val="en-US" w:eastAsia="zh-CN"/>
              </w:rPr>
              <w:t>4</w:t>
            </w:r>
            <w:r>
              <w:rPr>
                <w:rFonts w:hint="default"/>
                <w:lang w:val="en-US" w:eastAsia="zh-CN"/>
              </w:rPr>
              <w:t>/m</w:t>
            </w:r>
            <w:r>
              <w:rPr>
                <w:rFonts w:hint="default"/>
                <w:vertAlign w:val="superscript"/>
                <w:lang w:val="en-US" w:eastAsia="zh-CN"/>
              </w:rPr>
              <w:t>2</w:t>
            </w:r>
            <w:r>
              <w:rPr>
                <w:rFonts w:hint="default"/>
                <w:lang w:val="en-US" w:eastAsia="zh-CN"/>
              </w:rPr>
              <w:t>-20%变形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8" w:type="dxa"/>
            <w:tcBorders>
              <w:tl2br w:val="nil"/>
              <w:tr2bl w:val="nil"/>
            </w:tcBorders>
            <w:vAlign w:val="center"/>
          </w:tcPr>
          <w:p>
            <w:pPr>
              <w:pStyle w:val="26"/>
              <w:bidi w:val="0"/>
              <w:rPr>
                <w:rFonts w:hint="default"/>
                <w:lang w:val="en-US" w:eastAsia="zh-CN"/>
              </w:rPr>
            </w:pPr>
            <w:r>
              <w:rPr>
                <w:rFonts w:hint="eastAsia"/>
                <w:lang w:val="en-US" w:eastAsia="zh-CN"/>
              </w:rPr>
              <w:t>6</w:t>
            </w:r>
          </w:p>
        </w:tc>
        <w:tc>
          <w:tcPr>
            <w:tcW w:w="2635" w:type="dxa"/>
            <w:tcBorders>
              <w:tl2br w:val="nil"/>
              <w:tr2bl w:val="nil"/>
            </w:tcBorders>
            <w:vAlign w:val="center"/>
          </w:tcPr>
          <w:p>
            <w:pPr>
              <w:pStyle w:val="26"/>
              <w:bidi w:val="0"/>
              <w:rPr>
                <w:lang w:val="en-US" w:eastAsia="zh-CN"/>
              </w:rPr>
            </w:pPr>
            <w:r>
              <w:rPr>
                <w:rFonts w:hint="default"/>
                <w:lang w:val="en-US" w:eastAsia="zh-CN"/>
              </w:rPr>
              <w:t>抗紫外线性能</w:t>
            </w:r>
          </w:p>
        </w:tc>
        <w:tc>
          <w:tcPr>
            <w:tcW w:w="3689" w:type="dxa"/>
            <w:tcBorders>
              <w:tl2br w:val="nil"/>
              <w:tr2bl w:val="nil"/>
            </w:tcBorders>
            <w:vAlign w:val="center"/>
          </w:tcPr>
          <w:p>
            <w:pPr>
              <w:pStyle w:val="26"/>
              <w:bidi w:val="0"/>
              <w:rPr>
                <w:lang w:val="en-US" w:eastAsia="zh-CN"/>
              </w:rPr>
            </w:pPr>
            <w:r>
              <w:rPr>
                <w:rFonts w:hint="default"/>
                <w:lang w:val="en-US" w:eastAsia="zh-CN"/>
              </w:rPr>
              <w:t>不能持续抵抗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8" w:type="dxa"/>
            <w:tcBorders>
              <w:tl2br w:val="nil"/>
              <w:tr2bl w:val="nil"/>
            </w:tcBorders>
            <w:vAlign w:val="center"/>
          </w:tcPr>
          <w:p>
            <w:pPr>
              <w:pStyle w:val="26"/>
              <w:bidi w:val="0"/>
              <w:rPr>
                <w:rFonts w:hint="default"/>
                <w:lang w:val="en-US" w:eastAsia="zh-CN"/>
              </w:rPr>
            </w:pPr>
            <w:r>
              <w:rPr>
                <w:rFonts w:hint="eastAsia"/>
                <w:lang w:val="en-US" w:eastAsia="zh-CN"/>
              </w:rPr>
              <w:t>7</w:t>
            </w:r>
          </w:p>
        </w:tc>
        <w:tc>
          <w:tcPr>
            <w:tcW w:w="2635" w:type="dxa"/>
            <w:tcBorders>
              <w:tl2br w:val="nil"/>
              <w:tr2bl w:val="nil"/>
            </w:tcBorders>
            <w:vAlign w:val="center"/>
          </w:tcPr>
          <w:p>
            <w:pPr>
              <w:pStyle w:val="26"/>
              <w:bidi w:val="0"/>
              <w:rPr>
                <w:lang w:val="en-US" w:eastAsia="zh-CN"/>
              </w:rPr>
            </w:pPr>
            <w:r>
              <w:rPr>
                <w:rFonts w:hint="default"/>
                <w:lang w:val="en-US" w:eastAsia="zh-CN"/>
              </w:rPr>
              <w:t>热条件系数</w:t>
            </w:r>
          </w:p>
        </w:tc>
        <w:tc>
          <w:tcPr>
            <w:tcW w:w="3689" w:type="dxa"/>
            <w:tcBorders>
              <w:tl2br w:val="nil"/>
              <w:tr2bl w:val="nil"/>
            </w:tcBorders>
            <w:vAlign w:val="center"/>
          </w:tcPr>
          <w:p>
            <w:pPr>
              <w:pStyle w:val="26"/>
              <w:bidi w:val="0"/>
              <w:rPr>
                <w:lang w:val="en-US" w:eastAsia="zh-CN"/>
              </w:rPr>
            </w:pPr>
            <w:r>
              <w:rPr>
                <w:rFonts w:hint="default"/>
                <w:lang w:val="en-US" w:eastAsia="zh-CN"/>
              </w:rPr>
              <w:t>0.03</w:t>
            </w:r>
            <w:r>
              <w:rPr>
                <w:rFonts w:hint="eastAsia"/>
                <w:lang w:val="en-US" w:eastAsia="zh-CN"/>
              </w:rPr>
              <w:t xml:space="preserve"> </w:t>
            </w:r>
            <w:r>
              <w:rPr>
                <w:rFonts w:hint="default"/>
                <w:lang w:val="en-US" w:eastAsia="zh-CN"/>
              </w:rPr>
              <w:t>W/m°K</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8" w:type="dxa"/>
            <w:tcBorders>
              <w:tl2br w:val="nil"/>
              <w:tr2bl w:val="nil"/>
            </w:tcBorders>
            <w:vAlign w:val="center"/>
          </w:tcPr>
          <w:p>
            <w:pPr>
              <w:pStyle w:val="26"/>
              <w:bidi w:val="0"/>
              <w:rPr>
                <w:rFonts w:hint="default"/>
                <w:lang w:val="en-US" w:eastAsia="zh-CN"/>
              </w:rPr>
            </w:pPr>
            <w:r>
              <w:rPr>
                <w:rFonts w:hint="eastAsia"/>
                <w:lang w:val="en-US" w:eastAsia="zh-CN"/>
              </w:rPr>
              <w:t>8</w:t>
            </w:r>
          </w:p>
        </w:tc>
        <w:tc>
          <w:tcPr>
            <w:tcW w:w="2635" w:type="dxa"/>
            <w:tcBorders>
              <w:tl2br w:val="nil"/>
              <w:tr2bl w:val="nil"/>
            </w:tcBorders>
            <w:vAlign w:val="center"/>
          </w:tcPr>
          <w:p>
            <w:pPr>
              <w:pStyle w:val="26"/>
              <w:bidi w:val="0"/>
              <w:rPr>
                <w:lang w:val="en-US" w:eastAsia="zh-CN"/>
              </w:rPr>
            </w:pPr>
            <w:r>
              <w:rPr>
                <w:rFonts w:hint="default"/>
                <w:lang w:val="en-US" w:eastAsia="zh-CN"/>
              </w:rPr>
              <w:t>操作温度</w:t>
            </w:r>
          </w:p>
        </w:tc>
        <w:tc>
          <w:tcPr>
            <w:tcW w:w="3689" w:type="dxa"/>
            <w:tcBorders>
              <w:tl2br w:val="nil"/>
              <w:tr2bl w:val="nil"/>
            </w:tcBorders>
            <w:vAlign w:val="center"/>
          </w:tcPr>
          <w:p>
            <w:pPr>
              <w:pStyle w:val="26"/>
              <w:bidi w:val="0"/>
              <w:rPr>
                <w:lang w:val="en-US" w:eastAsia="zh-CN"/>
              </w:rPr>
            </w:pPr>
            <w:r>
              <w:rPr>
                <w:rFonts w:hint="default"/>
                <w:lang w:val="en-US" w:eastAsia="zh-CN"/>
              </w:rPr>
              <w:t>物体表面在+0°C到+30°C之间，环境温度在-5°C到+30°C.</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8" w:type="dxa"/>
            <w:tcBorders>
              <w:tl2br w:val="nil"/>
              <w:tr2bl w:val="nil"/>
            </w:tcBorders>
            <w:vAlign w:val="center"/>
          </w:tcPr>
          <w:p>
            <w:pPr>
              <w:pStyle w:val="26"/>
              <w:bidi w:val="0"/>
              <w:rPr>
                <w:rFonts w:hint="default"/>
                <w:lang w:val="en-US" w:eastAsia="zh-CN"/>
              </w:rPr>
            </w:pPr>
            <w:r>
              <w:rPr>
                <w:rFonts w:hint="eastAsia"/>
                <w:lang w:val="en-US" w:eastAsia="zh-CN"/>
              </w:rPr>
              <w:t>9</w:t>
            </w:r>
          </w:p>
        </w:tc>
        <w:tc>
          <w:tcPr>
            <w:tcW w:w="2635" w:type="dxa"/>
            <w:tcBorders>
              <w:tl2br w:val="nil"/>
              <w:tr2bl w:val="nil"/>
            </w:tcBorders>
            <w:vAlign w:val="center"/>
          </w:tcPr>
          <w:p>
            <w:pPr>
              <w:pStyle w:val="26"/>
              <w:bidi w:val="0"/>
              <w:rPr>
                <w:lang w:val="en-US" w:eastAsia="zh-CN"/>
              </w:rPr>
            </w:pPr>
            <w:r>
              <w:rPr>
                <w:rFonts w:hint="default"/>
                <w:lang w:val="en-US" w:eastAsia="zh-CN"/>
              </w:rPr>
              <w:t>加固时间</w:t>
            </w:r>
          </w:p>
        </w:tc>
        <w:tc>
          <w:tcPr>
            <w:tcW w:w="3689" w:type="dxa"/>
            <w:tcBorders>
              <w:tl2br w:val="nil"/>
              <w:tr2bl w:val="nil"/>
            </w:tcBorders>
            <w:vAlign w:val="center"/>
          </w:tcPr>
          <w:p>
            <w:pPr>
              <w:pStyle w:val="26"/>
              <w:bidi w:val="0"/>
              <w:rPr>
                <w:lang w:val="en-US" w:eastAsia="zh-CN"/>
              </w:rPr>
            </w:pPr>
            <w:r>
              <w:rPr>
                <w:rFonts w:hint="default"/>
                <w:lang w:val="en-US" w:eastAsia="zh-CN"/>
              </w:rPr>
              <w:t>6</w:t>
            </w:r>
            <w:r>
              <w:rPr>
                <w:rFonts w:hint="eastAsia"/>
                <w:lang w:val="en-US" w:eastAsia="zh-CN"/>
              </w:rPr>
              <w:t>~</w:t>
            </w:r>
            <w:r>
              <w:rPr>
                <w:rFonts w:hint="default"/>
                <w:lang w:val="en-US" w:eastAsia="zh-CN"/>
              </w:rPr>
              <w:t>10分钟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58" w:type="dxa"/>
            <w:tcBorders>
              <w:tl2br w:val="nil"/>
              <w:tr2bl w:val="nil"/>
            </w:tcBorders>
            <w:vAlign w:val="center"/>
          </w:tcPr>
          <w:p>
            <w:pPr>
              <w:pStyle w:val="26"/>
              <w:bidi w:val="0"/>
              <w:rPr>
                <w:rFonts w:hint="default"/>
                <w:lang w:val="en-US" w:eastAsia="zh-CN"/>
              </w:rPr>
            </w:pPr>
            <w:r>
              <w:rPr>
                <w:rFonts w:hint="eastAsia"/>
                <w:lang w:val="en-US" w:eastAsia="zh-CN"/>
              </w:rPr>
              <w:t>10</w:t>
            </w:r>
          </w:p>
        </w:tc>
        <w:tc>
          <w:tcPr>
            <w:tcW w:w="2635" w:type="dxa"/>
            <w:tcBorders>
              <w:tl2br w:val="nil"/>
              <w:tr2bl w:val="nil"/>
            </w:tcBorders>
            <w:vAlign w:val="center"/>
          </w:tcPr>
          <w:p>
            <w:pPr>
              <w:pStyle w:val="26"/>
              <w:bidi w:val="0"/>
              <w:rPr>
                <w:lang w:val="en-US" w:eastAsia="zh-CN"/>
              </w:rPr>
            </w:pPr>
            <w:r>
              <w:rPr>
                <w:rFonts w:hint="default"/>
                <w:lang w:val="en-US" w:eastAsia="zh-CN"/>
              </w:rPr>
              <w:t>干固时间</w:t>
            </w:r>
          </w:p>
        </w:tc>
        <w:tc>
          <w:tcPr>
            <w:tcW w:w="3689" w:type="dxa"/>
            <w:tcBorders>
              <w:tl2br w:val="nil"/>
              <w:tr2bl w:val="nil"/>
            </w:tcBorders>
            <w:vAlign w:val="center"/>
          </w:tcPr>
          <w:p>
            <w:pPr>
              <w:pStyle w:val="26"/>
              <w:bidi w:val="0"/>
              <w:rPr>
                <w:lang w:val="en-US" w:eastAsia="zh-CN"/>
              </w:rPr>
            </w:pPr>
            <w:r>
              <w:rPr>
                <w:rFonts w:hint="default"/>
                <w:lang w:val="en-US" w:eastAsia="zh-CN"/>
              </w:rPr>
              <w:t>1</w:t>
            </w:r>
            <w:r>
              <w:rPr>
                <w:rFonts w:hint="eastAsia"/>
                <w:lang w:val="en-US" w:eastAsia="zh-CN"/>
              </w:rPr>
              <w:t>~</w:t>
            </w:r>
            <w:r>
              <w:rPr>
                <w:rFonts w:hint="default"/>
                <w:lang w:val="en-US" w:eastAsia="zh-CN"/>
              </w:rPr>
              <w:t>2小时</w:t>
            </w:r>
          </w:p>
        </w:tc>
      </w:tr>
    </w:tbl>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p>
    <w:p>
      <w:pPr>
        <w:pStyle w:val="4"/>
        <w:bidi w:val="0"/>
        <w:rPr>
          <w:lang w:val="en-US" w:eastAsia="zh-CN"/>
        </w:rPr>
      </w:pPr>
      <w:bookmarkStart w:id="663" w:name="_Toc23101"/>
      <w:bookmarkStart w:id="664" w:name="_Toc26089"/>
      <w:r>
        <w:rPr>
          <w:lang w:val="en-US" w:eastAsia="zh-CN"/>
        </w:rPr>
        <w:t>主要原辅材料消耗</w:t>
      </w:r>
      <w:bookmarkEnd w:id="654"/>
      <w:bookmarkEnd w:id="655"/>
      <w:bookmarkEnd w:id="659"/>
      <w:bookmarkEnd w:id="660"/>
      <w:bookmarkEnd w:id="661"/>
      <w:bookmarkEnd w:id="662"/>
      <w:bookmarkEnd w:id="663"/>
      <w:bookmarkEnd w:id="664"/>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项目主要原辅材料具体情况见</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_Ref18015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3</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-4</w:t>
      </w:r>
      <w:r>
        <w:rPr>
          <w:rFonts w:hint="default"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kern w:val="2"/>
          <w:sz w:val="21"/>
          <w:szCs w:val="21"/>
          <w:lang w:val="en-US" w:eastAsia="zh-CN" w:bidi="ar-SA"/>
        </w:rPr>
        <w:sectPr>
          <w:pgSz w:w="11906" w:h="16838"/>
          <w:pgMar w:top="1417" w:right="1417" w:bottom="1134" w:left="1701" w:header="851" w:footer="992" w:gutter="0"/>
          <w:pgBorders>
            <w:top w:val="none" w:sz="0" w:space="0"/>
            <w:left w:val="none" w:sz="0" w:space="0"/>
            <w:bottom w:val="none" w:sz="0" w:space="0"/>
            <w:right w:val="none" w:sz="0" w:space="0"/>
          </w:pgBorders>
          <w:pgNumType w:fmt="decimal"/>
          <w:cols w:space="0" w:num="1"/>
          <w:rtlGutter w:val="0"/>
          <w:docGrid w:linePitch="312" w:charSpace="0"/>
        </w:sectPr>
      </w:pPr>
      <w:bookmarkStart w:id="665" w:name="_Ref18015"/>
    </w:p>
    <w:p>
      <w:pPr>
        <w:widowControl w:val="0"/>
        <w:spacing w:line="360" w:lineRule="auto"/>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3</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bookmarkEnd w:id="665"/>
      <w:r>
        <w:rPr>
          <w:rFonts w:ascii="Times New Roman" w:hAnsi="Times New Roman" w:eastAsia="宋体" w:cs="Times New Roman"/>
          <w:b/>
          <w:kern w:val="2"/>
          <w:sz w:val="21"/>
          <w:szCs w:val="21"/>
          <w:lang w:val="en-US" w:eastAsia="zh-CN" w:bidi="ar-SA"/>
        </w:rPr>
        <w:t>主要原辅材料表</w:t>
      </w:r>
    </w:p>
    <w:tbl>
      <w:tblPr>
        <w:tblStyle w:val="22"/>
        <w:tblW w:w="515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5"/>
        <w:gridCol w:w="2477"/>
        <w:gridCol w:w="1019"/>
        <w:gridCol w:w="916"/>
        <w:gridCol w:w="1020"/>
        <w:gridCol w:w="1650"/>
        <w:gridCol w:w="13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序号</w:t>
            </w:r>
          </w:p>
        </w:tc>
        <w:tc>
          <w:tcPr>
            <w:tcW w:w="2477"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原材料</w:t>
            </w:r>
            <w:r>
              <w:rPr>
                <w:rFonts w:hint="default" w:ascii="Times New Roman" w:hAnsi="Times New Roman" w:eastAsia="宋体" w:cs="Times New Roman"/>
                <w:kern w:val="2"/>
                <w:sz w:val="24"/>
                <w:szCs w:val="24"/>
                <w:lang w:val="en-US" w:eastAsia="zh-CN" w:bidi="ar-SA"/>
              </w:rPr>
              <w:t>名称</w:t>
            </w:r>
          </w:p>
        </w:tc>
        <w:tc>
          <w:tcPr>
            <w:tcW w:w="1019"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用量（t</w:t>
            </w:r>
            <w:r>
              <w:rPr>
                <w:rFonts w:hint="eastAsia" w:ascii="Times New Roman" w:hAnsi="Times New Roman" w:eastAsia="宋体" w:cs="Times New Roman"/>
                <w:kern w:val="2"/>
                <w:sz w:val="24"/>
                <w:szCs w:val="24"/>
                <w:lang w:val="en-US" w:eastAsia="zh-CN" w:bidi="ar-SA"/>
              </w:rPr>
              <w:t>/a</w:t>
            </w:r>
            <w:r>
              <w:rPr>
                <w:rFonts w:hint="default" w:ascii="Times New Roman" w:hAnsi="Times New Roman" w:eastAsia="宋体" w:cs="Times New Roman"/>
                <w:kern w:val="2"/>
                <w:sz w:val="24"/>
                <w:szCs w:val="24"/>
                <w:lang w:val="en-US" w:eastAsia="zh-CN" w:bidi="ar-SA"/>
              </w:rPr>
              <w:t>）</w:t>
            </w:r>
          </w:p>
        </w:tc>
        <w:tc>
          <w:tcPr>
            <w:tcW w:w="916"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比例（%）</w:t>
            </w:r>
          </w:p>
        </w:tc>
        <w:tc>
          <w:tcPr>
            <w:tcW w:w="102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形态</w:t>
            </w:r>
          </w:p>
        </w:tc>
        <w:tc>
          <w:tcPr>
            <w:tcW w:w="165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储存方式</w:t>
            </w:r>
          </w:p>
        </w:tc>
        <w:tc>
          <w:tcPr>
            <w:tcW w:w="138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2477"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二苯基甲烷二异氰酸酯（MDI）</w:t>
            </w:r>
          </w:p>
        </w:tc>
        <w:tc>
          <w:tcPr>
            <w:tcW w:w="1019"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975</w:t>
            </w:r>
          </w:p>
        </w:tc>
        <w:tc>
          <w:tcPr>
            <w:tcW w:w="91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15</w:t>
            </w:r>
          </w:p>
        </w:tc>
        <w:tc>
          <w:tcPr>
            <w:tcW w:w="102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固态</w:t>
            </w:r>
          </w:p>
        </w:tc>
        <w:tc>
          <w:tcPr>
            <w:tcW w:w="165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200L铁桶装</w:t>
            </w:r>
          </w:p>
        </w:tc>
        <w:tc>
          <w:tcPr>
            <w:tcW w:w="138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p>
        </w:tc>
        <w:tc>
          <w:tcPr>
            <w:tcW w:w="2477"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改性二苯基甲烷二异氰酸酯（改性MDI）</w:t>
            </w:r>
          </w:p>
        </w:tc>
        <w:tc>
          <w:tcPr>
            <w:tcW w:w="1019"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325</w:t>
            </w:r>
          </w:p>
        </w:tc>
        <w:tc>
          <w:tcPr>
            <w:tcW w:w="91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w:t>
            </w:r>
          </w:p>
        </w:tc>
        <w:tc>
          <w:tcPr>
            <w:tcW w:w="102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液</w:t>
            </w:r>
            <w:r>
              <w:rPr>
                <w:rFonts w:hint="eastAsia" w:ascii="Times New Roman" w:hAnsi="Times New Roman" w:eastAsia="宋体" w:cs="Times New Roman"/>
                <w:kern w:val="2"/>
                <w:sz w:val="24"/>
                <w:szCs w:val="24"/>
                <w:lang w:val="en-US" w:eastAsia="zh-CN" w:bidi="ar-SA"/>
              </w:rPr>
              <w:t>态</w:t>
            </w:r>
          </w:p>
        </w:tc>
        <w:tc>
          <w:tcPr>
            <w:tcW w:w="165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200L铁桶装</w:t>
            </w:r>
          </w:p>
        </w:tc>
        <w:tc>
          <w:tcPr>
            <w:tcW w:w="138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w:t>
            </w:r>
          </w:p>
        </w:tc>
        <w:tc>
          <w:tcPr>
            <w:tcW w:w="2477"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多亚甲基多苯基异氰酸酯（粗MDI）</w:t>
            </w:r>
          </w:p>
        </w:tc>
        <w:tc>
          <w:tcPr>
            <w:tcW w:w="1019"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1300</w:t>
            </w:r>
          </w:p>
        </w:tc>
        <w:tc>
          <w:tcPr>
            <w:tcW w:w="91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w:t>
            </w:r>
          </w:p>
        </w:tc>
        <w:tc>
          <w:tcPr>
            <w:tcW w:w="102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液态</w:t>
            </w:r>
          </w:p>
        </w:tc>
        <w:tc>
          <w:tcPr>
            <w:tcW w:w="165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200L铁桶装</w:t>
            </w:r>
          </w:p>
        </w:tc>
        <w:tc>
          <w:tcPr>
            <w:tcW w:w="138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w:t>
            </w:r>
          </w:p>
        </w:tc>
        <w:tc>
          <w:tcPr>
            <w:tcW w:w="2477"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聚醚多元醇</w:t>
            </w:r>
          </w:p>
        </w:tc>
        <w:tc>
          <w:tcPr>
            <w:tcW w:w="1019"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2600</w:t>
            </w:r>
          </w:p>
        </w:tc>
        <w:tc>
          <w:tcPr>
            <w:tcW w:w="91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10</w:t>
            </w:r>
          </w:p>
        </w:tc>
        <w:tc>
          <w:tcPr>
            <w:tcW w:w="102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液态</w:t>
            </w:r>
          </w:p>
        </w:tc>
        <w:tc>
          <w:tcPr>
            <w:tcW w:w="165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200L铁桶装</w:t>
            </w:r>
          </w:p>
        </w:tc>
        <w:tc>
          <w:tcPr>
            <w:tcW w:w="138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w:t>
            </w:r>
          </w:p>
        </w:tc>
        <w:tc>
          <w:tcPr>
            <w:tcW w:w="2477"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改性聚醚多元醇</w:t>
            </w:r>
          </w:p>
        </w:tc>
        <w:tc>
          <w:tcPr>
            <w:tcW w:w="1019"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650</w:t>
            </w:r>
          </w:p>
        </w:tc>
        <w:tc>
          <w:tcPr>
            <w:tcW w:w="91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40</w:t>
            </w:r>
          </w:p>
        </w:tc>
        <w:tc>
          <w:tcPr>
            <w:tcW w:w="102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液态</w:t>
            </w:r>
          </w:p>
        </w:tc>
        <w:tc>
          <w:tcPr>
            <w:tcW w:w="165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200L铁桶装</w:t>
            </w:r>
          </w:p>
        </w:tc>
        <w:tc>
          <w:tcPr>
            <w:tcW w:w="138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w:t>
            </w:r>
          </w:p>
        </w:tc>
        <w:tc>
          <w:tcPr>
            <w:tcW w:w="2477"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聚酯多元醇</w:t>
            </w:r>
          </w:p>
        </w:tc>
        <w:tc>
          <w:tcPr>
            <w:tcW w:w="1019"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650</w:t>
            </w:r>
          </w:p>
        </w:tc>
        <w:tc>
          <w:tcPr>
            <w:tcW w:w="91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u w:val="single"/>
                <w:lang w:val="en-US" w:eastAsia="zh-CN" w:bidi="ar-SA"/>
              </w:rPr>
              <w:t>10</w:t>
            </w:r>
          </w:p>
        </w:tc>
        <w:tc>
          <w:tcPr>
            <w:tcW w:w="102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液态</w:t>
            </w:r>
            <w:r>
              <w:rPr>
                <w:rFonts w:hint="eastAsia" w:cs="Times New Roman"/>
                <w:kern w:val="2"/>
                <w:sz w:val="24"/>
                <w:szCs w:val="24"/>
                <w:lang w:val="en-US" w:eastAsia="zh-CN" w:bidi="ar-SA"/>
              </w:rPr>
              <w:t>或固态</w:t>
            </w:r>
          </w:p>
        </w:tc>
        <w:tc>
          <w:tcPr>
            <w:tcW w:w="165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200L铁桶装</w:t>
            </w:r>
          </w:p>
        </w:tc>
        <w:tc>
          <w:tcPr>
            <w:tcW w:w="138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外购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02" w:type="dxa"/>
            <w:gridSpan w:val="2"/>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原料1~6小计</w:t>
            </w:r>
          </w:p>
        </w:tc>
        <w:tc>
          <w:tcPr>
            <w:tcW w:w="1019"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6500</w:t>
            </w:r>
          </w:p>
        </w:tc>
        <w:tc>
          <w:tcPr>
            <w:tcW w:w="91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102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165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138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w:t>
            </w:r>
          </w:p>
        </w:tc>
        <w:tc>
          <w:tcPr>
            <w:tcW w:w="2477"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自来水</w:t>
            </w:r>
          </w:p>
        </w:tc>
        <w:tc>
          <w:tcPr>
            <w:tcW w:w="1019"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10</w:t>
            </w:r>
            <w:r>
              <w:rPr>
                <w:rFonts w:hint="default" w:ascii="Times New Roman" w:hAnsi="Times New Roman" w:eastAsia="宋体" w:cs="Times New Roman"/>
                <w:kern w:val="2"/>
                <w:sz w:val="24"/>
                <w:szCs w:val="24"/>
                <w:lang w:val="en-US" w:eastAsia="zh-CN" w:bidi="ar-SA"/>
              </w:rPr>
              <w:t>m</w:t>
            </w:r>
            <w:r>
              <w:rPr>
                <w:rFonts w:hint="default" w:ascii="Times New Roman" w:hAnsi="Times New Roman" w:eastAsia="宋体" w:cs="Times New Roman"/>
                <w:kern w:val="2"/>
                <w:sz w:val="24"/>
                <w:szCs w:val="24"/>
                <w:vertAlign w:val="superscript"/>
                <w:lang w:val="en-US" w:eastAsia="zh-CN" w:bidi="ar-SA"/>
              </w:rPr>
              <w:t>3</w:t>
            </w:r>
          </w:p>
        </w:tc>
        <w:tc>
          <w:tcPr>
            <w:tcW w:w="91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102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w:t>
            </w:r>
          </w:p>
        </w:tc>
        <w:tc>
          <w:tcPr>
            <w:tcW w:w="165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w:t>
            </w:r>
          </w:p>
        </w:tc>
        <w:tc>
          <w:tcPr>
            <w:tcW w:w="138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8</w:t>
            </w:r>
          </w:p>
        </w:tc>
        <w:tc>
          <w:tcPr>
            <w:tcW w:w="2477"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电</w:t>
            </w:r>
          </w:p>
        </w:tc>
        <w:tc>
          <w:tcPr>
            <w:tcW w:w="1019"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r>
              <w:rPr>
                <w:rFonts w:hint="default" w:ascii="Times New Roman" w:hAnsi="Times New Roman" w:eastAsia="宋体" w:cs="Times New Roman"/>
                <w:kern w:val="2"/>
                <w:sz w:val="24"/>
                <w:szCs w:val="24"/>
                <w:lang w:val="en-US" w:eastAsia="zh-CN" w:bidi="ar-SA"/>
              </w:rPr>
              <w:t>0万</w:t>
            </w:r>
            <w:r>
              <w:rPr>
                <w:rFonts w:hint="eastAsia" w:ascii="Times New Roman" w:hAnsi="Times New Roman" w:eastAsia="宋体" w:cs="Times New Roman"/>
                <w:kern w:val="2"/>
                <w:sz w:val="24"/>
                <w:szCs w:val="24"/>
                <w:lang w:val="en-US" w:eastAsia="zh-CN" w:bidi="ar-SA"/>
              </w:rPr>
              <w:t>kWh</w:t>
            </w:r>
          </w:p>
        </w:tc>
        <w:tc>
          <w:tcPr>
            <w:tcW w:w="916"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102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165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138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9287" w:type="dxa"/>
            <w:gridSpan w:val="7"/>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注：不同的产品所加原料的各种成分比例不一致，精细比例涉及技术机密，</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在此不详细列出。</w:t>
            </w:r>
          </w:p>
        </w:tc>
      </w:tr>
    </w:tbl>
    <w:p>
      <w:pPr>
        <w:pStyle w:val="25"/>
        <w:bidi w:val="0"/>
        <w:rPr>
          <w:rFonts w:hint="eastAsia"/>
          <w:lang w:val="en-US" w:eastAsia="zh-CN"/>
        </w:rPr>
      </w:pP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同时建设单位每年购买促进剂共3t储备，提供给客户带回根据各自的需要调剂产品性能使用。本项目生产过程中不使用。促进剂的种类和特性见</w:t>
      </w:r>
      <w:r>
        <w:rPr>
          <w:rFonts w:hint="eastAsia" w:ascii="Times New Roman" w:hAnsi="Times New Roman" w:eastAsia="宋体" w:cs="宋体"/>
          <w:kern w:val="2"/>
          <w:sz w:val="24"/>
          <w:szCs w:val="24"/>
          <w:highlight w:val="cyan"/>
          <w:lang w:val="en-US" w:eastAsia="zh-CN" w:bidi="ar-SA"/>
        </w:rPr>
        <w:fldChar w:fldCharType="begin"/>
      </w:r>
      <w:r>
        <w:rPr>
          <w:rFonts w:hint="eastAsia" w:ascii="Times New Roman" w:hAnsi="Times New Roman" w:eastAsia="宋体" w:cs="宋体"/>
          <w:kern w:val="2"/>
          <w:sz w:val="24"/>
          <w:szCs w:val="24"/>
          <w:highlight w:val="cyan"/>
          <w:lang w:val="en-US" w:eastAsia="zh-CN" w:bidi="ar-SA"/>
        </w:rPr>
        <w:instrText xml:space="preserve"> REF _Ref15490 \h </w:instrText>
      </w:r>
      <w:r>
        <w:rPr>
          <w:rFonts w:hint="eastAsia" w:ascii="Times New Roman" w:hAnsi="Times New Roman" w:eastAsia="宋体" w:cs="宋体"/>
          <w:kern w:val="2"/>
          <w:sz w:val="24"/>
          <w:szCs w:val="24"/>
          <w:highlight w:val="cyan"/>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3</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5</w:t>
      </w:r>
      <w:r>
        <w:rPr>
          <w:rFonts w:hint="eastAsia" w:ascii="Times New Roman" w:hAnsi="Times New Roman" w:eastAsia="宋体" w:cs="宋体"/>
          <w:kern w:val="2"/>
          <w:sz w:val="24"/>
          <w:szCs w:val="24"/>
          <w:highlight w:val="cyan"/>
          <w:lang w:val="en-US" w:eastAsia="zh-CN" w:bidi="ar-SA"/>
        </w:rPr>
        <w:fldChar w:fldCharType="end"/>
      </w:r>
      <w:r>
        <w:rPr>
          <w:rFonts w:hint="eastAsia" w:ascii="Times New Roman" w:hAnsi="Times New Roman" w:eastAsia="宋体" w:cs="宋体"/>
          <w:kern w:val="2"/>
          <w:sz w:val="24"/>
          <w:szCs w:val="24"/>
          <w:lang w:val="en-US" w:eastAsia="zh-CN" w:bidi="ar-SA"/>
        </w:rPr>
        <w:t>。</w:t>
      </w:r>
    </w:p>
    <w:p>
      <w:pPr>
        <w:widowControl w:val="0"/>
        <w:bidi w:val="0"/>
        <w:spacing w:line="360" w:lineRule="auto"/>
        <w:jc w:val="center"/>
        <w:rPr>
          <w:rFonts w:hint="eastAsia" w:ascii="Times New Roman" w:hAnsi="Times New Roman" w:eastAsia="宋体" w:cs="Times New Roman"/>
          <w:b/>
          <w:kern w:val="2"/>
          <w:sz w:val="21"/>
          <w:szCs w:val="21"/>
          <w:lang w:val="en-US" w:eastAsia="zh-CN" w:bidi="ar-SA"/>
        </w:rPr>
      </w:pPr>
      <w:bookmarkStart w:id="666" w:name="_Ref15490"/>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3</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5</w:t>
      </w:r>
      <w:r>
        <w:rPr>
          <w:rFonts w:ascii="Times New Roman" w:hAnsi="Times New Roman" w:eastAsia="宋体" w:cs="Times New Roman"/>
          <w:b/>
          <w:kern w:val="2"/>
          <w:sz w:val="21"/>
          <w:szCs w:val="21"/>
          <w:lang w:val="en-US" w:eastAsia="zh-CN" w:bidi="ar-SA"/>
        </w:rPr>
        <w:fldChar w:fldCharType="end"/>
      </w:r>
      <w:bookmarkEnd w:id="666"/>
      <w:r>
        <w:rPr>
          <w:rFonts w:hint="eastAsia" w:ascii="Times New Roman" w:hAnsi="Times New Roman" w:eastAsia="宋体" w:cs="Times New Roman"/>
          <w:b/>
          <w:kern w:val="2"/>
          <w:sz w:val="21"/>
          <w:szCs w:val="21"/>
          <w:lang w:val="en-US" w:eastAsia="zh-CN" w:bidi="ar-SA"/>
        </w:rPr>
        <w:t>促进剂的种类和特性</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2181"/>
        <w:gridCol w:w="1089"/>
        <w:gridCol w:w="1530"/>
        <w:gridCol w:w="19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420" w:type="dxa"/>
            <w:tcBorders>
              <w:tl2br w:val="nil"/>
              <w:tr2bl w:val="nil"/>
            </w:tcBorders>
            <w:vAlign w:val="center"/>
          </w:tcPr>
          <w:p>
            <w:pPr>
              <w:pStyle w:val="26"/>
              <w:bidi w:val="0"/>
              <w:rPr>
                <w:rFonts w:hint="default"/>
                <w:lang w:val="en-US" w:eastAsia="zh-CN"/>
              </w:rPr>
            </w:pPr>
            <w:r>
              <w:rPr>
                <w:rFonts w:hint="eastAsia"/>
                <w:lang w:val="en-US" w:eastAsia="zh-CN"/>
              </w:rPr>
              <w:t>序号</w:t>
            </w:r>
          </w:p>
        </w:tc>
        <w:tc>
          <w:tcPr>
            <w:tcW w:w="2181" w:type="dxa"/>
            <w:tcBorders>
              <w:tl2br w:val="nil"/>
              <w:tr2bl w:val="nil"/>
            </w:tcBorders>
            <w:vAlign w:val="center"/>
          </w:tcPr>
          <w:p>
            <w:pPr>
              <w:pStyle w:val="26"/>
              <w:bidi w:val="0"/>
              <w:rPr>
                <w:rFonts w:hint="default"/>
                <w:lang w:val="en-US" w:eastAsia="zh-CN"/>
              </w:rPr>
            </w:pPr>
            <w:r>
              <w:rPr>
                <w:rFonts w:hint="eastAsia"/>
                <w:lang w:val="en-US" w:eastAsia="zh-CN"/>
              </w:rPr>
              <w:t>名称</w:t>
            </w:r>
          </w:p>
        </w:tc>
        <w:tc>
          <w:tcPr>
            <w:tcW w:w="1089" w:type="dxa"/>
            <w:tcBorders>
              <w:tl2br w:val="nil"/>
              <w:tr2bl w:val="nil"/>
            </w:tcBorders>
            <w:vAlign w:val="center"/>
          </w:tcPr>
          <w:p>
            <w:pPr>
              <w:pStyle w:val="26"/>
              <w:bidi w:val="0"/>
              <w:rPr>
                <w:rFonts w:hint="default"/>
                <w:lang w:val="en-US" w:eastAsia="zh-CN"/>
              </w:rPr>
            </w:pPr>
            <w:r>
              <w:rPr>
                <w:rFonts w:hint="eastAsia"/>
                <w:lang w:val="en-US" w:eastAsia="zh-CN"/>
              </w:rPr>
              <w:t>总量（t）</w:t>
            </w:r>
          </w:p>
        </w:tc>
        <w:tc>
          <w:tcPr>
            <w:tcW w:w="1530" w:type="dxa"/>
            <w:tcBorders>
              <w:tl2br w:val="nil"/>
              <w:tr2bl w:val="nil"/>
            </w:tcBorders>
            <w:vAlign w:val="center"/>
          </w:tcPr>
          <w:p>
            <w:pPr>
              <w:pStyle w:val="26"/>
              <w:bidi w:val="0"/>
              <w:rPr>
                <w:rFonts w:hint="eastAsia"/>
                <w:lang w:val="en-US" w:eastAsia="zh-CN"/>
              </w:rPr>
            </w:pPr>
            <w:r>
              <w:rPr>
                <w:rFonts w:hint="eastAsia"/>
                <w:lang w:val="en-US" w:eastAsia="zh-CN"/>
              </w:rPr>
              <w:t>毒性LD50</w:t>
            </w:r>
          </w:p>
          <w:p>
            <w:pPr>
              <w:pStyle w:val="26"/>
              <w:bidi w:val="0"/>
              <w:rPr>
                <w:rFonts w:hint="default"/>
                <w:lang w:val="en-US" w:eastAsia="zh-CN"/>
              </w:rPr>
            </w:pPr>
            <w:r>
              <w:rPr>
                <w:rFonts w:hint="eastAsia"/>
                <w:lang w:val="en-US" w:eastAsia="zh-CN"/>
              </w:rPr>
              <w:t>（mg/kg）</w:t>
            </w:r>
          </w:p>
        </w:tc>
        <w:tc>
          <w:tcPr>
            <w:tcW w:w="1980" w:type="dxa"/>
            <w:tcBorders>
              <w:tl2br w:val="nil"/>
              <w:tr2bl w:val="nil"/>
            </w:tcBorders>
            <w:vAlign w:val="center"/>
          </w:tcPr>
          <w:p>
            <w:pPr>
              <w:pStyle w:val="26"/>
              <w:bidi w:val="0"/>
              <w:rPr>
                <w:rFonts w:hint="default"/>
                <w:lang w:val="en-US" w:eastAsia="zh-CN"/>
              </w:rPr>
            </w:pPr>
            <w:r>
              <w:rPr>
                <w:rFonts w:hint="eastAsia"/>
                <w:lang w:val="en-US" w:eastAsia="zh-CN"/>
              </w:rPr>
              <w:t>《食品毒理》LD50剂量分级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0" w:type="dxa"/>
            <w:tcBorders>
              <w:tl2br w:val="nil"/>
              <w:tr2bl w:val="nil"/>
            </w:tcBorders>
            <w:vAlign w:val="center"/>
          </w:tcPr>
          <w:p>
            <w:pPr>
              <w:pStyle w:val="26"/>
              <w:bidi w:val="0"/>
              <w:rPr>
                <w:rFonts w:hint="default"/>
                <w:lang w:val="en-US" w:eastAsia="zh-CN"/>
              </w:rPr>
            </w:pPr>
            <w:r>
              <w:rPr>
                <w:rFonts w:hint="eastAsia"/>
                <w:lang w:val="en-US" w:eastAsia="zh-CN"/>
              </w:rPr>
              <w:t>1</w:t>
            </w:r>
          </w:p>
        </w:tc>
        <w:tc>
          <w:tcPr>
            <w:tcW w:w="2181" w:type="dxa"/>
            <w:tcBorders>
              <w:tl2br w:val="nil"/>
              <w:tr2bl w:val="nil"/>
            </w:tcBorders>
            <w:vAlign w:val="center"/>
          </w:tcPr>
          <w:p>
            <w:pPr>
              <w:pStyle w:val="26"/>
              <w:bidi w:val="0"/>
              <w:rPr>
                <w:rFonts w:hint="default"/>
                <w:lang w:val="en-US" w:eastAsia="zh-CN"/>
              </w:rPr>
            </w:pPr>
            <w:r>
              <w:rPr>
                <w:rFonts w:hint="eastAsia"/>
                <w:lang w:val="en-US" w:eastAsia="zh-CN"/>
              </w:rPr>
              <w:t>二乙烯二胺</w:t>
            </w:r>
          </w:p>
        </w:tc>
        <w:tc>
          <w:tcPr>
            <w:tcW w:w="1089" w:type="dxa"/>
            <w:tcBorders>
              <w:tl2br w:val="nil"/>
              <w:tr2bl w:val="nil"/>
            </w:tcBorders>
            <w:vAlign w:val="center"/>
          </w:tcPr>
          <w:p>
            <w:pPr>
              <w:pStyle w:val="26"/>
              <w:bidi w:val="0"/>
              <w:rPr>
                <w:rFonts w:hint="default"/>
                <w:lang w:val="en-US" w:eastAsia="zh-CN"/>
              </w:rPr>
            </w:pPr>
            <w:r>
              <w:rPr>
                <w:rFonts w:hint="eastAsia"/>
                <w:lang w:val="en-US" w:eastAsia="zh-CN"/>
              </w:rPr>
              <w:t>1</w:t>
            </w:r>
          </w:p>
        </w:tc>
        <w:tc>
          <w:tcPr>
            <w:tcW w:w="1530" w:type="dxa"/>
            <w:tcBorders>
              <w:tl2br w:val="nil"/>
              <w:tr2bl w:val="nil"/>
            </w:tcBorders>
            <w:vAlign w:val="center"/>
          </w:tcPr>
          <w:p>
            <w:pPr>
              <w:pStyle w:val="26"/>
              <w:bidi w:val="0"/>
              <w:rPr>
                <w:rFonts w:hint="default"/>
                <w:lang w:val="en-US" w:eastAsia="zh-CN"/>
              </w:rPr>
            </w:pPr>
            <w:r>
              <w:rPr>
                <w:rFonts w:hint="eastAsia"/>
                <w:lang w:val="en-US" w:eastAsia="zh-CN"/>
              </w:rPr>
              <w:t>700</w:t>
            </w:r>
          </w:p>
        </w:tc>
        <w:tc>
          <w:tcPr>
            <w:tcW w:w="1980" w:type="dxa"/>
            <w:tcBorders>
              <w:tl2br w:val="nil"/>
              <w:tr2bl w:val="nil"/>
            </w:tcBorders>
            <w:vAlign w:val="center"/>
          </w:tcPr>
          <w:p>
            <w:pPr>
              <w:pStyle w:val="26"/>
              <w:bidi w:val="0"/>
              <w:rPr>
                <w:rFonts w:hint="default"/>
                <w:lang w:val="en-US" w:eastAsia="zh-CN"/>
              </w:rPr>
            </w:pPr>
            <w:r>
              <w:rPr>
                <w:rFonts w:hint="eastAsia"/>
                <w:lang w:val="en-US" w:eastAsia="zh-CN"/>
              </w:rPr>
              <w:t>低毒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0" w:type="dxa"/>
            <w:tcBorders>
              <w:tl2br w:val="nil"/>
              <w:tr2bl w:val="nil"/>
            </w:tcBorders>
            <w:vAlign w:val="center"/>
          </w:tcPr>
          <w:p>
            <w:pPr>
              <w:pStyle w:val="26"/>
              <w:bidi w:val="0"/>
              <w:rPr>
                <w:rFonts w:hint="default"/>
                <w:lang w:val="en-US" w:eastAsia="zh-CN"/>
              </w:rPr>
            </w:pPr>
            <w:r>
              <w:rPr>
                <w:rFonts w:hint="eastAsia"/>
                <w:lang w:val="en-US" w:eastAsia="zh-CN"/>
              </w:rPr>
              <w:t>2</w:t>
            </w:r>
          </w:p>
        </w:tc>
        <w:tc>
          <w:tcPr>
            <w:tcW w:w="2181" w:type="dxa"/>
            <w:tcBorders>
              <w:tl2br w:val="nil"/>
              <w:tr2bl w:val="nil"/>
            </w:tcBorders>
            <w:vAlign w:val="center"/>
          </w:tcPr>
          <w:p>
            <w:pPr>
              <w:pStyle w:val="26"/>
              <w:bidi w:val="0"/>
              <w:rPr>
                <w:rFonts w:hint="default"/>
                <w:lang w:val="en-US" w:eastAsia="zh-CN"/>
              </w:rPr>
            </w:pPr>
            <w:r>
              <w:rPr>
                <w:rFonts w:hint="eastAsia"/>
                <w:lang w:val="en-US" w:eastAsia="zh-CN"/>
              </w:rPr>
              <w:t>辛酸亚锡</w:t>
            </w:r>
          </w:p>
        </w:tc>
        <w:tc>
          <w:tcPr>
            <w:tcW w:w="1089" w:type="dxa"/>
            <w:tcBorders>
              <w:tl2br w:val="nil"/>
              <w:tr2bl w:val="nil"/>
            </w:tcBorders>
            <w:vAlign w:val="center"/>
          </w:tcPr>
          <w:p>
            <w:pPr>
              <w:pStyle w:val="26"/>
              <w:bidi w:val="0"/>
              <w:rPr>
                <w:rFonts w:hint="default"/>
                <w:lang w:val="en-US" w:eastAsia="zh-CN"/>
              </w:rPr>
            </w:pPr>
            <w:r>
              <w:rPr>
                <w:rFonts w:hint="eastAsia"/>
                <w:lang w:val="en-US" w:eastAsia="zh-CN"/>
              </w:rPr>
              <w:t>1</w:t>
            </w:r>
          </w:p>
        </w:tc>
        <w:tc>
          <w:tcPr>
            <w:tcW w:w="1530" w:type="dxa"/>
            <w:tcBorders>
              <w:tl2br w:val="nil"/>
              <w:tr2bl w:val="nil"/>
            </w:tcBorders>
            <w:vAlign w:val="center"/>
          </w:tcPr>
          <w:p>
            <w:pPr>
              <w:pStyle w:val="26"/>
              <w:bidi w:val="0"/>
              <w:rPr>
                <w:rFonts w:hint="default"/>
                <w:lang w:val="en-US" w:eastAsia="zh-CN"/>
              </w:rPr>
            </w:pPr>
            <w:r>
              <w:rPr>
                <w:rFonts w:hint="eastAsia"/>
                <w:lang w:val="en-US" w:eastAsia="zh-CN"/>
              </w:rPr>
              <w:t>3400</w:t>
            </w:r>
          </w:p>
        </w:tc>
        <w:tc>
          <w:tcPr>
            <w:tcW w:w="1980" w:type="dxa"/>
            <w:tcBorders>
              <w:tl2br w:val="nil"/>
              <w:tr2bl w:val="nil"/>
            </w:tcBorders>
            <w:vAlign w:val="center"/>
          </w:tcPr>
          <w:p>
            <w:pPr>
              <w:pStyle w:val="26"/>
              <w:bidi w:val="0"/>
              <w:rPr>
                <w:rFonts w:hint="default"/>
                <w:lang w:val="en-US" w:eastAsia="zh-CN"/>
              </w:rPr>
            </w:pPr>
            <w:r>
              <w:rPr>
                <w:rFonts w:hint="eastAsia"/>
                <w:lang w:val="en-US" w:eastAsia="zh-CN"/>
              </w:rPr>
              <w:t>低毒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0" w:type="dxa"/>
            <w:tcBorders>
              <w:tl2br w:val="nil"/>
              <w:tr2bl w:val="nil"/>
            </w:tcBorders>
            <w:vAlign w:val="center"/>
          </w:tcPr>
          <w:p>
            <w:pPr>
              <w:pStyle w:val="26"/>
              <w:bidi w:val="0"/>
              <w:rPr>
                <w:rFonts w:hint="default"/>
                <w:lang w:val="en-US" w:eastAsia="zh-CN"/>
              </w:rPr>
            </w:pPr>
            <w:r>
              <w:rPr>
                <w:rFonts w:hint="eastAsia"/>
                <w:lang w:val="en-US" w:eastAsia="zh-CN"/>
              </w:rPr>
              <w:t>3</w:t>
            </w:r>
          </w:p>
        </w:tc>
        <w:tc>
          <w:tcPr>
            <w:tcW w:w="2181" w:type="dxa"/>
            <w:tcBorders>
              <w:tl2br w:val="nil"/>
              <w:tr2bl w:val="nil"/>
            </w:tcBorders>
            <w:vAlign w:val="center"/>
          </w:tcPr>
          <w:p>
            <w:pPr>
              <w:pStyle w:val="26"/>
              <w:bidi w:val="0"/>
              <w:rPr>
                <w:rFonts w:hint="default"/>
                <w:lang w:val="en-US" w:eastAsia="zh-CN"/>
              </w:rPr>
            </w:pPr>
            <w:r>
              <w:rPr>
                <w:rFonts w:hint="default"/>
                <w:lang w:val="en-US" w:eastAsia="zh-CN"/>
              </w:rPr>
              <w:t>二月桂酸二丁基锡</w:t>
            </w:r>
          </w:p>
        </w:tc>
        <w:tc>
          <w:tcPr>
            <w:tcW w:w="1089" w:type="dxa"/>
            <w:tcBorders>
              <w:tl2br w:val="nil"/>
              <w:tr2bl w:val="nil"/>
            </w:tcBorders>
            <w:vAlign w:val="center"/>
          </w:tcPr>
          <w:p>
            <w:pPr>
              <w:pStyle w:val="26"/>
              <w:bidi w:val="0"/>
              <w:rPr>
                <w:rFonts w:hint="default"/>
                <w:lang w:val="en-US" w:eastAsia="zh-CN"/>
              </w:rPr>
            </w:pPr>
            <w:r>
              <w:rPr>
                <w:rFonts w:hint="eastAsia"/>
                <w:lang w:val="en-US" w:eastAsia="zh-CN"/>
              </w:rPr>
              <w:t>1</w:t>
            </w:r>
          </w:p>
        </w:tc>
        <w:tc>
          <w:tcPr>
            <w:tcW w:w="1530" w:type="dxa"/>
            <w:tcBorders>
              <w:tl2br w:val="nil"/>
              <w:tr2bl w:val="nil"/>
            </w:tcBorders>
            <w:vAlign w:val="center"/>
          </w:tcPr>
          <w:p>
            <w:pPr>
              <w:pStyle w:val="26"/>
              <w:bidi w:val="0"/>
              <w:rPr>
                <w:rFonts w:hint="default"/>
                <w:lang w:val="en-US" w:eastAsia="zh-CN"/>
              </w:rPr>
            </w:pPr>
            <w:r>
              <w:rPr>
                <w:rFonts w:hint="eastAsia"/>
                <w:lang w:val="en-US" w:eastAsia="zh-CN"/>
              </w:rPr>
              <w:t>175</w:t>
            </w:r>
          </w:p>
        </w:tc>
        <w:tc>
          <w:tcPr>
            <w:tcW w:w="1980" w:type="dxa"/>
            <w:tcBorders>
              <w:tl2br w:val="nil"/>
              <w:tr2bl w:val="nil"/>
            </w:tcBorders>
            <w:vAlign w:val="center"/>
          </w:tcPr>
          <w:p>
            <w:pPr>
              <w:pStyle w:val="26"/>
              <w:bidi w:val="0"/>
              <w:rPr>
                <w:rFonts w:hint="default"/>
                <w:lang w:val="en-US" w:eastAsia="zh-CN"/>
              </w:rPr>
            </w:pPr>
            <w:r>
              <w:rPr>
                <w:rFonts w:hint="eastAsia"/>
                <w:lang w:val="en-US" w:eastAsia="zh-CN"/>
              </w:rPr>
              <w:t>中等毒</w:t>
            </w:r>
          </w:p>
        </w:tc>
      </w:tr>
    </w:tbl>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hint="eastAsia" w:ascii="Times New Roman" w:hAnsi="Times New Roman" w:eastAsia="宋体" w:cs="宋体"/>
          <w:kern w:val="2"/>
          <w:sz w:val="24"/>
          <w:szCs w:val="24"/>
          <w:highlight w:val="cyan"/>
          <w:lang w:val="en-US" w:eastAsia="zh-CN" w:bidi="ar-SA"/>
        </w:rPr>
      </w:pPr>
      <w:r>
        <w:rPr>
          <w:rFonts w:ascii="Times New Roman" w:hAnsi="Times New Roman" w:eastAsia="宋体" w:cs="宋体"/>
          <w:kern w:val="2"/>
          <w:sz w:val="24"/>
          <w:szCs w:val="24"/>
          <w:lang w:val="en-US" w:eastAsia="zh-CN" w:bidi="ar-SA"/>
        </w:rPr>
        <w:t>主要原辅材料化学成分及物理化学性质</w:t>
      </w:r>
      <w:r>
        <w:rPr>
          <w:rFonts w:hint="eastAsia" w:ascii="Times New Roman" w:hAnsi="Times New Roman" w:eastAsia="宋体" w:cs="宋体"/>
          <w:kern w:val="2"/>
          <w:sz w:val="24"/>
          <w:szCs w:val="24"/>
          <w:highlight w:val="none"/>
          <w:lang w:val="en-US" w:eastAsia="zh-CN" w:bidi="ar-SA"/>
        </w:rPr>
        <w:t>见</w:t>
      </w:r>
      <w:r>
        <w:rPr>
          <w:rFonts w:hint="eastAsia" w:ascii="Times New Roman" w:hAnsi="Times New Roman" w:eastAsia="宋体" w:cs="宋体"/>
          <w:kern w:val="2"/>
          <w:sz w:val="24"/>
          <w:szCs w:val="24"/>
          <w:highlight w:val="none"/>
          <w:lang w:val="en-US" w:eastAsia="zh-CN" w:bidi="ar-SA"/>
        </w:rPr>
        <w:fldChar w:fldCharType="begin"/>
      </w:r>
      <w:r>
        <w:rPr>
          <w:rFonts w:hint="eastAsia" w:ascii="Times New Roman" w:hAnsi="Times New Roman" w:eastAsia="宋体" w:cs="宋体"/>
          <w:kern w:val="2"/>
          <w:sz w:val="24"/>
          <w:szCs w:val="24"/>
          <w:highlight w:val="none"/>
          <w:lang w:val="en-US" w:eastAsia="zh-CN" w:bidi="ar-SA"/>
        </w:rPr>
        <w:instrText xml:space="preserve"> REF _Ref18260 \h </w:instrText>
      </w:r>
      <w:r>
        <w:rPr>
          <w:rFonts w:hint="eastAsia" w:ascii="Times New Roman" w:hAnsi="Times New Roman" w:eastAsia="宋体" w:cs="宋体"/>
          <w:kern w:val="2"/>
          <w:sz w:val="24"/>
          <w:szCs w:val="24"/>
          <w:highlight w:val="none"/>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3</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-6</w:t>
      </w:r>
      <w:r>
        <w:rPr>
          <w:rFonts w:hint="eastAsia" w:ascii="Times New Roman" w:hAnsi="Times New Roman" w:eastAsia="宋体" w:cs="宋体"/>
          <w:kern w:val="2"/>
          <w:sz w:val="24"/>
          <w:szCs w:val="24"/>
          <w:highlight w:val="none"/>
          <w:lang w:val="en-US" w:eastAsia="zh-CN" w:bidi="ar-SA"/>
        </w:rPr>
        <w:fldChar w:fldCharType="end"/>
      </w:r>
      <w:r>
        <w:rPr>
          <w:rFonts w:hint="eastAsia" w:ascii="Times New Roman" w:hAnsi="Times New Roman" w:eastAsia="宋体" w:cs="宋体"/>
          <w:kern w:val="2"/>
          <w:sz w:val="24"/>
          <w:szCs w:val="24"/>
          <w:highlight w:val="none"/>
          <w:lang w:val="en-US" w:eastAsia="zh-CN" w:bidi="ar-SA"/>
        </w:rPr>
        <w:t>。</w:t>
      </w:r>
    </w:p>
    <w:p>
      <w:pPr>
        <w:widowControl w:val="0"/>
        <w:bidi w:val="0"/>
        <w:spacing w:line="360" w:lineRule="auto"/>
        <w:jc w:val="center"/>
        <w:rPr>
          <w:rFonts w:ascii="Times New Roman" w:hAnsi="Times New Roman" w:eastAsia="宋体" w:cs="Times New Roman"/>
          <w:b/>
          <w:kern w:val="2"/>
          <w:sz w:val="21"/>
          <w:szCs w:val="21"/>
          <w:lang w:val="en-US" w:eastAsia="zh-CN" w:bidi="ar-SA"/>
        </w:rPr>
        <w:sectPr>
          <w:pgSz w:w="11906" w:h="16838"/>
          <w:pgMar w:top="1417" w:right="1417" w:bottom="1134" w:left="1701" w:header="851" w:footer="992" w:gutter="0"/>
          <w:pgBorders>
            <w:top w:val="none" w:sz="0" w:space="0"/>
            <w:left w:val="none" w:sz="0" w:space="0"/>
            <w:bottom w:val="none" w:sz="0" w:space="0"/>
            <w:right w:val="none" w:sz="0" w:space="0"/>
          </w:pgBorders>
          <w:pgNumType w:fmt="decimal"/>
          <w:cols w:space="0" w:num="1"/>
          <w:rtlGutter w:val="0"/>
          <w:docGrid w:linePitch="312" w:charSpace="0"/>
        </w:sectPr>
      </w:pPr>
      <w:bookmarkStart w:id="667" w:name="_Ref18260"/>
    </w:p>
    <w:p>
      <w:pPr>
        <w:widowControl w:val="0"/>
        <w:bidi w:val="0"/>
        <w:spacing w:line="360" w:lineRule="auto"/>
        <w:jc w:val="center"/>
        <w:rPr>
          <w:rFonts w:hint="eastAsia" w:ascii="Times New Roman" w:hAnsi="Times New Roman" w:eastAsia="宋体" w:cs="Times New Roman"/>
          <w:b/>
          <w:kern w:val="2"/>
          <w:sz w:val="21"/>
          <w:szCs w:val="21"/>
          <w:highlight w:val="cyan"/>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3</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6</w:t>
      </w:r>
      <w:r>
        <w:rPr>
          <w:rFonts w:ascii="Times New Roman" w:hAnsi="Times New Roman" w:eastAsia="宋体" w:cs="Times New Roman"/>
          <w:b/>
          <w:kern w:val="2"/>
          <w:sz w:val="21"/>
          <w:szCs w:val="21"/>
          <w:lang w:val="en-US" w:eastAsia="zh-CN" w:bidi="ar-SA"/>
        </w:rPr>
        <w:fldChar w:fldCharType="end"/>
      </w:r>
      <w:bookmarkEnd w:id="667"/>
      <w:r>
        <w:rPr>
          <w:rFonts w:hint="eastAsia" w:ascii="Times New Roman" w:hAnsi="Times New Roman" w:eastAsia="宋体" w:cs="Times New Roman"/>
          <w:b/>
          <w:kern w:val="2"/>
          <w:sz w:val="21"/>
          <w:szCs w:val="21"/>
          <w:lang w:val="en-US" w:eastAsia="zh-CN" w:bidi="ar-SA"/>
        </w:rPr>
        <w:t xml:space="preserve">  </w:t>
      </w:r>
      <w:r>
        <w:rPr>
          <w:rFonts w:hint="eastAsia" w:ascii="Times New Roman" w:hAnsi="Times New Roman" w:eastAsia="宋体" w:cs="Times New Roman"/>
          <w:b/>
          <w:bCs/>
          <w:kern w:val="2"/>
          <w:sz w:val="21"/>
          <w:szCs w:val="22"/>
          <w:u w:val="none"/>
          <w:lang w:val="en-US" w:eastAsia="zh-CN" w:bidi="ar-SA"/>
        </w:rPr>
        <w:t>6种</w:t>
      </w:r>
      <w:r>
        <w:rPr>
          <w:rFonts w:hint="default" w:ascii="Times New Roman" w:hAnsi="Times New Roman" w:eastAsia="宋体" w:cs="Times New Roman"/>
          <w:b/>
          <w:bCs/>
          <w:kern w:val="2"/>
          <w:sz w:val="21"/>
          <w:szCs w:val="22"/>
          <w:u w:val="none"/>
          <w:lang w:val="en-US" w:eastAsia="zh-CN" w:bidi="ar-SA"/>
        </w:rPr>
        <w:t>原料理化性质</w:t>
      </w:r>
    </w:p>
    <w:tbl>
      <w:tblPr>
        <w:tblStyle w:val="23"/>
        <w:tblW w:w="101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7"/>
        <w:gridCol w:w="2154"/>
        <w:gridCol w:w="4365"/>
        <w:gridCol w:w="1191"/>
        <w:gridCol w:w="17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atLeast"/>
          <w:tblHeader/>
          <w:jc w:val="center"/>
        </w:trPr>
        <w:tc>
          <w:tcPr>
            <w:tcW w:w="737"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序号</w:t>
            </w:r>
          </w:p>
        </w:tc>
        <w:tc>
          <w:tcPr>
            <w:tcW w:w="215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原料名称</w:t>
            </w:r>
          </w:p>
        </w:tc>
        <w:tc>
          <w:tcPr>
            <w:tcW w:w="436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理化性质</w:t>
            </w:r>
          </w:p>
        </w:tc>
        <w:tc>
          <w:tcPr>
            <w:tcW w:w="119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原料毒性</w:t>
            </w:r>
          </w:p>
        </w:tc>
        <w:tc>
          <w:tcPr>
            <w:tcW w:w="172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最大储存量</w:t>
            </w:r>
            <w:r>
              <w:rPr>
                <w:rFonts w:hint="eastAsia"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737"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215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二苯基甲烷二异氰酸酯（MDI）</w:t>
            </w:r>
          </w:p>
        </w:tc>
        <w:tc>
          <w:tcPr>
            <w:tcW w:w="4365" w:type="dxa"/>
            <w:tcBorders>
              <w:tl2br w:val="nil"/>
              <w:tr2bl w:val="nil"/>
            </w:tcBorders>
            <w:noWrap w:val="0"/>
            <w:vAlign w:val="center"/>
          </w:tcPr>
          <w:p>
            <w:pPr>
              <w:widowControl w:val="0"/>
              <w:bidi w:val="0"/>
              <w:adjustRightInd w:val="0"/>
              <w:snapToGrid w:val="0"/>
              <w:spacing w:line="240" w:lineRule="auto"/>
              <w:jc w:val="left"/>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u w:val="single"/>
                <w:lang w:val="en-US" w:eastAsia="zh-CN" w:bidi="ar-SA"/>
              </w:rPr>
              <w:t>二苯甲烷二异氰酸酯</w:t>
            </w:r>
            <w:r>
              <w:rPr>
                <w:rFonts w:hint="eastAsia" w:ascii="Times New Roman" w:hAnsi="Times New Roman" w:eastAsia="宋体" w:cs="Times New Roman"/>
                <w:kern w:val="2"/>
                <w:sz w:val="24"/>
                <w:szCs w:val="24"/>
                <w:u w:val="single"/>
                <w:lang w:val="en-US" w:eastAsia="zh-CN" w:bidi="ar-SA"/>
              </w:rPr>
              <w:t>简称</w:t>
            </w:r>
            <w:r>
              <w:rPr>
                <w:rFonts w:ascii="Times New Roman" w:hAnsi="Times New Roman" w:eastAsia="宋体" w:cs="Times New Roman"/>
                <w:kern w:val="2"/>
                <w:sz w:val="24"/>
                <w:szCs w:val="24"/>
                <w:u w:val="single"/>
                <w:lang w:val="en-US" w:eastAsia="zh-CN" w:bidi="ar-SA"/>
              </w:rPr>
              <w:t>MDI</w:t>
            </w:r>
            <w:r>
              <w:rPr>
                <w:rFonts w:hint="eastAsia" w:ascii="Times New Roman" w:hAnsi="Times New Roman" w:eastAsia="宋体" w:cs="Times New Roman"/>
                <w:kern w:val="2"/>
                <w:sz w:val="24"/>
                <w:szCs w:val="24"/>
                <w:u w:val="single"/>
                <w:lang w:val="en-US" w:eastAsia="zh-CN" w:bidi="ar-SA"/>
              </w:rPr>
              <w:t>，</w:t>
            </w:r>
            <w:r>
              <w:rPr>
                <w:rFonts w:ascii="Times New Roman" w:hAnsi="Times New Roman" w:eastAsia="宋体" w:cs="Times New Roman"/>
                <w:kern w:val="2"/>
                <w:sz w:val="24"/>
                <w:szCs w:val="24"/>
                <w:u w:val="single"/>
                <w:lang w:val="en-US" w:eastAsia="zh-CN" w:bidi="ar-SA"/>
              </w:rPr>
              <w:t>化学式C</w:t>
            </w:r>
            <w:r>
              <w:rPr>
                <w:rFonts w:ascii="Times New Roman" w:hAnsi="Times New Roman" w:eastAsia="宋体" w:cs="Times New Roman"/>
                <w:kern w:val="2"/>
                <w:sz w:val="24"/>
                <w:szCs w:val="24"/>
                <w:u w:val="single"/>
                <w:vertAlign w:val="subscript"/>
                <w:lang w:val="en-US" w:eastAsia="zh-CN" w:bidi="ar-SA"/>
              </w:rPr>
              <w:t>15</w:t>
            </w:r>
            <w:r>
              <w:rPr>
                <w:rFonts w:ascii="Times New Roman" w:hAnsi="Times New Roman" w:eastAsia="宋体" w:cs="Times New Roman"/>
                <w:kern w:val="2"/>
                <w:sz w:val="24"/>
                <w:szCs w:val="24"/>
                <w:u w:val="single"/>
                <w:lang w:val="en-US" w:eastAsia="zh-CN" w:bidi="ar-SA"/>
              </w:rPr>
              <w:t>H</w:t>
            </w:r>
            <w:r>
              <w:rPr>
                <w:rFonts w:ascii="Times New Roman" w:hAnsi="Times New Roman" w:eastAsia="宋体" w:cs="Times New Roman"/>
                <w:kern w:val="2"/>
                <w:sz w:val="24"/>
                <w:szCs w:val="24"/>
                <w:u w:val="single"/>
                <w:vertAlign w:val="subscript"/>
                <w:lang w:val="en-US" w:eastAsia="zh-CN" w:bidi="ar-SA"/>
              </w:rPr>
              <w:t>10</w:t>
            </w:r>
            <w:r>
              <w:rPr>
                <w:rFonts w:ascii="Times New Roman" w:hAnsi="Times New Roman" w:eastAsia="宋体" w:cs="Times New Roman"/>
                <w:kern w:val="2"/>
                <w:sz w:val="24"/>
                <w:szCs w:val="24"/>
                <w:u w:val="single"/>
                <w:lang w:val="en-US" w:eastAsia="zh-CN" w:bidi="ar-SA"/>
              </w:rPr>
              <w:t>N</w:t>
            </w:r>
            <w:r>
              <w:rPr>
                <w:rFonts w:ascii="Times New Roman" w:hAnsi="Times New Roman" w:eastAsia="宋体" w:cs="Times New Roman"/>
                <w:kern w:val="2"/>
                <w:sz w:val="24"/>
                <w:szCs w:val="24"/>
                <w:u w:val="single"/>
                <w:vertAlign w:val="subscript"/>
                <w:lang w:val="en-US" w:eastAsia="zh-CN" w:bidi="ar-SA"/>
              </w:rPr>
              <w:t>2</w:t>
            </w:r>
            <w:r>
              <w:rPr>
                <w:rFonts w:ascii="Times New Roman" w:hAnsi="Times New Roman" w:eastAsia="宋体" w:cs="Times New Roman"/>
                <w:kern w:val="2"/>
                <w:sz w:val="24"/>
                <w:szCs w:val="24"/>
                <w:u w:val="single"/>
                <w:lang w:val="en-US" w:eastAsia="zh-CN" w:bidi="ar-SA"/>
              </w:rPr>
              <w:t>O</w:t>
            </w:r>
            <w:r>
              <w:rPr>
                <w:rFonts w:ascii="Times New Roman" w:hAnsi="Times New Roman" w:eastAsia="宋体" w:cs="Times New Roman"/>
                <w:kern w:val="2"/>
                <w:sz w:val="24"/>
                <w:szCs w:val="24"/>
                <w:u w:val="single"/>
                <w:vertAlign w:val="subscript"/>
                <w:lang w:val="en-US" w:eastAsia="zh-CN" w:bidi="ar-SA"/>
              </w:rPr>
              <w:t>2</w:t>
            </w:r>
            <w:r>
              <w:rPr>
                <w:rFonts w:hint="eastAsia" w:ascii="Times New Roman" w:hAnsi="Times New Roman" w:eastAsia="宋体" w:cs="Times New Roman"/>
                <w:kern w:val="2"/>
                <w:sz w:val="24"/>
                <w:szCs w:val="24"/>
                <w:u w:val="single"/>
                <w:lang w:val="en-US" w:eastAsia="zh-CN" w:bidi="ar-SA"/>
              </w:rPr>
              <w:t>，</w:t>
            </w:r>
            <w:r>
              <w:rPr>
                <w:rFonts w:ascii="Times New Roman" w:hAnsi="Times New Roman" w:eastAsia="宋体" w:cs="Times New Roman"/>
                <w:kern w:val="2"/>
                <w:sz w:val="24"/>
                <w:szCs w:val="24"/>
                <w:u w:val="single"/>
                <w:lang w:val="en-US" w:eastAsia="zh-CN" w:bidi="ar-SA"/>
              </w:rPr>
              <w:t>分子量250.24</w:t>
            </w:r>
            <w:r>
              <w:rPr>
                <w:rFonts w:hint="eastAsia" w:ascii="Times New Roman" w:hAnsi="Times New Roman" w:eastAsia="宋体" w:cs="Times New Roman"/>
                <w:kern w:val="2"/>
                <w:sz w:val="24"/>
                <w:szCs w:val="24"/>
                <w:u w:val="single"/>
                <w:lang w:val="en-US" w:eastAsia="zh-CN" w:bidi="ar-SA"/>
              </w:rPr>
              <w:t>，白色至淡黄色熔触固体，加热时有刺激性臭味。相对密度(50℃/4℃)1.19，熔点40～41℃，沸点156～158℃(1.33kPa)，粘度(50 ℃)4．9mPa·s，闪点（开口）202℃，折射率1.5906。溶于丙酮、四氯化碳、苯、氯苯、煤油、硝基苯、二氧六环等。有毒，蒸气压比TDI的低，对呼吸器官刺激性小</w:t>
            </w:r>
            <w:r>
              <w:rPr>
                <w:rFonts w:hint="eastAsia" w:cs="Times New Roman"/>
                <w:kern w:val="2"/>
                <w:sz w:val="24"/>
                <w:szCs w:val="24"/>
                <w:u w:val="single"/>
                <w:lang w:val="en-US" w:eastAsia="zh-CN" w:bidi="ar-SA"/>
              </w:rPr>
              <w:t>。</w:t>
            </w:r>
          </w:p>
        </w:tc>
        <w:tc>
          <w:tcPr>
            <w:tcW w:w="1191"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中等毒</w:t>
            </w:r>
          </w:p>
        </w:tc>
        <w:tc>
          <w:tcPr>
            <w:tcW w:w="1724"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37"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p>
        </w:tc>
        <w:tc>
          <w:tcPr>
            <w:tcW w:w="215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改性二苯基甲烷二异氰酸酯</w:t>
            </w:r>
          </w:p>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(改性MDI)</w:t>
            </w:r>
          </w:p>
        </w:tc>
        <w:tc>
          <w:tcPr>
            <w:tcW w:w="436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同二苯基甲烷二异氰酸酯类似</w:t>
            </w:r>
          </w:p>
        </w:tc>
        <w:tc>
          <w:tcPr>
            <w:tcW w:w="1191"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中等毒</w:t>
            </w:r>
          </w:p>
        </w:tc>
        <w:tc>
          <w:tcPr>
            <w:tcW w:w="1724"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69" w:hRule="atLeast"/>
          <w:jc w:val="center"/>
        </w:trPr>
        <w:tc>
          <w:tcPr>
            <w:tcW w:w="737"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w:t>
            </w:r>
          </w:p>
        </w:tc>
        <w:tc>
          <w:tcPr>
            <w:tcW w:w="215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多亚甲基多苯基异氰酸酯</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（粗MDI）</w:t>
            </w:r>
          </w:p>
        </w:tc>
        <w:tc>
          <w:tcPr>
            <w:tcW w:w="4365" w:type="dxa"/>
            <w:tcBorders>
              <w:tl2br w:val="nil"/>
              <w:tr2bl w:val="nil"/>
            </w:tcBorders>
            <w:noWrap w:val="0"/>
            <w:vAlign w:val="center"/>
          </w:tcPr>
          <w:p>
            <w:pPr>
              <w:widowControl w:val="0"/>
              <w:bidi w:val="0"/>
              <w:adjustRightInd w:val="0"/>
              <w:snapToGrid w:val="0"/>
              <w:spacing w:line="240" w:lineRule="auto"/>
              <w:jc w:val="left"/>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多亚甲基多苯基异氰酸酯简称PAPI，或称粗MDI。外观为浅黄色至褐色粘稠液体，有刺激性气味。密度(25℃)为1.220~1.250g/cm</w:t>
            </w:r>
            <w:r>
              <w:rPr>
                <w:rFonts w:hint="eastAsia"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，燃点218℃，</w:t>
            </w:r>
            <w:r>
              <w:rPr>
                <w:rFonts w:ascii="Times New Roman" w:hAnsi="Times New Roman" w:eastAsia="宋体" w:cs="Times New Roman"/>
                <w:kern w:val="2"/>
                <w:sz w:val="24"/>
                <w:szCs w:val="24"/>
                <w:lang w:val="en-US" w:eastAsia="zh-CN" w:bidi="ar-SA"/>
              </w:rPr>
              <w:t>沸点</w:t>
            </w:r>
            <w:r>
              <w:rPr>
                <w:rFonts w:hint="eastAsia" w:ascii="Times New Roman" w:hAnsi="Times New Roman" w:eastAsia="宋体" w:cs="Times New Roman"/>
                <w:kern w:val="2"/>
                <w:sz w:val="24"/>
                <w:szCs w:val="24"/>
                <w:lang w:val="en-US" w:eastAsia="zh-CN" w:bidi="ar-SA"/>
              </w:rPr>
              <w:t>为392</w:t>
            </w:r>
            <w:r>
              <w:rPr>
                <w:rFonts w:hint="eastAsia" w:ascii="宋体" w:hAnsi="宋体" w:eastAsia="宋体" w:cs="宋体"/>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5mmHg）凝固点&lt;10℃，黏度(25℃)200~1000mPa.s。PAPI实际上是由50%MDI与50%官能度大于2以上的多异氰酸酯组成的混合物。升温时能发生自聚作用。溶于氯苯、邻二氯苯、甲苯等。PAPI的活性低，蒸气压低，只是TDI的百分之一，故毒性很低，空气中最高容许浓度0.2mg/m&amp;sup3。</w:t>
            </w:r>
          </w:p>
        </w:tc>
        <w:tc>
          <w:tcPr>
            <w:tcW w:w="1191"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微毒</w:t>
            </w:r>
          </w:p>
        </w:tc>
        <w:tc>
          <w:tcPr>
            <w:tcW w:w="1724"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1" w:hRule="atLeast"/>
          <w:jc w:val="center"/>
        </w:trPr>
        <w:tc>
          <w:tcPr>
            <w:tcW w:w="737"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w:t>
            </w:r>
          </w:p>
        </w:tc>
        <w:tc>
          <w:tcPr>
            <w:tcW w:w="215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聚醚多元醇</w:t>
            </w:r>
          </w:p>
        </w:tc>
        <w:tc>
          <w:tcPr>
            <w:tcW w:w="4365" w:type="dxa"/>
            <w:tcBorders>
              <w:tl2br w:val="nil"/>
              <w:tr2bl w:val="nil"/>
            </w:tcBorders>
            <w:noWrap w:val="0"/>
            <w:vAlign w:val="center"/>
          </w:tcPr>
          <w:p>
            <w:pPr>
              <w:widowControl w:val="0"/>
              <w:bidi w:val="0"/>
              <w:adjustRightInd w:val="0"/>
              <w:snapToGrid w:val="0"/>
              <w:spacing w:line="240" w:lineRule="auto"/>
              <w:jc w:val="left"/>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聚醚多元醇简称聚醚，主链含有醚键(—R—O—R—)，端基或侧基含有大于2个羟基(—OH)的低聚物。沸点&gt;200℃，闪点&gt;230°F，折射率n20/D1.466，蒸气压 &lt;0.3mmHg(20℃)，蒸气密度&gt;1(vs air) 。聚醚毒性很低，除了添加在食品等物以外，几乎无毒性，常用作药物赋形剂和乳化剂。在</w:t>
            </w:r>
            <w:r>
              <w:rPr>
                <w:rFonts w:hint="eastAsia" w:ascii="Times New Roman" w:hAnsi="Times New Roman" w:eastAsia="宋体" w:cs="Times New Roman"/>
                <w:kern w:val="2"/>
                <w:sz w:val="24"/>
                <w:szCs w:val="24"/>
                <w:lang w:val="en-US" w:eastAsia="zh-CN" w:bidi="ar-SA"/>
              </w:rPr>
              <w:fldChar w:fldCharType="begin"/>
            </w:r>
            <w:r>
              <w:rPr>
                <w:rFonts w:hint="eastAsia" w:ascii="Times New Roman" w:hAnsi="Times New Roman" w:eastAsia="宋体" w:cs="Times New Roman"/>
                <w:kern w:val="2"/>
                <w:sz w:val="24"/>
                <w:szCs w:val="24"/>
                <w:lang w:val="en-US" w:eastAsia="zh-CN" w:bidi="ar-SA"/>
              </w:rPr>
              <w:instrText xml:space="preserve"> HYPERLINK "https://baike.baidu.com/item/%E8%81%9A%E6%B0%A8%E9%85%AF" \t "https://baike.baidu.com/item/%E8%81%9A%E9%86%9A%E5%A4%9A%E5%85%83%E9%86%87/_blank" </w:instrText>
            </w:r>
            <w:r>
              <w:rPr>
                <w:rFonts w:hint="eastAsia" w:ascii="Times New Roman" w:hAnsi="Times New Roman" w:eastAsia="宋体" w:cs="Times New Roman"/>
                <w:kern w:val="2"/>
                <w:sz w:val="24"/>
                <w:szCs w:val="24"/>
                <w:lang w:val="en-US" w:eastAsia="zh-CN" w:bidi="ar-SA"/>
              </w:rPr>
              <w:fldChar w:fldCharType="separate"/>
            </w:r>
            <w:r>
              <w:rPr>
                <w:rFonts w:hint="eastAsia" w:ascii="Times New Roman" w:hAnsi="Times New Roman" w:eastAsia="宋体" w:cs="Times New Roman"/>
                <w:kern w:val="2"/>
                <w:sz w:val="24"/>
                <w:szCs w:val="24"/>
                <w:lang w:val="en-US" w:eastAsia="zh-CN" w:bidi="ar-SA"/>
              </w:rPr>
              <w:t>聚氨酯</w:t>
            </w:r>
            <w:r>
              <w:rPr>
                <w:rFonts w:hint="eastAsia" w:ascii="Times New Roman" w:hAnsi="Times New Roman" w:eastAsia="宋体" w:cs="Times New Roman"/>
                <w:kern w:val="2"/>
                <w:sz w:val="24"/>
                <w:szCs w:val="24"/>
                <w:lang w:val="en-US" w:eastAsia="zh-CN" w:bidi="ar-SA"/>
              </w:rPr>
              <w:fldChar w:fldCharType="end"/>
            </w:r>
            <w:r>
              <w:rPr>
                <w:rFonts w:hint="eastAsia" w:ascii="Times New Roman" w:hAnsi="Times New Roman" w:eastAsia="宋体" w:cs="Times New Roman"/>
                <w:kern w:val="2"/>
                <w:sz w:val="24"/>
                <w:szCs w:val="24"/>
                <w:lang w:val="en-US" w:eastAsia="zh-CN" w:bidi="ar-SA"/>
              </w:rPr>
              <w:t>工业中，主要用于</w:t>
            </w:r>
            <w:r>
              <w:rPr>
                <w:rFonts w:hint="eastAsia" w:ascii="Times New Roman" w:hAnsi="Times New Roman" w:eastAsia="宋体" w:cs="Times New Roman"/>
                <w:kern w:val="2"/>
                <w:sz w:val="24"/>
                <w:szCs w:val="24"/>
                <w:lang w:val="en-US" w:eastAsia="zh-CN" w:bidi="ar-SA"/>
              </w:rPr>
              <w:fldChar w:fldCharType="begin"/>
            </w:r>
            <w:r>
              <w:rPr>
                <w:rFonts w:hint="eastAsia" w:ascii="Times New Roman" w:hAnsi="Times New Roman" w:eastAsia="宋体" w:cs="Times New Roman"/>
                <w:kern w:val="2"/>
                <w:sz w:val="24"/>
                <w:szCs w:val="24"/>
                <w:lang w:val="en-US" w:eastAsia="zh-CN" w:bidi="ar-SA"/>
              </w:rPr>
              <w:instrText xml:space="preserve"> HYPERLINK "https://baike.baidu.com/item/%E8%81%9A%E6%B0%A8%E9%85%AF%E6%B3%A1%E6%B2%AB%E5%A1%91%E6%96%99" \t "https://baike.baidu.com/item/%E8%81%9A%E9%86%9A%E5%A4%9A%E5%85%83%E9%86%87/_blank" </w:instrText>
            </w:r>
            <w:r>
              <w:rPr>
                <w:rFonts w:hint="eastAsia" w:ascii="Times New Roman" w:hAnsi="Times New Roman" w:eastAsia="宋体" w:cs="Times New Roman"/>
                <w:kern w:val="2"/>
                <w:sz w:val="24"/>
                <w:szCs w:val="24"/>
                <w:lang w:val="en-US" w:eastAsia="zh-CN" w:bidi="ar-SA"/>
              </w:rPr>
              <w:fldChar w:fldCharType="separate"/>
            </w:r>
            <w:r>
              <w:rPr>
                <w:rFonts w:hint="eastAsia" w:ascii="Times New Roman" w:hAnsi="Times New Roman" w:eastAsia="宋体" w:cs="Times New Roman"/>
                <w:kern w:val="2"/>
                <w:sz w:val="24"/>
                <w:szCs w:val="24"/>
                <w:lang w:val="en-US" w:eastAsia="zh-CN" w:bidi="ar-SA"/>
              </w:rPr>
              <w:t>聚氨酯泡沫塑料</w:t>
            </w:r>
            <w:r>
              <w:rPr>
                <w:rFonts w:hint="eastAsia" w:ascii="Times New Roman" w:hAnsi="Times New Roman" w:eastAsia="宋体" w:cs="Times New Roman"/>
                <w:kern w:val="2"/>
                <w:sz w:val="24"/>
                <w:szCs w:val="24"/>
                <w:lang w:val="en-US" w:eastAsia="zh-CN" w:bidi="ar-SA"/>
              </w:rPr>
              <w:fldChar w:fldCharType="end"/>
            </w:r>
          </w:p>
        </w:tc>
        <w:tc>
          <w:tcPr>
            <w:tcW w:w="1191"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无毒</w:t>
            </w:r>
          </w:p>
        </w:tc>
        <w:tc>
          <w:tcPr>
            <w:tcW w:w="1724"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7"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w:t>
            </w:r>
          </w:p>
        </w:tc>
        <w:tc>
          <w:tcPr>
            <w:tcW w:w="215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改性聚醚多元醇</w:t>
            </w:r>
          </w:p>
        </w:tc>
        <w:tc>
          <w:tcPr>
            <w:tcW w:w="436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同聚醚多元醇类似</w:t>
            </w:r>
          </w:p>
        </w:tc>
        <w:tc>
          <w:tcPr>
            <w:tcW w:w="1191"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无毒</w:t>
            </w:r>
          </w:p>
        </w:tc>
        <w:tc>
          <w:tcPr>
            <w:tcW w:w="1724"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21" w:hRule="atLeast"/>
          <w:jc w:val="center"/>
        </w:trPr>
        <w:tc>
          <w:tcPr>
            <w:tcW w:w="737"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w:t>
            </w:r>
          </w:p>
        </w:tc>
        <w:tc>
          <w:tcPr>
            <w:tcW w:w="2154"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聚酯多元醇</w:t>
            </w:r>
          </w:p>
        </w:tc>
        <w:tc>
          <w:tcPr>
            <w:tcW w:w="4365" w:type="dxa"/>
            <w:tcBorders>
              <w:tl2br w:val="nil"/>
              <w:tr2bl w:val="nil"/>
            </w:tcBorders>
            <w:noWrap w:val="0"/>
            <w:vAlign w:val="center"/>
          </w:tcPr>
          <w:p>
            <w:pPr>
              <w:widowControl w:val="0"/>
              <w:bidi w:val="0"/>
              <w:adjustRightInd w:val="0"/>
              <w:snapToGrid w:val="0"/>
              <w:spacing w:line="240" w:lineRule="auto"/>
              <w:jc w:val="left"/>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聚酯</w:t>
            </w:r>
            <w:r>
              <w:rPr>
                <w:rFonts w:hint="eastAsia" w:ascii="Times New Roman" w:hAnsi="Times New Roman" w:eastAsia="宋体" w:cs="Times New Roman"/>
                <w:kern w:val="2"/>
                <w:sz w:val="24"/>
                <w:szCs w:val="24"/>
                <w:lang w:val="en-US" w:eastAsia="zh-CN" w:bidi="ar-SA"/>
              </w:rPr>
              <w:t>多元醇</w:t>
            </w:r>
            <w:r>
              <w:rPr>
                <w:rFonts w:hint="default" w:ascii="Times New Roman" w:hAnsi="Times New Roman" w:eastAsia="宋体" w:cs="Times New Roman"/>
                <w:kern w:val="2"/>
                <w:sz w:val="24"/>
                <w:szCs w:val="24"/>
                <w:lang w:val="en-US" w:eastAsia="zh-CN" w:bidi="ar-SA"/>
              </w:rPr>
              <w:t>分子内含有较多的酯基、氨基等极性基团，内聚强度和附着力强，具有较高的强度、耐磨性</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是聚酯型聚氨酯的主要原料之一</w:t>
            </w:r>
            <w:r>
              <w:rPr>
                <w:rFonts w:hint="eastAsia" w:ascii="Times New Roman" w:hAnsi="Times New Roman" w:eastAsia="宋体" w:cs="Times New Roman"/>
                <w:kern w:val="2"/>
                <w:sz w:val="24"/>
                <w:szCs w:val="24"/>
                <w:lang w:val="en-US" w:eastAsia="zh-CN" w:bidi="ar-SA"/>
              </w:rPr>
              <w:t>。</w:t>
            </w:r>
            <w:r>
              <w:rPr>
                <w:rFonts w:hint="eastAsia" w:ascii="Arial" w:hAnsi="Arial" w:eastAsia="Arial" w:cs="Arial"/>
                <w:b w:val="0"/>
                <w:i w:val="0"/>
                <w:caps w:val="0"/>
                <w:color w:val="333333"/>
                <w:spacing w:val="0"/>
                <w:kern w:val="2"/>
                <w:sz w:val="24"/>
                <w:szCs w:val="24"/>
                <w:shd w:val="clear" w:fill="FFFFFF"/>
                <w:lang w:val="en-US" w:eastAsia="zh-CN" w:bidi="ar-SA"/>
              </w:rPr>
              <w:t>聚酯多元醇是一种环保高性能粘合剂，无毒性</w:t>
            </w:r>
            <w:r>
              <w:rPr>
                <w:rFonts w:hint="eastAsia" w:ascii="Arial" w:hAnsi="Arial" w:eastAsia="宋体" w:cs="Arial"/>
                <w:b w:val="0"/>
                <w:i w:val="0"/>
                <w:caps w:val="0"/>
                <w:color w:val="333333"/>
                <w:spacing w:val="0"/>
                <w:kern w:val="2"/>
                <w:sz w:val="24"/>
                <w:szCs w:val="24"/>
                <w:shd w:val="clear" w:fill="FFFFFF"/>
                <w:lang w:val="en-US" w:eastAsia="zh-CN" w:bidi="ar-SA"/>
              </w:rPr>
              <w:t>。</w:t>
            </w:r>
          </w:p>
        </w:tc>
        <w:tc>
          <w:tcPr>
            <w:tcW w:w="1191"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无毒</w:t>
            </w:r>
          </w:p>
        </w:tc>
        <w:tc>
          <w:tcPr>
            <w:tcW w:w="1724"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3</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根据项目</w:t>
      </w:r>
      <w:r>
        <w:rPr>
          <w:rFonts w:ascii="Times New Roman" w:hAnsi="Times New Roman" w:eastAsia="宋体" w:cs="宋体"/>
          <w:kern w:val="2"/>
          <w:sz w:val="24"/>
          <w:szCs w:val="24"/>
          <w:lang w:val="en-US" w:eastAsia="zh-CN" w:bidi="ar-SA"/>
        </w:rPr>
        <w:t>原辅材料</w:t>
      </w:r>
      <w:r>
        <w:rPr>
          <w:rFonts w:hint="eastAsia" w:ascii="Times New Roman" w:hAnsi="Times New Roman" w:eastAsia="宋体" w:cs="宋体"/>
          <w:kern w:val="2"/>
          <w:sz w:val="24"/>
          <w:szCs w:val="24"/>
          <w:lang w:val="en-US" w:eastAsia="zh-CN" w:bidi="ar-SA"/>
        </w:rPr>
        <w:t>性质可知，</w:t>
      </w:r>
      <w:r>
        <w:rPr>
          <w:rFonts w:ascii="Times New Roman" w:hAnsi="Times New Roman" w:eastAsia="宋体" w:cs="宋体"/>
          <w:kern w:val="2"/>
          <w:sz w:val="24"/>
          <w:szCs w:val="24"/>
          <w:lang w:val="en-US" w:eastAsia="zh-CN" w:bidi="ar-SA"/>
        </w:rPr>
        <w:t>本项目原辅材料均不属于《剧毒化学品目录(</w:t>
      </w:r>
      <w:r>
        <w:rPr>
          <w:rFonts w:hint="eastAsia" w:ascii="Times New Roman" w:hAnsi="Times New Roman" w:eastAsia="宋体" w:cs="宋体"/>
          <w:kern w:val="2"/>
          <w:sz w:val="24"/>
          <w:szCs w:val="24"/>
          <w:lang w:val="en-US" w:eastAsia="zh-CN" w:bidi="ar-SA"/>
        </w:rPr>
        <w:t>2015</w:t>
      </w:r>
      <w:r>
        <w:rPr>
          <w:rFonts w:ascii="Times New Roman" w:hAnsi="Times New Roman" w:eastAsia="宋体" w:cs="宋体"/>
          <w:kern w:val="2"/>
          <w:sz w:val="24"/>
          <w:szCs w:val="24"/>
          <w:lang w:val="en-US" w:eastAsia="zh-CN" w:bidi="ar-SA"/>
        </w:rPr>
        <w:t>版)》中所列的335种剧毒化学品，也未涉及铬、铅、汞等重金属元素。</w:t>
      </w:r>
    </w:p>
    <w:bookmarkEnd w:id="632"/>
    <w:bookmarkEnd w:id="633"/>
    <w:bookmarkEnd w:id="634"/>
    <w:bookmarkEnd w:id="635"/>
    <w:bookmarkEnd w:id="636"/>
    <w:bookmarkEnd w:id="637"/>
    <w:bookmarkEnd w:id="638"/>
    <w:bookmarkEnd w:id="639"/>
    <w:bookmarkEnd w:id="640"/>
    <w:p>
      <w:pPr>
        <w:pStyle w:val="4"/>
        <w:bidi w:val="0"/>
        <w:rPr>
          <w:rFonts w:hint="eastAsia"/>
          <w:lang w:val="en-US" w:eastAsia="zh-CN"/>
        </w:rPr>
      </w:pPr>
      <w:bookmarkStart w:id="668" w:name="_Toc10203"/>
      <w:bookmarkStart w:id="669" w:name="_Toc12881"/>
      <w:bookmarkStart w:id="670" w:name="_Toc6533_WPSOffice_Level1"/>
      <w:bookmarkStart w:id="671" w:name="_Toc11069"/>
      <w:bookmarkStart w:id="672" w:name="_Toc7684"/>
      <w:bookmarkStart w:id="673" w:name="_Toc19808"/>
      <w:bookmarkStart w:id="674" w:name="_Toc937"/>
      <w:bookmarkStart w:id="675" w:name="_Toc30789"/>
      <w:bookmarkStart w:id="676" w:name="_Toc976"/>
      <w:bookmarkStart w:id="677" w:name="_Toc28696"/>
      <w:bookmarkStart w:id="678" w:name="_Toc20611"/>
      <w:bookmarkStart w:id="679" w:name="_Toc1422"/>
      <w:bookmarkStart w:id="680" w:name="_Toc14483_WPSOffice_Level1"/>
      <w:bookmarkStart w:id="681" w:name="_Toc11480"/>
      <w:bookmarkStart w:id="682" w:name="_Toc27412"/>
      <w:bookmarkStart w:id="683" w:name="_Toc31019"/>
      <w:r>
        <w:rPr>
          <w:rFonts w:hint="eastAsia"/>
          <w:lang w:val="en-US" w:eastAsia="zh-CN"/>
        </w:rPr>
        <w:t>主要生产设备</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项目主要设备，详见</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_Ref18580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3</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-7</w:t>
      </w:r>
      <w:r>
        <w:rPr>
          <w:rFonts w:hint="default"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kern w:val="2"/>
          <w:sz w:val="21"/>
          <w:szCs w:val="21"/>
          <w:lang w:val="en-US" w:eastAsia="zh-CN" w:bidi="ar-SA"/>
        </w:rPr>
      </w:pPr>
      <w:bookmarkStart w:id="684" w:name="_Ref18580"/>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3</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7</w:t>
      </w:r>
      <w:r>
        <w:rPr>
          <w:rFonts w:ascii="Times New Roman" w:hAnsi="Times New Roman" w:eastAsia="宋体" w:cs="Times New Roman"/>
          <w:b/>
          <w:kern w:val="2"/>
          <w:sz w:val="21"/>
          <w:szCs w:val="21"/>
          <w:lang w:val="en-US" w:eastAsia="zh-CN" w:bidi="ar-SA"/>
        </w:rPr>
        <w:fldChar w:fldCharType="end"/>
      </w:r>
      <w:bookmarkEnd w:id="684"/>
      <w:r>
        <w:rPr>
          <w:rFonts w:hint="eastAsia" w:ascii="Times New Roman" w:hAnsi="Times New Roman" w:eastAsia="宋体" w:cs="Times New Roman"/>
          <w:b/>
          <w:kern w:val="2"/>
          <w:sz w:val="21"/>
          <w:szCs w:val="21"/>
          <w:lang w:val="en-US" w:eastAsia="zh-CN" w:bidi="ar-SA"/>
        </w:rPr>
        <w:t>主要</w:t>
      </w:r>
      <w:r>
        <w:rPr>
          <w:rFonts w:ascii="Times New Roman" w:hAnsi="Times New Roman" w:eastAsia="宋体" w:cs="Times New Roman"/>
          <w:b/>
          <w:kern w:val="2"/>
          <w:sz w:val="21"/>
          <w:szCs w:val="21"/>
          <w:lang w:val="en-US" w:eastAsia="zh-CN" w:bidi="ar-SA"/>
        </w:rPr>
        <w:t>设备清单</w:t>
      </w:r>
    </w:p>
    <w:tbl>
      <w:tblPr>
        <w:tblStyle w:val="22"/>
        <w:tblW w:w="514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4"/>
        <w:gridCol w:w="2121"/>
        <w:gridCol w:w="2696"/>
        <w:gridCol w:w="1728"/>
        <w:gridCol w:w="17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4" w:type="dxa"/>
            <w:tcBorders>
              <w:tl2br w:val="nil"/>
              <w:tr2bl w:val="nil"/>
            </w:tcBorders>
            <w:noWrap w:val="0"/>
            <w:vAlign w:val="center"/>
          </w:tcPr>
          <w:p>
            <w:pPr>
              <w:pStyle w:val="26"/>
              <w:bidi w:val="0"/>
              <w:rPr>
                <w:rFonts w:hint="default"/>
                <w:lang w:val="en-US" w:eastAsia="zh-CN"/>
              </w:rPr>
            </w:pPr>
            <w:bookmarkStart w:id="685" w:name="_Toc3283"/>
            <w:bookmarkStart w:id="686" w:name="_Toc28490_WPSOffice_Level2"/>
            <w:bookmarkStart w:id="687" w:name="_Toc3955"/>
            <w:bookmarkStart w:id="688" w:name="_Toc3680_WPSOffice_Level2"/>
            <w:bookmarkStart w:id="689" w:name="_Toc15840_WPSOffice_Level2"/>
            <w:bookmarkStart w:id="690" w:name="_Toc4436_WPSOffice_Level2"/>
            <w:bookmarkStart w:id="691" w:name="_Toc5541"/>
            <w:r>
              <w:rPr>
                <w:rFonts w:hint="default"/>
                <w:lang w:val="en-US" w:eastAsia="zh-CN"/>
              </w:rPr>
              <w:t>序号</w:t>
            </w:r>
          </w:p>
        </w:tc>
        <w:tc>
          <w:tcPr>
            <w:tcW w:w="2121" w:type="dxa"/>
            <w:tcBorders>
              <w:tl2br w:val="nil"/>
              <w:tr2bl w:val="nil"/>
            </w:tcBorders>
            <w:noWrap w:val="0"/>
            <w:vAlign w:val="center"/>
          </w:tcPr>
          <w:p>
            <w:pPr>
              <w:pStyle w:val="26"/>
              <w:bidi w:val="0"/>
              <w:rPr>
                <w:rFonts w:hint="default"/>
                <w:lang w:val="en-US" w:eastAsia="zh-CN"/>
              </w:rPr>
            </w:pPr>
            <w:r>
              <w:rPr>
                <w:rFonts w:hint="default"/>
                <w:lang w:val="en-US" w:eastAsia="zh-CN"/>
              </w:rPr>
              <w:t>名称</w:t>
            </w:r>
          </w:p>
        </w:tc>
        <w:tc>
          <w:tcPr>
            <w:tcW w:w="2696" w:type="dxa"/>
            <w:tcBorders>
              <w:tl2br w:val="nil"/>
              <w:tr2bl w:val="nil"/>
            </w:tcBorders>
            <w:noWrap w:val="0"/>
            <w:vAlign w:val="center"/>
          </w:tcPr>
          <w:p>
            <w:pPr>
              <w:pStyle w:val="26"/>
              <w:bidi w:val="0"/>
              <w:rPr>
                <w:rFonts w:hint="default"/>
                <w:lang w:val="en-US" w:eastAsia="zh-CN"/>
              </w:rPr>
            </w:pPr>
            <w:r>
              <w:rPr>
                <w:rFonts w:hint="default"/>
                <w:lang w:val="en-US" w:eastAsia="zh-CN"/>
              </w:rPr>
              <w:t>规格</w:t>
            </w:r>
          </w:p>
        </w:tc>
        <w:tc>
          <w:tcPr>
            <w:tcW w:w="1728" w:type="dxa"/>
            <w:tcBorders>
              <w:tl2br w:val="nil"/>
              <w:tr2bl w:val="nil"/>
            </w:tcBorders>
            <w:noWrap w:val="0"/>
            <w:vAlign w:val="center"/>
          </w:tcPr>
          <w:p>
            <w:pPr>
              <w:pStyle w:val="26"/>
              <w:bidi w:val="0"/>
              <w:rPr>
                <w:rFonts w:hint="default"/>
                <w:lang w:val="en-US" w:eastAsia="zh-CN"/>
              </w:rPr>
            </w:pPr>
            <w:r>
              <w:rPr>
                <w:rFonts w:hint="default"/>
                <w:lang w:val="en-US" w:eastAsia="zh-CN"/>
              </w:rPr>
              <w:t>数量（台）</w:t>
            </w:r>
          </w:p>
        </w:tc>
        <w:tc>
          <w:tcPr>
            <w:tcW w:w="1784" w:type="dxa"/>
            <w:tcBorders>
              <w:tl2br w:val="nil"/>
              <w:tr2bl w:val="nil"/>
            </w:tcBorders>
            <w:noWrap w:val="0"/>
            <w:vAlign w:val="center"/>
          </w:tcPr>
          <w:p>
            <w:pPr>
              <w:pStyle w:val="26"/>
              <w:bidi w:val="0"/>
              <w:rPr>
                <w:rFonts w:hint="default"/>
                <w:lang w:val="en-US" w:eastAsia="zh-CN"/>
              </w:rPr>
            </w:pPr>
            <w:r>
              <w:rPr>
                <w:rFonts w:hint="default"/>
                <w:lang w:val="en-US" w:eastAsia="zh-CN"/>
              </w:rPr>
              <w:t>放置地点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4" w:type="dxa"/>
            <w:tcBorders>
              <w:tl2br w:val="nil"/>
              <w:tr2bl w:val="nil"/>
            </w:tcBorders>
            <w:noWrap w:val="0"/>
            <w:vAlign w:val="center"/>
          </w:tcPr>
          <w:p>
            <w:pPr>
              <w:pStyle w:val="26"/>
              <w:bidi w:val="0"/>
              <w:rPr>
                <w:rFonts w:hint="default"/>
                <w:lang w:val="en-US" w:eastAsia="zh-CN"/>
              </w:rPr>
            </w:pPr>
            <w:r>
              <w:rPr>
                <w:rFonts w:hint="default"/>
                <w:lang w:val="en-US" w:eastAsia="zh-CN"/>
              </w:rPr>
              <w:t>1</w:t>
            </w:r>
          </w:p>
        </w:tc>
        <w:tc>
          <w:tcPr>
            <w:tcW w:w="2121" w:type="dxa"/>
            <w:tcBorders>
              <w:tl2br w:val="nil"/>
              <w:tr2bl w:val="nil"/>
            </w:tcBorders>
            <w:noWrap w:val="0"/>
            <w:vAlign w:val="center"/>
          </w:tcPr>
          <w:p>
            <w:pPr>
              <w:pStyle w:val="26"/>
              <w:bidi w:val="0"/>
              <w:rPr>
                <w:rFonts w:hint="default"/>
                <w:lang w:val="en-US" w:eastAsia="zh-CN"/>
              </w:rPr>
            </w:pPr>
            <w:r>
              <w:rPr>
                <w:rFonts w:hint="eastAsia"/>
                <w:lang w:val="en-US" w:eastAsia="zh-CN"/>
              </w:rPr>
              <w:t>混合搅拌罐</w:t>
            </w:r>
          </w:p>
        </w:tc>
        <w:tc>
          <w:tcPr>
            <w:tcW w:w="2696" w:type="dxa"/>
            <w:tcBorders>
              <w:tl2br w:val="nil"/>
              <w:tr2bl w:val="nil"/>
            </w:tcBorders>
            <w:noWrap w:val="0"/>
            <w:vAlign w:val="center"/>
          </w:tcPr>
          <w:p>
            <w:pPr>
              <w:pStyle w:val="26"/>
              <w:bidi w:val="0"/>
              <w:rPr>
                <w:rFonts w:hint="default"/>
                <w:lang w:val="en-US" w:eastAsia="zh-CN"/>
              </w:rPr>
            </w:pPr>
            <w:r>
              <w:rPr>
                <w:rFonts w:hint="eastAsia"/>
                <w:lang w:val="en-US" w:eastAsia="zh-CN"/>
              </w:rPr>
              <w:t>3.5</w:t>
            </w:r>
            <w:r>
              <w:rPr>
                <w:rFonts w:hint="default"/>
                <w:lang w:val="en-US" w:eastAsia="zh-CN"/>
              </w:rPr>
              <w:t>m</w:t>
            </w:r>
            <w:r>
              <w:rPr>
                <w:rFonts w:hint="default"/>
                <w:vertAlign w:val="superscript"/>
                <w:lang w:val="en-US" w:eastAsia="zh-CN"/>
              </w:rPr>
              <w:t>3</w:t>
            </w:r>
          </w:p>
        </w:tc>
        <w:tc>
          <w:tcPr>
            <w:tcW w:w="1728" w:type="dxa"/>
            <w:tcBorders>
              <w:tl2br w:val="nil"/>
              <w:tr2bl w:val="nil"/>
            </w:tcBorders>
            <w:noWrap w:val="0"/>
            <w:vAlign w:val="center"/>
          </w:tcPr>
          <w:p>
            <w:pPr>
              <w:pStyle w:val="26"/>
              <w:bidi w:val="0"/>
              <w:rPr>
                <w:rFonts w:hint="default"/>
                <w:lang w:val="en-US" w:eastAsia="zh-CN"/>
              </w:rPr>
            </w:pPr>
            <w:r>
              <w:rPr>
                <w:rFonts w:hint="eastAsia"/>
                <w:lang w:val="en-US" w:eastAsia="zh-CN"/>
              </w:rPr>
              <w:t>4</w:t>
            </w:r>
          </w:p>
        </w:tc>
        <w:tc>
          <w:tcPr>
            <w:tcW w:w="1784" w:type="dxa"/>
            <w:tcBorders>
              <w:tl2br w:val="nil"/>
              <w:tr2bl w:val="nil"/>
            </w:tcBorders>
            <w:noWrap w:val="0"/>
            <w:vAlign w:val="center"/>
          </w:tcPr>
          <w:p>
            <w:pPr>
              <w:pStyle w:val="26"/>
              <w:bidi w:val="0"/>
              <w:rPr>
                <w:rFonts w:hint="default"/>
                <w:lang w:val="en-US" w:eastAsia="zh-CN"/>
              </w:rPr>
            </w:pPr>
            <w:r>
              <w:rPr>
                <w:rFonts w:hint="default"/>
                <w:lang w:val="en-US" w:eastAsia="zh-CN"/>
              </w:rPr>
              <w:t>生产区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4" w:type="dxa"/>
            <w:tcBorders>
              <w:tl2br w:val="nil"/>
              <w:tr2bl w:val="nil"/>
            </w:tcBorders>
            <w:noWrap w:val="0"/>
            <w:vAlign w:val="center"/>
          </w:tcPr>
          <w:p>
            <w:pPr>
              <w:pStyle w:val="26"/>
              <w:bidi w:val="0"/>
              <w:rPr>
                <w:rFonts w:hint="default"/>
                <w:lang w:val="en-US" w:eastAsia="zh-CN"/>
              </w:rPr>
            </w:pPr>
            <w:r>
              <w:rPr>
                <w:rFonts w:hint="eastAsia"/>
                <w:lang w:val="en-US" w:eastAsia="zh-CN"/>
              </w:rPr>
              <w:t>2</w:t>
            </w:r>
          </w:p>
        </w:tc>
        <w:tc>
          <w:tcPr>
            <w:tcW w:w="2121" w:type="dxa"/>
            <w:tcBorders>
              <w:tl2br w:val="nil"/>
              <w:tr2bl w:val="nil"/>
            </w:tcBorders>
            <w:noWrap w:val="0"/>
            <w:vAlign w:val="center"/>
          </w:tcPr>
          <w:p>
            <w:pPr>
              <w:pStyle w:val="26"/>
              <w:bidi w:val="0"/>
              <w:rPr>
                <w:rFonts w:hint="default"/>
                <w:lang w:val="en-US" w:eastAsia="zh-CN"/>
              </w:rPr>
            </w:pPr>
            <w:r>
              <w:rPr>
                <w:rFonts w:hint="eastAsia"/>
                <w:lang w:val="en-US" w:eastAsia="zh-CN"/>
              </w:rPr>
              <w:t>升降机</w:t>
            </w:r>
          </w:p>
        </w:tc>
        <w:tc>
          <w:tcPr>
            <w:tcW w:w="2696" w:type="dxa"/>
            <w:tcBorders>
              <w:tl2br w:val="nil"/>
              <w:tr2bl w:val="nil"/>
            </w:tcBorders>
            <w:noWrap w:val="0"/>
            <w:vAlign w:val="center"/>
          </w:tcPr>
          <w:p>
            <w:pPr>
              <w:pStyle w:val="26"/>
              <w:bidi w:val="0"/>
              <w:rPr>
                <w:rFonts w:hint="default"/>
                <w:lang w:val="en-US" w:eastAsia="zh-CN"/>
              </w:rPr>
            </w:pPr>
            <w:r>
              <w:rPr>
                <w:rFonts w:hint="eastAsia"/>
                <w:lang w:val="en-US" w:eastAsia="zh-CN"/>
              </w:rPr>
              <w:t>3t荷载</w:t>
            </w:r>
          </w:p>
        </w:tc>
        <w:tc>
          <w:tcPr>
            <w:tcW w:w="1728" w:type="dxa"/>
            <w:tcBorders>
              <w:tl2br w:val="nil"/>
              <w:tr2bl w:val="nil"/>
            </w:tcBorders>
            <w:noWrap w:val="0"/>
            <w:vAlign w:val="center"/>
          </w:tcPr>
          <w:p>
            <w:pPr>
              <w:pStyle w:val="26"/>
              <w:bidi w:val="0"/>
              <w:rPr>
                <w:rFonts w:hint="default"/>
                <w:lang w:val="en-US" w:eastAsia="zh-CN"/>
              </w:rPr>
            </w:pPr>
            <w:r>
              <w:rPr>
                <w:rFonts w:hint="eastAsia"/>
                <w:lang w:val="en-US" w:eastAsia="zh-CN"/>
              </w:rPr>
              <w:t>1</w:t>
            </w:r>
          </w:p>
        </w:tc>
        <w:tc>
          <w:tcPr>
            <w:tcW w:w="1784" w:type="dxa"/>
            <w:tcBorders>
              <w:tl2br w:val="nil"/>
              <w:tr2bl w:val="nil"/>
            </w:tcBorders>
            <w:noWrap w:val="0"/>
            <w:vAlign w:val="center"/>
          </w:tcPr>
          <w:p>
            <w:pPr>
              <w:pStyle w:val="26"/>
              <w:bidi w:val="0"/>
              <w:rPr>
                <w:rFonts w:hint="default"/>
                <w:lang w:val="en-US" w:eastAsia="zh-CN"/>
              </w:rPr>
            </w:pPr>
            <w:r>
              <w:rPr>
                <w:rFonts w:hint="default"/>
                <w:lang w:val="en-US" w:eastAsia="zh-CN"/>
              </w:rPr>
              <w:t>生产区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4" w:type="dxa"/>
            <w:tcBorders>
              <w:tl2br w:val="nil"/>
              <w:tr2bl w:val="nil"/>
            </w:tcBorders>
            <w:noWrap w:val="0"/>
            <w:vAlign w:val="center"/>
          </w:tcPr>
          <w:p>
            <w:pPr>
              <w:pStyle w:val="26"/>
              <w:bidi w:val="0"/>
              <w:rPr>
                <w:rFonts w:hint="default"/>
                <w:lang w:val="en-US" w:eastAsia="zh-CN"/>
              </w:rPr>
            </w:pPr>
            <w:r>
              <w:rPr>
                <w:rFonts w:hint="eastAsia"/>
                <w:lang w:val="en-US" w:eastAsia="zh-CN"/>
              </w:rPr>
              <w:t>3</w:t>
            </w:r>
          </w:p>
        </w:tc>
        <w:tc>
          <w:tcPr>
            <w:tcW w:w="2121" w:type="dxa"/>
            <w:tcBorders>
              <w:tl2br w:val="nil"/>
              <w:tr2bl w:val="nil"/>
            </w:tcBorders>
            <w:noWrap w:val="0"/>
            <w:vAlign w:val="center"/>
          </w:tcPr>
          <w:p>
            <w:pPr>
              <w:pStyle w:val="26"/>
              <w:bidi w:val="0"/>
              <w:rPr>
                <w:rFonts w:hint="default"/>
                <w:lang w:val="en-US" w:eastAsia="zh-CN"/>
              </w:rPr>
            </w:pPr>
            <w:r>
              <w:rPr>
                <w:rFonts w:hint="eastAsia"/>
                <w:lang w:val="en-US" w:eastAsia="zh-CN"/>
              </w:rPr>
              <w:t>倒料机</w:t>
            </w:r>
          </w:p>
        </w:tc>
        <w:tc>
          <w:tcPr>
            <w:tcW w:w="2696" w:type="dxa"/>
            <w:tcBorders>
              <w:tl2br w:val="nil"/>
              <w:tr2bl w:val="nil"/>
            </w:tcBorders>
            <w:noWrap w:val="0"/>
            <w:vAlign w:val="center"/>
          </w:tcPr>
          <w:p>
            <w:pPr>
              <w:pStyle w:val="26"/>
              <w:bidi w:val="0"/>
              <w:rPr>
                <w:rFonts w:hint="default"/>
                <w:lang w:val="en-US" w:eastAsia="zh-CN"/>
              </w:rPr>
            </w:pPr>
            <w:r>
              <w:rPr>
                <w:rFonts w:hint="eastAsia"/>
                <w:lang w:val="en-US" w:eastAsia="zh-CN"/>
              </w:rPr>
              <w:t>定制</w:t>
            </w:r>
          </w:p>
        </w:tc>
        <w:tc>
          <w:tcPr>
            <w:tcW w:w="1728" w:type="dxa"/>
            <w:tcBorders>
              <w:tl2br w:val="nil"/>
              <w:tr2bl w:val="nil"/>
            </w:tcBorders>
            <w:noWrap w:val="0"/>
            <w:vAlign w:val="center"/>
          </w:tcPr>
          <w:p>
            <w:pPr>
              <w:pStyle w:val="26"/>
              <w:bidi w:val="0"/>
              <w:rPr>
                <w:rFonts w:hint="default"/>
                <w:lang w:val="en-US" w:eastAsia="zh-CN"/>
              </w:rPr>
            </w:pPr>
            <w:r>
              <w:rPr>
                <w:rFonts w:hint="eastAsia"/>
                <w:lang w:val="en-US" w:eastAsia="zh-CN"/>
              </w:rPr>
              <w:t>4</w:t>
            </w:r>
          </w:p>
        </w:tc>
        <w:tc>
          <w:tcPr>
            <w:tcW w:w="1784" w:type="dxa"/>
            <w:tcBorders>
              <w:tl2br w:val="nil"/>
              <w:tr2bl w:val="nil"/>
            </w:tcBorders>
            <w:noWrap w:val="0"/>
            <w:vAlign w:val="center"/>
          </w:tcPr>
          <w:p>
            <w:pPr>
              <w:pStyle w:val="26"/>
              <w:bidi w:val="0"/>
              <w:rPr>
                <w:rFonts w:hint="default"/>
                <w:lang w:val="en-US" w:eastAsia="zh-CN"/>
              </w:rPr>
            </w:pPr>
            <w:r>
              <w:rPr>
                <w:rFonts w:hint="default"/>
                <w:lang w:val="en-US" w:eastAsia="zh-CN"/>
              </w:rPr>
              <w:t>生产区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4" w:type="dxa"/>
            <w:tcBorders>
              <w:tl2br w:val="nil"/>
              <w:tr2bl w:val="nil"/>
            </w:tcBorders>
            <w:noWrap w:val="0"/>
            <w:vAlign w:val="center"/>
          </w:tcPr>
          <w:p>
            <w:pPr>
              <w:pStyle w:val="26"/>
              <w:bidi w:val="0"/>
              <w:rPr>
                <w:rFonts w:hint="default"/>
                <w:lang w:val="en-US" w:eastAsia="zh-CN"/>
              </w:rPr>
            </w:pPr>
            <w:r>
              <w:rPr>
                <w:rFonts w:hint="eastAsia"/>
                <w:lang w:val="en-US" w:eastAsia="zh-CN"/>
              </w:rPr>
              <w:t>4</w:t>
            </w:r>
          </w:p>
        </w:tc>
        <w:tc>
          <w:tcPr>
            <w:tcW w:w="2121" w:type="dxa"/>
            <w:tcBorders>
              <w:tl2br w:val="nil"/>
              <w:tr2bl w:val="nil"/>
            </w:tcBorders>
            <w:noWrap w:val="0"/>
            <w:vAlign w:val="center"/>
          </w:tcPr>
          <w:p>
            <w:pPr>
              <w:pStyle w:val="26"/>
              <w:bidi w:val="0"/>
              <w:rPr>
                <w:rFonts w:hint="eastAsia"/>
                <w:lang w:val="en-US" w:eastAsia="zh-CN"/>
              </w:rPr>
            </w:pPr>
            <w:r>
              <w:rPr>
                <w:rFonts w:hint="eastAsia"/>
                <w:lang w:val="en-US" w:eastAsia="zh-CN"/>
              </w:rPr>
              <w:t>柴油叉车</w:t>
            </w:r>
          </w:p>
        </w:tc>
        <w:tc>
          <w:tcPr>
            <w:tcW w:w="2696" w:type="dxa"/>
            <w:tcBorders>
              <w:tl2br w:val="nil"/>
              <w:tr2bl w:val="nil"/>
            </w:tcBorders>
            <w:noWrap w:val="0"/>
            <w:vAlign w:val="center"/>
          </w:tcPr>
          <w:p>
            <w:pPr>
              <w:pStyle w:val="26"/>
              <w:bidi w:val="0"/>
              <w:rPr>
                <w:rFonts w:hint="eastAsia"/>
                <w:lang w:val="en-US" w:eastAsia="zh-CN"/>
              </w:rPr>
            </w:pPr>
            <w:r>
              <w:rPr>
                <w:rFonts w:hint="eastAsia"/>
                <w:lang w:val="en-US" w:eastAsia="zh-CN"/>
              </w:rPr>
              <w:t>3t荷载</w:t>
            </w:r>
          </w:p>
        </w:tc>
        <w:tc>
          <w:tcPr>
            <w:tcW w:w="1728" w:type="dxa"/>
            <w:tcBorders>
              <w:tl2br w:val="nil"/>
              <w:tr2bl w:val="nil"/>
            </w:tcBorders>
            <w:noWrap w:val="0"/>
            <w:vAlign w:val="center"/>
          </w:tcPr>
          <w:p>
            <w:pPr>
              <w:pStyle w:val="26"/>
              <w:bidi w:val="0"/>
              <w:rPr>
                <w:rFonts w:hint="default"/>
                <w:lang w:val="en-US" w:eastAsia="zh-CN"/>
              </w:rPr>
            </w:pPr>
            <w:r>
              <w:rPr>
                <w:rFonts w:hint="eastAsia"/>
                <w:lang w:val="en-US" w:eastAsia="zh-CN"/>
              </w:rPr>
              <w:t>1</w:t>
            </w:r>
          </w:p>
        </w:tc>
        <w:tc>
          <w:tcPr>
            <w:tcW w:w="1784" w:type="dxa"/>
            <w:tcBorders>
              <w:tl2br w:val="nil"/>
              <w:tr2bl w:val="nil"/>
            </w:tcBorders>
            <w:noWrap w:val="0"/>
            <w:vAlign w:val="center"/>
          </w:tcPr>
          <w:p>
            <w:pPr>
              <w:pStyle w:val="26"/>
              <w:bidi w:val="0"/>
              <w:rPr>
                <w:rFonts w:hint="default"/>
                <w:lang w:val="en-US" w:eastAsia="zh-CN"/>
              </w:rPr>
            </w:pPr>
            <w:r>
              <w:rPr>
                <w:rFonts w:hint="default"/>
                <w:lang w:val="en-US" w:eastAsia="zh-CN"/>
              </w:rPr>
              <w:t>生产区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4" w:type="dxa"/>
            <w:tcBorders>
              <w:tl2br w:val="nil"/>
              <w:tr2bl w:val="nil"/>
            </w:tcBorders>
            <w:noWrap w:val="0"/>
            <w:vAlign w:val="center"/>
          </w:tcPr>
          <w:p>
            <w:pPr>
              <w:pStyle w:val="26"/>
              <w:bidi w:val="0"/>
              <w:rPr>
                <w:rFonts w:hint="default"/>
                <w:lang w:val="en-US" w:eastAsia="zh-CN"/>
              </w:rPr>
            </w:pPr>
            <w:r>
              <w:rPr>
                <w:rFonts w:hint="eastAsia"/>
                <w:lang w:val="en-US" w:eastAsia="zh-CN"/>
              </w:rPr>
              <w:t>5</w:t>
            </w:r>
          </w:p>
        </w:tc>
        <w:tc>
          <w:tcPr>
            <w:tcW w:w="2121" w:type="dxa"/>
            <w:tcBorders>
              <w:tl2br w:val="nil"/>
              <w:tr2bl w:val="nil"/>
            </w:tcBorders>
            <w:noWrap w:val="0"/>
            <w:vAlign w:val="center"/>
          </w:tcPr>
          <w:p>
            <w:pPr>
              <w:pStyle w:val="26"/>
              <w:bidi w:val="0"/>
              <w:rPr>
                <w:rFonts w:hint="eastAsia"/>
                <w:lang w:val="en-US" w:eastAsia="zh-CN"/>
              </w:rPr>
            </w:pPr>
            <w:r>
              <w:rPr>
                <w:rFonts w:hint="eastAsia"/>
                <w:lang w:val="en-US" w:eastAsia="zh-CN"/>
              </w:rPr>
              <w:t>电动叉车</w:t>
            </w:r>
          </w:p>
        </w:tc>
        <w:tc>
          <w:tcPr>
            <w:tcW w:w="2696" w:type="dxa"/>
            <w:tcBorders>
              <w:tl2br w:val="nil"/>
              <w:tr2bl w:val="nil"/>
            </w:tcBorders>
            <w:noWrap w:val="0"/>
            <w:vAlign w:val="center"/>
          </w:tcPr>
          <w:p>
            <w:pPr>
              <w:pStyle w:val="26"/>
              <w:bidi w:val="0"/>
              <w:rPr>
                <w:rFonts w:hint="eastAsia"/>
                <w:lang w:val="en-US" w:eastAsia="zh-CN"/>
              </w:rPr>
            </w:pPr>
            <w:r>
              <w:rPr>
                <w:rFonts w:hint="eastAsia"/>
                <w:lang w:val="en-US" w:eastAsia="zh-CN"/>
              </w:rPr>
              <w:t>3t荷载</w:t>
            </w:r>
          </w:p>
        </w:tc>
        <w:tc>
          <w:tcPr>
            <w:tcW w:w="1728" w:type="dxa"/>
            <w:tcBorders>
              <w:tl2br w:val="nil"/>
              <w:tr2bl w:val="nil"/>
            </w:tcBorders>
            <w:noWrap w:val="0"/>
            <w:vAlign w:val="center"/>
          </w:tcPr>
          <w:p>
            <w:pPr>
              <w:pStyle w:val="26"/>
              <w:bidi w:val="0"/>
              <w:rPr>
                <w:rFonts w:hint="default"/>
                <w:lang w:val="en-US" w:eastAsia="zh-CN"/>
              </w:rPr>
            </w:pPr>
            <w:r>
              <w:rPr>
                <w:rFonts w:hint="default"/>
                <w:lang w:val="en-US" w:eastAsia="zh-CN"/>
              </w:rPr>
              <w:t>1</w:t>
            </w:r>
          </w:p>
        </w:tc>
        <w:tc>
          <w:tcPr>
            <w:tcW w:w="1784" w:type="dxa"/>
            <w:tcBorders>
              <w:tl2br w:val="nil"/>
              <w:tr2bl w:val="nil"/>
            </w:tcBorders>
            <w:noWrap w:val="0"/>
            <w:vAlign w:val="center"/>
          </w:tcPr>
          <w:p>
            <w:pPr>
              <w:pStyle w:val="26"/>
              <w:bidi w:val="0"/>
              <w:rPr>
                <w:rFonts w:hint="default"/>
                <w:lang w:val="en-US" w:eastAsia="zh-CN"/>
              </w:rPr>
            </w:pPr>
            <w:r>
              <w:rPr>
                <w:rFonts w:hint="default"/>
                <w:lang w:val="en-US" w:eastAsia="zh-CN"/>
              </w:rPr>
              <w:t>生产区</w:t>
            </w:r>
          </w:p>
        </w:tc>
      </w:tr>
      <w:bookmarkEnd w:id="685"/>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692" w:name="_Toc5076"/>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根据</w:t>
      </w:r>
      <w:r>
        <w:rPr>
          <w:rFonts w:hint="eastAsia" w:cs="宋体"/>
          <w:kern w:val="2"/>
          <w:sz w:val="24"/>
          <w:szCs w:val="24"/>
          <w:lang w:val="en-US" w:eastAsia="zh-CN" w:bidi="ar-SA"/>
        </w:rPr>
        <w:t>《产业结构调整指导目录》（2019年本）</w:t>
      </w:r>
      <w:r>
        <w:rPr>
          <w:rFonts w:ascii="Times New Roman" w:hAnsi="Times New Roman" w:eastAsia="宋体" w:cs="宋体"/>
          <w:kern w:val="2"/>
          <w:sz w:val="24"/>
          <w:szCs w:val="24"/>
          <w:lang w:val="en-US" w:eastAsia="zh-CN" w:bidi="ar-SA"/>
        </w:rPr>
        <w:t>和《部分工业行业淘汰落后</w:t>
      </w:r>
      <w:r>
        <w:rPr>
          <w:rFonts w:hint="eastAsia" w:ascii="Times New Roman" w:hAnsi="Times New Roman" w:eastAsia="宋体" w:cs="宋体"/>
          <w:kern w:val="2"/>
          <w:sz w:val="24"/>
          <w:szCs w:val="24"/>
          <w:lang w:val="en-US" w:eastAsia="zh-CN" w:bidi="ar-SA"/>
        </w:rPr>
        <w:t>处理工艺</w:t>
      </w:r>
      <w:r>
        <w:rPr>
          <w:rFonts w:ascii="Times New Roman" w:hAnsi="Times New Roman" w:eastAsia="宋体" w:cs="宋体"/>
          <w:kern w:val="2"/>
          <w:sz w:val="24"/>
          <w:szCs w:val="24"/>
          <w:lang w:val="en-US" w:eastAsia="zh-CN" w:bidi="ar-SA"/>
        </w:rPr>
        <w:t>装备和产品指导目录（2010年本）》可知，项目所选设备均</w:t>
      </w:r>
      <w:r>
        <w:rPr>
          <w:rFonts w:hint="eastAsia" w:ascii="Times New Roman" w:hAnsi="Times New Roman" w:eastAsia="宋体" w:cs="宋体"/>
          <w:kern w:val="2"/>
          <w:sz w:val="24"/>
          <w:szCs w:val="24"/>
          <w:lang w:val="en-US" w:eastAsia="zh-CN" w:bidi="ar-SA"/>
        </w:rPr>
        <w:t>未列入</w:t>
      </w:r>
      <w:r>
        <w:rPr>
          <w:rFonts w:ascii="Times New Roman" w:hAnsi="Times New Roman" w:eastAsia="宋体" w:cs="宋体"/>
          <w:kern w:val="2"/>
          <w:sz w:val="24"/>
          <w:szCs w:val="24"/>
          <w:lang w:val="en-US" w:eastAsia="zh-CN" w:bidi="ar-SA"/>
        </w:rPr>
        <w:t>国家淘汰和限制的产业类型。</w:t>
      </w:r>
    </w:p>
    <w:p>
      <w:pPr>
        <w:pStyle w:val="2"/>
        <w:bidi w:val="0"/>
        <w:rPr>
          <w:lang w:val="en-US" w:eastAsia="zh-CN"/>
        </w:rPr>
      </w:pPr>
      <w:bookmarkStart w:id="693" w:name="_Toc16320"/>
      <w:bookmarkStart w:id="694" w:name="_Toc2795"/>
      <w:r>
        <w:rPr>
          <w:lang w:val="en-US" w:eastAsia="zh-CN"/>
        </w:rPr>
        <w:t>公用工程</w:t>
      </w:r>
      <w:bookmarkEnd w:id="686"/>
      <w:bookmarkEnd w:id="687"/>
      <w:bookmarkEnd w:id="688"/>
      <w:bookmarkEnd w:id="689"/>
      <w:bookmarkEnd w:id="690"/>
      <w:bookmarkEnd w:id="692"/>
      <w:bookmarkEnd w:id="693"/>
      <w:bookmarkEnd w:id="694"/>
    </w:p>
    <w:p>
      <w:pPr>
        <w:pStyle w:val="4"/>
        <w:bidi w:val="0"/>
        <w:rPr>
          <w:lang w:val="en-US" w:eastAsia="zh-CN"/>
        </w:rPr>
      </w:pPr>
      <w:bookmarkStart w:id="695" w:name="_Toc8072"/>
      <w:bookmarkStart w:id="696" w:name="_Toc27355"/>
      <w:bookmarkStart w:id="697" w:name="_Toc11449"/>
      <w:bookmarkStart w:id="698" w:name="_Toc5645"/>
      <w:bookmarkStart w:id="699" w:name="_Toc1463"/>
      <w:bookmarkStart w:id="700" w:name="_Toc9957"/>
      <w:bookmarkStart w:id="701" w:name="_Toc13069"/>
      <w:bookmarkStart w:id="702" w:name="_Toc7577"/>
      <w:bookmarkStart w:id="703" w:name="_Toc21885"/>
      <w:bookmarkStart w:id="704" w:name="_Toc18998"/>
      <w:bookmarkStart w:id="705" w:name="_Toc15902"/>
      <w:bookmarkStart w:id="706" w:name="_Toc32166"/>
      <w:bookmarkStart w:id="707" w:name="_Toc20157"/>
      <w:bookmarkStart w:id="708" w:name="_Toc12250"/>
      <w:bookmarkStart w:id="709" w:name="_Toc25779_WPSOffice_Level3"/>
      <w:r>
        <w:rPr>
          <w:lang w:val="en-US" w:eastAsia="zh-CN"/>
        </w:rPr>
        <w:t>给排水</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r>
        <w:t>（1）给水</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bookmarkStart w:id="710" w:name="_Toc17965"/>
      <w:bookmarkStart w:id="711" w:name="_Toc29503"/>
      <w:bookmarkStart w:id="712" w:name="_Toc24210_WPSOffice_Level3"/>
      <w:bookmarkStart w:id="713" w:name="_Toc3017"/>
      <w:bookmarkStart w:id="714" w:name="_Toc6394"/>
      <w:bookmarkStart w:id="715" w:name="_Toc17101"/>
      <w:bookmarkStart w:id="716" w:name="_Toc15665"/>
      <w:bookmarkStart w:id="717" w:name="_Toc19696"/>
      <w:bookmarkStart w:id="718" w:name="_Toc3914"/>
      <w:r>
        <w:rPr>
          <w:rFonts w:hint="default" w:ascii="Times New Roman" w:hAnsi="Times New Roman" w:eastAsia="宋体" w:cs="宋体"/>
          <w:kern w:val="2"/>
          <w:sz w:val="24"/>
          <w:szCs w:val="24"/>
          <w:lang w:val="en-US" w:eastAsia="zh-CN" w:bidi="ar-SA"/>
        </w:rPr>
        <w:t>项目用水由湘阴</w:t>
      </w:r>
      <w:r>
        <w:rPr>
          <w:rFonts w:hint="eastAsia" w:ascii="Times New Roman" w:hAnsi="Times New Roman" w:eastAsia="宋体" w:cs="宋体"/>
          <w:kern w:val="2"/>
          <w:sz w:val="24"/>
          <w:szCs w:val="24"/>
          <w:lang w:val="en-US" w:eastAsia="zh-CN" w:bidi="ar-SA"/>
        </w:rPr>
        <w:t>县</w:t>
      </w:r>
      <w:r>
        <w:rPr>
          <w:rFonts w:hint="default" w:ascii="Times New Roman" w:hAnsi="Times New Roman" w:eastAsia="宋体" w:cs="宋体"/>
          <w:kern w:val="2"/>
          <w:sz w:val="24"/>
          <w:szCs w:val="24"/>
          <w:lang w:val="en-US" w:eastAsia="zh-CN" w:bidi="ar-SA"/>
        </w:rPr>
        <w:t>金龙新区自来水管网供给，</w:t>
      </w:r>
      <w:r>
        <w:rPr>
          <w:rFonts w:hint="eastAsia" w:ascii="Times New Roman" w:hAnsi="Times New Roman" w:eastAsia="宋体" w:cs="宋体"/>
          <w:kern w:val="2"/>
          <w:sz w:val="24"/>
          <w:szCs w:val="24"/>
          <w:lang w:val="en-US" w:eastAsia="zh-CN" w:bidi="ar-SA"/>
        </w:rPr>
        <w:t>供水水压为0.15MPa，</w:t>
      </w:r>
      <w:r>
        <w:rPr>
          <w:rFonts w:hint="default" w:ascii="Times New Roman" w:hAnsi="Times New Roman" w:eastAsia="宋体" w:cs="宋体"/>
          <w:kern w:val="2"/>
          <w:sz w:val="24"/>
          <w:szCs w:val="24"/>
          <w:lang w:val="en-US" w:eastAsia="zh-CN" w:bidi="ar-SA"/>
        </w:rPr>
        <w:t>能满足厂内消防用水及项目生产生活用水</w:t>
      </w:r>
      <w:r>
        <w:rPr>
          <w:rFonts w:hint="eastAsia" w:ascii="Times New Roman" w:hAnsi="Times New Roman" w:eastAsia="宋体" w:cs="宋体"/>
          <w:kern w:val="2"/>
          <w:sz w:val="24"/>
          <w:szCs w:val="24"/>
          <w:lang w:val="en-US" w:eastAsia="zh-CN" w:bidi="ar-SA"/>
        </w:rPr>
        <w:t>。</w:t>
      </w:r>
      <w:r>
        <w:rPr>
          <w:rFonts w:hint="default" w:ascii="Times New Roman" w:hAnsi="Times New Roman" w:eastAsia="宋体" w:cs="宋体"/>
          <w:kern w:val="2"/>
          <w:sz w:val="24"/>
          <w:szCs w:val="24"/>
          <w:lang w:val="en-US" w:eastAsia="zh-CN" w:bidi="ar-SA"/>
        </w:rPr>
        <w:t>给水管网采用生产、生活、消防合用环状给水管网。</w:t>
      </w:r>
    </w:p>
    <w:p>
      <w:pPr>
        <w:numPr>
          <w:ilvl w:val="0"/>
          <w:numId w:val="11"/>
        </w:numPr>
      </w:pPr>
      <w:r>
        <w:t>排水</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排水系统采用雨污分流制。</w:t>
      </w:r>
      <w:r>
        <w:rPr>
          <w:rFonts w:hint="eastAsia" w:ascii="Times New Roman" w:hAnsi="Times New Roman" w:eastAsia="宋体" w:cs="宋体"/>
          <w:kern w:val="2"/>
          <w:sz w:val="24"/>
          <w:szCs w:val="24"/>
          <w:lang w:val="en-US" w:eastAsia="zh-CN" w:bidi="ar-SA"/>
        </w:rPr>
        <w:t>卓达金谷创业园污水处理站1500t/d</w:t>
      </w:r>
      <w:r>
        <w:rPr>
          <w:rFonts w:hint="default" w:ascii="Times New Roman" w:hAnsi="Times New Roman" w:eastAsia="宋体" w:cs="宋体"/>
          <w:kern w:val="2"/>
          <w:sz w:val="24"/>
          <w:szCs w:val="24"/>
          <w:lang w:val="en-US" w:eastAsia="zh-CN" w:bidi="ar-SA"/>
        </w:rPr>
        <w:t>工业废水和生活污水处理站及配套管网已建成投运，出水由洋沙河排入洋沙湖，汇入湘江。初期雨水由园区管网收集排入</w:t>
      </w:r>
      <w:r>
        <w:rPr>
          <w:rFonts w:hint="eastAsia" w:ascii="Times New Roman" w:hAnsi="Times New Roman" w:eastAsia="宋体" w:cs="宋体"/>
          <w:kern w:val="2"/>
          <w:sz w:val="24"/>
          <w:szCs w:val="24"/>
          <w:lang w:val="en-US" w:eastAsia="zh-CN" w:bidi="ar-SA"/>
        </w:rPr>
        <w:t>卓达金谷创业园污水处理站</w:t>
      </w:r>
      <w:r>
        <w:rPr>
          <w:rFonts w:hint="default"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非初期</w:t>
      </w:r>
      <w:r>
        <w:rPr>
          <w:rFonts w:hint="default" w:ascii="Times New Roman" w:hAnsi="Times New Roman" w:eastAsia="宋体" w:cs="宋体"/>
          <w:kern w:val="2"/>
          <w:sz w:val="24"/>
          <w:szCs w:val="24"/>
          <w:lang w:val="en-US" w:eastAsia="zh-CN" w:bidi="ar-SA"/>
        </w:rPr>
        <w:t>雨水经过园区雨水收集系统直接排入洋沙河。生活污水</w:t>
      </w:r>
      <w:r>
        <w:rPr>
          <w:rFonts w:hint="eastAsia" w:cs="宋体"/>
          <w:kern w:val="2"/>
          <w:sz w:val="24"/>
          <w:szCs w:val="24"/>
          <w:lang w:val="en-US" w:eastAsia="zh-CN" w:bidi="ar-SA"/>
        </w:rPr>
        <w:t>经园区化粪池处理后达到《污水综合排放标准》（GB8978-1996）三级后</w:t>
      </w:r>
      <w:r>
        <w:rPr>
          <w:rFonts w:hint="default" w:ascii="Times New Roman" w:hAnsi="Times New Roman" w:eastAsia="宋体" w:cs="宋体"/>
          <w:kern w:val="2"/>
          <w:sz w:val="24"/>
          <w:szCs w:val="24"/>
          <w:lang w:val="en-US" w:eastAsia="zh-CN" w:bidi="ar-SA"/>
        </w:rPr>
        <w:t>排入</w:t>
      </w:r>
      <w:r>
        <w:rPr>
          <w:rFonts w:hint="eastAsia" w:ascii="Times New Roman" w:hAnsi="Times New Roman" w:eastAsia="宋体" w:cs="宋体"/>
          <w:kern w:val="2"/>
          <w:sz w:val="24"/>
          <w:szCs w:val="24"/>
          <w:lang w:val="en-US" w:eastAsia="zh-CN" w:bidi="ar-SA"/>
        </w:rPr>
        <w:t>卓达金谷创业园污水处理站</w:t>
      </w:r>
      <w:r>
        <w:rPr>
          <w:rFonts w:hint="default" w:ascii="Times New Roman" w:hAnsi="Times New Roman" w:eastAsia="宋体" w:cs="宋体"/>
          <w:kern w:val="2"/>
          <w:sz w:val="24"/>
          <w:szCs w:val="24"/>
          <w:lang w:val="en-US" w:eastAsia="zh-CN" w:bidi="ar-SA"/>
        </w:rPr>
        <w:t>。</w:t>
      </w:r>
    </w:p>
    <w:p>
      <w:pPr>
        <w:pStyle w:val="4"/>
        <w:bidi w:val="0"/>
        <w:rPr>
          <w:lang w:val="en-US" w:eastAsia="zh-CN"/>
        </w:rPr>
      </w:pPr>
      <w:bookmarkStart w:id="719" w:name="_Toc20029"/>
      <w:bookmarkStart w:id="720" w:name="_Toc24914"/>
      <w:bookmarkStart w:id="721" w:name="_Toc6355"/>
      <w:bookmarkStart w:id="722" w:name="_Toc9342"/>
      <w:bookmarkStart w:id="723" w:name="_Toc14218"/>
      <w:bookmarkStart w:id="724" w:name="_Toc6537"/>
      <w:r>
        <w:rPr>
          <w:lang w:val="en-US" w:eastAsia="zh-CN"/>
        </w:rPr>
        <w:t>供电</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bookmarkStart w:id="725" w:name="_Toc24690_WPSOffice_Level3"/>
      <w:bookmarkStart w:id="726" w:name="_Toc10309"/>
      <w:bookmarkStart w:id="727" w:name="_Toc16618"/>
      <w:bookmarkStart w:id="728" w:name="_Toc9905"/>
      <w:bookmarkStart w:id="729" w:name="_Toc17605"/>
      <w:bookmarkStart w:id="730" w:name="_Toc9629"/>
      <w:bookmarkStart w:id="731" w:name="_Toc29404"/>
      <w:bookmarkStart w:id="732" w:name="_Toc881"/>
      <w:bookmarkStart w:id="733" w:name="_Toc15121"/>
      <w:r>
        <w:rPr>
          <w:rFonts w:ascii="Times New Roman" w:hAnsi="Times New Roman" w:eastAsia="宋体" w:cs="宋体"/>
          <w:kern w:val="2"/>
          <w:sz w:val="24"/>
          <w:szCs w:val="24"/>
          <w:lang w:val="en-US" w:eastAsia="zh-CN" w:bidi="ar-SA"/>
        </w:rPr>
        <w:t>本项目用电来源依托</w:t>
      </w:r>
      <w:r>
        <w:rPr>
          <w:rFonts w:hint="eastAsia" w:ascii="Times New Roman" w:hAnsi="Times New Roman" w:eastAsia="宋体" w:cs="宋体"/>
          <w:kern w:val="2"/>
          <w:sz w:val="24"/>
          <w:szCs w:val="24"/>
          <w:lang w:val="en-US" w:eastAsia="zh-CN" w:bidi="ar-SA"/>
        </w:rPr>
        <w:t>工业园电网</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由</w:t>
      </w:r>
      <w:r>
        <w:rPr>
          <w:rFonts w:hint="eastAsia" w:ascii="Times New Roman" w:hAnsi="Times New Roman" w:eastAsia="宋体" w:cs="Times New Roman"/>
          <w:kern w:val="2"/>
          <w:sz w:val="24"/>
          <w:szCs w:val="22"/>
          <w:u w:val="none"/>
          <w:lang w:val="en-US" w:eastAsia="zh-CN" w:bidi="ar-SA"/>
        </w:rPr>
        <w:t>金龙新区卓达金谷创业园提供，</w:t>
      </w:r>
      <w:r>
        <w:rPr>
          <w:rFonts w:ascii="Times New Roman" w:hAnsi="Times New Roman" w:eastAsia="宋体" w:cs="宋体"/>
          <w:kern w:val="2"/>
          <w:sz w:val="24"/>
          <w:szCs w:val="24"/>
          <w:lang w:val="en-US" w:eastAsia="zh-CN" w:bidi="ar-SA"/>
        </w:rPr>
        <w:t>供电容量为250kVA。</w:t>
      </w:r>
      <w:r>
        <w:rPr>
          <w:rFonts w:hint="eastAsia" w:ascii="Times New Roman" w:hAnsi="Times New Roman" w:eastAsia="宋体" w:cs="宋体"/>
          <w:kern w:val="2"/>
          <w:sz w:val="24"/>
          <w:szCs w:val="24"/>
          <w:lang w:val="en-US" w:eastAsia="zh-CN" w:bidi="ar-SA"/>
        </w:rPr>
        <w:t>企业自备小型柴油发电机应对停电情况。</w:t>
      </w:r>
    </w:p>
    <w:bookmarkEnd w:id="725"/>
    <w:bookmarkEnd w:id="726"/>
    <w:bookmarkEnd w:id="727"/>
    <w:bookmarkEnd w:id="728"/>
    <w:bookmarkEnd w:id="729"/>
    <w:bookmarkEnd w:id="730"/>
    <w:bookmarkEnd w:id="731"/>
    <w:bookmarkEnd w:id="732"/>
    <w:bookmarkEnd w:id="733"/>
    <w:p>
      <w:pPr>
        <w:pStyle w:val="4"/>
        <w:bidi w:val="0"/>
        <w:rPr>
          <w:rFonts w:hint="eastAsia"/>
          <w:lang w:val="en-US" w:eastAsia="zh-CN"/>
        </w:rPr>
      </w:pPr>
      <w:bookmarkStart w:id="734" w:name="_Toc20179"/>
      <w:bookmarkStart w:id="735" w:name="_Toc8247"/>
      <w:bookmarkStart w:id="736" w:name="_Toc30459"/>
      <w:bookmarkStart w:id="737" w:name="_Toc4297_WPSOffice_Level1"/>
      <w:bookmarkStart w:id="738" w:name="_Toc14286"/>
      <w:bookmarkStart w:id="739" w:name="_Toc21189"/>
      <w:bookmarkStart w:id="740" w:name="_Toc16612"/>
      <w:bookmarkStart w:id="741" w:name="_Toc22447"/>
      <w:bookmarkStart w:id="742" w:name="_Toc11978"/>
      <w:bookmarkStart w:id="743" w:name="_Toc5552"/>
      <w:bookmarkStart w:id="744" w:name="_Toc4504"/>
      <w:bookmarkStart w:id="745" w:name="_Toc21725_WPSOffice_Level1"/>
      <w:r>
        <w:rPr>
          <w:rFonts w:hint="eastAsia"/>
          <w:lang w:val="en-US" w:eastAsia="zh-CN"/>
        </w:rPr>
        <w:t>物料储运系统</w:t>
      </w:r>
      <w:bookmarkEnd w:id="734"/>
      <w:bookmarkEnd w:id="735"/>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项目原辅材料和产品主要通过汽车运输完成。主要采用公路运输。本项目建成后厂外的运输主要依赖社会运输力量。</w:t>
      </w:r>
    </w:p>
    <w:p>
      <w:pPr>
        <w:widowControl w:val="0"/>
        <w:bidi w:val="0"/>
        <w:spacing w:line="360" w:lineRule="auto"/>
        <w:ind w:firstLine="482" w:firstLineChars="200"/>
        <w:jc w:val="left"/>
        <w:rPr>
          <w:rFonts w:hint="eastAsia" w:ascii="Times New Roman" w:hAnsi="Times New Roman" w:eastAsia="宋体" w:cs="宋体"/>
          <w:b/>
          <w:bCs/>
          <w:kern w:val="2"/>
          <w:sz w:val="24"/>
          <w:szCs w:val="24"/>
          <w:lang w:val="en-US" w:eastAsia="zh-CN" w:bidi="ar-SA"/>
        </w:rPr>
      </w:pPr>
      <w:bookmarkStart w:id="746" w:name="_Toc27150_WPSOffice_Level1"/>
      <w:bookmarkStart w:id="747" w:name="_Toc2478_WPSOffice_Level1"/>
      <w:bookmarkStart w:id="748" w:name="_Toc459188092"/>
      <w:bookmarkStart w:id="749" w:name="_Toc458169573"/>
      <w:r>
        <w:rPr>
          <w:rFonts w:ascii="Times New Roman" w:hAnsi="Times New Roman" w:eastAsia="宋体" w:cs="宋体"/>
          <w:b/>
          <w:bCs/>
          <w:kern w:val="2"/>
          <w:sz w:val="24"/>
          <w:szCs w:val="24"/>
          <w:lang w:val="en-US" w:eastAsia="zh-CN" w:bidi="ar-SA"/>
        </w:rPr>
        <w:t>暂存区储存的相容性和安全性分析</w:t>
      </w:r>
      <w:bookmarkEnd w:id="746"/>
      <w:bookmarkEnd w:id="747"/>
      <w:r>
        <w:rPr>
          <w:rFonts w:hint="eastAsia" w:ascii="Times New Roman" w:hAnsi="Times New Roman" w:eastAsia="宋体" w:cs="宋体"/>
          <w:b/>
          <w:bCs/>
          <w:kern w:val="2"/>
          <w:sz w:val="24"/>
          <w:szCs w:val="24"/>
          <w:lang w:val="en-US" w:eastAsia="zh-CN" w:bidi="ar-SA"/>
        </w:rPr>
        <w:t>：</w:t>
      </w:r>
    </w:p>
    <w:p>
      <w:pPr>
        <w:widowControl w:val="0"/>
        <w:bidi w:val="0"/>
        <w:spacing w:line="360" w:lineRule="auto"/>
        <w:ind w:firstLine="480" w:firstLineChars="200"/>
        <w:jc w:val="left"/>
        <w:rPr>
          <w:rFonts w:hint="eastAsia" w:cs="宋体"/>
          <w:kern w:val="2"/>
          <w:sz w:val="24"/>
          <w:szCs w:val="24"/>
          <w:u w:val="single"/>
          <w:lang w:val="en-US" w:eastAsia="zh-CN" w:bidi="ar-SA"/>
        </w:rPr>
      </w:pPr>
      <w:r>
        <w:rPr>
          <w:rFonts w:ascii="Times New Roman" w:hAnsi="Times New Roman" w:eastAsia="宋体" w:cs="宋体"/>
          <w:kern w:val="2"/>
          <w:sz w:val="24"/>
          <w:szCs w:val="24"/>
          <w:u w:val="single"/>
          <w:lang w:val="en-US" w:eastAsia="zh-CN" w:bidi="ar-SA"/>
        </w:rPr>
        <w:t>本项目的</w:t>
      </w:r>
      <w:r>
        <w:rPr>
          <w:rFonts w:hint="eastAsia" w:cs="宋体"/>
          <w:kern w:val="2"/>
          <w:sz w:val="24"/>
          <w:szCs w:val="24"/>
          <w:u w:val="single"/>
          <w:lang w:val="en-US" w:eastAsia="zh-CN" w:bidi="ar-SA"/>
        </w:rPr>
        <w:t>生产区、原料堆放区（8m</w:t>
      </w:r>
      <w:r>
        <w:rPr>
          <w:rFonts w:hint="default" w:ascii="Arial" w:hAnsi="Arial" w:cs="Arial"/>
          <w:kern w:val="2"/>
          <w:sz w:val="24"/>
          <w:szCs w:val="24"/>
          <w:u w:val="single"/>
          <w:lang w:val="en-US" w:eastAsia="zh-CN" w:bidi="ar-SA"/>
        </w:rPr>
        <w:t>×</w:t>
      </w:r>
      <w:r>
        <w:rPr>
          <w:rFonts w:hint="eastAsia" w:cs="宋体"/>
          <w:kern w:val="2"/>
          <w:sz w:val="24"/>
          <w:szCs w:val="24"/>
          <w:u w:val="single"/>
          <w:lang w:val="en-US" w:eastAsia="zh-CN" w:bidi="ar-SA"/>
        </w:rPr>
        <w:t>4m）、成品堆放区（8m</w:t>
      </w:r>
      <w:r>
        <w:rPr>
          <w:rFonts w:hint="default" w:ascii="Arial" w:hAnsi="Arial" w:cs="Arial"/>
          <w:kern w:val="2"/>
          <w:sz w:val="24"/>
          <w:szCs w:val="24"/>
          <w:u w:val="single"/>
          <w:lang w:val="en-US" w:eastAsia="zh-CN" w:bidi="ar-SA"/>
        </w:rPr>
        <w:t>×</w:t>
      </w:r>
      <w:r>
        <w:rPr>
          <w:rFonts w:hint="eastAsia" w:cs="宋体"/>
          <w:kern w:val="2"/>
          <w:sz w:val="24"/>
          <w:szCs w:val="24"/>
          <w:u w:val="single"/>
          <w:lang w:val="en-US" w:eastAsia="zh-CN" w:bidi="ar-SA"/>
        </w:rPr>
        <w:t>4m）、危废暂存区（2m×2m）和一般固废暂存区（2m×2m）均设置在</w:t>
      </w:r>
      <w:r>
        <w:rPr>
          <w:rFonts w:hint="eastAsia" w:ascii="Times New Roman" w:hAnsi="Times New Roman" w:eastAsia="宋体" w:cs="宋体"/>
          <w:kern w:val="2"/>
          <w:sz w:val="24"/>
          <w:szCs w:val="24"/>
          <w:u w:val="single"/>
          <w:lang w:val="en-US" w:eastAsia="zh-CN" w:bidi="ar-SA"/>
        </w:rPr>
        <w:t>厂区一层</w:t>
      </w:r>
      <w:r>
        <w:rPr>
          <w:rFonts w:hint="eastAsia" w:cs="宋体"/>
          <w:kern w:val="2"/>
          <w:sz w:val="24"/>
          <w:szCs w:val="24"/>
          <w:u w:val="single"/>
          <w:lang w:val="en-US" w:eastAsia="zh-CN" w:bidi="ar-SA"/>
        </w:rPr>
        <w:t>，具体情况见附图4。实验室位于厂区二层，用于检测塑料的物理性能，检测过程中产生少量固废。</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原辅材料：本项目涉及的原辅材料</w:t>
      </w:r>
      <w:r>
        <w:rPr>
          <w:rFonts w:hint="eastAsia" w:ascii="Times New Roman" w:hAnsi="Times New Roman" w:eastAsia="宋体" w:cs="宋体"/>
          <w:kern w:val="2"/>
          <w:sz w:val="24"/>
          <w:szCs w:val="24"/>
          <w:lang w:val="en-US" w:eastAsia="zh-CN" w:bidi="ar-SA"/>
        </w:rPr>
        <w:t>种类</w:t>
      </w:r>
      <w:r>
        <w:rPr>
          <w:rFonts w:ascii="Times New Roman" w:hAnsi="Times New Roman" w:eastAsia="宋体" w:cs="宋体"/>
          <w:kern w:val="2"/>
          <w:sz w:val="24"/>
          <w:szCs w:val="24"/>
          <w:lang w:val="en-US" w:eastAsia="zh-CN" w:bidi="ar-SA"/>
        </w:rPr>
        <w:t>较少，其性质均相对较稳定，且在原料</w:t>
      </w:r>
      <w:r>
        <w:rPr>
          <w:rFonts w:hint="eastAsia" w:ascii="Times New Roman" w:hAnsi="Times New Roman" w:eastAsia="宋体" w:cs="宋体"/>
          <w:kern w:val="2"/>
          <w:sz w:val="24"/>
          <w:szCs w:val="24"/>
          <w:lang w:val="en-US" w:eastAsia="zh-CN" w:bidi="ar-SA"/>
        </w:rPr>
        <w:t>仓库</w:t>
      </w:r>
      <w:r>
        <w:rPr>
          <w:rFonts w:ascii="Times New Roman" w:hAnsi="Times New Roman" w:eastAsia="宋体" w:cs="宋体"/>
          <w:kern w:val="2"/>
          <w:sz w:val="24"/>
          <w:szCs w:val="24"/>
          <w:lang w:val="en-US" w:eastAsia="zh-CN" w:bidi="ar-SA"/>
        </w:rPr>
        <w:t>中分区分片存放，将原辅材料中物性冲突的物质，分开存放，严禁乱存乱放。同时暂存区配备专门的人员看守，且看守人员应进行相应的安全培训，并配置消防沙、干粉灭火器等专门的消防器材。</w:t>
      </w:r>
      <w:r>
        <w:rPr>
          <w:rFonts w:hint="eastAsia" w:ascii="Times New Roman" w:hAnsi="Times New Roman" w:eastAsia="宋体" w:cs="宋体"/>
          <w:kern w:val="2"/>
          <w:sz w:val="24"/>
          <w:szCs w:val="24"/>
          <w:lang w:val="en-US" w:eastAsia="zh-CN" w:bidi="ar-SA"/>
        </w:rPr>
        <w:t>生产时用叉车把原料桶运到升降机上，升降机升到搅拌罐铁架平台，原料通过料斗进入搅拌罐。除加料步骤外，其余工序均采用密闭性良好的管道进行物料输送。</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cs="宋体"/>
          <w:kern w:val="2"/>
          <w:sz w:val="24"/>
          <w:szCs w:val="24"/>
          <w:lang w:val="en-US" w:eastAsia="zh-CN" w:bidi="ar-SA"/>
        </w:rPr>
        <w:t>成</w:t>
      </w:r>
      <w:r>
        <w:rPr>
          <w:rFonts w:ascii="Times New Roman" w:hAnsi="Times New Roman" w:eastAsia="宋体" w:cs="宋体"/>
          <w:kern w:val="2"/>
          <w:sz w:val="24"/>
          <w:szCs w:val="24"/>
          <w:lang w:val="en-US" w:eastAsia="zh-CN" w:bidi="ar-SA"/>
        </w:rPr>
        <w:t>品：</w:t>
      </w:r>
      <w:r>
        <w:rPr>
          <w:rFonts w:hint="eastAsia" w:ascii="Times New Roman" w:hAnsi="Times New Roman" w:eastAsia="宋体" w:cs="宋体"/>
          <w:kern w:val="2"/>
          <w:sz w:val="24"/>
          <w:szCs w:val="24"/>
          <w:lang w:val="en-US" w:eastAsia="zh-CN" w:bidi="ar-SA"/>
        </w:rPr>
        <w:t>储存区分为原料堆放区和成品堆放区</w:t>
      </w:r>
      <w:r>
        <w:rPr>
          <w:rFonts w:ascii="Times New Roman" w:hAnsi="Times New Roman" w:eastAsia="宋体" w:cs="宋体"/>
          <w:kern w:val="2"/>
          <w:sz w:val="24"/>
          <w:szCs w:val="24"/>
          <w:lang w:val="en-US" w:eastAsia="zh-CN" w:bidi="ar-SA"/>
        </w:rPr>
        <w:t>，有</w:t>
      </w:r>
      <w:r>
        <w:rPr>
          <w:rFonts w:hint="eastAsia" w:ascii="Times New Roman" w:hAnsi="Times New Roman" w:eastAsia="宋体" w:cs="宋体"/>
          <w:kern w:val="2"/>
          <w:sz w:val="24"/>
          <w:szCs w:val="24"/>
          <w:lang w:val="en-US" w:eastAsia="zh-CN" w:bidi="ar-SA"/>
        </w:rPr>
        <w:t>道路的</w:t>
      </w:r>
      <w:r>
        <w:rPr>
          <w:rFonts w:ascii="Times New Roman" w:hAnsi="Times New Roman" w:eastAsia="宋体" w:cs="宋体"/>
          <w:kern w:val="2"/>
          <w:sz w:val="24"/>
          <w:szCs w:val="24"/>
          <w:lang w:val="en-US" w:eastAsia="zh-CN" w:bidi="ar-SA"/>
        </w:rPr>
        <w:t>阻挡并相距一段距离，故原辅材料的存放不会对产品的存放，产生不利影响。同时本项目生产的产品互相之间，不会产生剧烈反应，产品性质稳定。</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综上</w:t>
      </w:r>
      <w:r>
        <w:rPr>
          <w:rFonts w:ascii="Times New Roman" w:hAnsi="Times New Roman" w:eastAsia="宋体" w:cs="宋体"/>
          <w:kern w:val="2"/>
          <w:sz w:val="24"/>
          <w:szCs w:val="24"/>
          <w:lang w:val="en-US" w:eastAsia="zh-CN" w:bidi="ar-SA"/>
        </w:rPr>
        <w:t>，本项目的原辅材料和产品性质较稳定，且不易产生剧烈反应，其</w:t>
      </w:r>
      <w:r>
        <w:rPr>
          <w:rFonts w:hint="eastAsia" w:ascii="Times New Roman" w:hAnsi="Times New Roman" w:eastAsia="宋体" w:cs="宋体"/>
          <w:kern w:val="2"/>
          <w:sz w:val="24"/>
          <w:szCs w:val="24"/>
          <w:lang w:val="en-US" w:eastAsia="zh-CN" w:bidi="ar-SA"/>
        </w:rPr>
        <w:t>物料</w:t>
      </w:r>
      <w:r>
        <w:rPr>
          <w:rFonts w:ascii="Times New Roman" w:hAnsi="Times New Roman" w:eastAsia="宋体" w:cs="宋体"/>
          <w:kern w:val="2"/>
          <w:sz w:val="24"/>
          <w:szCs w:val="24"/>
          <w:lang w:val="en-US" w:eastAsia="zh-CN" w:bidi="ar-SA"/>
        </w:rPr>
        <w:t>相容性较好，同时在采取物性冲突的物质分区分片存放、配备专门的人员看守、配置专门的消防器材等措施后，其</w:t>
      </w:r>
      <w:r>
        <w:rPr>
          <w:rFonts w:hint="eastAsia" w:ascii="Times New Roman" w:hAnsi="Times New Roman" w:eastAsia="宋体" w:cs="宋体"/>
          <w:kern w:val="2"/>
          <w:sz w:val="24"/>
          <w:szCs w:val="24"/>
          <w:lang w:val="en-US" w:eastAsia="zh-CN" w:bidi="ar-SA"/>
        </w:rPr>
        <w:t>储存</w:t>
      </w:r>
      <w:r>
        <w:rPr>
          <w:rFonts w:ascii="Times New Roman" w:hAnsi="Times New Roman" w:eastAsia="宋体" w:cs="宋体"/>
          <w:kern w:val="2"/>
          <w:sz w:val="24"/>
          <w:szCs w:val="24"/>
          <w:lang w:val="en-US" w:eastAsia="zh-CN" w:bidi="ar-SA"/>
        </w:rPr>
        <w:t>区的安全性可以得到保障。</w:t>
      </w:r>
      <w:bookmarkEnd w:id="748"/>
      <w:bookmarkEnd w:id="749"/>
    </w:p>
    <w:p>
      <w:pPr>
        <w:pStyle w:val="4"/>
        <w:bidi w:val="0"/>
        <w:rPr>
          <w:lang w:val="en-US" w:eastAsia="zh-CN"/>
        </w:rPr>
      </w:pPr>
      <w:bookmarkStart w:id="750" w:name="_Toc18054"/>
      <w:bookmarkStart w:id="751" w:name="_Toc1414"/>
      <w:bookmarkStart w:id="752" w:name="_Toc29997"/>
      <w:bookmarkStart w:id="753" w:name="_Toc12974"/>
      <w:bookmarkStart w:id="754" w:name="_Toc30032"/>
      <w:bookmarkStart w:id="755" w:name="_Toc25805"/>
      <w:bookmarkStart w:id="756" w:name="_Toc8329"/>
      <w:bookmarkStart w:id="757" w:name="_Toc18035_WPSOffice_Level1"/>
      <w:bookmarkStart w:id="758" w:name="_Toc6834"/>
      <w:bookmarkStart w:id="759" w:name="_Toc12322"/>
      <w:bookmarkStart w:id="760" w:name="_Toc21767"/>
      <w:bookmarkStart w:id="761" w:name="_Toc14706"/>
      <w:bookmarkStart w:id="762" w:name="_Toc25712_WPSOffice_Level1"/>
      <w:r>
        <w:rPr>
          <w:lang w:val="en-US" w:eastAsia="zh-CN"/>
        </w:rPr>
        <w:t>消防</w:t>
      </w:r>
      <w:bookmarkEnd w:id="750"/>
      <w:bookmarkEnd w:id="751"/>
      <w:bookmarkEnd w:id="752"/>
      <w:bookmarkEnd w:id="753"/>
      <w:bookmarkEnd w:id="754"/>
      <w:bookmarkEnd w:id="755"/>
      <w:bookmarkEnd w:id="756"/>
      <w:bookmarkEnd w:id="757"/>
      <w:bookmarkEnd w:id="758"/>
      <w:bookmarkEnd w:id="759"/>
      <w:bookmarkEnd w:id="760"/>
      <w:bookmarkEnd w:id="761"/>
      <w:bookmarkEnd w:id="762"/>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在总体布置上按照消防有关规定配备足够的消防器材，各建筑物内应按规范配置磷酸铵盐干粉灭火器具等移动灭火器材。生产车间的消防设计足够的消火栓系统设施，消防用电由双电源切换箱供给，消防应急灯自带应急电源。建筑设计和建筑物间距能满足防火规范的要求，为保证生产安全、方便疏散，生产车间出入口均设</w:t>
      </w:r>
      <w:r>
        <w:rPr>
          <w:rFonts w:hint="eastAsia" w:ascii="Times New Roman" w:hAnsi="Times New Roman" w:eastAsia="宋体" w:cs="宋体"/>
          <w:kern w:val="2"/>
          <w:sz w:val="24"/>
          <w:szCs w:val="24"/>
          <w:lang w:val="en-US" w:eastAsia="zh-CN" w:bidi="ar-SA"/>
        </w:rPr>
        <w:t>应急通道和</w:t>
      </w:r>
      <w:r>
        <w:rPr>
          <w:rFonts w:ascii="Times New Roman" w:hAnsi="Times New Roman" w:eastAsia="宋体" w:cs="宋体"/>
          <w:kern w:val="2"/>
          <w:sz w:val="24"/>
          <w:szCs w:val="24"/>
          <w:lang w:val="en-US" w:eastAsia="zh-CN" w:bidi="ar-SA"/>
        </w:rPr>
        <w:t>应急指示灯。</w:t>
      </w:r>
    </w:p>
    <w:p>
      <w:pPr>
        <w:pStyle w:val="4"/>
        <w:bidi w:val="0"/>
        <w:rPr>
          <w:lang w:val="en-US" w:eastAsia="zh-CN"/>
        </w:rPr>
      </w:pPr>
      <w:bookmarkStart w:id="763" w:name="_Toc29534"/>
      <w:bookmarkStart w:id="764" w:name="_Toc8921"/>
      <w:bookmarkStart w:id="765" w:name="_Toc1481"/>
      <w:bookmarkStart w:id="766" w:name="_Toc1881"/>
      <w:bookmarkStart w:id="767" w:name="_Toc21050"/>
      <w:bookmarkStart w:id="768" w:name="_Toc29933"/>
      <w:r>
        <w:rPr>
          <w:rFonts w:hint="eastAsia"/>
          <w:lang w:val="en-US" w:eastAsia="zh-CN"/>
        </w:rPr>
        <w:t>工作制度和</w:t>
      </w:r>
      <w:r>
        <w:rPr>
          <w:lang w:val="en-US" w:eastAsia="zh-CN"/>
        </w:rPr>
        <w:t>劳动定员</w:t>
      </w:r>
      <w:bookmarkEnd w:id="691"/>
      <w:bookmarkEnd w:id="736"/>
      <w:bookmarkEnd w:id="737"/>
      <w:bookmarkEnd w:id="738"/>
      <w:bookmarkEnd w:id="739"/>
      <w:bookmarkEnd w:id="740"/>
      <w:bookmarkEnd w:id="741"/>
      <w:bookmarkEnd w:id="742"/>
      <w:bookmarkEnd w:id="743"/>
      <w:bookmarkEnd w:id="744"/>
      <w:bookmarkEnd w:id="745"/>
      <w:bookmarkEnd w:id="763"/>
      <w:bookmarkEnd w:id="764"/>
      <w:bookmarkEnd w:id="765"/>
      <w:bookmarkEnd w:id="766"/>
      <w:bookmarkEnd w:id="767"/>
      <w:bookmarkEnd w:id="768"/>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bookmarkStart w:id="769" w:name="_Toc353549406"/>
      <w:bookmarkStart w:id="770" w:name="_Toc3439_WPSOffice_Level2"/>
      <w:bookmarkStart w:id="771" w:name="_Toc29097_WPSOffice_Level2"/>
      <w:bookmarkStart w:id="772" w:name="_Toc8536_WPSOffice_Level2"/>
      <w:bookmarkStart w:id="773" w:name="_Toc27745"/>
      <w:bookmarkStart w:id="774" w:name="_Toc12422_WPSOffice_Level2"/>
      <w:bookmarkStart w:id="775" w:name="_Toc26836"/>
      <w:bookmarkStart w:id="776" w:name="_Toc17004"/>
      <w:bookmarkStart w:id="777" w:name="_Toc722"/>
      <w:bookmarkStart w:id="778" w:name="_Toc372124937"/>
      <w:bookmarkStart w:id="779" w:name="_Toc26290_WPSOffice_Level2"/>
      <w:bookmarkStart w:id="780" w:name="_Toc9964"/>
      <w:r>
        <w:rPr>
          <w:rFonts w:hint="default" w:ascii="Times New Roman" w:hAnsi="Times New Roman" w:eastAsia="宋体" w:cs="宋体"/>
          <w:kern w:val="2"/>
          <w:sz w:val="24"/>
          <w:szCs w:val="24"/>
          <w:lang w:val="en-US" w:eastAsia="zh-CN" w:bidi="ar-SA"/>
        </w:rPr>
        <w:t>劳动定员：本项目</w:t>
      </w:r>
      <w:r>
        <w:rPr>
          <w:rFonts w:hint="eastAsia" w:ascii="Times New Roman" w:hAnsi="Times New Roman" w:eastAsia="宋体" w:cs="宋体"/>
          <w:kern w:val="2"/>
          <w:sz w:val="24"/>
          <w:szCs w:val="24"/>
          <w:lang w:val="en-US" w:eastAsia="zh-CN" w:bidi="ar-SA"/>
        </w:rPr>
        <w:t>员工4</w:t>
      </w:r>
      <w:r>
        <w:rPr>
          <w:rFonts w:hint="default" w:ascii="Times New Roman" w:hAnsi="Times New Roman" w:eastAsia="宋体" w:cs="宋体"/>
          <w:kern w:val="2"/>
          <w:sz w:val="24"/>
          <w:szCs w:val="24"/>
          <w:lang w:val="en-US" w:eastAsia="zh-CN" w:bidi="ar-SA"/>
        </w:rPr>
        <w:t>人，</w:t>
      </w:r>
      <w:r>
        <w:rPr>
          <w:rFonts w:hint="eastAsia" w:ascii="Times New Roman" w:hAnsi="Times New Roman" w:eastAsia="宋体" w:cs="宋体"/>
          <w:kern w:val="2"/>
          <w:sz w:val="24"/>
          <w:szCs w:val="24"/>
          <w:lang w:val="en-US" w:eastAsia="zh-CN" w:bidi="ar-SA"/>
        </w:rPr>
        <w:t>在工业园提供的公共食堂和公寓就餐住宿</w:t>
      </w:r>
      <w:r>
        <w:rPr>
          <w:rFonts w:hint="default"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工作制度：每天一班制，每班</w:t>
      </w:r>
      <w:r>
        <w:rPr>
          <w:rFonts w:hint="eastAsia" w:ascii="Times New Roman" w:hAnsi="Times New Roman" w:eastAsia="宋体" w:cs="宋体"/>
          <w:kern w:val="2"/>
          <w:sz w:val="24"/>
          <w:szCs w:val="24"/>
          <w:lang w:val="en-US" w:eastAsia="zh-CN" w:bidi="ar-SA"/>
        </w:rPr>
        <w:t>工作8</w:t>
      </w:r>
      <w:r>
        <w:rPr>
          <w:rFonts w:hint="default" w:ascii="Times New Roman" w:hAnsi="Times New Roman" w:eastAsia="宋体" w:cs="宋体"/>
          <w:kern w:val="2"/>
          <w:sz w:val="24"/>
          <w:szCs w:val="24"/>
          <w:lang w:val="en-US" w:eastAsia="zh-CN" w:bidi="ar-SA"/>
        </w:rPr>
        <w:t>小时，全年工作</w:t>
      </w:r>
      <w:r>
        <w:rPr>
          <w:rFonts w:hint="eastAsia" w:ascii="Times New Roman" w:hAnsi="Times New Roman" w:eastAsia="宋体" w:cs="宋体"/>
          <w:kern w:val="2"/>
          <w:sz w:val="24"/>
          <w:szCs w:val="24"/>
          <w:lang w:val="en-US" w:eastAsia="zh-CN" w:bidi="ar-SA"/>
        </w:rPr>
        <w:t>260</w:t>
      </w:r>
      <w:r>
        <w:rPr>
          <w:rFonts w:hint="default" w:ascii="Times New Roman" w:hAnsi="Times New Roman" w:eastAsia="宋体" w:cs="宋体"/>
          <w:kern w:val="2"/>
          <w:sz w:val="24"/>
          <w:szCs w:val="24"/>
          <w:lang w:val="en-US" w:eastAsia="zh-CN" w:bidi="ar-SA"/>
        </w:rPr>
        <w:t>天。</w:t>
      </w:r>
    </w:p>
    <w:p>
      <w:pPr>
        <w:pStyle w:val="2"/>
        <w:bidi w:val="0"/>
        <w:rPr>
          <w:lang w:val="en-US" w:eastAsia="zh-CN"/>
        </w:rPr>
      </w:pPr>
      <w:bookmarkStart w:id="781" w:name="_Toc29449"/>
      <w:bookmarkStart w:id="782" w:name="_Toc17045"/>
      <w:r>
        <w:rPr>
          <w:lang w:val="en-US" w:eastAsia="zh-CN"/>
        </w:rPr>
        <w:t>工程总图布置</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783" w:name="_Toc25703_WPSOffice_Level3"/>
      <w:bookmarkStart w:id="784" w:name="_Toc27698_WPSOffice_Level3"/>
      <w:bookmarkStart w:id="785" w:name="_Toc10498"/>
      <w:bookmarkStart w:id="786" w:name="_Toc1378"/>
      <w:r>
        <w:rPr>
          <w:rFonts w:ascii="Times New Roman" w:hAnsi="Times New Roman" w:eastAsia="宋体" w:cs="宋体"/>
          <w:kern w:val="2"/>
          <w:sz w:val="24"/>
          <w:szCs w:val="24"/>
          <w:lang w:val="en-US" w:eastAsia="zh-CN" w:bidi="ar-SA"/>
        </w:rPr>
        <w:t>本项目</w:t>
      </w:r>
      <w:r>
        <w:rPr>
          <w:rFonts w:hint="eastAsia" w:ascii="Times New Roman" w:hAnsi="Times New Roman" w:eastAsia="宋体" w:cs="宋体"/>
          <w:kern w:val="2"/>
          <w:sz w:val="24"/>
          <w:szCs w:val="24"/>
          <w:lang w:val="en-US" w:eastAsia="zh-CN" w:bidi="ar-SA"/>
        </w:rPr>
        <w:t>利用购置的空置厂房</w:t>
      </w:r>
      <w:r>
        <w:rPr>
          <w:rFonts w:ascii="Times New Roman" w:hAnsi="Times New Roman" w:eastAsia="宋体" w:cs="宋体"/>
          <w:kern w:val="2"/>
          <w:sz w:val="24"/>
          <w:szCs w:val="24"/>
          <w:lang w:val="en-US" w:eastAsia="zh-CN" w:bidi="ar-SA"/>
        </w:rPr>
        <w:t>进行建设，项目总体布局简洁紧凑，土地利用率较高。建、构筑物的布置满足工艺流程的顺畅，便于物流人流畅通的同时，保证了卫生、消防安全要求。</w:t>
      </w:r>
      <w:r>
        <w:rPr>
          <w:rFonts w:hint="eastAsia" w:ascii="Times New Roman" w:hAnsi="Times New Roman" w:eastAsia="宋体" w:cs="宋体"/>
          <w:kern w:val="2"/>
          <w:sz w:val="24"/>
          <w:szCs w:val="24"/>
          <w:lang w:val="en-US" w:eastAsia="zh-CN" w:bidi="ar-SA"/>
        </w:rPr>
        <w:t>本项目购置厂房一栋，共四层，一层用于生产，二层用于办公、实验，三层和四层空置</w:t>
      </w:r>
      <w:r>
        <w:rPr>
          <w:rFonts w:hint="eastAsia" w:ascii="Times New Roman" w:hAnsi="Times New Roman" w:eastAsia="宋体" w:cs="宋体"/>
          <w:kern w:val="2"/>
          <w:sz w:val="24"/>
          <w:szCs w:val="24"/>
          <w:highlight w:val="none"/>
          <w:lang w:val="en-US" w:eastAsia="zh-CN" w:bidi="ar-SA"/>
        </w:rPr>
        <w:t>（</w:t>
      </w:r>
      <w:r>
        <w:rPr>
          <w:rFonts w:ascii="Times New Roman" w:hAnsi="Times New Roman" w:eastAsia="宋体" w:cs="宋体"/>
          <w:kern w:val="2"/>
          <w:sz w:val="24"/>
          <w:szCs w:val="24"/>
          <w:highlight w:val="none"/>
          <w:lang w:val="en-US" w:eastAsia="zh-CN" w:bidi="ar-SA"/>
        </w:rPr>
        <w:t>详见附图</w:t>
      </w:r>
      <w:r>
        <w:rPr>
          <w:rFonts w:hint="eastAsia" w:ascii="Times New Roman" w:hAnsi="Times New Roman" w:eastAsia="宋体" w:cs="宋体"/>
          <w:kern w:val="2"/>
          <w:sz w:val="24"/>
          <w:szCs w:val="24"/>
          <w:highlight w:val="none"/>
          <w:lang w:val="en-US" w:eastAsia="zh-CN" w:bidi="ar-SA"/>
        </w:rPr>
        <w:t>4和</w:t>
      </w:r>
      <w:r>
        <w:rPr>
          <w:rFonts w:ascii="Times New Roman" w:hAnsi="Times New Roman" w:eastAsia="宋体" w:cs="宋体"/>
          <w:kern w:val="2"/>
          <w:sz w:val="24"/>
          <w:szCs w:val="24"/>
          <w:highlight w:val="none"/>
          <w:lang w:val="en-US" w:eastAsia="zh-CN" w:bidi="ar-SA"/>
        </w:rPr>
        <w:t>附图</w:t>
      </w:r>
      <w:r>
        <w:rPr>
          <w:rFonts w:hint="eastAsia" w:ascii="Times New Roman" w:hAnsi="Times New Roman" w:eastAsia="宋体" w:cs="宋体"/>
          <w:kern w:val="2"/>
          <w:sz w:val="24"/>
          <w:szCs w:val="24"/>
          <w:highlight w:val="none"/>
          <w:lang w:val="en-US" w:eastAsia="zh-CN" w:bidi="ar-SA"/>
        </w:rPr>
        <w:t>5</w:t>
      </w:r>
      <w:r>
        <w:rPr>
          <w:rFonts w:ascii="Times New Roman" w:hAnsi="Times New Roman" w:eastAsia="宋体" w:cs="宋体"/>
          <w:kern w:val="2"/>
          <w:sz w:val="24"/>
          <w:szCs w:val="24"/>
          <w:highlight w:val="none"/>
          <w:lang w:val="en-US" w:eastAsia="zh-CN" w:bidi="ar-SA"/>
        </w:rPr>
        <w:t>）</w:t>
      </w:r>
      <w:r>
        <w:rPr>
          <w:rFonts w:ascii="Times New Roman" w:hAnsi="Times New Roman" w:eastAsia="宋体" w:cs="宋体"/>
          <w:kern w:val="2"/>
          <w:sz w:val="24"/>
          <w:szCs w:val="24"/>
          <w:lang w:val="en-US" w:eastAsia="zh-CN" w:bidi="ar-SA"/>
        </w:rPr>
        <w:t>。</w:t>
      </w:r>
    </w:p>
    <w:p>
      <w:pPr>
        <w:rPr>
          <w:rFonts w:hint="default"/>
        </w:rPr>
      </w:pPr>
      <w:bookmarkStart w:id="787" w:name="_Toc21860"/>
      <w:r>
        <w:rPr>
          <w:rFonts w:hint="default"/>
          <w:b/>
          <w:bCs/>
          <w:kern w:val="44"/>
          <w:sz w:val="32"/>
          <w:szCs w:val="32"/>
        </w:rPr>
        <w:br w:type="page"/>
      </w:r>
    </w:p>
    <w:p>
      <w:pPr>
        <w:pStyle w:val="3"/>
        <w:bidi w:val="0"/>
        <w:rPr>
          <w:rFonts w:hint="default"/>
          <w:lang w:val="en-US" w:eastAsia="zh-CN"/>
        </w:rPr>
      </w:pPr>
      <w:bookmarkStart w:id="788" w:name="_Toc16621"/>
      <w:bookmarkStart w:id="789" w:name="_Toc22642"/>
      <w:r>
        <w:rPr>
          <w:rFonts w:hint="default"/>
          <w:lang w:val="en-US" w:eastAsia="zh-CN"/>
        </w:rPr>
        <w:t>工程分析</w:t>
      </w:r>
      <w:bookmarkEnd w:id="783"/>
      <w:bookmarkEnd w:id="784"/>
      <w:bookmarkEnd w:id="785"/>
      <w:bookmarkEnd w:id="786"/>
      <w:bookmarkEnd w:id="787"/>
      <w:bookmarkEnd w:id="788"/>
      <w:bookmarkEnd w:id="789"/>
      <w:bookmarkStart w:id="790" w:name="_Toc372124940"/>
    </w:p>
    <w:p>
      <w:pPr>
        <w:pStyle w:val="2"/>
        <w:bidi w:val="0"/>
        <w:rPr>
          <w:lang w:val="en-US" w:eastAsia="zh-CN"/>
        </w:rPr>
      </w:pPr>
      <w:bookmarkStart w:id="791" w:name="_Toc8575"/>
      <w:bookmarkStart w:id="792" w:name="_Toc28561"/>
      <w:bookmarkStart w:id="793" w:name="_Toc30785"/>
      <w:bookmarkStart w:id="794" w:name="_Toc13722"/>
      <w:bookmarkStart w:id="795" w:name="_Toc467083664"/>
      <w:r>
        <w:rPr>
          <w:lang w:val="en-US" w:eastAsia="zh-CN"/>
        </w:rPr>
        <w:t>工艺流程简介</w:t>
      </w:r>
      <w:bookmarkEnd w:id="791"/>
      <w:bookmarkEnd w:id="792"/>
      <w:bookmarkEnd w:id="793"/>
      <w:bookmarkEnd w:id="794"/>
    </w:p>
    <w:bookmarkEnd w:id="795"/>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bookmarkStart w:id="796" w:name="_Toc467083665"/>
      <w:r>
        <w:rPr>
          <w:rFonts w:ascii="Times New Roman" w:hAnsi="Times New Roman" w:eastAsia="宋体" w:cs="宋体"/>
          <w:kern w:val="2"/>
          <w:sz w:val="24"/>
          <w:szCs w:val="24"/>
          <w:lang w:val="en-US" w:eastAsia="zh-CN" w:bidi="ar-SA"/>
        </w:rPr>
        <w:t>本项目产品为</w:t>
      </w:r>
      <w:r>
        <w:rPr>
          <w:rFonts w:hint="eastAsia" w:cs="宋体"/>
          <w:kern w:val="2"/>
          <w:sz w:val="24"/>
          <w:szCs w:val="24"/>
          <w:lang w:val="en-US" w:eastAsia="zh-CN" w:bidi="ar-SA"/>
        </w:rPr>
        <w:t>聚氨酯发泡胶材料</w:t>
      </w:r>
      <w:r>
        <w:rPr>
          <w:rFonts w:hint="eastAsia" w:ascii="Times New Roman" w:hAnsi="Times New Roman" w:eastAsia="宋体" w:cs="宋体"/>
          <w:kern w:val="2"/>
          <w:sz w:val="24"/>
          <w:szCs w:val="24"/>
          <w:lang w:val="en-US" w:eastAsia="zh-CN" w:bidi="ar-SA"/>
        </w:rPr>
        <w:t>，生产工艺分为</w:t>
      </w:r>
      <w:r>
        <w:rPr>
          <w:rFonts w:hint="eastAsia" w:cs="宋体"/>
          <w:kern w:val="2"/>
          <w:sz w:val="24"/>
          <w:szCs w:val="24"/>
          <w:lang w:val="en-US" w:eastAsia="zh-CN" w:bidi="ar-SA"/>
        </w:rPr>
        <w:t>五</w:t>
      </w:r>
      <w:r>
        <w:rPr>
          <w:rFonts w:hint="eastAsia" w:ascii="Times New Roman" w:hAnsi="Times New Roman" w:eastAsia="宋体" w:cs="宋体"/>
          <w:kern w:val="2"/>
          <w:sz w:val="24"/>
          <w:szCs w:val="24"/>
          <w:lang w:val="en-US" w:eastAsia="zh-CN" w:bidi="ar-SA"/>
        </w:rPr>
        <w:t>个阶段，即：备料、投料、混合搅拌、常压加热保温（&lt;80℃）、灌装。</w:t>
      </w:r>
      <w:r>
        <w:rPr>
          <w:rFonts w:ascii="Times New Roman" w:hAnsi="Times New Roman" w:eastAsia="宋体" w:cs="宋体"/>
          <w:kern w:val="2"/>
          <w:sz w:val="24"/>
          <w:szCs w:val="24"/>
          <w:lang w:val="en-US" w:eastAsia="zh-CN" w:bidi="ar-SA"/>
        </w:rPr>
        <w:t>工艺流程</w:t>
      </w:r>
      <w:r>
        <w:rPr>
          <w:rFonts w:hint="eastAsia" w:ascii="Times New Roman" w:hAnsi="Times New Roman" w:eastAsia="宋体" w:cs="宋体"/>
          <w:kern w:val="2"/>
          <w:sz w:val="24"/>
          <w:szCs w:val="24"/>
          <w:lang w:val="en-US" w:eastAsia="zh-CN" w:bidi="ar-SA"/>
        </w:rPr>
        <w:t>见</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_Ref26030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图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4</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center"/>
        <w:rPr>
          <w:rFonts w:ascii="Times New Roman" w:hAnsi="Times New Roman" w:eastAsia="宋体" w:cs="宋体"/>
          <w:kern w:val="2"/>
          <w:sz w:val="24"/>
          <w:szCs w:val="24"/>
          <w:lang w:val="en-US" w:eastAsia="zh-CN" w:bidi="ar-SA"/>
        </w:rPr>
      </w:pPr>
      <w:bookmarkStart w:id="797" w:name="_Ref26030"/>
      <w:r>
        <w:drawing>
          <wp:inline distT="0" distB="0" distL="114300" distR="114300">
            <wp:extent cx="4857750" cy="3562350"/>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7"/>
                    <a:stretch>
                      <a:fillRect/>
                    </a:stretch>
                  </pic:blipFill>
                  <pic:spPr>
                    <a:xfrm>
                      <a:off x="0" y="0"/>
                      <a:ext cx="4857750" cy="3562350"/>
                    </a:xfrm>
                    <a:prstGeom prst="rect">
                      <a:avLst/>
                    </a:prstGeom>
                    <a:noFill/>
                    <a:ln>
                      <a:noFill/>
                    </a:ln>
                  </pic:spPr>
                </pic:pic>
              </a:graphicData>
            </a:graphic>
          </wp:inline>
        </w:drawing>
      </w:r>
    </w:p>
    <w:p>
      <w:pPr>
        <w:widowControl w:val="0"/>
        <w:spacing w:line="360" w:lineRule="auto"/>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图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图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bookmarkEnd w:id="797"/>
      <w:r>
        <w:rPr>
          <w:rFonts w:hint="eastAsia" w:ascii="Times New Roman" w:hAnsi="Times New Roman" w:eastAsia="宋体" w:cs="Times New Roman"/>
          <w:b/>
          <w:kern w:val="2"/>
          <w:sz w:val="21"/>
          <w:szCs w:val="21"/>
          <w:lang w:val="en-US" w:eastAsia="zh-CN" w:bidi="ar-SA"/>
        </w:rPr>
        <w:t xml:space="preserve"> 聚氨酯发泡胶</w:t>
      </w:r>
      <w:r>
        <w:rPr>
          <w:rFonts w:ascii="Times New Roman" w:hAnsi="Times New Roman" w:eastAsia="宋体" w:cs="Times New Roman"/>
          <w:b/>
          <w:kern w:val="2"/>
          <w:sz w:val="21"/>
          <w:szCs w:val="21"/>
          <w:lang w:val="en-US" w:eastAsia="zh-CN" w:bidi="ar-SA"/>
        </w:rPr>
        <w:t>工艺流程</w:t>
      </w:r>
      <w:r>
        <w:rPr>
          <w:rFonts w:hint="eastAsia" w:ascii="Times New Roman" w:hAnsi="Times New Roman" w:eastAsia="宋体" w:cs="Times New Roman"/>
          <w:b/>
          <w:kern w:val="2"/>
          <w:sz w:val="21"/>
          <w:szCs w:val="21"/>
          <w:lang w:val="en-US" w:eastAsia="zh-CN" w:bidi="ar-SA"/>
        </w:rPr>
        <w:t>及产污节点示意</w:t>
      </w:r>
      <w:r>
        <w:rPr>
          <w:rFonts w:ascii="Times New Roman" w:hAnsi="Times New Roman" w:eastAsia="宋体" w:cs="Times New Roman"/>
          <w:b/>
          <w:kern w:val="2"/>
          <w:sz w:val="21"/>
          <w:szCs w:val="21"/>
          <w:lang w:val="en-US" w:eastAsia="zh-CN" w:bidi="ar-SA"/>
        </w:rPr>
        <w:t>图</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bookmarkStart w:id="798" w:name="_Toc10511"/>
    </w:p>
    <w:bookmarkEnd w:id="798"/>
    <w:p>
      <w:pPr>
        <w:pStyle w:val="4"/>
        <w:bidi w:val="0"/>
        <w:rPr>
          <w:rFonts w:hint="eastAsia"/>
          <w:lang w:val="en-US" w:eastAsia="zh-CN"/>
        </w:rPr>
      </w:pPr>
      <w:bookmarkStart w:id="799" w:name="_Toc24706"/>
      <w:bookmarkStart w:id="800" w:name="_Toc18681"/>
      <w:r>
        <w:rPr>
          <w:rFonts w:hint="eastAsia"/>
          <w:lang w:val="en-US" w:eastAsia="zh-CN"/>
        </w:rPr>
        <w:t>生产原理</w:t>
      </w:r>
      <w:bookmarkEnd w:id="799"/>
      <w:bookmarkEnd w:id="800"/>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将不同分子量的聚醚多元醇配合不同增塑剂，加温到一定温度，达到分散效果后，再按照顺序加入改性聚醚多元醇，配以定量聚酯多元醇搅拌均匀后，加热搅拌混合均匀，最后再加入MDI搅拌5~15分钟，最终达到分子尺度均匀分散效果后出料灌装。</w:t>
      </w:r>
    </w:p>
    <w:p>
      <w:pPr>
        <w:pStyle w:val="25"/>
        <w:bidi w:val="0"/>
        <w:rPr>
          <w:rFonts w:hint="eastAsia"/>
          <w:highlight w:val="none"/>
          <w:lang w:val="en-US" w:eastAsia="zh-CN"/>
        </w:rPr>
      </w:pPr>
      <w:r>
        <w:rPr>
          <w:rFonts w:hint="eastAsia"/>
          <w:highlight w:val="none"/>
          <w:u w:val="single"/>
          <w:lang w:val="en-US" w:eastAsia="zh-CN"/>
        </w:rPr>
        <w:t>本项目只进行简单的混合、分装，生产过程中不发生化学反应。后续发泡工艺在客户厂进行。</w:t>
      </w:r>
    </w:p>
    <w:p>
      <w:pPr>
        <w:pStyle w:val="4"/>
        <w:bidi w:val="0"/>
        <w:rPr>
          <w:rFonts w:hint="eastAsia"/>
          <w:lang w:val="en-US" w:eastAsia="zh-CN"/>
        </w:rPr>
      </w:pPr>
      <w:bookmarkStart w:id="801" w:name="_Toc21848"/>
      <w:bookmarkStart w:id="802" w:name="_Toc32600"/>
      <w:r>
        <w:rPr>
          <w:rFonts w:hint="eastAsia"/>
          <w:lang w:val="en-US" w:eastAsia="zh-CN"/>
        </w:rPr>
        <w:t>生产工艺操作过程</w:t>
      </w:r>
      <w:bookmarkEnd w:id="801"/>
      <w:bookmarkEnd w:id="802"/>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cs="宋体"/>
          <w:kern w:val="2"/>
          <w:sz w:val="24"/>
          <w:szCs w:val="24"/>
          <w:lang w:val="en-US" w:eastAsia="zh-CN" w:bidi="ar-SA"/>
        </w:rPr>
        <w:t>聚氨酯发泡胶材料</w:t>
      </w:r>
      <w:r>
        <w:rPr>
          <w:rFonts w:hint="eastAsia" w:ascii="Times New Roman" w:hAnsi="Times New Roman" w:eastAsia="宋体" w:cs="宋体"/>
          <w:kern w:val="2"/>
          <w:sz w:val="24"/>
          <w:szCs w:val="24"/>
          <w:lang w:val="en-US" w:eastAsia="zh-CN" w:bidi="ar-SA"/>
        </w:rPr>
        <w:t>生产工艺分为原料准备、在搅拌罐顶端漏斗加料、常压50~80℃加热保温、混合搅拌均匀、出料灌装五个阶段。</w:t>
      </w:r>
    </w:p>
    <w:p>
      <w:pPr>
        <w:widowControl w:val="0"/>
        <w:bidi w:val="0"/>
        <w:spacing w:line="360" w:lineRule="auto"/>
        <w:ind w:firstLine="480" w:firstLineChars="200"/>
        <w:jc w:val="left"/>
        <w:rPr>
          <w:rFonts w:hint="eastAsia" w:ascii="Times New Roman" w:hAnsi="Times New Roman" w:eastAsia="宋体" w:cs="宋体"/>
          <w:kern w:val="2"/>
          <w:sz w:val="24"/>
          <w:szCs w:val="24"/>
          <w:highlight w:val="none"/>
          <w:u w:val="single"/>
          <w:lang w:val="en-US" w:eastAsia="zh-CN" w:bidi="ar-SA"/>
        </w:rPr>
      </w:pPr>
      <w:r>
        <w:rPr>
          <w:rFonts w:hint="eastAsia" w:cs="宋体"/>
          <w:kern w:val="2"/>
          <w:sz w:val="24"/>
          <w:szCs w:val="24"/>
          <w:highlight w:val="none"/>
          <w:u w:val="single"/>
          <w:lang w:val="en-US" w:eastAsia="zh-CN" w:bidi="ar-SA"/>
        </w:rPr>
        <w:t>主要工序</w:t>
      </w:r>
      <w:r>
        <w:rPr>
          <w:rFonts w:hint="eastAsia" w:ascii="Times New Roman" w:hAnsi="Times New Roman" w:eastAsia="宋体" w:cs="宋体"/>
          <w:kern w:val="2"/>
          <w:sz w:val="24"/>
          <w:szCs w:val="24"/>
          <w:highlight w:val="none"/>
          <w:u w:val="single"/>
          <w:lang w:val="en-US" w:eastAsia="zh-CN" w:bidi="ar-SA"/>
        </w:rPr>
        <w:t>：叉车将装</w:t>
      </w:r>
      <w:r>
        <w:rPr>
          <w:rFonts w:hint="eastAsia" w:cs="宋体"/>
          <w:kern w:val="2"/>
          <w:sz w:val="24"/>
          <w:szCs w:val="24"/>
          <w:highlight w:val="none"/>
          <w:u w:val="single"/>
          <w:lang w:val="en-US" w:eastAsia="zh-CN" w:bidi="ar-SA"/>
        </w:rPr>
        <w:t>有</w:t>
      </w:r>
      <w:r>
        <w:rPr>
          <w:rFonts w:hint="eastAsia" w:ascii="Times New Roman" w:hAnsi="Times New Roman" w:eastAsia="宋体" w:cs="宋体"/>
          <w:kern w:val="2"/>
          <w:sz w:val="24"/>
          <w:szCs w:val="24"/>
          <w:highlight w:val="none"/>
          <w:u w:val="single"/>
          <w:lang w:val="en-US" w:eastAsia="zh-CN" w:bidi="ar-SA"/>
        </w:rPr>
        <w:t>原料</w:t>
      </w:r>
      <w:r>
        <w:rPr>
          <w:rFonts w:hint="eastAsia" w:cs="宋体"/>
          <w:kern w:val="2"/>
          <w:sz w:val="24"/>
          <w:szCs w:val="24"/>
          <w:highlight w:val="none"/>
          <w:u w:val="single"/>
          <w:lang w:val="en-US" w:eastAsia="zh-CN" w:bidi="ar-SA"/>
        </w:rPr>
        <w:t>的</w:t>
      </w:r>
      <w:r>
        <w:rPr>
          <w:rFonts w:hint="eastAsia" w:ascii="Times New Roman" w:hAnsi="Times New Roman" w:eastAsia="宋体" w:cs="宋体"/>
          <w:kern w:val="2"/>
          <w:sz w:val="24"/>
          <w:szCs w:val="24"/>
          <w:highlight w:val="none"/>
          <w:u w:val="single"/>
          <w:lang w:val="en-US" w:eastAsia="zh-CN" w:bidi="ar-SA"/>
        </w:rPr>
        <w:t>铁桶</w:t>
      </w:r>
      <w:r>
        <w:rPr>
          <w:rFonts w:hint="eastAsia" w:cs="宋体"/>
          <w:kern w:val="2"/>
          <w:sz w:val="24"/>
          <w:szCs w:val="24"/>
          <w:highlight w:val="none"/>
          <w:u w:val="single"/>
          <w:lang w:val="en-US" w:eastAsia="zh-CN" w:bidi="ar-SA"/>
        </w:rPr>
        <w:t>运到</w:t>
      </w:r>
      <w:r>
        <w:rPr>
          <w:rFonts w:hint="eastAsia" w:ascii="Times New Roman" w:hAnsi="Times New Roman" w:eastAsia="宋体" w:cs="宋体"/>
          <w:kern w:val="2"/>
          <w:sz w:val="24"/>
          <w:szCs w:val="24"/>
          <w:highlight w:val="none"/>
          <w:u w:val="single"/>
          <w:lang w:val="en-US" w:eastAsia="zh-CN" w:bidi="ar-SA"/>
        </w:rPr>
        <w:t>升降机</w:t>
      </w:r>
      <w:r>
        <w:rPr>
          <w:rFonts w:hint="eastAsia" w:cs="宋体"/>
          <w:kern w:val="2"/>
          <w:sz w:val="24"/>
          <w:szCs w:val="24"/>
          <w:highlight w:val="none"/>
          <w:u w:val="single"/>
          <w:lang w:val="en-US" w:eastAsia="zh-CN" w:bidi="ar-SA"/>
        </w:rPr>
        <w:t>——</w:t>
      </w:r>
      <w:r>
        <w:rPr>
          <w:rFonts w:hint="eastAsia" w:ascii="Times New Roman" w:hAnsi="Times New Roman" w:eastAsia="宋体" w:cs="宋体"/>
          <w:kern w:val="2"/>
          <w:sz w:val="24"/>
          <w:szCs w:val="24"/>
          <w:highlight w:val="none"/>
          <w:u w:val="single"/>
          <w:lang w:val="en-US" w:eastAsia="zh-CN" w:bidi="ar-SA"/>
        </w:rPr>
        <w:t>升降</w:t>
      </w:r>
      <w:r>
        <w:rPr>
          <w:rFonts w:hint="eastAsia" w:cs="宋体"/>
          <w:kern w:val="2"/>
          <w:sz w:val="24"/>
          <w:szCs w:val="24"/>
          <w:highlight w:val="none"/>
          <w:u w:val="single"/>
          <w:lang w:val="en-US" w:eastAsia="zh-CN" w:bidi="ar-SA"/>
        </w:rPr>
        <w:t>机</w:t>
      </w:r>
      <w:r>
        <w:rPr>
          <w:rFonts w:hint="eastAsia" w:ascii="Times New Roman" w:hAnsi="Times New Roman" w:eastAsia="宋体" w:cs="宋体"/>
          <w:kern w:val="2"/>
          <w:sz w:val="24"/>
          <w:szCs w:val="24"/>
          <w:highlight w:val="none"/>
          <w:u w:val="single"/>
          <w:lang w:val="en-US" w:eastAsia="zh-CN" w:bidi="ar-SA"/>
        </w:rPr>
        <w:t>将铁桶抬升到搅拌罐铁架平台</w:t>
      </w:r>
      <w:r>
        <w:rPr>
          <w:rFonts w:hint="eastAsia" w:cs="宋体"/>
          <w:kern w:val="2"/>
          <w:sz w:val="24"/>
          <w:szCs w:val="24"/>
          <w:highlight w:val="none"/>
          <w:u w:val="single"/>
          <w:lang w:val="en-US" w:eastAsia="zh-CN" w:bidi="ar-SA"/>
        </w:rPr>
        <w:t>——</w:t>
      </w:r>
      <w:r>
        <w:rPr>
          <w:rFonts w:hint="eastAsia" w:ascii="Times New Roman" w:hAnsi="Times New Roman" w:eastAsia="宋体" w:cs="宋体"/>
          <w:kern w:val="2"/>
          <w:sz w:val="24"/>
          <w:szCs w:val="24"/>
          <w:highlight w:val="none"/>
          <w:u w:val="single"/>
          <w:lang w:val="en-US" w:eastAsia="zh-CN" w:bidi="ar-SA"/>
        </w:rPr>
        <w:t>在平台用倒料车夹住铁桶</w:t>
      </w:r>
      <w:r>
        <w:rPr>
          <w:rFonts w:hint="eastAsia" w:cs="宋体"/>
          <w:kern w:val="2"/>
          <w:sz w:val="24"/>
          <w:szCs w:val="24"/>
          <w:highlight w:val="none"/>
          <w:u w:val="single"/>
          <w:lang w:val="en-US" w:eastAsia="zh-CN" w:bidi="ar-SA"/>
        </w:rPr>
        <w:t>——</w:t>
      </w:r>
      <w:r>
        <w:rPr>
          <w:rFonts w:hint="eastAsia" w:ascii="Times New Roman" w:hAnsi="Times New Roman" w:eastAsia="宋体" w:cs="宋体"/>
          <w:kern w:val="2"/>
          <w:sz w:val="24"/>
          <w:szCs w:val="24"/>
          <w:highlight w:val="none"/>
          <w:u w:val="single"/>
          <w:lang w:val="en-US" w:eastAsia="zh-CN" w:bidi="ar-SA"/>
        </w:rPr>
        <w:t>把原料推到加料口</w:t>
      </w:r>
      <w:r>
        <w:rPr>
          <w:rFonts w:hint="eastAsia" w:cs="宋体"/>
          <w:kern w:val="2"/>
          <w:sz w:val="24"/>
          <w:szCs w:val="24"/>
          <w:highlight w:val="none"/>
          <w:u w:val="single"/>
          <w:lang w:val="en-US" w:eastAsia="zh-CN" w:bidi="ar-SA"/>
        </w:rPr>
        <w:t>——</w:t>
      </w:r>
      <w:r>
        <w:rPr>
          <w:rFonts w:hint="eastAsia" w:ascii="Times New Roman" w:hAnsi="Times New Roman" w:eastAsia="宋体" w:cs="宋体"/>
          <w:kern w:val="2"/>
          <w:sz w:val="24"/>
          <w:szCs w:val="24"/>
          <w:highlight w:val="none"/>
          <w:u w:val="single"/>
          <w:lang w:val="en-US" w:eastAsia="zh-CN" w:bidi="ar-SA"/>
        </w:rPr>
        <w:t>打开桶盖，通过搅拌罐进料口倒料到搅拌罐——升温到50~80℃</w:t>
      </w:r>
      <w:r>
        <w:rPr>
          <w:rFonts w:hint="eastAsia" w:cs="宋体"/>
          <w:kern w:val="2"/>
          <w:sz w:val="24"/>
          <w:szCs w:val="24"/>
          <w:highlight w:val="none"/>
          <w:u w:val="single"/>
          <w:lang w:val="en-US" w:eastAsia="zh-CN" w:bidi="ar-SA"/>
        </w:rPr>
        <w:t>，</w:t>
      </w:r>
      <w:r>
        <w:rPr>
          <w:rFonts w:hint="eastAsia" w:ascii="Times New Roman" w:hAnsi="Times New Roman" w:eastAsia="宋体" w:cs="宋体"/>
          <w:kern w:val="2"/>
          <w:sz w:val="24"/>
          <w:szCs w:val="24"/>
          <w:highlight w:val="none"/>
          <w:u w:val="single"/>
          <w:lang w:val="en-US" w:eastAsia="zh-CN" w:bidi="ar-SA"/>
        </w:rPr>
        <w:t>保温2小时——混合均匀，搅拌5~15分钟——通过搅拌罐下方阀门灌装到200L铁桶——铁桶封盖——叉车</w:t>
      </w:r>
      <w:r>
        <w:rPr>
          <w:rFonts w:hint="eastAsia" w:cs="宋体"/>
          <w:kern w:val="2"/>
          <w:sz w:val="24"/>
          <w:szCs w:val="24"/>
          <w:highlight w:val="none"/>
          <w:u w:val="single"/>
          <w:lang w:val="en-US" w:eastAsia="zh-CN" w:bidi="ar-SA"/>
        </w:rPr>
        <w:t>将成品</w:t>
      </w:r>
      <w:r>
        <w:rPr>
          <w:rFonts w:hint="eastAsia" w:ascii="Times New Roman" w:hAnsi="Times New Roman" w:eastAsia="宋体" w:cs="宋体"/>
          <w:kern w:val="2"/>
          <w:sz w:val="24"/>
          <w:szCs w:val="24"/>
          <w:highlight w:val="none"/>
          <w:u w:val="single"/>
          <w:lang w:val="en-US" w:eastAsia="zh-CN" w:bidi="ar-SA"/>
        </w:rPr>
        <w:t>运到仓库存放。</w:t>
      </w:r>
    </w:p>
    <w:p>
      <w:pPr>
        <w:pStyle w:val="4"/>
        <w:bidi w:val="0"/>
        <w:rPr>
          <w:lang w:val="en-US" w:eastAsia="zh-CN"/>
        </w:rPr>
      </w:pPr>
      <w:bookmarkStart w:id="803" w:name="_Toc11450"/>
      <w:bookmarkStart w:id="804" w:name="_Toc20463"/>
      <w:bookmarkStart w:id="805" w:name="_Toc5376"/>
      <w:bookmarkStart w:id="806" w:name="_Toc1124"/>
      <w:bookmarkStart w:id="807" w:name="_Toc31833"/>
      <w:bookmarkStart w:id="808" w:name="_Toc11814"/>
      <w:bookmarkStart w:id="809" w:name="_Toc16934"/>
      <w:bookmarkStart w:id="810" w:name="_Toc19640"/>
      <w:bookmarkStart w:id="811" w:name="_Toc3268"/>
      <w:bookmarkStart w:id="812" w:name="_Toc31632"/>
      <w:r>
        <w:rPr>
          <w:lang w:val="en-US" w:eastAsia="zh-CN"/>
        </w:rPr>
        <w:t>投料</w:t>
      </w:r>
      <w:r>
        <w:rPr>
          <w:rFonts w:hint="eastAsia"/>
          <w:lang w:val="en-US" w:eastAsia="zh-CN"/>
        </w:rPr>
        <w:t>转运</w:t>
      </w:r>
      <w:r>
        <w:rPr>
          <w:lang w:val="en-US" w:eastAsia="zh-CN"/>
        </w:rPr>
        <w:t>方式说明</w:t>
      </w:r>
      <w:bookmarkEnd w:id="803"/>
      <w:bookmarkEnd w:id="804"/>
      <w:bookmarkEnd w:id="805"/>
      <w:bookmarkEnd w:id="806"/>
      <w:bookmarkEnd w:id="807"/>
      <w:bookmarkEnd w:id="808"/>
      <w:bookmarkEnd w:id="809"/>
      <w:bookmarkEnd w:id="810"/>
      <w:bookmarkEnd w:id="811"/>
      <w:bookmarkEnd w:id="812"/>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本项目</w:t>
      </w:r>
      <w:r>
        <w:rPr>
          <w:rFonts w:hint="eastAsia" w:ascii="Times New Roman" w:hAnsi="Times New Roman" w:eastAsia="宋体" w:cs="宋体"/>
          <w:kern w:val="2"/>
          <w:sz w:val="24"/>
          <w:szCs w:val="24"/>
          <w:lang w:val="en-US" w:eastAsia="zh-CN" w:bidi="ar-SA"/>
        </w:rPr>
        <w:t>生产时用叉车把原料桶运到升降机上，升降机升到搅拌罐铁架平台，原料通过料斗进入搅拌罐。除加料步骤外，其余工序均采用密闭性良好的管道进行物料输送</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建议</w:t>
      </w:r>
      <w:r>
        <w:rPr>
          <w:rFonts w:ascii="Times New Roman" w:hAnsi="Times New Roman" w:eastAsia="宋体" w:cs="宋体"/>
          <w:kern w:val="2"/>
          <w:sz w:val="24"/>
          <w:szCs w:val="24"/>
          <w:lang w:val="en-US" w:eastAsia="zh-CN" w:bidi="ar-SA"/>
        </w:rPr>
        <w:t>在整个项目</w:t>
      </w:r>
      <w:r>
        <w:rPr>
          <w:rFonts w:hint="eastAsia" w:ascii="Times New Roman" w:hAnsi="Times New Roman" w:eastAsia="宋体" w:cs="宋体"/>
          <w:kern w:val="2"/>
          <w:sz w:val="24"/>
          <w:szCs w:val="24"/>
          <w:lang w:val="en-US" w:eastAsia="zh-CN" w:bidi="ar-SA"/>
        </w:rPr>
        <w:t>以后</w:t>
      </w:r>
      <w:r>
        <w:rPr>
          <w:rFonts w:ascii="Times New Roman" w:hAnsi="Times New Roman" w:eastAsia="宋体" w:cs="宋体"/>
          <w:kern w:val="2"/>
          <w:sz w:val="24"/>
          <w:szCs w:val="24"/>
          <w:lang w:val="en-US" w:eastAsia="zh-CN" w:bidi="ar-SA"/>
        </w:rPr>
        <w:t>的原料投料、转移和产品包装过程中，均由机械完成，减少人工参与，达到迅速投料，减少原料挥发，减少环境污染的目的。同时可以达到保障人员安全的目的。</w:t>
      </w:r>
    </w:p>
    <w:bookmarkEnd w:id="790"/>
    <w:bookmarkEnd w:id="796"/>
    <w:p>
      <w:pPr>
        <w:pStyle w:val="2"/>
        <w:bidi w:val="0"/>
        <w:rPr>
          <w:lang w:val="en-US" w:eastAsia="zh-CN"/>
        </w:rPr>
      </w:pPr>
      <w:bookmarkStart w:id="813" w:name="_Toc24880"/>
      <w:bookmarkStart w:id="814" w:name="_Toc27151"/>
      <w:bookmarkStart w:id="815" w:name="_Toc15192"/>
      <w:bookmarkStart w:id="816" w:name="_Toc18099"/>
      <w:bookmarkStart w:id="817" w:name="_Toc31193"/>
      <w:bookmarkStart w:id="818" w:name="_Toc372124943"/>
      <w:bookmarkStart w:id="819" w:name="_Toc31201"/>
      <w:bookmarkStart w:id="820" w:name="_Toc334"/>
      <w:r>
        <w:rPr>
          <w:lang w:val="en-US" w:eastAsia="zh-CN"/>
        </w:rPr>
        <w:t>工程污染源分析</w:t>
      </w:r>
      <w:bookmarkEnd w:id="813"/>
      <w:bookmarkEnd w:id="814"/>
      <w:bookmarkEnd w:id="815"/>
      <w:bookmarkEnd w:id="816"/>
      <w:bookmarkEnd w:id="817"/>
      <w:bookmarkEnd w:id="818"/>
      <w:bookmarkEnd w:id="819"/>
      <w:bookmarkEnd w:id="820"/>
      <w:bookmarkStart w:id="821" w:name="_Toc6188"/>
      <w:bookmarkStart w:id="822" w:name="_Toc14736"/>
      <w:bookmarkStart w:id="823" w:name="_Toc1390"/>
      <w:bookmarkStart w:id="824" w:name="_Toc17147"/>
      <w:bookmarkStart w:id="825" w:name="_Toc21469"/>
      <w:bookmarkStart w:id="826" w:name="_Toc22065"/>
      <w:bookmarkStart w:id="827" w:name="_Toc1440"/>
      <w:bookmarkStart w:id="828" w:name="_Toc12906"/>
      <w:bookmarkStart w:id="829" w:name="_Toc18792"/>
      <w:bookmarkStart w:id="830" w:name="_Toc2604"/>
      <w:bookmarkStart w:id="831" w:name="_Toc31073"/>
      <w:bookmarkStart w:id="832" w:name="_Toc29856"/>
      <w:bookmarkStart w:id="833" w:name="_Toc19881"/>
      <w:bookmarkStart w:id="834" w:name="_Toc17680"/>
    </w:p>
    <w:p>
      <w:pPr>
        <w:pStyle w:val="4"/>
        <w:bidi w:val="0"/>
        <w:rPr>
          <w:lang w:val="en-US" w:eastAsia="zh-CN"/>
        </w:rPr>
      </w:pPr>
      <w:bookmarkStart w:id="835" w:name="_Toc732"/>
      <w:bookmarkStart w:id="836" w:name="_Toc18563"/>
      <w:r>
        <w:rPr>
          <w:lang w:val="en-US" w:eastAsia="zh-CN"/>
        </w:rPr>
        <w:t>施工期污染源</w:t>
      </w:r>
      <w:bookmarkEnd w:id="821"/>
      <w:r>
        <w:rPr>
          <w:lang w:val="en-US" w:eastAsia="zh-CN"/>
        </w:rPr>
        <w:t>分析</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bookmarkStart w:id="837" w:name="_Toc3205"/>
      <w:bookmarkStart w:id="838" w:name="_Toc11620"/>
      <w:bookmarkStart w:id="839" w:name="_Toc19768"/>
      <w:bookmarkStart w:id="840" w:name="_Toc30977"/>
      <w:bookmarkStart w:id="841" w:name="_Toc4949"/>
      <w:bookmarkStart w:id="842" w:name="_Toc30797"/>
      <w:bookmarkStart w:id="843" w:name="_Toc9147"/>
      <w:bookmarkStart w:id="844" w:name="_Toc24065"/>
      <w:r>
        <w:rPr>
          <w:rFonts w:hint="eastAsia" w:ascii="Times New Roman" w:hAnsi="Times New Roman" w:eastAsia="宋体" w:cs="宋体"/>
          <w:kern w:val="2"/>
          <w:sz w:val="24"/>
          <w:szCs w:val="24"/>
          <w:lang w:val="en-US" w:eastAsia="zh-CN" w:bidi="ar-SA"/>
        </w:rPr>
        <w:t>根据现场调查及企业提供的资料可知，项目利用湖南湘阴县金龙新区工业区卓达金谷创业园8栋空置厂房的基础设施进行生产，不新征地，不新建建筑物；因此本项目无相关土建项目。主要工程为厂房装修、生产设备和环保设施的安装和建设。</w:t>
      </w:r>
    </w:p>
    <w:p>
      <w:pPr>
        <w:pStyle w:val="5"/>
        <w:bidi w:val="0"/>
        <w:rPr>
          <w:lang w:val="en-US" w:eastAsia="zh-CN"/>
        </w:rPr>
      </w:pPr>
      <w:bookmarkStart w:id="845" w:name="_Toc4593"/>
      <w:bookmarkStart w:id="846" w:name="_Toc2110"/>
      <w:bookmarkStart w:id="847" w:name="_Toc12428"/>
      <w:r>
        <w:rPr>
          <w:lang w:val="en-US" w:eastAsia="zh-CN"/>
        </w:rPr>
        <w:t>废气</w:t>
      </w:r>
      <w:bookmarkEnd w:id="845"/>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本项目施工期施工人员均为当地居民，不在施工场地设置营地，企业不提供吃住。因此项目施工期产生的大气污染物主要为施工过程产生的施工扬尘以及厂房装修过程产生的装修废气。</w:t>
      </w:r>
    </w:p>
    <w:p>
      <w:pPr>
        <w:widowControl w:val="0"/>
        <w:numPr>
          <w:ilvl w:val="0"/>
          <w:numId w:val="12"/>
        </w:numPr>
        <w:bidi w:val="0"/>
        <w:spacing w:line="360" w:lineRule="auto"/>
        <w:ind w:left="425" w:leftChars="0" w:hanging="425" w:firstLineChars="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施工扬尘</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施工期间的扬尘主要集中在厂房装修和设备安装阶段，按照起尘的原因分为风力起尘和动力起尘，其中风力起尘主要是由于天气干燥及大风产生风力扬尘；动力扬尘主要是设施设备的装卸过程，由于外力产生尘粒再悬浮而造成，其中施工及装卸车辆造成的扬尘最为严重。</w:t>
      </w:r>
    </w:p>
    <w:p>
      <w:pPr>
        <w:widowControl w:val="0"/>
        <w:numPr>
          <w:ilvl w:val="0"/>
          <w:numId w:val="12"/>
        </w:numPr>
        <w:bidi w:val="0"/>
        <w:spacing w:line="360" w:lineRule="auto"/>
        <w:ind w:left="425" w:leftChars="0" w:hanging="425" w:firstLineChars="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装修废气</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装修废气主要源于装修过程中使用的油漆、涂料、粘合剂和装修木料等。由于这部分材料中一般都会含有甲醛、聚甲醛、甲醇、苯等易挥发性物质。因此，使用过程中上述物质将会逐渐挥发进入空气中。装修废气的产生量及废气污染物的种类与所用涂料、油漆等装修建材的材质密切相关。由于项目内部装修较为复杂，在现阶段无法准确核算该部分废气的产生量。一般而言，该部分废气产生量相对较小，主要影响项目室内环境，在加强通风的条件下可很快稀释扩散。</w:t>
      </w:r>
    </w:p>
    <w:p>
      <w:pPr>
        <w:pStyle w:val="5"/>
        <w:bidi w:val="0"/>
        <w:rPr>
          <w:rFonts w:hint="eastAsia"/>
          <w:lang w:val="en-US" w:eastAsia="zh-CN"/>
        </w:rPr>
      </w:pPr>
      <w:bookmarkStart w:id="848" w:name="_Toc5223"/>
      <w:r>
        <w:rPr>
          <w:rFonts w:hint="eastAsia"/>
          <w:lang w:val="en-US" w:eastAsia="zh-CN"/>
        </w:rPr>
        <w:t>废水</w:t>
      </w:r>
      <w:bookmarkEnd w:id="848"/>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本项目购买湖南高新区湘阴县金龙新区卓达金谷创业园8栋。项目施工期主要进行厂房装修和设备安装，无施工废水产生。项目施工期废水主要为施工人员产生的生活污水</w:t>
      </w:r>
      <w:r>
        <w:rPr>
          <w:rFonts w:hint="default" w:ascii="Times New Roman" w:hAnsi="Times New Roman" w:eastAsia="宋体" w:cs="宋体"/>
          <w:kern w:val="2"/>
          <w:sz w:val="24"/>
          <w:szCs w:val="24"/>
          <w:lang w:val="en-US" w:eastAsia="zh-CN" w:bidi="ar-SA"/>
        </w:rPr>
        <w:t>。根据《第一次全国污染源普查城镇生活源产排污系数手册》施工工人用水标准采用50L/人·d，施工人员5人，生活用水量为0.</w:t>
      </w:r>
      <w:r>
        <w:rPr>
          <w:rFonts w:hint="eastAsia" w:ascii="Times New Roman" w:hAnsi="Times New Roman" w:eastAsia="宋体" w:cs="宋体"/>
          <w:kern w:val="2"/>
          <w:sz w:val="24"/>
          <w:szCs w:val="24"/>
          <w:lang w:val="en-US" w:eastAsia="zh-CN" w:bidi="ar-SA"/>
        </w:rPr>
        <w:t>25m</w:t>
      </w:r>
      <w:r>
        <w:rPr>
          <w:rFonts w:hint="default" w:ascii="Times New Roman" w:hAnsi="Times New Roman" w:eastAsia="宋体" w:cs="宋体"/>
          <w:kern w:val="2"/>
          <w:sz w:val="24"/>
          <w:szCs w:val="24"/>
          <w:vertAlign w:val="superscript"/>
          <w:lang w:val="en-US" w:eastAsia="zh-CN" w:bidi="ar-SA"/>
        </w:rPr>
        <w:t>3</w:t>
      </w:r>
      <w:r>
        <w:rPr>
          <w:rFonts w:hint="default" w:ascii="Times New Roman" w:hAnsi="Times New Roman" w:eastAsia="宋体" w:cs="宋体"/>
          <w:kern w:val="2"/>
          <w:sz w:val="24"/>
          <w:szCs w:val="24"/>
          <w:lang w:val="en-US" w:eastAsia="zh-CN" w:bidi="ar-SA"/>
        </w:rPr>
        <w:t>/d，排放系数以80%计，生活污水排放量为0.2m</w:t>
      </w:r>
      <w:r>
        <w:rPr>
          <w:rFonts w:hint="default" w:ascii="Times New Roman" w:hAnsi="Times New Roman" w:eastAsia="宋体" w:cs="宋体"/>
          <w:kern w:val="2"/>
          <w:sz w:val="24"/>
          <w:szCs w:val="24"/>
          <w:vertAlign w:val="superscript"/>
          <w:lang w:val="en-US" w:eastAsia="zh-CN" w:bidi="ar-SA"/>
        </w:rPr>
        <w:t>3</w:t>
      </w:r>
      <w:r>
        <w:rPr>
          <w:rFonts w:hint="default" w:ascii="Times New Roman" w:hAnsi="Times New Roman" w:eastAsia="宋体" w:cs="宋体"/>
          <w:kern w:val="2"/>
          <w:sz w:val="24"/>
          <w:szCs w:val="24"/>
          <w:lang w:val="en-US" w:eastAsia="zh-CN" w:bidi="ar-SA"/>
        </w:rPr>
        <w:t>/d，施工期</w:t>
      </w:r>
      <w:r>
        <w:rPr>
          <w:rFonts w:hint="eastAsia" w:ascii="Times New Roman" w:hAnsi="Times New Roman" w:eastAsia="宋体" w:cs="宋体"/>
          <w:kern w:val="2"/>
          <w:sz w:val="24"/>
          <w:szCs w:val="24"/>
          <w:lang w:val="en-US" w:eastAsia="zh-CN" w:bidi="ar-SA"/>
        </w:rPr>
        <w:t>60天</w:t>
      </w:r>
      <w:r>
        <w:rPr>
          <w:rFonts w:hint="default" w:ascii="Times New Roman" w:hAnsi="Times New Roman" w:eastAsia="宋体" w:cs="宋体"/>
          <w:kern w:val="2"/>
          <w:sz w:val="24"/>
          <w:szCs w:val="24"/>
          <w:lang w:val="en-US" w:eastAsia="zh-CN" w:bidi="ar-SA"/>
        </w:rPr>
        <w:t>，则施工期施工人员产生的生活污水量为6m</w:t>
      </w:r>
      <w:r>
        <w:rPr>
          <w:rFonts w:hint="default" w:ascii="Times New Roman" w:hAnsi="Times New Roman" w:eastAsia="宋体" w:cs="宋体"/>
          <w:kern w:val="2"/>
          <w:sz w:val="24"/>
          <w:szCs w:val="24"/>
          <w:vertAlign w:val="superscript"/>
          <w:lang w:val="en-US" w:eastAsia="zh-CN" w:bidi="ar-SA"/>
        </w:rPr>
        <w:t>3</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由于区域污水管网已全部贯通，施工期生活污水</w:t>
      </w:r>
      <w:r>
        <w:rPr>
          <w:rFonts w:hint="eastAsia" w:ascii="Times New Roman" w:hAnsi="Times New Roman" w:eastAsia="宋体" w:cs="宋体"/>
          <w:kern w:val="2"/>
          <w:sz w:val="24"/>
          <w:szCs w:val="24"/>
          <w:lang w:val="en-US" w:eastAsia="zh-CN" w:bidi="ar-SA"/>
        </w:rPr>
        <w:t>进入污水管网，由卓达金谷创业园污水处理站</w:t>
      </w:r>
      <w:r>
        <w:rPr>
          <w:rFonts w:ascii="Times New Roman" w:hAnsi="Times New Roman" w:eastAsia="宋体" w:cs="宋体"/>
          <w:kern w:val="2"/>
          <w:sz w:val="24"/>
          <w:szCs w:val="24"/>
          <w:lang w:val="en-US" w:eastAsia="zh-CN" w:bidi="ar-SA"/>
        </w:rPr>
        <w:t>处理。</w:t>
      </w:r>
    </w:p>
    <w:p>
      <w:pPr>
        <w:pStyle w:val="5"/>
        <w:bidi w:val="0"/>
        <w:rPr>
          <w:lang w:val="en-US" w:eastAsia="zh-CN"/>
        </w:rPr>
      </w:pPr>
      <w:bookmarkStart w:id="849" w:name="_Toc32020"/>
      <w:r>
        <w:rPr>
          <w:rFonts w:hint="eastAsia"/>
          <w:lang w:val="en-US" w:eastAsia="zh-CN"/>
        </w:rPr>
        <w:t>噪声</w:t>
      </w:r>
      <w:bookmarkEnd w:id="849"/>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本项目主体工程已建设完毕，目前施工期仅是简单的厂房装修和设备安装，施工机械产生的噪声对声环境有一定影响，其中声级最大</w:t>
      </w:r>
      <w:r>
        <w:rPr>
          <w:rFonts w:hint="default" w:ascii="Times New Roman" w:hAnsi="Times New Roman" w:eastAsia="宋体" w:cs="宋体"/>
          <w:kern w:val="2"/>
          <w:sz w:val="24"/>
          <w:szCs w:val="24"/>
          <w:lang w:val="en-US" w:eastAsia="zh-CN" w:bidi="ar-SA"/>
        </w:rPr>
        <w:t>达105dB(A)，这些设备的运转将影响施工区域周边声环境的质量，主要噪声源及其声级见</w:t>
      </w:r>
      <w:r>
        <w:rPr>
          <w:rFonts w:hint="default" w:ascii="Times New Roman" w:hAnsi="Times New Roman" w:eastAsia="宋体" w:cs="宋体"/>
          <w:kern w:val="2"/>
          <w:sz w:val="24"/>
          <w:szCs w:val="24"/>
          <w:highlight w:val="cyan"/>
          <w:lang w:val="en-US" w:eastAsia="zh-CN" w:bidi="ar-SA"/>
        </w:rPr>
        <w:fldChar w:fldCharType="begin"/>
      </w:r>
      <w:r>
        <w:rPr>
          <w:rFonts w:hint="default" w:ascii="Times New Roman" w:hAnsi="Times New Roman" w:eastAsia="宋体" w:cs="宋体"/>
          <w:kern w:val="2"/>
          <w:sz w:val="24"/>
          <w:szCs w:val="24"/>
          <w:highlight w:val="cyan"/>
          <w:lang w:val="en-US" w:eastAsia="zh-CN" w:bidi="ar-SA"/>
        </w:rPr>
        <w:instrText xml:space="preserve"> REF _Ref19997 \h </w:instrText>
      </w:r>
      <w:r>
        <w:rPr>
          <w:rFonts w:hint="default" w:ascii="Times New Roman" w:hAnsi="Times New Roman" w:eastAsia="宋体" w:cs="宋体"/>
          <w:kern w:val="2"/>
          <w:sz w:val="24"/>
          <w:szCs w:val="24"/>
          <w:highlight w:val="cyan"/>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4</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w:t>
      </w:r>
      <w:r>
        <w:rPr>
          <w:rFonts w:hint="default" w:ascii="Times New Roman" w:hAnsi="Times New Roman" w:eastAsia="宋体" w:cs="宋体"/>
          <w:kern w:val="2"/>
          <w:sz w:val="24"/>
          <w:szCs w:val="24"/>
          <w:highlight w:val="cyan"/>
          <w:lang w:val="en-US" w:eastAsia="zh-CN" w:bidi="ar-SA"/>
        </w:rPr>
        <w:fldChar w:fldCharType="end"/>
      </w:r>
      <w:r>
        <w:rPr>
          <w:rFonts w:hint="default" w:ascii="Times New Roman" w:hAnsi="Times New Roman" w:eastAsia="宋体" w:cs="宋体"/>
          <w:kern w:val="2"/>
          <w:sz w:val="24"/>
          <w:szCs w:val="24"/>
          <w:lang w:val="en-US" w:eastAsia="zh-CN" w:bidi="ar-SA"/>
        </w:rPr>
        <w:t>。</w:t>
      </w:r>
    </w:p>
    <w:p>
      <w:pPr>
        <w:widowControl w:val="0"/>
        <w:spacing w:line="360" w:lineRule="auto"/>
        <w:jc w:val="center"/>
        <w:rPr>
          <w:rFonts w:hint="eastAsia" w:ascii="Times New Roman" w:hAnsi="Times New Roman" w:eastAsia="宋体" w:cs="Times New Roman"/>
          <w:b/>
          <w:kern w:val="2"/>
          <w:sz w:val="21"/>
          <w:szCs w:val="21"/>
          <w:lang w:val="en-US" w:eastAsia="zh-CN" w:bidi="ar-SA"/>
        </w:rPr>
      </w:pPr>
      <w:bookmarkStart w:id="850" w:name="_Ref19997"/>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bookmarkEnd w:id="850"/>
      <w:r>
        <w:rPr>
          <w:rFonts w:ascii="Times New Roman" w:hAnsi="Times New Roman" w:eastAsia="宋体" w:cs="Times New Roman"/>
          <w:b/>
          <w:kern w:val="2"/>
          <w:sz w:val="21"/>
          <w:szCs w:val="21"/>
          <w:lang w:val="en-US" w:eastAsia="zh-CN" w:bidi="ar-SA"/>
        </w:rPr>
        <w:t>各施工阶段的主要噪声源及声</w:t>
      </w:r>
      <w:r>
        <w:rPr>
          <w:rFonts w:hint="eastAsia" w:ascii="Times New Roman" w:hAnsi="Times New Roman" w:eastAsia="宋体" w:cs="Times New Roman"/>
          <w:b/>
          <w:kern w:val="2"/>
          <w:sz w:val="21"/>
          <w:szCs w:val="21"/>
          <w:lang w:val="en-US" w:eastAsia="zh-CN" w:bidi="ar-SA"/>
        </w:rPr>
        <w:t>压</w:t>
      </w:r>
      <w:r>
        <w:rPr>
          <w:rFonts w:ascii="Times New Roman" w:hAnsi="Times New Roman" w:eastAsia="宋体" w:cs="Times New Roman"/>
          <w:b/>
          <w:kern w:val="2"/>
          <w:sz w:val="21"/>
          <w:szCs w:val="21"/>
          <w:lang w:val="en-US" w:eastAsia="zh-CN" w:bidi="ar-SA"/>
        </w:rPr>
        <w:t>级</w:t>
      </w:r>
      <w:r>
        <w:rPr>
          <w:rFonts w:hint="eastAsia" w:ascii="Times New Roman" w:hAnsi="Times New Roman" w:eastAsia="宋体" w:cs="Times New Roman"/>
          <w:b/>
          <w:kern w:val="2"/>
          <w:sz w:val="21"/>
          <w:szCs w:val="21"/>
          <w:lang w:val="en-US" w:eastAsia="zh-CN" w:bidi="ar-SA"/>
        </w:rPr>
        <w:t>状况</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31"/>
        <w:gridCol w:w="2488"/>
        <w:gridCol w:w="35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631" w:type="dxa"/>
            <w:tcBorders>
              <w:tl2br w:val="nil"/>
              <w:tr2bl w:val="nil"/>
            </w:tcBorders>
            <w:noWrap w:val="0"/>
            <w:vAlign w:val="center"/>
          </w:tcPr>
          <w:p>
            <w:pPr>
              <w:pStyle w:val="26"/>
              <w:bidi w:val="0"/>
              <w:rPr>
                <w:rFonts w:hint="default"/>
                <w:lang w:val="en-US" w:eastAsia="zh-CN"/>
              </w:rPr>
            </w:pPr>
            <w:r>
              <w:rPr>
                <w:rFonts w:hint="default"/>
                <w:lang w:val="en-US" w:eastAsia="zh-CN"/>
              </w:rPr>
              <w:t>施工阶段</w:t>
            </w:r>
          </w:p>
        </w:tc>
        <w:tc>
          <w:tcPr>
            <w:tcW w:w="2488" w:type="dxa"/>
            <w:tcBorders>
              <w:tl2br w:val="nil"/>
              <w:tr2bl w:val="nil"/>
            </w:tcBorders>
            <w:noWrap w:val="0"/>
            <w:vAlign w:val="center"/>
          </w:tcPr>
          <w:p>
            <w:pPr>
              <w:pStyle w:val="26"/>
              <w:bidi w:val="0"/>
              <w:rPr>
                <w:rFonts w:hint="default"/>
                <w:lang w:val="en-US" w:eastAsia="zh-CN"/>
              </w:rPr>
            </w:pPr>
            <w:r>
              <w:rPr>
                <w:rFonts w:hint="default"/>
                <w:lang w:val="en-US" w:eastAsia="zh-CN"/>
              </w:rPr>
              <w:t>声源</w:t>
            </w:r>
          </w:p>
        </w:tc>
        <w:tc>
          <w:tcPr>
            <w:tcW w:w="3575" w:type="dxa"/>
            <w:tcBorders>
              <w:tl2br w:val="nil"/>
              <w:tr2bl w:val="nil"/>
            </w:tcBorders>
            <w:noWrap w:val="0"/>
            <w:vAlign w:val="center"/>
          </w:tcPr>
          <w:p>
            <w:pPr>
              <w:pStyle w:val="26"/>
              <w:bidi w:val="0"/>
              <w:rPr>
                <w:rFonts w:hint="default"/>
                <w:lang w:val="en-US" w:eastAsia="zh-CN"/>
              </w:rPr>
            </w:pPr>
            <w:r>
              <w:rPr>
                <w:rFonts w:hint="default"/>
                <w:lang w:val="en-US" w:eastAsia="zh-CN"/>
              </w:rPr>
              <w:t>声压级</w:t>
            </w:r>
            <w:r>
              <w:rPr>
                <w:rFonts w:hint="eastAsia"/>
                <w:lang w:val="en-US" w:eastAsia="zh-CN"/>
              </w:rPr>
              <w:t>（dB）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631" w:type="dxa"/>
            <w:vMerge w:val="restart"/>
            <w:tcBorders>
              <w:tl2br w:val="nil"/>
              <w:tr2bl w:val="nil"/>
            </w:tcBorders>
            <w:noWrap w:val="0"/>
            <w:vAlign w:val="center"/>
          </w:tcPr>
          <w:p>
            <w:pPr>
              <w:pStyle w:val="26"/>
              <w:bidi w:val="0"/>
              <w:rPr>
                <w:rFonts w:hint="default"/>
                <w:lang w:val="en-US" w:eastAsia="zh-CN"/>
              </w:rPr>
            </w:pPr>
            <w:r>
              <w:rPr>
                <w:rFonts w:hint="default"/>
                <w:lang w:val="en-US" w:eastAsia="zh-CN"/>
              </w:rPr>
              <w:t>安装阶段</w:t>
            </w:r>
          </w:p>
        </w:tc>
        <w:tc>
          <w:tcPr>
            <w:tcW w:w="2488" w:type="dxa"/>
            <w:tcBorders>
              <w:tl2br w:val="nil"/>
              <w:tr2bl w:val="nil"/>
            </w:tcBorders>
            <w:noWrap w:val="0"/>
            <w:vAlign w:val="center"/>
          </w:tcPr>
          <w:p>
            <w:pPr>
              <w:pStyle w:val="26"/>
              <w:bidi w:val="0"/>
              <w:rPr>
                <w:rFonts w:hint="default"/>
                <w:lang w:val="en-US" w:eastAsia="zh-CN"/>
              </w:rPr>
            </w:pPr>
            <w:r>
              <w:rPr>
                <w:rFonts w:hint="default"/>
                <w:lang w:val="en-US" w:eastAsia="zh-CN"/>
              </w:rPr>
              <w:t>电钻</w:t>
            </w:r>
          </w:p>
        </w:tc>
        <w:tc>
          <w:tcPr>
            <w:tcW w:w="3575" w:type="dxa"/>
            <w:tcBorders>
              <w:tl2br w:val="nil"/>
              <w:tr2bl w:val="nil"/>
            </w:tcBorders>
            <w:noWrap w:val="0"/>
            <w:vAlign w:val="center"/>
          </w:tcPr>
          <w:p>
            <w:pPr>
              <w:pStyle w:val="26"/>
              <w:bidi w:val="0"/>
              <w:rPr>
                <w:rFonts w:hint="default"/>
                <w:lang w:val="en-US" w:eastAsia="zh-CN"/>
              </w:rPr>
            </w:pPr>
            <w:r>
              <w:rPr>
                <w:rFonts w:hint="default"/>
                <w:lang w:val="en-US" w:eastAsia="zh-CN"/>
              </w:rPr>
              <w:t>100</w:t>
            </w:r>
            <w:r>
              <w:rPr>
                <w:rFonts w:hint="eastAsia"/>
                <w:lang w:val="en-US" w:eastAsia="zh-CN"/>
              </w:rPr>
              <w:t>~</w:t>
            </w:r>
            <w:r>
              <w:rPr>
                <w:rFonts w:hint="default"/>
                <w:lang w:val="en-US" w:eastAsia="zh-CN"/>
              </w:rPr>
              <w:t>105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631" w:type="dxa"/>
            <w:vMerge w:val="continue"/>
            <w:tcBorders>
              <w:tl2br w:val="nil"/>
              <w:tr2bl w:val="nil"/>
            </w:tcBorders>
            <w:noWrap w:val="0"/>
            <w:vAlign w:val="center"/>
          </w:tcPr>
          <w:p>
            <w:pPr>
              <w:pStyle w:val="26"/>
              <w:bidi w:val="0"/>
              <w:rPr>
                <w:rFonts w:hint="default"/>
                <w:lang w:val="en-US" w:eastAsia="zh-CN"/>
              </w:rPr>
            </w:pPr>
          </w:p>
        </w:tc>
        <w:tc>
          <w:tcPr>
            <w:tcW w:w="2488" w:type="dxa"/>
            <w:tcBorders>
              <w:tl2br w:val="nil"/>
              <w:tr2bl w:val="nil"/>
            </w:tcBorders>
            <w:noWrap w:val="0"/>
            <w:vAlign w:val="center"/>
          </w:tcPr>
          <w:p>
            <w:pPr>
              <w:pStyle w:val="26"/>
              <w:bidi w:val="0"/>
              <w:rPr>
                <w:rFonts w:hint="default"/>
                <w:lang w:val="en-US" w:eastAsia="zh-CN"/>
              </w:rPr>
            </w:pPr>
            <w:r>
              <w:rPr>
                <w:rFonts w:hint="default"/>
                <w:lang w:val="en-US" w:eastAsia="zh-CN"/>
              </w:rPr>
              <w:t>电锤</w:t>
            </w:r>
          </w:p>
        </w:tc>
        <w:tc>
          <w:tcPr>
            <w:tcW w:w="3575" w:type="dxa"/>
            <w:tcBorders>
              <w:tl2br w:val="nil"/>
              <w:tr2bl w:val="nil"/>
            </w:tcBorders>
            <w:noWrap w:val="0"/>
            <w:vAlign w:val="center"/>
          </w:tcPr>
          <w:p>
            <w:pPr>
              <w:pStyle w:val="26"/>
              <w:bidi w:val="0"/>
              <w:rPr>
                <w:rFonts w:hint="default"/>
                <w:lang w:val="en-US" w:eastAsia="zh-CN"/>
              </w:rPr>
            </w:pPr>
            <w:r>
              <w:rPr>
                <w:rFonts w:hint="default"/>
                <w:lang w:val="en-US" w:eastAsia="zh-CN"/>
              </w:rPr>
              <w:t>100</w:t>
            </w:r>
            <w:r>
              <w:rPr>
                <w:rFonts w:hint="eastAsia"/>
                <w:lang w:val="en-US" w:eastAsia="zh-CN"/>
              </w:rPr>
              <w:t>~</w:t>
            </w:r>
            <w:r>
              <w:rPr>
                <w:rFonts w:hint="default"/>
                <w:lang w:val="en-US" w:eastAsia="zh-CN"/>
              </w:rPr>
              <w:t>105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631" w:type="dxa"/>
            <w:vMerge w:val="continue"/>
            <w:tcBorders>
              <w:tl2br w:val="nil"/>
              <w:tr2bl w:val="nil"/>
            </w:tcBorders>
            <w:noWrap w:val="0"/>
            <w:vAlign w:val="center"/>
          </w:tcPr>
          <w:p>
            <w:pPr>
              <w:pStyle w:val="26"/>
              <w:bidi w:val="0"/>
              <w:rPr>
                <w:rFonts w:hint="default"/>
                <w:lang w:val="en-US" w:eastAsia="zh-CN"/>
              </w:rPr>
            </w:pPr>
          </w:p>
        </w:tc>
        <w:tc>
          <w:tcPr>
            <w:tcW w:w="2488" w:type="dxa"/>
            <w:tcBorders>
              <w:tl2br w:val="nil"/>
              <w:tr2bl w:val="nil"/>
            </w:tcBorders>
            <w:noWrap w:val="0"/>
            <w:vAlign w:val="center"/>
          </w:tcPr>
          <w:p>
            <w:pPr>
              <w:pStyle w:val="26"/>
              <w:bidi w:val="0"/>
              <w:rPr>
                <w:rFonts w:hint="default"/>
                <w:lang w:val="en-US" w:eastAsia="zh-CN"/>
              </w:rPr>
            </w:pPr>
            <w:r>
              <w:rPr>
                <w:rFonts w:hint="default"/>
                <w:lang w:val="en-US" w:eastAsia="zh-CN"/>
              </w:rPr>
              <w:t>手工钻</w:t>
            </w:r>
          </w:p>
        </w:tc>
        <w:tc>
          <w:tcPr>
            <w:tcW w:w="3575" w:type="dxa"/>
            <w:tcBorders>
              <w:tl2br w:val="nil"/>
              <w:tr2bl w:val="nil"/>
            </w:tcBorders>
            <w:noWrap w:val="0"/>
            <w:vAlign w:val="center"/>
          </w:tcPr>
          <w:p>
            <w:pPr>
              <w:pStyle w:val="26"/>
              <w:bidi w:val="0"/>
              <w:rPr>
                <w:rFonts w:hint="default"/>
                <w:lang w:val="en-US" w:eastAsia="zh-CN"/>
              </w:rPr>
            </w:pPr>
            <w:r>
              <w:rPr>
                <w:rFonts w:hint="default"/>
                <w:lang w:val="en-US" w:eastAsia="zh-CN"/>
              </w:rPr>
              <w:t>100</w:t>
            </w:r>
            <w:r>
              <w:rPr>
                <w:rFonts w:hint="eastAsia"/>
                <w:lang w:val="en-US" w:eastAsia="zh-CN"/>
              </w:rPr>
              <w:t>~</w:t>
            </w:r>
            <w:r>
              <w:rPr>
                <w:rFonts w:hint="default"/>
                <w:lang w:val="en-US" w:eastAsia="zh-CN"/>
              </w:rPr>
              <w:t>105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631" w:type="dxa"/>
            <w:vMerge w:val="continue"/>
            <w:tcBorders>
              <w:tl2br w:val="nil"/>
              <w:tr2bl w:val="nil"/>
            </w:tcBorders>
            <w:noWrap w:val="0"/>
            <w:vAlign w:val="center"/>
          </w:tcPr>
          <w:p>
            <w:pPr>
              <w:pStyle w:val="26"/>
              <w:bidi w:val="0"/>
              <w:rPr>
                <w:rFonts w:hint="default"/>
                <w:lang w:val="en-US" w:eastAsia="zh-CN"/>
              </w:rPr>
            </w:pPr>
          </w:p>
        </w:tc>
        <w:tc>
          <w:tcPr>
            <w:tcW w:w="2488" w:type="dxa"/>
            <w:tcBorders>
              <w:tl2br w:val="nil"/>
              <w:tr2bl w:val="nil"/>
            </w:tcBorders>
            <w:noWrap w:val="0"/>
            <w:vAlign w:val="center"/>
          </w:tcPr>
          <w:p>
            <w:pPr>
              <w:pStyle w:val="26"/>
              <w:bidi w:val="0"/>
              <w:rPr>
                <w:rFonts w:hint="default"/>
                <w:lang w:val="en-US" w:eastAsia="zh-CN"/>
              </w:rPr>
            </w:pPr>
            <w:r>
              <w:rPr>
                <w:rFonts w:hint="default"/>
                <w:lang w:val="en-US" w:eastAsia="zh-CN"/>
              </w:rPr>
              <w:t>无齿锯</w:t>
            </w:r>
          </w:p>
        </w:tc>
        <w:tc>
          <w:tcPr>
            <w:tcW w:w="3575" w:type="dxa"/>
            <w:tcBorders>
              <w:tl2br w:val="nil"/>
              <w:tr2bl w:val="nil"/>
            </w:tcBorders>
            <w:noWrap w:val="0"/>
            <w:vAlign w:val="center"/>
          </w:tcPr>
          <w:p>
            <w:pPr>
              <w:pStyle w:val="26"/>
              <w:bidi w:val="0"/>
              <w:rPr>
                <w:rFonts w:hint="default"/>
                <w:lang w:val="en-US" w:eastAsia="zh-CN"/>
              </w:rPr>
            </w:pPr>
            <w:r>
              <w:rPr>
                <w:rFonts w:hint="default"/>
                <w:lang w:val="en-US" w:eastAsia="zh-CN"/>
              </w:rPr>
              <w:t>100</w:t>
            </w:r>
            <w:r>
              <w:rPr>
                <w:rFonts w:hint="eastAsia"/>
                <w:lang w:val="en-US" w:eastAsia="zh-CN"/>
              </w:rPr>
              <w:t>~</w:t>
            </w:r>
            <w:r>
              <w:rPr>
                <w:rFonts w:hint="default"/>
                <w:lang w:val="en-US" w:eastAsia="zh-CN"/>
              </w:rPr>
              <w:t>105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631" w:type="dxa"/>
            <w:vMerge w:val="continue"/>
            <w:tcBorders>
              <w:tl2br w:val="nil"/>
              <w:tr2bl w:val="nil"/>
            </w:tcBorders>
            <w:noWrap w:val="0"/>
            <w:vAlign w:val="center"/>
          </w:tcPr>
          <w:p>
            <w:pPr>
              <w:pStyle w:val="26"/>
              <w:bidi w:val="0"/>
              <w:rPr>
                <w:rFonts w:hint="default"/>
                <w:lang w:val="en-US" w:eastAsia="zh-CN"/>
              </w:rPr>
            </w:pPr>
          </w:p>
        </w:tc>
        <w:tc>
          <w:tcPr>
            <w:tcW w:w="2488" w:type="dxa"/>
            <w:tcBorders>
              <w:tl2br w:val="nil"/>
              <w:tr2bl w:val="nil"/>
            </w:tcBorders>
            <w:noWrap w:val="0"/>
            <w:vAlign w:val="center"/>
          </w:tcPr>
          <w:p>
            <w:pPr>
              <w:pStyle w:val="26"/>
              <w:bidi w:val="0"/>
              <w:rPr>
                <w:rFonts w:hint="default"/>
                <w:lang w:val="en-US" w:eastAsia="zh-CN"/>
              </w:rPr>
            </w:pPr>
            <w:r>
              <w:rPr>
                <w:rFonts w:hint="default"/>
                <w:lang w:val="en-US" w:eastAsia="zh-CN"/>
              </w:rPr>
              <w:t>多功能木工刨</w:t>
            </w:r>
          </w:p>
        </w:tc>
        <w:tc>
          <w:tcPr>
            <w:tcW w:w="3575" w:type="dxa"/>
            <w:tcBorders>
              <w:tl2br w:val="nil"/>
              <w:tr2bl w:val="nil"/>
            </w:tcBorders>
            <w:noWrap w:val="0"/>
            <w:vAlign w:val="center"/>
          </w:tcPr>
          <w:p>
            <w:pPr>
              <w:pStyle w:val="26"/>
              <w:bidi w:val="0"/>
              <w:rPr>
                <w:rFonts w:hint="default"/>
                <w:lang w:val="en-US" w:eastAsia="zh-CN"/>
              </w:rPr>
            </w:pPr>
            <w:r>
              <w:rPr>
                <w:rFonts w:hint="default"/>
                <w:lang w:val="en-US" w:eastAsia="zh-CN"/>
              </w:rPr>
              <w:t>90~100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631" w:type="dxa"/>
            <w:vMerge w:val="continue"/>
            <w:tcBorders>
              <w:tl2br w:val="nil"/>
              <w:tr2bl w:val="nil"/>
            </w:tcBorders>
            <w:noWrap w:val="0"/>
            <w:vAlign w:val="center"/>
          </w:tcPr>
          <w:p>
            <w:pPr>
              <w:pStyle w:val="26"/>
              <w:bidi w:val="0"/>
              <w:rPr>
                <w:rFonts w:hint="default"/>
                <w:lang w:val="en-US" w:eastAsia="zh-CN"/>
              </w:rPr>
            </w:pPr>
          </w:p>
        </w:tc>
        <w:tc>
          <w:tcPr>
            <w:tcW w:w="2488" w:type="dxa"/>
            <w:tcBorders>
              <w:tl2br w:val="nil"/>
              <w:tr2bl w:val="nil"/>
            </w:tcBorders>
            <w:noWrap w:val="0"/>
            <w:vAlign w:val="center"/>
          </w:tcPr>
          <w:p>
            <w:pPr>
              <w:pStyle w:val="26"/>
              <w:bidi w:val="0"/>
              <w:rPr>
                <w:rFonts w:hint="default"/>
                <w:lang w:val="en-US" w:eastAsia="zh-CN"/>
              </w:rPr>
            </w:pPr>
            <w:r>
              <w:rPr>
                <w:rFonts w:hint="default"/>
                <w:lang w:val="en-US" w:eastAsia="zh-CN"/>
              </w:rPr>
              <w:t>云石机</w:t>
            </w:r>
          </w:p>
        </w:tc>
        <w:tc>
          <w:tcPr>
            <w:tcW w:w="3575" w:type="dxa"/>
            <w:tcBorders>
              <w:tl2br w:val="nil"/>
              <w:tr2bl w:val="nil"/>
            </w:tcBorders>
            <w:noWrap w:val="0"/>
            <w:vAlign w:val="center"/>
          </w:tcPr>
          <w:p>
            <w:pPr>
              <w:pStyle w:val="26"/>
              <w:bidi w:val="0"/>
              <w:rPr>
                <w:rFonts w:hint="default"/>
                <w:lang w:val="en-US" w:eastAsia="zh-CN"/>
              </w:rPr>
            </w:pPr>
            <w:r>
              <w:rPr>
                <w:rFonts w:hint="default"/>
                <w:lang w:val="en-US" w:eastAsia="zh-CN"/>
              </w:rPr>
              <w:t>100</w:t>
            </w:r>
            <w:r>
              <w:rPr>
                <w:rFonts w:hint="eastAsia"/>
                <w:lang w:val="en-US" w:eastAsia="zh-CN"/>
              </w:rPr>
              <w:t>~</w:t>
            </w:r>
            <w:r>
              <w:rPr>
                <w:rFonts w:hint="default"/>
                <w:lang w:val="en-US" w:eastAsia="zh-CN"/>
              </w:rPr>
              <w:t>105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631" w:type="dxa"/>
            <w:vMerge w:val="continue"/>
            <w:tcBorders>
              <w:tl2br w:val="nil"/>
              <w:tr2bl w:val="nil"/>
            </w:tcBorders>
            <w:noWrap w:val="0"/>
            <w:vAlign w:val="center"/>
          </w:tcPr>
          <w:p>
            <w:pPr>
              <w:pStyle w:val="26"/>
              <w:bidi w:val="0"/>
              <w:rPr>
                <w:rFonts w:hint="default"/>
                <w:lang w:val="en-US" w:eastAsia="zh-CN"/>
              </w:rPr>
            </w:pPr>
          </w:p>
        </w:tc>
        <w:tc>
          <w:tcPr>
            <w:tcW w:w="2488" w:type="dxa"/>
            <w:tcBorders>
              <w:tl2br w:val="nil"/>
              <w:tr2bl w:val="nil"/>
            </w:tcBorders>
            <w:noWrap w:val="0"/>
            <w:vAlign w:val="center"/>
          </w:tcPr>
          <w:p>
            <w:pPr>
              <w:pStyle w:val="26"/>
              <w:bidi w:val="0"/>
              <w:rPr>
                <w:rFonts w:hint="default"/>
                <w:lang w:val="en-US" w:eastAsia="zh-CN"/>
              </w:rPr>
            </w:pPr>
            <w:r>
              <w:rPr>
                <w:rFonts w:hint="default"/>
                <w:lang w:val="en-US" w:eastAsia="zh-CN"/>
              </w:rPr>
              <w:t>角向磨光机</w:t>
            </w:r>
          </w:p>
        </w:tc>
        <w:tc>
          <w:tcPr>
            <w:tcW w:w="3575" w:type="dxa"/>
            <w:tcBorders>
              <w:tl2br w:val="nil"/>
              <w:tr2bl w:val="nil"/>
            </w:tcBorders>
            <w:noWrap w:val="0"/>
            <w:vAlign w:val="center"/>
          </w:tcPr>
          <w:p>
            <w:pPr>
              <w:pStyle w:val="26"/>
              <w:bidi w:val="0"/>
              <w:rPr>
                <w:rFonts w:hint="default"/>
                <w:lang w:val="en-US" w:eastAsia="zh-CN"/>
              </w:rPr>
            </w:pPr>
            <w:r>
              <w:rPr>
                <w:rFonts w:hint="default"/>
                <w:lang w:val="en-US" w:eastAsia="zh-CN"/>
              </w:rPr>
              <w:t>100</w:t>
            </w:r>
            <w:r>
              <w:rPr>
                <w:rFonts w:hint="eastAsia"/>
                <w:lang w:val="en-US" w:eastAsia="zh-CN"/>
              </w:rPr>
              <w:t>~</w:t>
            </w:r>
            <w:r>
              <w:rPr>
                <w:rFonts w:hint="default"/>
                <w:lang w:val="en-US" w:eastAsia="zh-CN"/>
              </w:rPr>
              <w:t>105</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从</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_Ref19997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4</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w:t>
      </w:r>
      <w:r>
        <w:rPr>
          <w:rFonts w:hint="default"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可以看出，各类机械施工的噪声级均比较大，加之人为噪声及其他施工声响，将对周围环境造成一定的影响。</w:t>
      </w:r>
    </w:p>
    <w:p>
      <w:pPr>
        <w:pStyle w:val="5"/>
        <w:bidi w:val="0"/>
        <w:rPr>
          <w:lang w:val="en-US" w:eastAsia="zh-CN"/>
        </w:rPr>
      </w:pPr>
      <w:bookmarkStart w:id="851" w:name="_Toc13651"/>
      <w:r>
        <w:rPr>
          <w:lang w:val="en-US" w:eastAsia="zh-CN"/>
        </w:rPr>
        <w:t>固体废物</w:t>
      </w:r>
      <w:bookmarkEnd w:id="851"/>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施工期固体废物主要包括施工人员生活垃圾和施工过程中产生的装修垃圾及设备的包装废料。</w:t>
      </w:r>
    </w:p>
    <w:p>
      <w:pPr>
        <w:widowControl w:val="0"/>
        <w:numPr>
          <w:ilvl w:val="0"/>
          <w:numId w:val="13"/>
        </w:numPr>
        <w:bidi w:val="0"/>
        <w:spacing w:line="360" w:lineRule="auto"/>
        <w:ind w:left="425" w:leftChars="0" w:hanging="425" w:firstLineChars="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施工人员生活垃圾</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生活垃圾产生量以0.5kg/人·d计，本项目施工人员5人，生活垃圾产生量为2.5kg/d，施工期60天，则施工期生活垃圾总产生量为0.075t。</w:t>
      </w:r>
      <w:r>
        <w:rPr>
          <w:rFonts w:ascii="Times New Roman" w:hAnsi="Times New Roman" w:eastAsia="宋体" w:cs="宋体"/>
          <w:kern w:val="2"/>
          <w:sz w:val="24"/>
          <w:szCs w:val="24"/>
          <w:lang w:val="en-US" w:eastAsia="zh-CN" w:bidi="ar-SA"/>
        </w:rPr>
        <w:t>生活垃圾经集中收集后运至环卫部门指定的地点统一处置。</w:t>
      </w:r>
    </w:p>
    <w:p>
      <w:pPr>
        <w:widowControl w:val="0"/>
        <w:numPr>
          <w:ilvl w:val="0"/>
          <w:numId w:val="13"/>
        </w:numPr>
        <w:bidi w:val="0"/>
        <w:spacing w:line="360" w:lineRule="auto"/>
        <w:ind w:left="425" w:leftChars="0" w:hanging="425" w:firstLineChars="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装修垃圾及包装废料</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施工期间装修垃圾属于建筑垃圾的一种，根据相关资料，建造过程中装修垃圾产生量通常在5~10kg/m</w:t>
      </w:r>
      <w:r>
        <w:rPr>
          <w:rFonts w:ascii="Times New Roman" w:hAnsi="Times New Roman" w:eastAsia="宋体" w:cs="宋体"/>
          <w:kern w:val="2"/>
          <w:sz w:val="24"/>
          <w:szCs w:val="24"/>
          <w:vertAlign w:val="superscript"/>
          <w:lang w:val="en-US" w:eastAsia="zh-CN" w:bidi="ar-SA"/>
        </w:rPr>
        <w:t>2</w:t>
      </w:r>
      <w:r>
        <w:rPr>
          <w:rFonts w:ascii="Times New Roman" w:hAnsi="Times New Roman" w:eastAsia="宋体" w:cs="宋体"/>
          <w:kern w:val="2"/>
          <w:sz w:val="24"/>
          <w:szCs w:val="24"/>
          <w:lang w:val="en-US" w:eastAsia="zh-CN" w:bidi="ar-SA"/>
        </w:rPr>
        <w:t>之间，具体产生量与设计方案、人工素质和装修材料使用管理水平有关。项目生产车间建筑面积</w:t>
      </w:r>
      <w:r>
        <w:rPr>
          <w:rFonts w:hint="eastAsia" w:ascii="Times New Roman" w:hAnsi="Times New Roman" w:eastAsia="宋体" w:cs="宋体"/>
          <w:kern w:val="2"/>
          <w:sz w:val="24"/>
          <w:szCs w:val="24"/>
          <w:lang w:val="en-US" w:eastAsia="zh-CN" w:bidi="ar-SA"/>
        </w:rPr>
        <w:t>约为2400</w:t>
      </w:r>
      <w:r>
        <w:rPr>
          <w:rFonts w:ascii="Times New Roman" w:hAnsi="Times New Roman" w:eastAsia="宋体" w:cs="宋体"/>
          <w:kern w:val="2"/>
          <w:sz w:val="24"/>
          <w:szCs w:val="24"/>
          <w:lang w:val="en-US" w:eastAsia="zh-CN" w:bidi="ar-SA"/>
        </w:rPr>
        <w:t>m</w:t>
      </w:r>
      <w:r>
        <w:rPr>
          <w:rFonts w:ascii="Times New Roman" w:hAnsi="Times New Roman" w:eastAsia="宋体" w:cs="宋体"/>
          <w:kern w:val="2"/>
          <w:sz w:val="24"/>
          <w:szCs w:val="24"/>
          <w:vertAlign w:val="superscript"/>
          <w:lang w:val="en-US" w:eastAsia="zh-CN" w:bidi="ar-SA"/>
        </w:rPr>
        <w:t>2</w:t>
      </w:r>
      <w:r>
        <w:rPr>
          <w:rFonts w:ascii="Times New Roman" w:hAnsi="Times New Roman" w:eastAsia="宋体" w:cs="宋体"/>
          <w:kern w:val="2"/>
          <w:sz w:val="24"/>
          <w:szCs w:val="24"/>
          <w:lang w:val="en-US" w:eastAsia="zh-CN" w:bidi="ar-SA"/>
        </w:rPr>
        <w:t>，因厂房装修过程相对民宅较为简单，故装修垃圾产生量按5kg/m</w:t>
      </w:r>
      <w:r>
        <w:rPr>
          <w:rFonts w:ascii="Times New Roman" w:hAnsi="Times New Roman" w:eastAsia="宋体" w:cs="宋体"/>
          <w:kern w:val="2"/>
          <w:sz w:val="24"/>
          <w:szCs w:val="24"/>
          <w:vertAlign w:val="superscript"/>
          <w:lang w:val="en-US" w:eastAsia="zh-CN" w:bidi="ar-SA"/>
        </w:rPr>
        <w:t>2</w:t>
      </w:r>
      <w:r>
        <w:rPr>
          <w:rFonts w:ascii="Times New Roman" w:hAnsi="Times New Roman" w:eastAsia="宋体" w:cs="宋体"/>
          <w:kern w:val="2"/>
          <w:sz w:val="24"/>
          <w:szCs w:val="24"/>
          <w:lang w:val="en-US" w:eastAsia="zh-CN" w:bidi="ar-SA"/>
        </w:rPr>
        <w:t>进行计算，则产生量约为</w:t>
      </w:r>
      <w:r>
        <w:rPr>
          <w:rFonts w:hint="eastAsia" w:ascii="Times New Roman" w:hAnsi="Times New Roman" w:eastAsia="宋体" w:cs="宋体"/>
          <w:kern w:val="2"/>
          <w:sz w:val="24"/>
          <w:szCs w:val="24"/>
          <w:lang w:val="en-US" w:eastAsia="zh-CN" w:bidi="ar-SA"/>
        </w:rPr>
        <w:t>12</w:t>
      </w:r>
      <w:r>
        <w:rPr>
          <w:rFonts w:ascii="Times New Roman" w:hAnsi="Times New Roman" w:eastAsia="宋体" w:cs="宋体"/>
          <w:kern w:val="2"/>
          <w:sz w:val="24"/>
          <w:szCs w:val="24"/>
          <w:lang w:val="en-US" w:eastAsia="zh-CN" w:bidi="ar-SA"/>
        </w:rPr>
        <w:t>t。主要成分以废木料、废钢材等惰性材料为主。上述装修垃圾在施工场地内统一堆存，委托有资质的渣土清运公司运至合法的建筑垃圾处置场处理。</w:t>
      </w:r>
    </w:p>
    <w:p>
      <w:pPr>
        <w:pStyle w:val="5"/>
        <w:bidi w:val="0"/>
        <w:rPr>
          <w:lang w:val="en-US" w:eastAsia="zh-CN"/>
        </w:rPr>
      </w:pPr>
      <w:bookmarkStart w:id="852" w:name="_Toc11891"/>
      <w:bookmarkStart w:id="853" w:name="_Toc6194"/>
      <w:bookmarkStart w:id="854" w:name="_Toc16345"/>
      <w:bookmarkStart w:id="855" w:name="_Toc10270"/>
      <w:bookmarkStart w:id="856" w:name="_Toc13165"/>
      <w:bookmarkStart w:id="857" w:name="_Toc12935"/>
      <w:r>
        <w:rPr>
          <w:lang w:val="en-US" w:eastAsia="zh-CN"/>
        </w:rPr>
        <w:t>生态影响</w:t>
      </w:r>
      <w:bookmarkEnd w:id="852"/>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本项目场地为购置已有厂房，位于城市工业区，地面多为水泥硬化，植物零星分布，以人工种植的绿色植物为主，是典型的城市生态系统，生态系统受人为调节。本项目只有少量室内装修和设备安装工程，不会</w:t>
      </w:r>
      <w:r>
        <w:rPr>
          <w:rFonts w:hint="eastAsia" w:ascii="Times New Roman" w:hAnsi="Times New Roman" w:eastAsia="宋体" w:cs="宋体"/>
          <w:kern w:val="2"/>
          <w:sz w:val="24"/>
          <w:szCs w:val="24"/>
          <w:lang w:val="en-US" w:eastAsia="zh-CN" w:bidi="ar-SA"/>
        </w:rPr>
        <w:t>造成</w:t>
      </w:r>
      <w:r>
        <w:rPr>
          <w:rFonts w:ascii="Times New Roman" w:hAnsi="Times New Roman" w:eastAsia="宋体" w:cs="宋体"/>
          <w:kern w:val="2"/>
          <w:sz w:val="24"/>
          <w:szCs w:val="24"/>
          <w:lang w:val="en-US" w:eastAsia="zh-CN" w:bidi="ar-SA"/>
        </w:rPr>
        <w:t>水土流失。</w:t>
      </w:r>
    </w:p>
    <w:p>
      <w:pPr>
        <w:pStyle w:val="4"/>
        <w:bidi w:val="0"/>
        <w:rPr>
          <w:lang w:val="en-US" w:eastAsia="zh-CN"/>
        </w:rPr>
      </w:pPr>
      <w:bookmarkStart w:id="858" w:name="_Toc23710"/>
      <w:r>
        <w:rPr>
          <w:rFonts w:hint="eastAsia"/>
          <w:lang w:val="en-US" w:eastAsia="zh-CN"/>
        </w:rPr>
        <w:t>运营期</w:t>
      </w:r>
      <w:r>
        <w:rPr>
          <w:lang w:val="en-US" w:eastAsia="zh-CN"/>
        </w:rPr>
        <w:t>污染源</w:t>
      </w:r>
      <w:bookmarkEnd w:id="837"/>
      <w:r>
        <w:rPr>
          <w:lang w:val="en-US" w:eastAsia="zh-CN"/>
        </w:rPr>
        <w:t>分析</w:t>
      </w:r>
      <w:bookmarkEnd w:id="838"/>
      <w:bookmarkEnd w:id="839"/>
      <w:bookmarkEnd w:id="840"/>
      <w:bookmarkEnd w:id="841"/>
      <w:bookmarkEnd w:id="842"/>
      <w:bookmarkEnd w:id="843"/>
      <w:bookmarkEnd w:id="844"/>
      <w:bookmarkEnd w:id="846"/>
      <w:bookmarkEnd w:id="847"/>
      <w:bookmarkEnd w:id="853"/>
      <w:bookmarkEnd w:id="854"/>
      <w:bookmarkEnd w:id="855"/>
      <w:bookmarkEnd w:id="856"/>
      <w:bookmarkEnd w:id="857"/>
      <w:bookmarkEnd w:id="858"/>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该项目主要产生的污染物：大气污染物为项目生产过程中产生</w:t>
      </w:r>
      <w:r>
        <w:rPr>
          <w:rFonts w:hint="eastAsia" w:ascii="Times New Roman" w:hAnsi="Times New Roman" w:eastAsia="宋体" w:cs="宋体"/>
          <w:kern w:val="2"/>
          <w:sz w:val="24"/>
          <w:szCs w:val="24"/>
          <w:highlight w:val="none"/>
          <w:lang w:val="en-US" w:eastAsia="zh-CN" w:bidi="ar-SA"/>
        </w:rPr>
        <w:t>的</w:t>
      </w:r>
      <w:r>
        <w:rPr>
          <w:rFonts w:hint="eastAsia" w:cs="宋体"/>
          <w:kern w:val="2"/>
          <w:sz w:val="24"/>
          <w:szCs w:val="24"/>
          <w:lang w:val="en-US" w:eastAsia="zh-CN" w:bidi="ar-SA"/>
        </w:rPr>
        <w:t>VOCs</w:t>
      </w:r>
      <w:r>
        <w:rPr>
          <w:rFonts w:ascii="Times New Roman" w:hAnsi="Times New Roman" w:eastAsia="宋体" w:cs="宋体"/>
          <w:kern w:val="2"/>
          <w:sz w:val="24"/>
          <w:szCs w:val="24"/>
          <w:lang w:val="en-US" w:eastAsia="zh-CN" w:bidi="ar-SA"/>
        </w:rPr>
        <w:t>；项目废水为生活污水；噪声为设备机加工产生的噪声；固</w:t>
      </w:r>
      <w:r>
        <w:rPr>
          <w:rFonts w:hint="eastAsia" w:ascii="Times New Roman" w:hAnsi="Times New Roman" w:eastAsia="宋体" w:cs="宋体"/>
          <w:kern w:val="2"/>
          <w:sz w:val="24"/>
          <w:szCs w:val="24"/>
          <w:lang w:val="en-US" w:eastAsia="zh-CN" w:bidi="ar-SA"/>
        </w:rPr>
        <w:t>体</w:t>
      </w:r>
      <w:r>
        <w:rPr>
          <w:rFonts w:ascii="Times New Roman" w:hAnsi="Times New Roman" w:eastAsia="宋体" w:cs="宋体"/>
          <w:kern w:val="2"/>
          <w:sz w:val="24"/>
          <w:szCs w:val="24"/>
          <w:lang w:val="en-US" w:eastAsia="zh-CN" w:bidi="ar-SA"/>
        </w:rPr>
        <w:t>废</w:t>
      </w:r>
      <w:r>
        <w:rPr>
          <w:rFonts w:hint="eastAsia" w:ascii="Times New Roman" w:hAnsi="Times New Roman" w:eastAsia="宋体" w:cs="宋体"/>
          <w:kern w:val="2"/>
          <w:sz w:val="24"/>
          <w:szCs w:val="24"/>
          <w:lang w:val="en-US" w:eastAsia="zh-CN" w:bidi="ar-SA"/>
        </w:rPr>
        <w:t>物</w:t>
      </w:r>
      <w:r>
        <w:rPr>
          <w:rFonts w:ascii="Times New Roman" w:hAnsi="Times New Roman" w:eastAsia="宋体" w:cs="宋体"/>
          <w:kern w:val="2"/>
          <w:sz w:val="24"/>
          <w:szCs w:val="24"/>
          <w:lang w:val="en-US" w:eastAsia="zh-CN" w:bidi="ar-SA"/>
        </w:rPr>
        <w:t>为</w:t>
      </w:r>
      <w:r>
        <w:rPr>
          <w:rFonts w:hint="eastAsia" w:ascii="Times New Roman" w:hAnsi="Times New Roman" w:eastAsia="宋体" w:cs="宋体"/>
          <w:kern w:val="2"/>
          <w:sz w:val="24"/>
          <w:szCs w:val="24"/>
          <w:lang w:val="en-US" w:eastAsia="zh-CN" w:bidi="ar-SA"/>
        </w:rPr>
        <w:t>原料桶标签纸、破损</w:t>
      </w:r>
      <w:r>
        <w:rPr>
          <w:rFonts w:ascii="Times New Roman" w:hAnsi="Times New Roman" w:eastAsia="宋体" w:cs="宋体"/>
          <w:kern w:val="2"/>
          <w:sz w:val="24"/>
          <w:szCs w:val="24"/>
          <w:lang w:val="en-US" w:eastAsia="zh-CN" w:bidi="ar-SA"/>
        </w:rPr>
        <w:t>包装桶、</w:t>
      </w:r>
      <w:r>
        <w:rPr>
          <w:rFonts w:hint="eastAsia" w:cs="宋体"/>
          <w:kern w:val="2"/>
          <w:sz w:val="24"/>
          <w:szCs w:val="24"/>
          <w:lang w:val="en-US" w:eastAsia="zh-CN" w:bidi="ar-SA"/>
        </w:rPr>
        <w:t>实验室固废、</w:t>
      </w:r>
      <w:r>
        <w:rPr>
          <w:rFonts w:ascii="Times New Roman" w:hAnsi="Times New Roman" w:eastAsia="宋体" w:cs="宋体"/>
          <w:kern w:val="2"/>
          <w:sz w:val="24"/>
          <w:szCs w:val="24"/>
          <w:lang w:val="en-US" w:eastAsia="zh-CN" w:bidi="ar-SA"/>
        </w:rPr>
        <w:t>废活性炭、</w:t>
      </w:r>
      <w:r>
        <w:rPr>
          <w:rFonts w:hint="eastAsia" w:cs="宋体"/>
          <w:kern w:val="2"/>
          <w:sz w:val="24"/>
          <w:szCs w:val="24"/>
          <w:lang w:val="en-US" w:eastAsia="zh-CN" w:bidi="ar-SA"/>
        </w:rPr>
        <w:t>电动叉车废弃电瓶、</w:t>
      </w:r>
      <w:r>
        <w:rPr>
          <w:rFonts w:ascii="Times New Roman" w:hAnsi="Times New Roman" w:eastAsia="宋体" w:cs="宋体"/>
          <w:kern w:val="2"/>
          <w:sz w:val="24"/>
          <w:szCs w:val="24"/>
          <w:lang w:val="en-US" w:eastAsia="zh-CN" w:bidi="ar-SA"/>
        </w:rPr>
        <w:t>生活垃圾</w:t>
      </w:r>
      <w:r>
        <w:rPr>
          <w:rFonts w:hint="eastAsia"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该项目污防措施为：</w:t>
      </w:r>
      <w:r>
        <w:rPr>
          <w:rFonts w:hint="eastAsia" w:cs="宋体"/>
          <w:kern w:val="2"/>
          <w:sz w:val="24"/>
          <w:szCs w:val="24"/>
          <w:lang w:val="en-US" w:eastAsia="zh-CN" w:bidi="ar-SA"/>
        </w:rPr>
        <w:t>VOCs</w:t>
      </w:r>
      <w:r>
        <w:rPr>
          <w:rFonts w:hint="eastAsia" w:ascii="Times New Roman" w:hAnsi="Times New Roman" w:eastAsia="宋体" w:cs="宋体"/>
          <w:kern w:val="2"/>
          <w:sz w:val="24"/>
          <w:szCs w:val="24"/>
          <w:lang w:val="en-US" w:eastAsia="zh-CN" w:bidi="ar-SA"/>
        </w:rPr>
        <w:t>废气</w:t>
      </w:r>
      <w:r>
        <w:rPr>
          <w:rFonts w:ascii="Times New Roman" w:hAnsi="Times New Roman" w:eastAsia="宋体" w:cs="宋体"/>
          <w:kern w:val="2"/>
          <w:sz w:val="24"/>
          <w:szCs w:val="24"/>
          <w:lang w:val="en-US" w:eastAsia="zh-CN" w:bidi="ar-SA"/>
        </w:rPr>
        <w:t>经集气罩</w:t>
      </w:r>
      <w:r>
        <w:rPr>
          <w:rFonts w:hint="eastAsia" w:ascii="Times New Roman" w:hAnsi="Times New Roman" w:eastAsia="宋体" w:cs="宋体"/>
          <w:kern w:val="2"/>
          <w:sz w:val="24"/>
          <w:szCs w:val="24"/>
          <w:lang w:val="en-US" w:eastAsia="zh-CN" w:bidi="ar-SA"/>
        </w:rPr>
        <w:t>收集</w:t>
      </w:r>
      <w:r>
        <w:rPr>
          <w:rFonts w:ascii="Times New Roman" w:hAnsi="Times New Roman" w:eastAsia="宋体" w:cs="宋体"/>
          <w:kern w:val="2"/>
          <w:sz w:val="24"/>
          <w:szCs w:val="24"/>
          <w:lang w:val="en-US" w:eastAsia="zh-CN" w:bidi="ar-SA"/>
        </w:rPr>
        <w:t>+</w:t>
      </w:r>
      <w:r>
        <w:rPr>
          <w:color w:val="000000"/>
        </w:rPr>
        <w:t>UV光解净化器</w:t>
      </w:r>
      <w:r>
        <w:rPr>
          <w:rFonts w:hint="eastAsia"/>
          <w:color w:val="000000"/>
          <w:lang w:val="en-US" w:eastAsia="zh-CN"/>
        </w:rPr>
        <w:t>+</w:t>
      </w:r>
      <w:r>
        <w:rPr>
          <w:rFonts w:hint="eastAsia" w:ascii="Times New Roman" w:hAnsi="Times New Roman" w:eastAsia="宋体" w:cs="宋体"/>
          <w:kern w:val="2"/>
          <w:sz w:val="24"/>
          <w:szCs w:val="24"/>
          <w:lang w:val="en-US" w:eastAsia="zh-CN" w:bidi="ar-SA"/>
        </w:rPr>
        <w:t>活性炭吸附装置处理</w:t>
      </w:r>
      <w:r>
        <w:rPr>
          <w:rFonts w:ascii="Times New Roman" w:hAnsi="Times New Roman" w:eastAsia="宋体" w:cs="宋体"/>
          <w:kern w:val="2"/>
          <w:sz w:val="24"/>
          <w:szCs w:val="24"/>
          <w:lang w:val="en-US" w:eastAsia="zh-CN" w:bidi="ar-SA"/>
        </w:rPr>
        <w:t>+</w:t>
      </w:r>
      <w:r>
        <w:rPr>
          <w:rFonts w:hint="eastAsia" w:cs="宋体"/>
          <w:kern w:val="2"/>
          <w:sz w:val="24"/>
          <w:szCs w:val="24"/>
          <w:lang w:val="en-US" w:eastAsia="zh-CN" w:bidi="ar-SA"/>
        </w:rPr>
        <w:t>21m排气筒</w:t>
      </w:r>
      <w:r>
        <w:rPr>
          <w:rFonts w:ascii="Times New Roman" w:hAnsi="Times New Roman" w:eastAsia="宋体" w:cs="宋体"/>
          <w:kern w:val="2"/>
          <w:sz w:val="24"/>
          <w:szCs w:val="24"/>
          <w:lang w:val="en-US" w:eastAsia="zh-CN" w:bidi="ar-SA"/>
        </w:rPr>
        <w:t>排放</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zh-CN" w:eastAsia="zh-CN" w:bidi="ar-SA"/>
        </w:rPr>
        <w:t>生活污水</w:t>
      </w:r>
      <w:r>
        <w:rPr>
          <w:rFonts w:hint="eastAsia" w:ascii="Times New Roman" w:hAnsi="Times New Roman" w:eastAsia="宋体" w:cs="宋体"/>
          <w:kern w:val="2"/>
          <w:sz w:val="24"/>
          <w:szCs w:val="24"/>
          <w:lang w:val="zh-CN" w:eastAsia="zh-CN" w:bidi="ar-SA"/>
        </w:rPr>
        <w:t>经园区化粪池</w:t>
      </w:r>
      <w:r>
        <w:rPr>
          <w:rFonts w:ascii="Times New Roman" w:hAnsi="Times New Roman" w:eastAsia="宋体" w:cs="宋体"/>
          <w:kern w:val="2"/>
          <w:sz w:val="24"/>
          <w:szCs w:val="24"/>
          <w:lang w:val="zh-CN" w:eastAsia="zh-CN" w:bidi="ar-SA"/>
        </w:rPr>
        <w:t>预处理</w:t>
      </w:r>
      <w:r>
        <w:rPr>
          <w:rFonts w:hint="eastAsia" w:ascii="Times New Roman" w:hAnsi="Times New Roman" w:eastAsia="宋体" w:cs="宋体"/>
          <w:kern w:val="2"/>
          <w:sz w:val="24"/>
          <w:szCs w:val="24"/>
          <w:lang w:val="zh-CN" w:eastAsia="zh-CN" w:bidi="ar-SA"/>
        </w:rPr>
        <w:t>后</w:t>
      </w:r>
      <w:r>
        <w:rPr>
          <w:rFonts w:ascii="Times New Roman" w:hAnsi="Times New Roman" w:eastAsia="宋体" w:cs="宋体"/>
          <w:kern w:val="2"/>
          <w:sz w:val="24"/>
          <w:szCs w:val="24"/>
          <w:lang w:val="en-US" w:eastAsia="zh-CN" w:bidi="ar-SA"/>
        </w:rPr>
        <w:t>进入</w:t>
      </w:r>
      <w:r>
        <w:rPr>
          <w:rFonts w:hint="eastAsia" w:ascii="Times New Roman" w:hAnsi="Times New Roman" w:eastAsia="宋体" w:cs="宋体"/>
          <w:kern w:val="2"/>
          <w:sz w:val="24"/>
          <w:szCs w:val="24"/>
          <w:lang w:val="zh-CN" w:eastAsia="zh-CN" w:bidi="ar-SA"/>
        </w:rPr>
        <w:t>卓达金谷创业园污水处理站处理达标后排放；</w:t>
      </w:r>
      <w:r>
        <w:rPr>
          <w:rFonts w:ascii="Times New Roman" w:hAnsi="Times New Roman" w:eastAsia="宋体" w:cs="宋体"/>
          <w:kern w:val="2"/>
          <w:sz w:val="24"/>
          <w:szCs w:val="24"/>
          <w:lang w:val="en-US" w:eastAsia="zh-CN" w:bidi="ar-SA"/>
        </w:rPr>
        <w:t>厂区产生的噪声采用隔音降噪处理；项目产生的工业固废回收外售，不能利用的交由环卫部门处理，危险固废通过有资质的单位进行处理。</w:t>
      </w:r>
    </w:p>
    <w:p>
      <w:pPr>
        <w:pStyle w:val="25"/>
        <w:bidi w:val="0"/>
        <w:rPr>
          <w:rFonts w:hint="default"/>
          <w:u w:val="single"/>
          <w:lang w:val="en-US" w:eastAsia="zh-CN"/>
        </w:rPr>
      </w:pPr>
      <w:r>
        <w:rPr>
          <w:rFonts w:hint="eastAsia"/>
          <w:u w:val="single"/>
          <w:lang w:val="en-US" w:eastAsia="zh-CN"/>
        </w:rPr>
        <w:t>《山东云华新材料有限公司年产6000吨聚氨酯泡沫塑料建设项目环境影响报告书》于2020年1月已取得环评批复，其目前段产品工艺流程主要为投料、混合搅拌，云华项目原辅料为甲苯二异氰酸酯（与二苯基甲烷二异氰酸酯理化性质类似）、聚醚多元醇等材料。故聚特和云华两个项目的污染产物系数具有可类比性。本项目污染工序的产污系数类比云华新材料公司。</w:t>
      </w:r>
    </w:p>
    <w:p>
      <w:pPr>
        <w:pStyle w:val="5"/>
        <w:bidi w:val="0"/>
        <w:rPr>
          <w:lang w:val="en-US" w:eastAsia="zh-CN"/>
        </w:rPr>
      </w:pPr>
      <w:bookmarkStart w:id="859" w:name="_Toc4513"/>
      <w:r>
        <w:rPr>
          <w:lang w:val="en-US" w:eastAsia="zh-CN"/>
        </w:rPr>
        <w:t>废水污染源</w:t>
      </w:r>
      <w:bookmarkEnd w:id="859"/>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本项目生产设备搅拌罐专罐专用，生产过程不用水。清洗搅拌罐用增塑剂清洗，</w:t>
      </w:r>
      <w:r>
        <w:rPr>
          <w:rFonts w:hint="eastAsia" w:ascii="Times New Roman" w:hAnsi="Times New Roman" w:eastAsia="宋体" w:cs="宋体"/>
          <w:kern w:val="2"/>
          <w:sz w:val="24"/>
          <w:szCs w:val="24"/>
          <w:u w:val="single"/>
          <w:lang w:val="en-US" w:eastAsia="zh-CN" w:bidi="ar-SA"/>
        </w:rPr>
        <w:t>清洗液</w:t>
      </w:r>
      <w:r>
        <w:rPr>
          <w:rFonts w:hint="eastAsia" w:cs="宋体"/>
          <w:kern w:val="2"/>
          <w:sz w:val="24"/>
          <w:szCs w:val="24"/>
          <w:u w:val="single"/>
          <w:lang w:val="en-US" w:eastAsia="zh-CN" w:bidi="ar-SA"/>
        </w:rPr>
        <w:t>用原料桶储存</w:t>
      </w:r>
      <w:r>
        <w:rPr>
          <w:rFonts w:hint="eastAsia"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在下一生产周期作为原料使用，无工艺废水产生。根据业主提供资料，本厂使用聚醚多元醇含水量要求为0.05%，供应商聚醚多元醇含水量要求为0.03%，实际检测含水量是0.019%（供应厂家产品检测证明）。所以购买的聚醚不需要脱水，可以直接使用。</w:t>
      </w:r>
    </w:p>
    <w:p>
      <w:pPr>
        <w:widowControl w:val="0"/>
        <w:numPr>
          <w:ilvl w:val="0"/>
          <w:numId w:val="0"/>
        </w:numPr>
        <w:bidi w:val="0"/>
        <w:spacing w:line="360" w:lineRule="auto"/>
        <w:ind w:leftChars="0" w:firstLine="480" w:firstLineChars="200"/>
        <w:jc w:val="left"/>
        <w:rPr>
          <w:rFonts w:hint="default"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（1）车间生产无生产废水产生</w:t>
      </w:r>
    </w:p>
    <w:p>
      <w:pPr>
        <w:widowControl w:val="0"/>
        <w:numPr>
          <w:ilvl w:val="0"/>
          <w:numId w:val="0"/>
        </w:numPr>
        <w:bidi w:val="0"/>
        <w:spacing w:line="360" w:lineRule="auto"/>
        <w:ind w:leftChars="200" w:firstLine="480" w:firstLineChars="200"/>
        <w:jc w:val="left"/>
        <w:rPr>
          <w:rFonts w:hint="default" w:ascii="Times New Roman" w:hAnsi="Times New Roman" w:eastAsia="宋体" w:cs="宋体"/>
          <w:kern w:val="2"/>
          <w:sz w:val="24"/>
          <w:szCs w:val="24"/>
          <w:lang w:val="en-US" w:eastAsia="zh-CN" w:bidi="ar-SA"/>
        </w:rPr>
      </w:pPr>
      <w:r>
        <w:rPr>
          <w:rFonts w:hint="eastAsia" w:ascii="宋体" w:hAnsi="宋体" w:eastAsia="宋体" w:cs="宋体"/>
          <w:kern w:val="2"/>
          <w:sz w:val="24"/>
          <w:szCs w:val="24"/>
          <w:lang w:val="en-US" w:eastAsia="zh-CN" w:bidi="ar-SA"/>
        </w:rPr>
        <w:t>①</w:t>
      </w:r>
      <w:r>
        <w:rPr>
          <w:rFonts w:hint="default" w:ascii="Times New Roman" w:hAnsi="Times New Roman" w:eastAsia="宋体" w:cs="宋体"/>
          <w:kern w:val="2"/>
          <w:sz w:val="24"/>
          <w:szCs w:val="24"/>
          <w:lang w:val="en-US" w:eastAsia="zh-CN" w:bidi="ar-SA"/>
        </w:rPr>
        <w:t>车间地面</w:t>
      </w:r>
      <w:r>
        <w:rPr>
          <w:rFonts w:hint="eastAsia" w:ascii="Times New Roman" w:hAnsi="Times New Roman" w:eastAsia="宋体" w:cs="宋体"/>
          <w:kern w:val="2"/>
          <w:sz w:val="24"/>
          <w:szCs w:val="24"/>
          <w:lang w:val="en-US" w:eastAsia="zh-CN" w:bidi="ar-SA"/>
        </w:rPr>
        <w:t>清扫</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本项目车间地面清洁将</w:t>
      </w:r>
      <w:r>
        <w:rPr>
          <w:rFonts w:hint="eastAsia" w:ascii="Times New Roman" w:hAnsi="Times New Roman" w:eastAsia="宋体" w:cs="宋体"/>
          <w:kern w:val="2"/>
          <w:sz w:val="24"/>
          <w:szCs w:val="24"/>
          <w:lang w:val="en-US" w:eastAsia="zh-CN" w:bidi="ar-SA"/>
        </w:rPr>
        <w:t>为了</w:t>
      </w:r>
      <w:r>
        <w:rPr>
          <w:rFonts w:hint="default" w:ascii="Times New Roman" w:hAnsi="Times New Roman" w:eastAsia="宋体" w:cs="宋体"/>
          <w:kern w:val="2"/>
          <w:sz w:val="24"/>
          <w:szCs w:val="24"/>
          <w:lang w:val="en-US" w:eastAsia="zh-CN" w:bidi="ar-SA"/>
        </w:rPr>
        <w:t>保护设备、电器安全，清扫方式为干扫</w:t>
      </w:r>
      <w:r>
        <w:rPr>
          <w:rFonts w:hint="eastAsia" w:ascii="Times New Roman" w:hAnsi="Times New Roman" w:eastAsia="宋体" w:cs="宋体"/>
          <w:kern w:val="2"/>
          <w:sz w:val="24"/>
          <w:szCs w:val="24"/>
          <w:lang w:val="en-US" w:eastAsia="zh-CN" w:bidi="ar-SA"/>
        </w:rPr>
        <w:t>。无地面清扫废水产生。</w:t>
      </w:r>
    </w:p>
    <w:p>
      <w:pPr>
        <w:widowControl w:val="0"/>
        <w:numPr>
          <w:ilvl w:val="0"/>
          <w:numId w:val="0"/>
        </w:numPr>
        <w:bidi w:val="0"/>
        <w:spacing w:line="360" w:lineRule="auto"/>
        <w:ind w:leftChars="200" w:firstLine="480" w:firstLineChars="200"/>
        <w:jc w:val="left"/>
        <w:rPr>
          <w:rFonts w:hint="default" w:ascii="Times New Roman" w:hAnsi="Times New Roman" w:eastAsia="宋体" w:cs="宋体"/>
          <w:kern w:val="2"/>
          <w:sz w:val="24"/>
          <w:szCs w:val="24"/>
          <w:lang w:val="en-US" w:eastAsia="zh-CN" w:bidi="ar-SA"/>
        </w:rPr>
      </w:pPr>
      <w:r>
        <w:rPr>
          <w:rFonts w:hint="eastAsia" w:ascii="宋体" w:hAnsi="宋体" w:eastAsia="宋体" w:cs="宋体"/>
          <w:kern w:val="2"/>
          <w:sz w:val="24"/>
          <w:szCs w:val="24"/>
          <w:lang w:val="en-US" w:eastAsia="zh-CN" w:bidi="ar-SA"/>
        </w:rPr>
        <w:t>②</w:t>
      </w:r>
      <w:r>
        <w:rPr>
          <w:rFonts w:hint="eastAsia" w:ascii="Times New Roman" w:hAnsi="Times New Roman" w:eastAsia="宋体" w:cs="宋体"/>
          <w:kern w:val="2"/>
          <w:sz w:val="24"/>
          <w:szCs w:val="24"/>
          <w:lang w:val="en-US" w:eastAsia="zh-CN" w:bidi="ar-SA"/>
        </w:rPr>
        <w:t>设备清洗</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混合搅拌罐清洗：频率每月一次，用原材料配方中的增塑剂清洗，每月清洗用量定量3吨，轮流清洗4个搅拌罐；清洗后的3吨增塑剂用在下月生产中作为原材料使用，无生产废水产生。</w:t>
      </w:r>
    </w:p>
    <w:p>
      <w:pPr>
        <w:widowControl w:val="0"/>
        <w:numPr>
          <w:ilvl w:val="0"/>
          <w:numId w:val="0"/>
        </w:numPr>
        <w:bidi w:val="0"/>
        <w:spacing w:line="360" w:lineRule="auto"/>
        <w:ind w:leftChars="0"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（2）生活污水</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项目建成后员工定员4人，在工业园提供的公共食堂和公寓就餐住宿，年生产时间为260天。员工每人用水量以50L/d计，则生活用水量约为0.2m</w:t>
      </w:r>
      <w:r>
        <w:rPr>
          <w:rFonts w:hint="eastAsia" w:ascii="Times New Roman" w:hAnsi="Times New Roman" w:eastAsia="宋体" w:cs="宋体"/>
          <w:kern w:val="2"/>
          <w:sz w:val="24"/>
          <w:szCs w:val="24"/>
          <w:vertAlign w:val="superscript"/>
          <w:lang w:val="en-US" w:eastAsia="zh-CN" w:bidi="ar-SA"/>
        </w:rPr>
        <w:t>3</w:t>
      </w:r>
      <w:r>
        <w:rPr>
          <w:rFonts w:hint="eastAsia" w:ascii="Times New Roman" w:hAnsi="Times New Roman" w:eastAsia="宋体" w:cs="宋体"/>
          <w:kern w:val="2"/>
          <w:sz w:val="24"/>
          <w:szCs w:val="24"/>
          <w:lang w:val="en-US" w:eastAsia="zh-CN" w:bidi="ar-SA"/>
        </w:rPr>
        <w:t>/d（52m</w:t>
      </w:r>
      <w:r>
        <w:rPr>
          <w:rFonts w:hint="eastAsia" w:ascii="Times New Roman" w:hAnsi="Times New Roman" w:eastAsia="宋体" w:cs="宋体"/>
          <w:kern w:val="2"/>
          <w:sz w:val="24"/>
          <w:szCs w:val="24"/>
          <w:vertAlign w:val="superscript"/>
          <w:lang w:val="en-US" w:eastAsia="zh-CN" w:bidi="ar-SA"/>
        </w:rPr>
        <w:t>3</w:t>
      </w:r>
      <w:r>
        <w:rPr>
          <w:rFonts w:hint="eastAsia" w:ascii="Times New Roman" w:hAnsi="Times New Roman" w:eastAsia="宋体" w:cs="宋体"/>
          <w:kern w:val="2"/>
          <w:sz w:val="24"/>
          <w:szCs w:val="24"/>
          <w:lang w:val="en-US" w:eastAsia="zh-CN" w:bidi="ar-SA"/>
        </w:rPr>
        <w:t>/a），生活污水排放系数以80%计，则生活污水产量约为0.16m</w:t>
      </w:r>
      <w:r>
        <w:rPr>
          <w:rFonts w:hint="eastAsia" w:ascii="Times New Roman" w:hAnsi="Times New Roman" w:eastAsia="宋体" w:cs="宋体"/>
          <w:kern w:val="2"/>
          <w:sz w:val="24"/>
          <w:szCs w:val="24"/>
          <w:vertAlign w:val="superscript"/>
          <w:lang w:val="en-US" w:eastAsia="zh-CN" w:bidi="ar-SA"/>
        </w:rPr>
        <w:t>3</w:t>
      </w:r>
      <w:r>
        <w:rPr>
          <w:rFonts w:hint="eastAsia" w:ascii="Times New Roman" w:hAnsi="Times New Roman" w:eastAsia="宋体" w:cs="宋体"/>
          <w:kern w:val="2"/>
          <w:sz w:val="24"/>
          <w:szCs w:val="24"/>
          <w:lang w:val="en-US" w:eastAsia="zh-CN" w:bidi="ar-SA"/>
        </w:rPr>
        <w:t>/d（42m</w:t>
      </w:r>
      <w:r>
        <w:rPr>
          <w:rFonts w:hint="eastAsia" w:ascii="Times New Roman" w:hAnsi="Times New Roman" w:eastAsia="宋体" w:cs="宋体"/>
          <w:kern w:val="2"/>
          <w:sz w:val="24"/>
          <w:szCs w:val="24"/>
          <w:vertAlign w:val="superscript"/>
          <w:lang w:val="en-US" w:eastAsia="zh-CN" w:bidi="ar-SA"/>
        </w:rPr>
        <w:t>3</w:t>
      </w:r>
      <w:r>
        <w:rPr>
          <w:rFonts w:hint="eastAsia" w:ascii="Times New Roman" w:hAnsi="Times New Roman" w:eastAsia="宋体" w:cs="宋体"/>
          <w:kern w:val="2"/>
          <w:sz w:val="24"/>
          <w:szCs w:val="24"/>
          <w:lang w:val="en-US" w:eastAsia="zh-CN" w:bidi="ar-SA"/>
        </w:rPr>
        <w:t>/a）。</w:t>
      </w:r>
      <w:r>
        <w:rPr>
          <w:rFonts w:hint="default" w:ascii="Times New Roman" w:hAnsi="Times New Roman" w:eastAsia="宋体" w:cs="宋体"/>
          <w:kern w:val="2"/>
          <w:sz w:val="24"/>
          <w:szCs w:val="24"/>
          <w:lang w:val="en-US" w:eastAsia="zh-CN" w:bidi="ar-SA"/>
        </w:rPr>
        <w:t>类比同类项目，确定本项目</w:t>
      </w:r>
      <w:r>
        <w:rPr>
          <w:rFonts w:hint="eastAsia" w:ascii="Times New Roman" w:hAnsi="Times New Roman" w:eastAsia="宋体" w:cs="宋体"/>
          <w:kern w:val="2"/>
          <w:sz w:val="24"/>
          <w:szCs w:val="24"/>
          <w:lang w:val="en-US" w:eastAsia="zh-CN" w:bidi="ar-SA"/>
        </w:rPr>
        <w:t>生活污水</w:t>
      </w:r>
      <w:r>
        <w:rPr>
          <w:rFonts w:hint="default" w:ascii="Times New Roman" w:hAnsi="Times New Roman" w:eastAsia="宋体" w:cs="宋体"/>
          <w:kern w:val="2"/>
          <w:sz w:val="24"/>
          <w:szCs w:val="24"/>
          <w:lang w:val="en-US" w:eastAsia="zh-CN" w:bidi="ar-SA"/>
        </w:rPr>
        <w:t>COD约为</w:t>
      </w:r>
      <w:r>
        <w:rPr>
          <w:rFonts w:hint="eastAsia" w:ascii="Times New Roman" w:hAnsi="Times New Roman" w:eastAsia="宋体" w:cs="宋体"/>
          <w:kern w:val="2"/>
          <w:sz w:val="24"/>
          <w:szCs w:val="24"/>
          <w:lang w:val="en-US" w:eastAsia="zh-CN" w:bidi="ar-SA"/>
        </w:rPr>
        <w:t>300</w:t>
      </w:r>
      <w:r>
        <w:rPr>
          <w:rFonts w:hint="default" w:ascii="Times New Roman" w:hAnsi="Times New Roman" w:eastAsia="宋体" w:cs="宋体"/>
          <w:kern w:val="2"/>
          <w:sz w:val="24"/>
          <w:szCs w:val="24"/>
          <w:lang w:val="en-US" w:eastAsia="zh-CN" w:bidi="ar-SA"/>
        </w:rPr>
        <w:t>mg/L、SS约为</w:t>
      </w:r>
      <w:r>
        <w:rPr>
          <w:rFonts w:hint="eastAsia" w:ascii="Times New Roman" w:hAnsi="Times New Roman" w:eastAsia="宋体" w:cs="宋体"/>
          <w:kern w:val="2"/>
          <w:sz w:val="24"/>
          <w:szCs w:val="24"/>
          <w:lang w:val="en-US" w:eastAsia="zh-CN" w:bidi="ar-SA"/>
        </w:rPr>
        <w:t>200</w:t>
      </w:r>
      <w:r>
        <w:rPr>
          <w:rFonts w:hint="default" w:ascii="Times New Roman" w:hAnsi="Times New Roman" w:eastAsia="宋体" w:cs="宋体"/>
          <w:kern w:val="2"/>
          <w:sz w:val="24"/>
          <w:szCs w:val="24"/>
          <w:lang w:val="en-US" w:eastAsia="zh-CN" w:bidi="ar-SA"/>
        </w:rPr>
        <w:t>mg/L</w:t>
      </w:r>
      <w:r>
        <w:rPr>
          <w:rFonts w:hint="eastAsia" w:ascii="Times New Roman" w:hAnsi="Times New Roman" w:eastAsia="宋体" w:cs="宋体"/>
          <w:kern w:val="2"/>
          <w:sz w:val="24"/>
          <w:szCs w:val="24"/>
          <w:lang w:val="en-US" w:eastAsia="zh-CN" w:bidi="ar-SA"/>
        </w:rPr>
        <w:t>和氨氮约为30mg/L。</w:t>
      </w:r>
      <w:r>
        <w:rPr>
          <w:rFonts w:hint="default" w:ascii="Times New Roman" w:hAnsi="Times New Roman" w:eastAsia="宋体" w:cs="宋体"/>
          <w:kern w:val="2"/>
          <w:sz w:val="24"/>
          <w:szCs w:val="24"/>
          <w:lang w:val="en-US" w:eastAsia="zh-CN" w:bidi="ar-SA"/>
        </w:rPr>
        <w:t>本项目</w:t>
      </w:r>
      <w:r>
        <w:rPr>
          <w:rFonts w:hint="eastAsia" w:ascii="Times New Roman" w:hAnsi="Times New Roman" w:eastAsia="宋体" w:cs="宋体"/>
          <w:kern w:val="2"/>
          <w:sz w:val="24"/>
          <w:szCs w:val="24"/>
          <w:lang w:val="en-US" w:eastAsia="zh-CN" w:bidi="ar-SA"/>
        </w:rPr>
        <w:t>的生活污水</w:t>
      </w:r>
      <w:r>
        <w:rPr>
          <w:rFonts w:hint="eastAsia" w:cs="宋体"/>
          <w:kern w:val="2"/>
          <w:sz w:val="24"/>
          <w:szCs w:val="24"/>
          <w:lang w:val="en-US" w:eastAsia="zh-CN" w:bidi="ar-SA"/>
        </w:rPr>
        <w:t>经园区化粪池处理后达到《污水综合排放标准》（GB8978-1996）三级后</w:t>
      </w:r>
      <w:r>
        <w:rPr>
          <w:rFonts w:hint="eastAsia" w:ascii="Times New Roman" w:hAnsi="Times New Roman" w:eastAsia="宋体" w:cs="宋体"/>
          <w:kern w:val="2"/>
          <w:sz w:val="24"/>
          <w:szCs w:val="24"/>
          <w:lang w:val="en-US" w:eastAsia="zh-CN" w:bidi="ar-SA"/>
        </w:rPr>
        <w:t>排入卓达金谷创业园污水处理站，</w:t>
      </w:r>
      <w:r>
        <w:rPr>
          <w:rFonts w:hint="eastAsia" w:cs="宋体"/>
          <w:kern w:val="2"/>
          <w:sz w:val="24"/>
          <w:szCs w:val="24"/>
          <w:lang w:val="en-US" w:eastAsia="zh-CN" w:bidi="ar-SA"/>
        </w:rPr>
        <w:t>达到《城镇污水处理厂污染物排放标准》（GB18918-2002）一级A类标准</w:t>
      </w:r>
      <w:r>
        <w:rPr>
          <w:rFonts w:hint="eastAsia" w:ascii="Times New Roman" w:hAnsi="Times New Roman" w:eastAsia="宋体" w:cs="宋体"/>
          <w:kern w:val="2"/>
          <w:sz w:val="24"/>
          <w:szCs w:val="24"/>
          <w:lang w:val="en-US" w:eastAsia="zh-CN" w:bidi="ar-SA"/>
        </w:rPr>
        <w:t>后排入洋沙河至洋沙湖，最终受纳水体为湘江。</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项目废水产生及排放情况</w:t>
      </w:r>
      <w:r>
        <w:rPr>
          <w:rFonts w:hint="eastAsia" w:ascii="Times New Roman" w:hAnsi="Times New Roman" w:eastAsia="宋体" w:cs="宋体"/>
          <w:kern w:val="2"/>
          <w:sz w:val="24"/>
          <w:szCs w:val="24"/>
          <w:lang w:val="en-US" w:eastAsia="zh-CN" w:bidi="ar-SA"/>
        </w:rPr>
        <w:t>见</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_Ref18223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4</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2</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kern w:val="2"/>
          <w:sz w:val="21"/>
          <w:szCs w:val="21"/>
          <w:lang w:val="en-US" w:eastAsia="zh-CN" w:bidi="ar-SA"/>
        </w:rPr>
      </w:pPr>
      <w:bookmarkStart w:id="860" w:name="_Ref18223"/>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fldChar w:fldCharType="end"/>
      </w:r>
      <w:bookmarkEnd w:id="860"/>
      <w:r>
        <w:rPr>
          <w:rFonts w:ascii="Times New Roman" w:hAnsi="Times New Roman" w:eastAsia="宋体" w:cs="Times New Roman"/>
          <w:b/>
          <w:kern w:val="2"/>
          <w:sz w:val="21"/>
          <w:szCs w:val="21"/>
          <w:lang w:val="en-US" w:eastAsia="zh-CN" w:bidi="ar-SA"/>
        </w:rPr>
        <w:t>本项目废水产生及排放情况一览表</w:t>
      </w:r>
    </w:p>
    <w:tbl>
      <w:tblPr>
        <w:tblStyle w:val="23"/>
        <w:tblW w:w="510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1434"/>
        <w:gridCol w:w="1589"/>
        <w:gridCol w:w="1192"/>
        <w:gridCol w:w="1323"/>
        <w:gridCol w:w="1213"/>
        <w:gridCol w:w="12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9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内容</w:t>
            </w:r>
          </w:p>
        </w:tc>
        <w:tc>
          <w:tcPr>
            <w:tcW w:w="1434"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废水排放量（t/a）</w:t>
            </w:r>
          </w:p>
        </w:tc>
        <w:tc>
          <w:tcPr>
            <w:tcW w:w="1589"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污染物名称</w:t>
            </w:r>
          </w:p>
        </w:tc>
        <w:tc>
          <w:tcPr>
            <w:tcW w:w="1192"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产生浓度（mg/L）</w:t>
            </w:r>
          </w:p>
        </w:tc>
        <w:tc>
          <w:tcPr>
            <w:tcW w:w="1323"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产生量（t/a）</w:t>
            </w:r>
          </w:p>
        </w:tc>
        <w:tc>
          <w:tcPr>
            <w:tcW w:w="1213"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排放浓度（mg/L）</w:t>
            </w:r>
          </w:p>
        </w:tc>
        <w:tc>
          <w:tcPr>
            <w:tcW w:w="124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生活污水</w:t>
            </w:r>
          </w:p>
        </w:tc>
        <w:tc>
          <w:tcPr>
            <w:tcW w:w="1434"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42</w:t>
            </w:r>
          </w:p>
        </w:tc>
        <w:tc>
          <w:tcPr>
            <w:tcW w:w="1589"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CODcr</w:t>
            </w:r>
          </w:p>
        </w:tc>
        <w:tc>
          <w:tcPr>
            <w:tcW w:w="1192"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300</w:t>
            </w:r>
          </w:p>
        </w:tc>
        <w:tc>
          <w:tcPr>
            <w:tcW w:w="1323"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0.130</w:t>
            </w:r>
          </w:p>
        </w:tc>
        <w:tc>
          <w:tcPr>
            <w:tcW w:w="1213"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300</w:t>
            </w:r>
          </w:p>
        </w:tc>
        <w:tc>
          <w:tcPr>
            <w:tcW w:w="124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0.130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1434"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1589"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SS</w:t>
            </w:r>
          </w:p>
        </w:tc>
        <w:tc>
          <w:tcPr>
            <w:tcW w:w="1192"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200</w:t>
            </w:r>
          </w:p>
        </w:tc>
        <w:tc>
          <w:tcPr>
            <w:tcW w:w="1323"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0.008</w:t>
            </w:r>
          </w:p>
        </w:tc>
        <w:tc>
          <w:tcPr>
            <w:tcW w:w="1213"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200</w:t>
            </w:r>
          </w:p>
        </w:tc>
        <w:tc>
          <w:tcPr>
            <w:tcW w:w="124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1434"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1589"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氨氮</w:t>
            </w:r>
          </w:p>
        </w:tc>
        <w:tc>
          <w:tcPr>
            <w:tcW w:w="1192"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30</w:t>
            </w:r>
          </w:p>
        </w:tc>
        <w:tc>
          <w:tcPr>
            <w:tcW w:w="1323"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0.001</w:t>
            </w:r>
          </w:p>
        </w:tc>
        <w:tc>
          <w:tcPr>
            <w:tcW w:w="1213"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30</w:t>
            </w:r>
          </w:p>
        </w:tc>
        <w:tc>
          <w:tcPr>
            <w:tcW w:w="1246"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0.001</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综上，本项目产生的废水主要是员工生活污水。项目年用水</w:t>
      </w:r>
      <w:r>
        <w:rPr>
          <w:rFonts w:hint="default" w:ascii="Times New Roman" w:hAnsi="Times New Roman" w:eastAsia="宋体" w:cs="宋体"/>
          <w:kern w:val="2"/>
          <w:sz w:val="24"/>
          <w:szCs w:val="24"/>
          <w:lang w:val="en-US" w:eastAsia="zh-CN" w:bidi="ar-SA"/>
        </w:rPr>
        <w:t>量</w:t>
      </w:r>
      <w:r>
        <w:rPr>
          <w:rFonts w:hint="eastAsia" w:ascii="Times New Roman" w:hAnsi="Times New Roman" w:eastAsia="宋体" w:cs="宋体"/>
          <w:kern w:val="2"/>
          <w:sz w:val="24"/>
          <w:szCs w:val="24"/>
          <w:lang w:val="en-US" w:eastAsia="zh-CN" w:bidi="ar-SA"/>
        </w:rPr>
        <w:t>52</w:t>
      </w:r>
      <w:r>
        <w:rPr>
          <w:rFonts w:hint="default" w:ascii="Times New Roman" w:hAnsi="Times New Roman" w:eastAsia="宋体" w:cs="宋体"/>
          <w:kern w:val="2"/>
          <w:sz w:val="24"/>
          <w:szCs w:val="24"/>
          <w:lang w:val="en-US" w:eastAsia="zh-CN" w:bidi="ar-SA"/>
        </w:rPr>
        <w:t>m³/a，年排水量为</w:t>
      </w:r>
      <w:r>
        <w:rPr>
          <w:rFonts w:hint="eastAsia" w:ascii="Times New Roman" w:hAnsi="Times New Roman" w:eastAsia="宋体" w:cs="宋体"/>
          <w:kern w:val="2"/>
          <w:sz w:val="24"/>
          <w:szCs w:val="24"/>
          <w:lang w:val="en-US" w:eastAsia="zh-CN" w:bidi="ar-SA"/>
        </w:rPr>
        <w:t>42</w:t>
      </w:r>
      <w:r>
        <w:rPr>
          <w:rFonts w:hint="default" w:ascii="Times New Roman" w:hAnsi="Times New Roman" w:eastAsia="宋体" w:cs="宋体"/>
          <w:kern w:val="2"/>
          <w:sz w:val="24"/>
          <w:szCs w:val="24"/>
          <w:lang w:val="en-US" w:eastAsia="zh-CN" w:bidi="ar-SA"/>
        </w:rPr>
        <w:t>m³/a。</w:t>
      </w:r>
    </w:p>
    <w:p>
      <w:pPr>
        <w:widowControl w:val="0"/>
        <w:numPr>
          <w:ilvl w:val="0"/>
          <w:numId w:val="11"/>
        </w:numPr>
        <w:tabs>
          <w:tab w:val="left" w:pos="5070"/>
        </w:tabs>
        <w:bidi w:val="0"/>
        <w:spacing w:line="360" w:lineRule="auto"/>
        <w:ind w:left="0" w:leftChars="0" w:firstLine="0" w:firstLineChars="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初期雨水自动进入园区雨水排放系统，由污水处理站收集处理。</w:t>
      </w:r>
    </w:p>
    <w:p>
      <w:pPr>
        <w:pStyle w:val="5"/>
        <w:bidi w:val="0"/>
        <w:rPr>
          <w:lang w:val="en-US" w:eastAsia="zh-CN"/>
        </w:rPr>
      </w:pPr>
      <w:bookmarkStart w:id="861" w:name="_Toc13582"/>
      <w:bookmarkStart w:id="862" w:name="OLE_LINK56"/>
      <w:r>
        <w:rPr>
          <w:rFonts w:hint="eastAsia"/>
          <w:lang w:val="en-US" w:eastAsia="zh-CN"/>
        </w:rPr>
        <w:t>废气污染物</w:t>
      </w:r>
      <w:bookmarkEnd w:id="861"/>
    </w:p>
    <w:p>
      <w:pPr>
        <w:widowControl w:val="0"/>
        <w:bidi w:val="0"/>
        <w:spacing w:line="360" w:lineRule="auto"/>
        <w:ind w:firstLine="480" w:firstLineChars="200"/>
        <w:jc w:val="left"/>
        <w:rPr>
          <w:rFonts w:hint="eastAsia" w:ascii="Times New Roman" w:hAnsi="Times New Roman" w:eastAsia="宋体" w:cs="宋体"/>
          <w:kern w:val="2"/>
          <w:sz w:val="24"/>
          <w:szCs w:val="24"/>
          <w:highlight w:val="none"/>
          <w:lang w:val="en-US" w:eastAsia="zh-CN" w:bidi="ar-SA"/>
        </w:rPr>
      </w:pPr>
      <w:r>
        <w:rPr>
          <w:rFonts w:hint="eastAsia" w:ascii="Times New Roman" w:hAnsi="Times New Roman" w:eastAsia="宋体" w:cs="宋体"/>
          <w:kern w:val="2"/>
          <w:sz w:val="24"/>
          <w:szCs w:val="24"/>
          <w:highlight w:val="none"/>
          <w:lang w:val="en-US" w:eastAsia="zh-CN" w:bidi="ar-SA"/>
        </w:rPr>
        <w:t>项目生产车间生产时，仅进、出料和加热搅拌过程中产生有机废气。废气主要成分为</w:t>
      </w:r>
      <w:r>
        <w:rPr>
          <w:rFonts w:hint="eastAsia" w:cs="宋体"/>
          <w:kern w:val="2"/>
          <w:sz w:val="24"/>
          <w:szCs w:val="24"/>
          <w:highlight w:val="none"/>
          <w:lang w:val="en-US" w:eastAsia="zh-CN" w:bidi="ar-SA"/>
        </w:rPr>
        <w:t>VOCs</w:t>
      </w:r>
      <w:r>
        <w:rPr>
          <w:rFonts w:hint="eastAsia" w:ascii="Times New Roman" w:hAnsi="Times New Roman" w:eastAsia="宋体" w:cs="宋体"/>
          <w:kern w:val="2"/>
          <w:sz w:val="24"/>
          <w:szCs w:val="24"/>
          <w:highlight w:val="none"/>
          <w:lang w:val="en-US" w:eastAsia="zh-CN" w:bidi="ar-SA"/>
        </w:rPr>
        <w:t>，本项目</w:t>
      </w:r>
      <w:r>
        <w:rPr>
          <w:rFonts w:hint="eastAsia" w:cs="宋体"/>
          <w:kern w:val="2"/>
          <w:sz w:val="24"/>
          <w:szCs w:val="24"/>
          <w:highlight w:val="none"/>
          <w:lang w:val="en-US" w:eastAsia="zh-CN" w:bidi="ar-SA"/>
        </w:rPr>
        <w:t>聚氨酯发泡胶材料</w:t>
      </w:r>
      <w:r>
        <w:rPr>
          <w:rFonts w:hint="eastAsia" w:ascii="Times New Roman" w:hAnsi="Times New Roman" w:eastAsia="宋体" w:cs="宋体"/>
          <w:kern w:val="2"/>
          <w:sz w:val="24"/>
          <w:szCs w:val="24"/>
          <w:highlight w:val="none"/>
          <w:lang w:val="en-US" w:eastAsia="zh-CN" w:bidi="ar-SA"/>
        </w:rPr>
        <w:t>合成</w:t>
      </w:r>
      <w:r>
        <w:rPr>
          <w:rFonts w:hint="eastAsia" w:cs="宋体"/>
          <w:kern w:val="2"/>
          <w:sz w:val="24"/>
          <w:szCs w:val="24"/>
          <w:highlight w:val="none"/>
          <w:lang w:val="en-US" w:eastAsia="zh-CN" w:bidi="ar-SA"/>
        </w:rPr>
        <w:t>不发生化学反应</w:t>
      </w:r>
      <w:r>
        <w:rPr>
          <w:rFonts w:hint="eastAsia" w:ascii="Times New Roman" w:hAnsi="Times New Roman" w:eastAsia="宋体" w:cs="宋体"/>
          <w:kern w:val="2"/>
          <w:sz w:val="24"/>
          <w:szCs w:val="24"/>
          <w:highlight w:val="none"/>
          <w:lang w:val="en-US" w:eastAsia="zh-CN" w:bidi="ar-SA"/>
        </w:rPr>
        <w:t>，没有副产物，各类原料的沸点均高于100℃，挥发性较小。废气主要成分选用</w:t>
      </w:r>
      <w:r>
        <w:rPr>
          <w:rFonts w:hint="eastAsia" w:cs="宋体"/>
          <w:kern w:val="2"/>
          <w:sz w:val="24"/>
          <w:szCs w:val="24"/>
          <w:highlight w:val="none"/>
          <w:lang w:val="en-US" w:eastAsia="zh-CN" w:bidi="ar-SA"/>
        </w:rPr>
        <w:t>VOCs</w:t>
      </w:r>
      <w:r>
        <w:rPr>
          <w:rFonts w:hint="eastAsia" w:ascii="Times New Roman" w:hAnsi="Times New Roman" w:eastAsia="宋体" w:cs="宋体"/>
          <w:kern w:val="2"/>
          <w:sz w:val="24"/>
          <w:szCs w:val="24"/>
          <w:highlight w:val="none"/>
          <w:lang w:val="en-US" w:eastAsia="zh-CN" w:bidi="ar-SA"/>
        </w:rPr>
        <w:t>进行监测和评价。</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除含MDI的三种原料外，其他三种原料均为高分子聚合物（分子量2000以上），沸点高，在80℃下不易挥发，产生的有机废气较少；</w:t>
      </w:r>
      <w:r>
        <w:rPr>
          <w:rFonts w:hint="eastAsia" w:cs="宋体"/>
          <w:kern w:val="2"/>
          <w:sz w:val="24"/>
          <w:szCs w:val="24"/>
          <w:lang w:val="en-US" w:eastAsia="zh-CN" w:bidi="ar-SA"/>
        </w:rPr>
        <w:t>聚氨酯发泡胶材料</w:t>
      </w:r>
      <w:r>
        <w:rPr>
          <w:rFonts w:hint="eastAsia" w:ascii="Times New Roman" w:hAnsi="Times New Roman" w:eastAsia="宋体" w:cs="宋体"/>
          <w:kern w:val="2"/>
          <w:sz w:val="24"/>
          <w:szCs w:val="24"/>
          <w:lang w:val="en-US" w:eastAsia="zh-CN" w:bidi="ar-SA"/>
        </w:rPr>
        <w:t>生产时，无反应废气产生，且罐体均为密闭，废气产生量小</w:t>
      </w:r>
      <w:r>
        <w:rPr>
          <w:rFonts w:hint="eastAsia" w:cs="宋体"/>
          <w:kern w:val="2"/>
          <w:sz w:val="24"/>
          <w:szCs w:val="24"/>
          <w:lang w:val="en-US" w:eastAsia="zh-CN" w:bidi="ar-SA"/>
        </w:rPr>
        <w:t>。VOCs</w:t>
      </w:r>
      <w:r>
        <w:rPr>
          <w:rFonts w:hint="eastAsia" w:ascii="Times New Roman" w:hAnsi="Times New Roman" w:eastAsia="宋体" w:cs="宋体"/>
          <w:kern w:val="2"/>
          <w:sz w:val="24"/>
          <w:szCs w:val="24"/>
          <w:lang w:val="en-US" w:eastAsia="zh-CN" w:bidi="ar-SA"/>
        </w:rPr>
        <w:t>主要来源于进、出料</w:t>
      </w:r>
      <w:r>
        <w:rPr>
          <w:rFonts w:hint="eastAsia" w:cs="宋体"/>
          <w:kern w:val="2"/>
          <w:sz w:val="24"/>
          <w:szCs w:val="24"/>
          <w:lang w:val="en-US" w:eastAsia="zh-CN" w:bidi="ar-SA"/>
        </w:rPr>
        <w:t>和加热搅拌</w:t>
      </w:r>
      <w:r>
        <w:rPr>
          <w:rFonts w:hint="eastAsia" w:ascii="Times New Roman" w:hAnsi="Times New Roman" w:eastAsia="宋体" w:cs="宋体"/>
          <w:kern w:val="2"/>
          <w:sz w:val="24"/>
          <w:szCs w:val="24"/>
          <w:lang w:val="en-US" w:eastAsia="zh-CN" w:bidi="ar-SA"/>
        </w:rPr>
        <w:t>过程，物料挥发产生的废气极少。</w:t>
      </w:r>
    </w:p>
    <w:p>
      <w:pPr>
        <w:pStyle w:val="25"/>
        <w:bidi w:val="0"/>
        <w:rPr>
          <w:rFonts w:hint="eastAsia"/>
          <w:u w:val="single"/>
          <w:lang w:val="en-US" w:eastAsia="zh-CN"/>
        </w:rPr>
      </w:pPr>
      <w:r>
        <w:rPr>
          <w:rFonts w:hint="eastAsia"/>
          <w:u w:val="single"/>
          <w:lang w:val="en-US" w:eastAsia="zh-CN"/>
        </w:rPr>
        <w:t>齐鲁质量鉴定有限公司于2018年11月对云华新材料现有工程污染源（年产4000t聚氨酯泡沫塑料）进行了验收监测，监测期间运行负荷89.6%，监测结果见表4-3。</w:t>
      </w:r>
    </w:p>
    <w:p>
      <w:pPr>
        <w:pStyle w:val="27"/>
        <w:bidi w:val="0"/>
        <w:rPr>
          <w:rFonts w:hint="default"/>
          <w:lang w:val="en-US" w:eastAsia="zh-CN"/>
        </w:rPr>
      </w:pPr>
      <w:r>
        <w:rPr>
          <w:rFonts w:hint="eastAsia"/>
          <w:lang w:val="en-US" w:eastAsia="zh-CN"/>
        </w:rPr>
        <w:t>表 4-3 云华项目现有工程废气监测</w:t>
      </w:r>
    </w:p>
    <w:p>
      <w:pPr>
        <w:pStyle w:val="25"/>
        <w:bidi w:val="0"/>
        <w:rPr>
          <w:rFonts w:hint="eastAsia"/>
          <w:u w:val="single"/>
          <w:lang w:val="en-US" w:eastAsia="zh-CN"/>
        </w:rPr>
      </w:pPr>
      <w:r>
        <w:rPr>
          <w:rFonts w:hint="eastAsia"/>
          <w:u w:val="single"/>
          <w:lang w:val="en-US" w:eastAsia="zh-CN"/>
        </w:rPr>
        <w:drawing>
          <wp:anchor distT="0" distB="0" distL="114300" distR="114300" simplePos="0" relativeHeight="1338288128" behindDoc="0" locked="0" layoutInCell="1" allowOverlap="1">
            <wp:simplePos x="0" y="0"/>
            <wp:positionH relativeFrom="column">
              <wp:posOffset>723900</wp:posOffset>
            </wp:positionH>
            <wp:positionV relativeFrom="paragraph">
              <wp:posOffset>29845</wp:posOffset>
            </wp:positionV>
            <wp:extent cx="4161155" cy="2216785"/>
            <wp:effectExtent l="0" t="0" r="10795" b="12065"/>
            <wp:wrapTopAndBottom/>
            <wp:docPr id="26" name="图片 26" descr="c5b4a8cdfc67466ab8cc53826e8aa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5b4a8cdfc67466ab8cc53826e8aa4f"/>
                    <pic:cNvPicPr>
                      <a:picLocks noChangeAspect="1"/>
                    </pic:cNvPicPr>
                  </pic:nvPicPr>
                  <pic:blipFill>
                    <a:blip r:embed="rId28"/>
                    <a:stretch>
                      <a:fillRect/>
                    </a:stretch>
                  </pic:blipFill>
                  <pic:spPr>
                    <a:xfrm>
                      <a:off x="0" y="0"/>
                      <a:ext cx="4161155" cy="2216785"/>
                    </a:xfrm>
                    <a:prstGeom prst="rect">
                      <a:avLst/>
                    </a:prstGeom>
                  </pic:spPr>
                </pic:pic>
              </a:graphicData>
            </a:graphic>
          </wp:anchor>
        </w:drawing>
      </w:r>
    </w:p>
    <w:p>
      <w:pPr>
        <w:pStyle w:val="25"/>
        <w:bidi w:val="0"/>
        <w:rPr>
          <w:rFonts w:hint="eastAsia"/>
          <w:u w:val="single"/>
          <w:lang w:val="en-US" w:eastAsia="zh-CN"/>
        </w:rPr>
      </w:pPr>
      <w:r>
        <w:rPr>
          <w:rFonts w:hint="eastAsia"/>
          <w:u w:val="single"/>
          <w:lang w:val="en-US" w:eastAsia="zh-CN"/>
        </w:rPr>
        <w:t>云华项目在验收监测期间，搅拌发泡工序有组织废气VOCs最大排放浓度为3.31mg/m</w:t>
      </w:r>
      <w:r>
        <w:rPr>
          <w:rFonts w:hint="eastAsia"/>
          <w:u w:val="single"/>
          <w:vertAlign w:val="superscript"/>
          <w:lang w:val="en-US" w:eastAsia="zh-CN"/>
        </w:rPr>
        <w:t>3</w:t>
      </w:r>
      <w:r>
        <w:rPr>
          <w:rFonts w:hint="eastAsia"/>
          <w:u w:val="single"/>
          <w:lang w:val="en-US" w:eastAsia="zh-CN"/>
        </w:rPr>
        <w:t>，最大排放速率为0.027kg/h。</w:t>
      </w:r>
    </w:p>
    <w:p>
      <w:pPr>
        <w:pStyle w:val="25"/>
        <w:bidi w:val="0"/>
        <w:rPr>
          <w:rFonts w:hint="eastAsia" w:ascii="Times New Roman" w:hAnsi="Times New Roman" w:eastAsia="宋体" w:cs="宋体"/>
          <w:kern w:val="2"/>
          <w:sz w:val="24"/>
          <w:szCs w:val="24"/>
          <w:highlight w:val="none"/>
          <w:lang w:val="en-US" w:eastAsia="zh-CN" w:bidi="ar-SA"/>
        </w:rPr>
      </w:pPr>
      <w:r>
        <w:rPr>
          <w:rFonts w:hint="eastAsia"/>
          <w:u w:val="single"/>
          <w:lang w:val="en-US" w:eastAsia="zh-CN"/>
        </w:rPr>
        <w:t>本项目VOCs主要来源是物料挥发，进、出料过程中产生有机废气分别通过</w:t>
      </w:r>
      <w:r>
        <w:rPr>
          <w:rFonts w:hint="eastAsia" w:ascii="Times New Roman" w:hAnsi="Times New Roman" w:eastAsia="宋体" w:cs="宋体"/>
          <w:kern w:val="2"/>
          <w:sz w:val="24"/>
          <w:szCs w:val="24"/>
          <w:highlight w:val="none"/>
          <w:u w:val="single"/>
          <w:lang w:val="en-US" w:eastAsia="zh-CN" w:bidi="ar-SA"/>
        </w:rPr>
        <w:t>混合搅拌罐</w:t>
      </w:r>
      <w:r>
        <w:rPr>
          <w:rFonts w:hint="eastAsia" w:ascii="Times New Roman" w:hAnsi="Times New Roman" w:cs="宋体"/>
          <w:kern w:val="2"/>
          <w:sz w:val="24"/>
          <w:szCs w:val="24"/>
          <w:highlight w:val="none"/>
          <w:u w:val="single"/>
          <w:lang w:val="en-US" w:eastAsia="zh-CN" w:bidi="ar-SA"/>
        </w:rPr>
        <w:t>进、出料口排出</w:t>
      </w:r>
      <w:r>
        <w:rPr>
          <w:rFonts w:hint="eastAsia"/>
          <w:u w:val="single"/>
          <w:lang w:val="en-US" w:eastAsia="zh-CN"/>
        </w:rPr>
        <w:t>，</w:t>
      </w:r>
      <w:r>
        <w:rPr>
          <w:rFonts w:hint="eastAsia" w:ascii="Times New Roman" w:hAnsi="Times New Roman" w:cs="宋体"/>
          <w:kern w:val="2"/>
          <w:sz w:val="24"/>
          <w:szCs w:val="24"/>
          <w:highlight w:val="none"/>
          <w:u w:val="single"/>
          <w:lang w:val="en-US" w:eastAsia="zh-CN" w:bidi="ar-SA"/>
        </w:rPr>
        <w:t>加热搅拌过程中产生</w:t>
      </w:r>
      <w:r>
        <w:rPr>
          <w:rFonts w:hint="eastAsia" w:ascii="Times New Roman" w:hAnsi="Times New Roman" w:eastAsia="宋体" w:cs="宋体"/>
          <w:kern w:val="2"/>
          <w:sz w:val="24"/>
          <w:szCs w:val="24"/>
          <w:highlight w:val="none"/>
          <w:u w:val="single"/>
          <w:lang w:val="en-US" w:eastAsia="zh-CN" w:bidi="ar-SA"/>
        </w:rPr>
        <w:t>的有机废气通过进料口排出</w:t>
      </w:r>
      <w:r>
        <w:rPr>
          <w:rFonts w:hint="eastAsia" w:ascii="Times New Roman" w:hAnsi="Times New Roman" w:cs="宋体"/>
          <w:kern w:val="2"/>
          <w:sz w:val="24"/>
          <w:szCs w:val="24"/>
          <w:highlight w:val="none"/>
          <w:u w:val="single"/>
          <w:lang w:val="en-US" w:eastAsia="zh-CN" w:bidi="ar-SA"/>
        </w:rPr>
        <w:t>。</w:t>
      </w:r>
      <w:r>
        <w:rPr>
          <w:rFonts w:hint="eastAsia" w:ascii="Times New Roman" w:hAnsi="Times New Roman" w:eastAsia="宋体" w:cs="宋体"/>
          <w:kern w:val="2"/>
          <w:sz w:val="24"/>
          <w:szCs w:val="24"/>
          <w:highlight w:val="none"/>
          <w:lang w:val="en-US" w:eastAsia="zh-CN" w:bidi="ar-SA"/>
        </w:rPr>
        <w:t>本项目在搅拌罐进料口和出料口处设置集气罩，将有机废气收集后</w:t>
      </w:r>
      <w:r>
        <w:rPr>
          <w:color w:val="000000"/>
          <w:u w:val="none"/>
        </w:rPr>
        <w:t>通过UV光解净化器</w:t>
      </w:r>
      <w:r>
        <w:rPr>
          <w:rFonts w:hint="eastAsia"/>
          <w:color w:val="000000"/>
          <w:u w:val="none"/>
          <w:lang w:val="en-US" w:eastAsia="zh-CN"/>
        </w:rPr>
        <w:t>+</w:t>
      </w:r>
      <w:r>
        <w:rPr>
          <w:rFonts w:hint="eastAsia" w:ascii="Times New Roman" w:hAnsi="Times New Roman" w:eastAsia="宋体" w:cs="宋体"/>
          <w:kern w:val="2"/>
          <w:sz w:val="24"/>
          <w:szCs w:val="24"/>
          <w:highlight w:val="none"/>
          <w:lang w:val="en-US" w:eastAsia="zh-CN" w:bidi="ar-SA"/>
        </w:rPr>
        <w:t>活性炭吸附装置处理，再经</w:t>
      </w:r>
      <w:r>
        <w:rPr>
          <w:rFonts w:hint="eastAsia" w:cs="宋体"/>
          <w:kern w:val="2"/>
          <w:sz w:val="24"/>
          <w:szCs w:val="24"/>
          <w:highlight w:val="none"/>
          <w:lang w:val="en-US" w:eastAsia="zh-CN" w:bidi="ar-SA"/>
        </w:rPr>
        <w:t>21m排气筒</w:t>
      </w:r>
      <w:r>
        <w:rPr>
          <w:rFonts w:hint="eastAsia" w:ascii="Times New Roman" w:hAnsi="Times New Roman" w:eastAsia="宋体" w:cs="宋体"/>
          <w:kern w:val="2"/>
          <w:sz w:val="24"/>
          <w:szCs w:val="24"/>
          <w:highlight w:val="none"/>
          <w:lang w:val="en-US" w:eastAsia="zh-CN" w:bidi="ar-SA"/>
        </w:rPr>
        <w:t>排放。集气罩收集效率约</w:t>
      </w:r>
      <w:r>
        <w:rPr>
          <w:rFonts w:hint="eastAsia" w:ascii="Times New Roman" w:hAnsi="Times New Roman" w:cs="宋体"/>
          <w:kern w:val="2"/>
          <w:sz w:val="24"/>
          <w:szCs w:val="24"/>
          <w:highlight w:val="none"/>
          <w:lang w:val="en-US" w:eastAsia="zh-CN" w:bidi="ar-SA"/>
        </w:rPr>
        <w:t>8</w:t>
      </w:r>
      <w:r>
        <w:rPr>
          <w:rFonts w:hint="eastAsia" w:ascii="Times New Roman" w:hAnsi="Times New Roman" w:eastAsia="宋体" w:cs="宋体"/>
          <w:kern w:val="2"/>
          <w:sz w:val="24"/>
          <w:szCs w:val="24"/>
          <w:highlight w:val="none"/>
          <w:lang w:val="en-US" w:eastAsia="zh-CN" w:bidi="ar-SA"/>
        </w:rPr>
        <w:t>0%，</w:t>
      </w:r>
      <w:r>
        <w:rPr>
          <w:rFonts w:ascii="Times New Roman" w:hAnsi="Times New Roman" w:eastAsia="宋体" w:cs="宋体"/>
          <w:kern w:val="2"/>
          <w:sz w:val="24"/>
          <w:szCs w:val="24"/>
          <w:highlight w:val="none"/>
          <w:lang w:val="en-US" w:eastAsia="zh-CN" w:bidi="ar-SA"/>
        </w:rPr>
        <w:t>其余10%以无组织形式排放</w:t>
      </w:r>
      <w:r>
        <w:rPr>
          <w:rFonts w:hint="eastAsia" w:ascii="Times New Roman" w:hAnsi="Times New Roman" w:cs="宋体"/>
          <w:kern w:val="2"/>
          <w:sz w:val="24"/>
          <w:szCs w:val="24"/>
          <w:highlight w:val="none"/>
          <w:lang w:val="en-US" w:eastAsia="zh-CN" w:bidi="ar-SA"/>
        </w:rPr>
        <w:t>，</w:t>
      </w:r>
      <w:r>
        <w:rPr>
          <w:rFonts w:hint="eastAsia" w:ascii="Times New Roman" w:hAnsi="Times New Roman" w:eastAsia="宋体" w:cs="宋体"/>
          <w:kern w:val="2"/>
          <w:sz w:val="24"/>
          <w:szCs w:val="24"/>
          <w:highlight w:val="none"/>
          <w:lang w:val="en-US" w:eastAsia="zh-CN" w:bidi="ar-SA"/>
        </w:rPr>
        <w:t>风机排气量为10000m</w:t>
      </w:r>
      <w:r>
        <w:rPr>
          <w:rFonts w:hint="eastAsia" w:ascii="Times New Roman" w:hAnsi="Times New Roman" w:eastAsia="宋体" w:cs="宋体"/>
          <w:kern w:val="2"/>
          <w:sz w:val="24"/>
          <w:szCs w:val="24"/>
          <w:highlight w:val="none"/>
          <w:vertAlign w:val="superscript"/>
          <w:lang w:val="en-US" w:eastAsia="zh-CN" w:bidi="ar-SA"/>
        </w:rPr>
        <w:t>3</w:t>
      </w:r>
      <w:r>
        <w:rPr>
          <w:rFonts w:hint="eastAsia" w:ascii="Times New Roman" w:hAnsi="Times New Roman" w:eastAsia="宋体" w:cs="宋体"/>
          <w:kern w:val="2"/>
          <w:sz w:val="24"/>
          <w:szCs w:val="24"/>
          <w:highlight w:val="none"/>
          <w:lang w:val="en-US" w:eastAsia="zh-CN" w:bidi="ar-SA"/>
        </w:rPr>
        <w:t>/h</w:t>
      </w:r>
      <w:r>
        <w:rPr>
          <w:rFonts w:hint="eastAsia" w:ascii="Times New Roman" w:hAnsi="Times New Roman" w:cs="宋体"/>
          <w:kern w:val="2"/>
          <w:sz w:val="24"/>
          <w:szCs w:val="24"/>
          <w:highlight w:val="none"/>
          <w:lang w:val="en-US" w:eastAsia="zh-CN" w:bidi="ar-SA"/>
        </w:rPr>
        <w:t>。</w:t>
      </w:r>
      <w:r>
        <w:rPr>
          <w:rFonts w:hint="eastAsia" w:ascii="Times New Roman" w:hAnsi="Times New Roman" w:eastAsia="宋体" w:cs="宋体"/>
          <w:kern w:val="2"/>
          <w:sz w:val="24"/>
          <w:szCs w:val="24"/>
          <w:highlight w:val="none"/>
          <w:u w:val="single"/>
          <w:lang w:val="en-US" w:eastAsia="zh-CN" w:bidi="ar-SA"/>
        </w:rPr>
        <w:t>根据《湖南省制造业（工业涂装）VOCs排放量测算技术指南》活性炭吸附治理效率80%，UV光催化氧化处理效率70%，当存在两种或两种以上治理设施联合处理时，处理效率按下式计算</w:t>
      </w:r>
      <w:r>
        <w:rPr>
          <w:rFonts w:hint="eastAsia" w:ascii="Times New Roman" w:hAnsi="Times New Roman" w:eastAsia="宋体" w:cs="宋体"/>
          <w:kern w:val="2"/>
          <w:sz w:val="24"/>
          <w:szCs w:val="24"/>
          <w:highlight w:val="none"/>
          <w:lang w:val="en-US" w:eastAsia="zh-CN" w:bidi="ar-SA"/>
        </w:rPr>
        <w:t>：</w:t>
      </w:r>
    </w:p>
    <w:p>
      <w:pPr>
        <w:pStyle w:val="38"/>
        <w:ind w:firstLine="480"/>
        <w:rPr>
          <w:rFonts w:hint="eastAsia"/>
          <w:color w:val="000000"/>
          <w:u w:val="single"/>
        </w:rPr>
      </w:pPr>
      <w:r>
        <w:rPr>
          <w:rFonts w:hint="eastAsia"/>
          <w:color w:val="000000"/>
          <w:u w:val="single"/>
        </w:rPr>
        <w:t>η=1-（1-η</w:t>
      </w:r>
      <w:r>
        <w:rPr>
          <w:rFonts w:hint="eastAsia"/>
          <w:color w:val="000000"/>
          <w:u w:val="single"/>
          <w:vertAlign w:val="subscript"/>
        </w:rPr>
        <w:t>1</w:t>
      </w:r>
      <w:r>
        <w:rPr>
          <w:rFonts w:hint="eastAsia"/>
          <w:color w:val="000000"/>
          <w:u w:val="single"/>
        </w:rPr>
        <w:t>）×（1-η</w:t>
      </w:r>
      <w:r>
        <w:rPr>
          <w:rFonts w:hint="eastAsia"/>
          <w:color w:val="000000"/>
          <w:u w:val="single"/>
          <w:vertAlign w:val="subscript"/>
        </w:rPr>
        <w:t>2</w:t>
      </w:r>
      <w:r>
        <w:rPr>
          <w:rFonts w:hint="eastAsia"/>
          <w:color w:val="000000"/>
          <w:u w:val="single"/>
        </w:rPr>
        <w:t>）×···×（1-η</w:t>
      </w:r>
      <w:r>
        <w:rPr>
          <w:rFonts w:hint="eastAsia"/>
          <w:color w:val="000000"/>
          <w:u w:val="single"/>
          <w:vertAlign w:val="subscript"/>
        </w:rPr>
        <w:t>i</w:t>
      </w:r>
      <w:r>
        <w:rPr>
          <w:rFonts w:hint="eastAsia"/>
          <w:color w:val="000000"/>
          <w:u w:val="single"/>
        </w:rPr>
        <w:t>）</w:t>
      </w:r>
    </w:p>
    <w:p>
      <w:pPr>
        <w:pStyle w:val="38"/>
        <w:ind w:firstLine="480"/>
        <w:rPr>
          <w:rFonts w:hint="eastAsia"/>
          <w:color w:val="000000"/>
          <w:u w:val="single"/>
        </w:rPr>
      </w:pPr>
      <w:r>
        <w:rPr>
          <w:rFonts w:hint="eastAsia"/>
          <w:color w:val="000000"/>
          <w:u w:val="single"/>
        </w:rPr>
        <w:t>式中：η</w:t>
      </w:r>
      <w:r>
        <w:rPr>
          <w:rFonts w:hint="eastAsia"/>
          <w:color w:val="000000"/>
          <w:u w:val="single"/>
          <w:vertAlign w:val="subscript"/>
        </w:rPr>
        <w:t>i</w:t>
      </w:r>
      <w:r>
        <w:rPr>
          <w:rFonts w:hint="eastAsia"/>
          <w:color w:val="000000"/>
          <w:u w:val="single"/>
        </w:rPr>
        <w:t>为第i种治理设施的处理效率；</w:t>
      </w:r>
    </w:p>
    <w:p>
      <w:pPr>
        <w:pStyle w:val="38"/>
        <w:ind w:firstLine="480"/>
        <w:rPr>
          <w:rFonts w:hint="eastAsia"/>
          <w:color w:val="000000"/>
          <w:u w:val="single"/>
        </w:rPr>
      </w:pPr>
      <w:r>
        <w:rPr>
          <w:rFonts w:hint="eastAsia"/>
          <w:color w:val="000000"/>
          <w:u w:val="single"/>
        </w:rPr>
        <w:t>因此UV光解+活性炭吸附组合处理效率为94%。</w:t>
      </w:r>
    </w:p>
    <w:p>
      <w:pPr>
        <w:pStyle w:val="25"/>
        <w:bidi w:val="0"/>
        <w:rPr>
          <w:rFonts w:hint="default"/>
          <w:u w:val="single"/>
          <w:vertAlign w:val="baseline"/>
          <w:lang w:val="en-US" w:eastAsia="zh-CN"/>
        </w:rPr>
      </w:pPr>
      <w:r>
        <w:rPr>
          <w:rFonts w:hint="eastAsia"/>
          <w:u w:val="single"/>
          <w:lang w:val="en-US" w:eastAsia="zh-CN"/>
        </w:rPr>
        <w:t>类比《山东云华新材料有限公司年产6000吨聚氨酯泡沫塑料建设项目环境影响报告书》现有工程污染源VOCs排放情况，预测本项目VOCs最大排放量为0.31t/a，有组织废气VOCs最大排放量为0.11t/a，最大排放浓度为5.38mg/m</w:t>
      </w:r>
      <w:r>
        <w:rPr>
          <w:rFonts w:hint="eastAsia"/>
          <w:u w:val="single"/>
          <w:vertAlign w:val="superscript"/>
          <w:lang w:val="en-US" w:eastAsia="zh-CN"/>
        </w:rPr>
        <w:t>3</w:t>
      </w:r>
      <w:r>
        <w:rPr>
          <w:rFonts w:hint="eastAsia"/>
          <w:u w:val="single"/>
          <w:vertAlign w:val="baseline"/>
          <w:lang w:val="en-US" w:eastAsia="zh-CN"/>
        </w:rPr>
        <w:t>，最大排放速率为0.053</w:t>
      </w:r>
      <w:r>
        <w:rPr>
          <w:rFonts w:hint="eastAsia"/>
          <w:u w:val="single"/>
          <w:lang w:val="en-US" w:eastAsia="zh-CN"/>
        </w:rPr>
        <w:t>kg/h；无组织废气VOCs最大排放量为0.20t/a，</w:t>
      </w:r>
      <w:r>
        <w:rPr>
          <w:rFonts w:hint="eastAsia"/>
          <w:u w:val="single"/>
          <w:vertAlign w:val="baseline"/>
          <w:lang w:val="en-US" w:eastAsia="zh-CN"/>
        </w:rPr>
        <w:t>最大排放速率为0.096</w:t>
      </w:r>
      <w:r>
        <w:rPr>
          <w:rFonts w:hint="eastAsia"/>
          <w:u w:val="single"/>
          <w:lang w:val="en-US" w:eastAsia="zh-CN"/>
        </w:rPr>
        <w:t>kg/h。</w:t>
      </w:r>
    </w:p>
    <w:p>
      <w:pPr>
        <w:pStyle w:val="5"/>
        <w:bidi w:val="0"/>
        <w:rPr>
          <w:lang w:val="en-US" w:eastAsia="zh-CN"/>
        </w:rPr>
      </w:pPr>
      <w:bookmarkStart w:id="863" w:name="_Toc16478"/>
      <w:r>
        <w:rPr>
          <w:lang w:val="en-US" w:eastAsia="zh-CN"/>
        </w:rPr>
        <w:t>噪声污染源</w:t>
      </w:r>
      <w:bookmarkEnd w:id="863"/>
    </w:p>
    <w:bookmarkEnd w:id="862"/>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本项目在生产过程中会使用到混合搅拌罐等高噪声设备，设备在运行过程中会产生噪声污染。</w:t>
      </w:r>
      <w:r>
        <w:rPr>
          <w:rFonts w:hint="default" w:ascii="Times New Roman" w:hAnsi="Times New Roman" w:eastAsia="宋体" w:cs="宋体"/>
          <w:kern w:val="2"/>
          <w:sz w:val="24"/>
          <w:szCs w:val="24"/>
          <w:lang w:val="en-US" w:eastAsia="zh-CN" w:bidi="ar-SA"/>
        </w:rPr>
        <w:t>本项目</w:t>
      </w:r>
      <w:r>
        <w:rPr>
          <w:rFonts w:hint="eastAsia" w:ascii="Times New Roman" w:hAnsi="Times New Roman" w:eastAsia="宋体" w:cs="宋体"/>
          <w:kern w:val="2"/>
          <w:sz w:val="24"/>
          <w:szCs w:val="24"/>
          <w:lang w:val="en-US" w:eastAsia="zh-CN" w:bidi="ar-SA"/>
        </w:rPr>
        <w:t>主要</w:t>
      </w:r>
      <w:r>
        <w:rPr>
          <w:rFonts w:hint="default" w:ascii="Times New Roman" w:hAnsi="Times New Roman" w:eastAsia="宋体" w:cs="宋体"/>
          <w:kern w:val="2"/>
          <w:sz w:val="24"/>
          <w:szCs w:val="24"/>
          <w:lang w:val="en-US" w:eastAsia="zh-CN" w:bidi="ar-SA"/>
        </w:rPr>
        <w:t>噪声设备源强</w:t>
      </w:r>
      <w:r>
        <w:rPr>
          <w:rFonts w:hint="eastAsia" w:ascii="Times New Roman" w:hAnsi="Times New Roman" w:eastAsia="宋体" w:cs="宋体"/>
          <w:kern w:val="2"/>
          <w:sz w:val="24"/>
          <w:szCs w:val="24"/>
          <w:lang w:val="en-US" w:eastAsia="zh-CN" w:bidi="ar-SA"/>
        </w:rPr>
        <w:t>情况</w:t>
      </w:r>
      <w:r>
        <w:rPr>
          <w:rFonts w:hint="default" w:ascii="Times New Roman" w:hAnsi="Times New Roman" w:eastAsia="宋体" w:cs="宋体"/>
          <w:kern w:val="2"/>
          <w:sz w:val="24"/>
          <w:szCs w:val="24"/>
          <w:lang w:val="en-US" w:eastAsia="zh-CN" w:bidi="ar-SA"/>
        </w:rPr>
        <w:t>见</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_Ref25128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4</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hint="eastAsia" w:cs="宋体"/>
          <w:kern w:val="2"/>
          <w:sz w:val="24"/>
          <w:szCs w:val="24"/>
          <w:lang w:val="en-US" w:eastAsia="zh-CN" w:bidi="ar-SA"/>
        </w:rPr>
        <w:t>4</w:t>
      </w:r>
      <w:r>
        <w:rPr>
          <w:rFonts w:hint="default"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kern w:val="2"/>
          <w:sz w:val="21"/>
          <w:szCs w:val="21"/>
          <w:lang w:val="en-US" w:eastAsia="zh-CN" w:bidi="ar-SA"/>
        </w:rPr>
      </w:pPr>
      <w:bookmarkStart w:id="864" w:name="_Ref25128"/>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bookmarkEnd w:id="864"/>
      <w:r>
        <w:rPr>
          <w:rFonts w:hint="eastAsia"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t>项目的主要噪声源强表 单位：dB(A)</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2711"/>
        <w:gridCol w:w="2249"/>
        <w:gridCol w:w="22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序号</w:t>
            </w:r>
          </w:p>
        </w:tc>
        <w:tc>
          <w:tcPr>
            <w:tcW w:w="271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名称</w:t>
            </w:r>
          </w:p>
        </w:tc>
        <w:tc>
          <w:tcPr>
            <w:tcW w:w="2249"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数量（台/个）</w:t>
            </w:r>
          </w:p>
        </w:tc>
        <w:tc>
          <w:tcPr>
            <w:tcW w:w="2249"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单机源强dB（A）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1</w:t>
            </w:r>
          </w:p>
        </w:tc>
        <w:tc>
          <w:tcPr>
            <w:tcW w:w="271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混合搅拌罐</w:t>
            </w:r>
          </w:p>
        </w:tc>
        <w:tc>
          <w:tcPr>
            <w:tcW w:w="2249"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w:t>
            </w:r>
          </w:p>
        </w:tc>
        <w:tc>
          <w:tcPr>
            <w:tcW w:w="2249"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75~80</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所有设备均按照工业设备安装的有关规范安装，采取减振隔声措施，且大多数噪声源设置在室内</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采用隔声房或隔声罩等隔声措施进行处理；另外在厂区四周设置绿化带，以降低噪声对环境的影响，使厂界噪声达到《工业企业厂界环境噪声排放标准》（GB12348－2008）</w:t>
      </w:r>
      <w:r>
        <w:rPr>
          <w:rFonts w:hint="eastAsia" w:ascii="Times New Roman" w:hAnsi="Times New Roman" w:eastAsia="宋体" w:cs="宋体"/>
          <w:kern w:val="2"/>
          <w:sz w:val="24"/>
          <w:szCs w:val="24"/>
          <w:lang w:val="en-US" w:eastAsia="zh-CN" w:bidi="ar-SA"/>
        </w:rPr>
        <w:t>3</w:t>
      </w:r>
      <w:r>
        <w:rPr>
          <w:rFonts w:ascii="Times New Roman" w:hAnsi="Times New Roman" w:eastAsia="宋体" w:cs="宋体"/>
          <w:kern w:val="2"/>
          <w:sz w:val="24"/>
          <w:szCs w:val="24"/>
          <w:lang w:val="en-US" w:eastAsia="zh-CN" w:bidi="ar-SA"/>
        </w:rPr>
        <w:t>类标准。</w:t>
      </w:r>
    </w:p>
    <w:p>
      <w:pPr>
        <w:pStyle w:val="5"/>
        <w:bidi w:val="0"/>
        <w:rPr>
          <w:lang w:val="en-US" w:eastAsia="zh-CN"/>
        </w:rPr>
      </w:pPr>
      <w:bookmarkStart w:id="865" w:name="_Toc28311"/>
      <w:bookmarkStart w:id="866" w:name="OLE_LINK55"/>
      <w:r>
        <w:rPr>
          <w:lang w:val="en-US" w:eastAsia="zh-CN"/>
        </w:rPr>
        <w:t>固体废弃物污染源</w:t>
      </w:r>
      <w:bookmarkEnd w:id="865"/>
    </w:p>
    <w:p>
      <w:pPr>
        <w:pStyle w:val="36"/>
        <w:keepNext w:val="0"/>
        <w:keepLines w:val="0"/>
        <w:pageBreakBefore w:val="0"/>
        <w:widowControl w:val="0"/>
        <w:numPr>
          <w:ilvl w:val="0"/>
          <w:numId w:val="0"/>
        </w:numPr>
        <w:kinsoku/>
        <w:wordWrap/>
        <w:overflowPunct/>
        <w:topLinePunct w:val="0"/>
        <w:bidi w:val="0"/>
        <w:spacing w:line="480" w:lineRule="exact"/>
        <w:ind w:firstLine="720" w:firstLineChars="3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本项目营运后产生的固体废物主要为</w:t>
      </w:r>
      <w:r>
        <w:rPr>
          <w:rFonts w:hint="eastAsia" w:ascii="Times New Roman" w:cs="Times New Roman"/>
          <w:sz w:val="24"/>
          <w:szCs w:val="24"/>
          <w:lang w:val="en-US" w:eastAsia="zh-CN"/>
        </w:rPr>
        <w:t>原料桶标签纸、</w:t>
      </w:r>
      <w:r>
        <w:rPr>
          <w:rFonts w:hint="eastAsia" w:ascii="Times New Roman" w:hAnsi="Times New Roman" w:eastAsia="宋体" w:cs="Times New Roman"/>
          <w:kern w:val="2"/>
          <w:sz w:val="24"/>
          <w:szCs w:val="22"/>
          <w:u w:val="none"/>
          <w:lang w:val="en-US" w:eastAsia="zh-CN" w:bidi="ar-SA"/>
        </w:rPr>
        <w:t>破损</w:t>
      </w:r>
      <w:r>
        <w:rPr>
          <w:rFonts w:hint="default" w:ascii="Times New Roman" w:hAnsi="Times New Roman" w:eastAsia="宋体" w:cs="Times New Roman"/>
          <w:sz w:val="24"/>
          <w:szCs w:val="24"/>
          <w:lang w:val="en-US" w:eastAsia="zh-CN"/>
        </w:rPr>
        <w:t>包装桶</w:t>
      </w:r>
      <w:r>
        <w:rPr>
          <w:rFonts w:hint="eastAsia" w:ascii="Times New Roman" w:cs="Times New Roman"/>
          <w:sz w:val="24"/>
          <w:szCs w:val="24"/>
          <w:lang w:val="en-US" w:eastAsia="zh-CN"/>
        </w:rPr>
        <w:t>、</w:t>
      </w:r>
      <w:r>
        <w:rPr>
          <w:rFonts w:hint="eastAsia" w:cs="宋体"/>
          <w:kern w:val="2"/>
          <w:sz w:val="24"/>
          <w:szCs w:val="24"/>
          <w:lang w:val="en-US" w:eastAsia="zh-CN" w:bidi="ar-SA"/>
        </w:rPr>
        <w:t>实验室固废、</w:t>
      </w:r>
      <w:r>
        <w:rPr>
          <w:rFonts w:hint="eastAsia" w:ascii="Times New Roman" w:cs="Times New Roman"/>
          <w:sz w:val="24"/>
          <w:szCs w:val="24"/>
          <w:lang w:val="en-US" w:eastAsia="zh-CN"/>
        </w:rPr>
        <w:t>废活性炭、电动叉车废弃电瓶和</w:t>
      </w:r>
      <w:r>
        <w:rPr>
          <w:rFonts w:hint="default" w:ascii="Times New Roman" w:hAnsi="Times New Roman" w:eastAsia="宋体" w:cs="Times New Roman"/>
          <w:sz w:val="24"/>
          <w:szCs w:val="24"/>
          <w:lang w:val="en-US" w:eastAsia="zh-CN"/>
        </w:rPr>
        <w:t>生活垃圾</w:t>
      </w:r>
      <w:r>
        <w:rPr>
          <w:rFonts w:hint="eastAsia" w:ascii="Times New Roman" w:eastAsia="宋体" w:cs="Times New Roman"/>
          <w:sz w:val="24"/>
          <w:szCs w:val="24"/>
          <w:lang w:val="en-US" w:eastAsia="zh-CN"/>
        </w:rPr>
        <w:t>。</w:t>
      </w:r>
    </w:p>
    <w:p>
      <w:pPr>
        <w:pStyle w:val="36"/>
        <w:keepNext w:val="0"/>
        <w:keepLines w:val="0"/>
        <w:pageBreakBefore w:val="0"/>
        <w:widowControl w:val="0"/>
        <w:numPr>
          <w:ilvl w:val="0"/>
          <w:numId w:val="14"/>
        </w:numPr>
        <w:kinsoku/>
        <w:wordWrap/>
        <w:overflowPunct/>
        <w:topLinePunct w:val="0"/>
        <w:bidi w:val="0"/>
        <w:spacing w:line="48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生活垃圾</w:t>
      </w:r>
    </w:p>
    <w:p>
      <w:pPr>
        <w:pStyle w:val="36"/>
        <w:keepNext w:val="0"/>
        <w:keepLines w:val="0"/>
        <w:pageBreakBefore w:val="0"/>
        <w:widowControl w:val="0"/>
        <w:kinsoku/>
        <w:wordWrap/>
        <w:overflowPunct/>
        <w:topLinePunct w:val="0"/>
        <w:bidi w:val="0"/>
        <w:spacing w:line="480" w:lineRule="exact"/>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本项目建成后</w:t>
      </w:r>
      <w:r>
        <w:rPr>
          <w:rFonts w:hint="eastAsia" w:ascii="Times New Roman" w:cs="Times New Roman"/>
          <w:sz w:val="24"/>
          <w:szCs w:val="24"/>
          <w:lang w:val="en-US" w:eastAsia="zh-CN"/>
        </w:rPr>
        <w:t>员工</w:t>
      </w:r>
      <w:r>
        <w:rPr>
          <w:rFonts w:hint="eastAsia" w:ascii="Times New Roman" w:hAnsi="Times New Roman" w:eastAsia="宋体" w:cs="Times New Roman"/>
          <w:sz w:val="24"/>
          <w:szCs w:val="24"/>
          <w:lang w:val="en-US" w:eastAsia="zh-CN"/>
        </w:rPr>
        <w:t>定员4人，生活垃圾产生量按1kg/人·d，年工作日260天计算，则生活垃圾产生量约为</w:t>
      </w:r>
      <w:r>
        <w:rPr>
          <w:rFonts w:hint="eastAsia" w:ascii="Times New Roman" w:cs="Times New Roman"/>
          <w:sz w:val="24"/>
          <w:szCs w:val="24"/>
          <w:lang w:val="en-US" w:eastAsia="zh-CN"/>
        </w:rPr>
        <w:t>1.6t/a</w:t>
      </w:r>
      <w:r>
        <w:rPr>
          <w:rFonts w:hint="eastAsia" w:ascii="Times New Roman" w:hAnsi="Times New Roman" w:eastAsia="宋体" w:cs="Times New Roman"/>
          <w:sz w:val="24"/>
          <w:szCs w:val="24"/>
          <w:lang w:val="en-US" w:eastAsia="zh-CN"/>
        </w:rPr>
        <w:t>。</w:t>
      </w:r>
    </w:p>
    <w:p>
      <w:pPr>
        <w:pStyle w:val="36"/>
        <w:keepNext w:val="0"/>
        <w:keepLines w:val="0"/>
        <w:pageBreakBefore w:val="0"/>
        <w:widowControl w:val="0"/>
        <w:numPr>
          <w:ilvl w:val="0"/>
          <w:numId w:val="0"/>
        </w:numPr>
        <w:kinsoku/>
        <w:wordWrap/>
        <w:overflowPunct/>
        <w:topLinePunct w:val="0"/>
        <w:bidi w:val="0"/>
        <w:spacing w:line="480" w:lineRule="exact"/>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eastAsia" w:ascii="Times New Roman"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kern w:val="2"/>
          <w:sz w:val="24"/>
          <w:szCs w:val="22"/>
          <w:u w:val="none"/>
          <w:lang w:val="en-US" w:eastAsia="zh-CN" w:bidi="ar-SA"/>
        </w:rPr>
        <w:t>原料桶标签纸</w:t>
      </w:r>
    </w:p>
    <w:p>
      <w:pPr>
        <w:pStyle w:val="36"/>
        <w:keepNext w:val="0"/>
        <w:keepLines w:val="0"/>
        <w:pageBreakBefore w:val="0"/>
        <w:widowControl w:val="0"/>
        <w:numPr>
          <w:ilvl w:val="0"/>
          <w:numId w:val="0"/>
        </w:numPr>
        <w:kinsoku/>
        <w:wordWrap/>
        <w:overflowPunct/>
        <w:topLinePunct w:val="0"/>
        <w:bidi w:val="0"/>
        <w:spacing w:line="480" w:lineRule="exact"/>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本项目原料桶标签纸用于产品的包装，每年使用原料桶约3万只，原料桶标签纸按0.0</w:t>
      </w:r>
      <w:r>
        <w:rPr>
          <w:rFonts w:hint="eastAsia" w:ascii="Times New Roman"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kg/只计算，废原料桶标签纸</w:t>
      </w:r>
      <w:r>
        <w:rPr>
          <w:rFonts w:hint="eastAsia" w:ascii="Times New Roman" w:cs="Times New Roman"/>
          <w:color w:val="auto"/>
          <w:sz w:val="24"/>
          <w:szCs w:val="24"/>
          <w:lang w:val="en-US" w:eastAsia="zh-CN"/>
        </w:rPr>
        <w:t>0.3t/a</w:t>
      </w:r>
      <w:r>
        <w:rPr>
          <w:rFonts w:hint="eastAsia" w:ascii="Times New Roman" w:hAnsi="Times New Roman" w:eastAsia="宋体" w:cs="Times New Roman"/>
          <w:color w:val="auto"/>
          <w:sz w:val="24"/>
          <w:szCs w:val="24"/>
          <w:lang w:val="en-US" w:eastAsia="zh-CN"/>
        </w:rPr>
        <w:t>。破损后的废原料桶标签纸产生量极少，不会沾染化学药物，属于一般固废，收集装入垃圾桶，定期交给环卫工人清运。</w:t>
      </w:r>
    </w:p>
    <w:p>
      <w:pPr>
        <w:pStyle w:val="36"/>
        <w:keepNext w:val="0"/>
        <w:keepLines w:val="0"/>
        <w:pageBreakBefore w:val="0"/>
        <w:widowControl w:val="0"/>
        <w:numPr>
          <w:ilvl w:val="0"/>
          <w:numId w:val="0"/>
        </w:numPr>
        <w:kinsoku/>
        <w:wordWrap/>
        <w:overflowPunct/>
        <w:topLinePunct w:val="0"/>
        <w:bidi w:val="0"/>
        <w:spacing w:line="480" w:lineRule="exact"/>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eastAsia" w:ascii="Times New Roman"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kern w:val="2"/>
          <w:sz w:val="24"/>
          <w:szCs w:val="22"/>
          <w:u w:val="none"/>
          <w:lang w:val="en-US" w:eastAsia="zh-CN" w:bidi="ar-SA"/>
        </w:rPr>
        <w:t>破损</w:t>
      </w:r>
      <w:r>
        <w:rPr>
          <w:rFonts w:hint="default" w:ascii="Times New Roman" w:hAnsi="Times New Roman" w:eastAsia="宋体" w:cs="Times New Roman"/>
          <w:sz w:val="24"/>
          <w:szCs w:val="24"/>
          <w:lang w:val="en-US" w:eastAsia="zh-CN"/>
        </w:rPr>
        <w:t>包装桶</w:t>
      </w:r>
    </w:p>
    <w:p>
      <w:pPr>
        <w:pStyle w:val="36"/>
        <w:keepNext w:val="0"/>
        <w:keepLines w:val="0"/>
        <w:pageBreakBefore w:val="0"/>
        <w:widowControl w:val="0"/>
        <w:kinsoku/>
        <w:wordWrap/>
        <w:overflowPunct/>
        <w:topLinePunct w:val="0"/>
        <w:bidi w:val="0"/>
        <w:spacing w:line="480" w:lineRule="exact"/>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各类化工原料使用量大约为6500t/a，破损包装桶、包装袋产生约为0.6t/a。根据《固体废物鉴别标准通则》（GB34330-2017）6.1条：任何不需要修复和加工即可用于其原始用途的物质，或在生产点经过修复和加工后满足国家、地方制定或行业通行的产品质量标准并且用于其原始用途的物质，可不作为固废管理；本项目的废包装袋、包装桶均可由供应商回收用于其原始用途，因此原料废包装袋、包装桶可储存于</w:t>
      </w:r>
      <w:r>
        <w:rPr>
          <w:rFonts w:hint="eastAsia" w:ascii="Times New Roman" w:cs="Times New Roman"/>
          <w:color w:val="auto"/>
          <w:sz w:val="24"/>
          <w:szCs w:val="24"/>
          <w:lang w:val="en-US" w:eastAsia="zh-CN"/>
        </w:rPr>
        <w:t>危废暂存区</w:t>
      </w:r>
      <w:r>
        <w:rPr>
          <w:rFonts w:hint="eastAsia" w:ascii="Times New Roman" w:hAnsi="Times New Roman" w:eastAsia="宋体" w:cs="Times New Roman"/>
          <w:color w:val="auto"/>
          <w:sz w:val="24"/>
          <w:szCs w:val="24"/>
          <w:lang w:val="en-US" w:eastAsia="zh-CN"/>
        </w:rPr>
        <w:t>内，定期交由供应商回收处理。</w:t>
      </w:r>
    </w:p>
    <w:p>
      <w:pPr>
        <w:pStyle w:val="25"/>
        <w:numPr>
          <w:ilvl w:val="0"/>
          <w:numId w:val="11"/>
        </w:numPr>
        <w:bidi w:val="0"/>
        <w:rPr>
          <w:rFonts w:hint="eastAsia"/>
          <w:u w:val="single"/>
          <w:lang w:val="en-US" w:eastAsia="zh-CN"/>
        </w:rPr>
      </w:pPr>
      <w:r>
        <w:rPr>
          <w:rFonts w:hint="eastAsia"/>
          <w:u w:val="single"/>
          <w:lang w:val="en-US" w:eastAsia="zh-CN"/>
        </w:rPr>
        <w:t>实验室固废</w:t>
      </w:r>
    </w:p>
    <w:p>
      <w:pPr>
        <w:pStyle w:val="25"/>
        <w:bidi w:val="0"/>
        <w:rPr>
          <w:rFonts w:hint="default"/>
          <w:lang w:val="en-US" w:eastAsia="zh-CN"/>
        </w:rPr>
      </w:pPr>
      <w:r>
        <w:rPr>
          <w:rFonts w:hint="eastAsia" w:cs="宋体"/>
          <w:kern w:val="2"/>
          <w:sz w:val="24"/>
          <w:szCs w:val="24"/>
          <w:u w:val="single"/>
          <w:lang w:val="en-US" w:eastAsia="zh-CN" w:bidi="ar-SA"/>
        </w:rPr>
        <w:t>取少量聚氨酯发泡胶材料制成塑料，在实验室检测塑料的物理性能，如密度，抗压强度等。实验室固废是检测结束后产生的废气塑料，属于一般固废，收集装入垃圾桶，定期交给环卫工人清运，每年产生量约为0.1t。</w:t>
      </w:r>
    </w:p>
    <w:p>
      <w:pPr>
        <w:pStyle w:val="36"/>
        <w:keepNext w:val="0"/>
        <w:keepLines w:val="0"/>
        <w:pageBreakBefore w:val="0"/>
        <w:widowControl w:val="0"/>
        <w:numPr>
          <w:ilvl w:val="0"/>
          <w:numId w:val="0"/>
        </w:numPr>
        <w:kinsoku/>
        <w:wordWrap/>
        <w:overflowPunct/>
        <w:topLinePunct w:val="0"/>
        <w:bidi w:val="0"/>
        <w:spacing w:line="480" w:lineRule="exact"/>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r>
        <w:rPr>
          <w:rFonts w:hint="eastAsia" w:ascii="Times New Roman"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）废气处理产生的废活性炭</w:t>
      </w:r>
    </w:p>
    <w:p>
      <w:pPr>
        <w:pStyle w:val="25"/>
        <w:bidi w:val="0"/>
        <w:rPr>
          <w:rFonts w:hint="eastAsia"/>
          <w:lang w:val="en-US" w:eastAsia="zh-CN"/>
        </w:rPr>
      </w:pPr>
      <w:r>
        <w:rPr>
          <w:rFonts w:hint="eastAsia"/>
          <w:u w:val="single"/>
          <w:lang w:val="en-US" w:eastAsia="zh-CN"/>
        </w:rPr>
        <w:t>本项目生产车间VOCs的产生量为2.03t/a，采用集气罩收集+</w:t>
      </w:r>
      <w:r>
        <w:rPr>
          <w:u w:val="single"/>
        </w:rPr>
        <w:t>UV光解净化器</w:t>
      </w:r>
      <w:r>
        <w:rPr>
          <w:rFonts w:hint="eastAsia"/>
          <w:u w:val="single"/>
          <w:lang w:val="en-US" w:eastAsia="zh-CN"/>
        </w:rPr>
        <w:t>+活性炭吸附装置处理，活性炭吸附的有机废气的量约为0.55t/a。本项目计划每三个月更换一次活性炭，每次更换量为1.0t。每年需要活性炭4.0t，每年产生的废活性炭约4.6t，废活性炭单独储存于危废暂存区内，定期交由有资质单位处理。</w:t>
      </w:r>
    </w:p>
    <w:p>
      <w:pPr>
        <w:pStyle w:val="25"/>
        <w:bidi w:val="0"/>
        <w:rPr>
          <w:rFonts w:hint="eastAsia"/>
          <w:lang w:val="en-US" w:eastAsia="zh-CN"/>
        </w:rPr>
      </w:pP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6</w:t>
      </w:r>
      <w:r>
        <w:rPr>
          <w:rFonts w:hint="eastAsia" w:ascii="Times New Roman" w:hAnsi="Times New Roman" w:eastAsia="宋体" w:cs="Times New Roman"/>
          <w:color w:val="auto"/>
          <w:sz w:val="24"/>
          <w:szCs w:val="24"/>
          <w:lang w:val="en-US" w:eastAsia="zh-CN"/>
        </w:rPr>
        <w:t>）</w:t>
      </w:r>
      <w:r>
        <w:rPr>
          <w:rFonts w:hint="eastAsia"/>
          <w:lang w:val="en-US" w:eastAsia="zh-CN"/>
        </w:rPr>
        <w:t>电动叉车废弃电瓶</w:t>
      </w:r>
    </w:p>
    <w:p>
      <w:pPr>
        <w:pStyle w:val="25"/>
        <w:bidi w:val="0"/>
        <w:rPr>
          <w:rFonts w:hint="eastAsia"/>
          <w:lang w:val="en-US" w:eastAsia="zh-CN"/>
        </w:rPr>
      </w:pPr>
      <w:r>
        <w:rPr>
          <w:rFonts w:hint="eastAsia"/>
          <w:lang w:val="en-US" w:eastAsia="zh-CN"/>
        </w:rPr>
        <w:t>本项目电动叉车废弃电瓶每年换一次，一个电瓶重量大约为0.1t。电动叉车废弃电瓶储存于危废暂存区内，定期交由有资质单位处理</w:t>
      </w:r>
    </w:p>
    <w:p>
      <w:pPr>
        <w:pStyle w:val="25"/>
        <w:bidi w:val="0"/>
        <w:rPr>
          <w:rFonts w:hint="eastAsia" w:ascii="Times New Roman" w:cs="Times New Roman"/>
          <w:color w:val="auto"/>
          <w:szCs w:val="24"/>
          <w:lang w:val="en-US" w:eastAsia="zh-CN"/>
        </w:rPr>
      </w:pPr>
      <w:r>
        <w:rPr>
          <w:rFonts w:hint="eastAsia"/>
          <w:lang w:val="en-US" w:eastAsia="zh-CN"/>
        </w:rPr>
        <w:t>本项目固废产生情况见</w:t>
      </w:r>
      <w:r>
        <w:rPr>
          <w:rFonts w:hint="eastAsia"/>
          <w:lang w:val="en-US" w:eastAsia="zh-CN"/>
        </w:rPr>
        <w:fldChar w:fldCharType="begin"/>
      </w:r>
      <w:r>
        <w:rPr>
          <w:rFonts w:hint="eastAsia"/>
          <w:lang w:val="en-US" w:eastAsia="zh-CN"/>
        </w:rPr>
        <w:instrText xml:space="preserve"> REF _Ref26564 \h </w:instrText>
      </w:r>
      <w:r>
        <w:rPr>
          <w:rFonts w:hint="eastAsia"/>
          <w:lang w:val="en-US" w:eastAsia="zh-CN"/>
        </w:rPr>
        <w:fldChar w:fldCharType="separate"/>
      </w:r>
      <w:r>
        <w:t xml:space="preserve">表 </w:t>
      </w:r>
      <w:r>
        <w:rPr>
          <w:rFonts w:hint="eastAsia"/>
          <w:lang w:val="en-US" w:eastAsia="zh-CN"/>
        </w:rPr>
        <w:t>4</w:t>
      </w:r>
      <w:r>
        <w:rPr>
          <w:rFonts w:hint="eastAsia"/>
          <w:lang w:eastAsia="zh-CN"/>
        </w:rPr>
        <w:t>-</w:t>
      </w:r>
      <w:r>
        <w:rPr>
          <w:rFonts w:hint="eastAsia"/>
          <w:lang w:val="en-US" w:eastAsia="zh-CN"/>
        </w:rPr>
        <w:t>5</w:t>
      </w:r>
      <w:r>
        <w:rPr>
          <w:rFonts w:hint="eastAsia"/>
          <w:lang w:val="en-US" w:eastAsia="zh-CN"/>
        </w:rPr>
        <w:fldChar w:fldCharType="end"/>
      </w:r>
      <w:r>
        <w:rPr>
          <w:rFonts w:hint="eastAsia" w:ascii="Times New Roman" w:cs="Times New Roman"/>
          <w:color w:val="auto"/>
          <w:szCs w:val="24"/>
          <w:lang w:val="en-US" w:eastAsia="zh-CN"/>
        </w:rPr>
        <w:t>。</w:t>
      </w:r>
    </w:p>
    <w:p>
      <w:pPr>
        <w:pStyle w:val="27"/>
        <w:bidi w:val="0"/>
        <w:rPr>
          <w:rFonts w:ascii="Times New Roman" w:hAnsi="Times New Roman" w:eastAsia="宋体" w:cs="Times New Roman"/>
          <w:b/>
          <w:kern w:val="2"/>
          <w:sz w:val="21"/>
          <w:szCs w:val="21"/>
          <w:lang w:val="en-US" w:eastAsia="zh-CN" w:bidi="ar-SA"/>
        </w:rPr>
        <w:sectPr>
          <w:pgSz w:w="11906" w:h="16838"/>
          <w:pgMar w:top="1417" w:right="1417" w:bottom="1134" w:left="1701"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27"/>
        <w:bidi w:val="0"/>
        <w:rPr>
          <w:rFonts w:hint="default" w:ascii="Times New Roman" w:hAnsi="Times New Roman" w:eastAsia="宋体" w:cs="Times New Roman"/>
          <w:b/>
          <w:color w:val="auto"/>
          <w:kern w:val="2"/>
          <w:sz w:val="24"/>
          <w:szCs w:val="24"/>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hint="eastAsia" w:cs="Times New Roman"/>
          <w:b/>
          <w:kern w:val="2"/>
          <w:sz w:val="21"/>
          <w:szCs w:val="21"/>
          <w:lang w:val="en-US" w:eastAsia="zh-CN" w:bidi="ar-SA"/>
        </w:rPr>
        <w:t>5</w:t>
      </w:r>
      <w:r>
        <w:rPr>
          <w:rFonts w:hint="default" w:ascii="Times New Roman" w:hAnsi="Times New Roman" w:eastAsia="宋体" w:cs="Times New Roman"/>
          <w:b/>
          <w:bCs/>
          <w:color w:val="auto"/>
          <w:kern w:val="2"/>
          <w:sz w:val="21"/>
          <w:szCs w:val="21"/>
          <w:lang w:val="en-US" w:eastAsia="zh-CN" w:bidi="ar-SA"/>
        </w:rPr>
        <w:t>本项目</w:t>
      </w:r>
      <w:r>
        <w:rPr>
          <w:rFonts w:hint="eastAsia" w:ascii="Times New Roman" w:hAnsi="Times New Roman" w:eastAsia="宋体" w:cs="Times New Roman"/>
          <w:b/>
          <w:bCs/>
          <w:color w:val="auto"/>
          <w:kern w:val="2"/>
          <w:sz w:val="21"/>
          <w:szCs w:val="21"/>
          <w:lang w:val="en-US" w:eastAsia="zh-CN" w:bidi="ar-SA"/>
        </w:rPr>
        <w:t>固废</w:t>
      </w:r>
      <w:r>
        <w:rPr>
          <w:rFonts w:hint="default" w:ascii="Times New Roman" w:hAnsi="Times New Roman" w:eastAsia="宋体" w:cs="Times New Roman"/>
          <w:b/>
          <w:bCs/>
          <w:color w:val="auto"/>
          <w:kern w:val="2"/>
          <w:sz w:val="21"/>
          <w:szCs w:val="21"/>
          <w:lang w:val="en-US" w:eastAsia="zh-CN" w:bidi="ar-SA"/>
        </w:rPr>
        <w:t>产生情况</w:t>
      </w:r>
    </w:p>
    <w:tbl>
      <w:tblPr>
        <w:tblStyle w:val="23"/>
        <w:tblW w:w="553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024"/>
        <w:gridCol w:w="1305"/>
        <w:gridCol w:w="1005"/>
        <w:gridCol w:w="850"/>
        <w:gridCol w:w="850"/>
        <w:gridCol w:w="850"/>
        <w:gridCol w:w="980"/>
        <w:gridCol w:w="825"/>
        <w:gridCol w:w="15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序号</w:t>
            </w:r>
          </w:p>
        </w:tc>
        <w:tc>
          <w:tcPr>
            <w:tcW w:w="102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副产物</w:t>
            </w:r>
          </w:p>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名称</w:t>
            </w:r>
          </w:p>
        </w:tc>
        <w:tc>
          <w:tcPr>
            <w:tcW w:w="130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产生工序</w:t>
            </w:r>
          </w:p>
        </w:tc>
        <w:tc>
          <w:tcPr>
            <w:tcW w:w="100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形态</w:t>
            </w:r>
          </w:p>
        </w:tc>
        <w:tc>
          <w:tcPr>
            <w:tcW w:w="85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主要成份</w:t>
            </w:r>
          </w:p>
        </w:tc>
        <w:tc>
          <w:tcPr>
            <w:tcW w:w="85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有害成分</w:t>
            </w:r>
          </w:p>
        </w:tc>
        <w:tc>
          <w:tcPr>
            <w:tcW w:w="85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危废类别</w:t>
            </w:r>
          </w:p>
        </w:tc>
        <w:tc>
          <w:tcPr>
            <w:tcW w:w="98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预测产生量t/a</w:t>
            </w:r>
          </w:p>
        </w:tc>
        <w:tc>
          <w:tcPr>
            <w:tcW w:w="82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产生周期</w:t>
            </w:r>
          </w:p>
        </w:tc>
        <w:tc>
          <w:tcPr>
            <w:tcW w:w="153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污染防治</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02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生活</w:t>
            </w:r>
          </w:p>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垃圾</w:t>
            </w:r>
          </w:p>
        </w:tc>
        <w:tc>
          <w:tcPr>
            <w:tcW w:w="130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员工生活</w:t>
            </w:r>
          </w:p>
        </w:tc>
        <w:tc>
          <w:tcPr>
            <w:tcW w:w="100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固态</w:t>
            </w:r>
          </w:p>
        </w:tc>
        <w:tc>
          <w:tcPr>
            <w:tcW w:w="85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85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85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98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1.2</w:t>
            </w:r>
          </w:p>
        </w:tc>
        <w:tc>
          <w:tcPr>
            <w:tcW w:w="82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每天</w:t>
            </w:r>
          </w:p>
        </w:tc>
        <w:tc>
          <w:tcPr>
            <w:tcW w:w="153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每天清运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p>
        </w:tc>
        <w:tc>
          <w:tcPr>
            <w:tcW w:w="102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原料桶</w:t>
            </w:r>
          </w:p>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标签纸</w:t>
            </w:r>
          </w:p>
        </w:tc>
        <w:tc>
          <w:tcPr>
            <w:tcW w:w="130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包装</w:t>
            </w:r>
          </w:p>
        </w:tc>
        <w:tc>
          <w:tcPr>
            <w:tcW w:w="100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固态</w:t>
            </w:r>
          </w:p>
        </w:tc>
        <w:tc>
          <w:tcPr>
            <w:tcW w:w="85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85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85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98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0.3</w:t>
            </w:r>
          </w:p>
        </w:tc>
        <w:tc>
          <w:tcPr>
            <w:tcW w:w="82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每天</w:t>
            </w:r>
          </w:p>
        </w:tc>
        <w:tc>
          <w:tcPr>
            <w:tcW w:w="153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每天清运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w:t>
            </w:r>
          </w:p>
        </w:tc>
        <w:tc>
          <w:tcPr>
            <w:tcW w:w="102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破损包装桶</w:t>
            </w:r>
          </w:p>
        </w:tc>
        <w:tc>
          <w:tcPr>
            <w:tcW w:w="130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储存</w:t>
            </w:r>
          </w:p>
        </w:tc>
        <w:tc>
          <w:tcPr>
            <w:tcW w:w="100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固态</w:t>
            </w:r>
          </w:p>
        </w:tc>
        <w:tc>
          <w:tcPr>
            <w:tcW w:w="85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85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85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98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0.6</w:t>
            </w:r>
          </w:p>
        </w:tc>
        <w:tc>
          <w:tcPr>
            <w:tcW w:w="82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每天</w:t>
            </w:r>
          </w:p>
        </w:tc>
        <w:tc>
          <w:tcPr>
            <w:tcW w:w="153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每天清运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4</w:t>
            </w:r>
          </w:p>
        </w:tc>
        <w:tc>
          <w:tcPr>
            <w:tcW w:w="102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实验室固废</w:t>
            </w:r>
          </w:p>
        </w:tc>
        <w:tc>
          <w:tcPr>
            <w:tcW w:w="130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检测</w:t>
            </w:r>
          </w:p>
        </w:tc>
        <w:tc>
          <w:tcPr>
            <w:tcW w:w="100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固态</w:t>
            </w:r>
          </w:p>
        </w:tc>
        <w:tc>
          <w:tcPr>
            <w:tcW w:w="85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w:t>
            </w:r>
          </w:p>
        </w:tc>
        <w:tc>
          <w:tcPr>
            <w:tcW w:w="85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w:t>
            </w:r>
          </w:p>
        </w:tc>
        <w:tc>
          <w:tcPr>
            <w:tcW w:w="85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w:t>
            </w:r>
          </w:p>
        </w:tc>
        <w:tc>
          <w:tcPr>
            <w:tcW w:w="98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0.1</w:t>
            </w:r>
          </w:p>
        </w:tc>
        <w:tc>
          <w:tcPr>
            <w:tcW w:w="82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每天</w:t>
            </w:r>
          </w:p>
        </w:tc>
        <w:tc>
          <w:tcPr>
            <w:tcW w:w="153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每天清运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0" w:type="dxa"/>
            <w:gridSpan w:val="7"/>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r>
              <w:rPr>
                <w:rFonts w:hint="eastAsia" w:cs="Times New Roman"/>
                <w:kern w:val="2"/>
                <w:sz w:val="24"/>
                <w:szCs w:val="24"/>
                <w:lang w:val="en-US" w:eastAsia="zh-CN" w:bidi="ar-SA"/>
              </w:rPr>
              <w:t>4</w:t>
            </w:r>
            <w:r>
              <w:rPr>
                <w:rFonts w:hint="eastAsia" w:ascii="Times New Roman" w:hAnsi="Times New Roman" w:eastAsia="宋体" w:cs="Times New Roman"/>
                <w:kern w:val="2"/>
                <w:sz w:val="24"/>
                <w:szCs w:val="24"/>
                <w:lang w:val="en-US" w:eastAsia="zh-CN" w:bidi="ar-SA"/>
              </w:rPr>
              <w:t>小计</w:t>
            </w:r>
          </w:p>
        </w:tc>
        <w:tc>
          <w:tcPr>
            <w:tcW w:w="3339" w:type="dxa"/>
            <w:gridSpan w:val="3"/>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r>
              <w:rPr>
                <w:rFonts w:hint="eastAsia" w:cs="Times New Roman"/>
                <w:kern w:val="2"/>
                <w:sz w:val="24"/>
                <w:szCs w:val="24"/>
                <w:lang w:val="en-US" w:eastAsia="zh-CN" w:bidi="ar-SA"/>
              </w:rPr>
              <w:t>2</w:t>
            </w:r>
            <w:r>
              <w:rPr>
                <w:rFonts w:hint="eastAsia" w:ascii="Times New Roman" w:hAnsi="Times New Roman" w:eastAsia="宋体" w:cs="Times New Roman"/>
                <w:kern w:val="2"/>
                <w:sz w:val="24"/>
                <w:szCs w:val="24"/>
                <w:highlight w:val="none"/>
                <w:lang w:val="en-US" w:eastAsia="zh-CN" w:bidi="ar-SA"/>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5</w:t>
            </w:r>
          </w:p>
        </w:tc>
        <w:tc>
          <w:tcPr>
            <w:tcW w:w="102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废活</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性炭</w:t>
            </w:r>
          </w:p>
        </w:tc>
        <w:tc>
          <w:tcPr>
            <w:tcW w:w="130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废气处理</w:t>
            </w:r>
          </w:p>
        </w:tc>
        <w:tc>
          <w:tcPr>
            <w:tcW w:w="100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固态</w:t>
            </w:r>
          </w:p>
        </w:tc>
        <w:tc>
          <w:tcPr>
            <w:tcW w:w="85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活性炭</w:t>
            </w:r>
          </w:p>
        </w:tc>
        <w:tc>
          <w:tcPr>
            <w:tcW w:w="85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85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98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4.6</w:t>
            </w:r>
          </w:p>
        </w:tc>
        <w:tc>
          <w:tcPr>
            <w:tcW w:w="82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三月一次</w:t>
            </w:r>
          </w:p>
        </w:tc>
        <w:tc>
          <w:tcPr>
            <w:tcW w:w="153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交</w:t>
            </w:r>
            <w:r>
              <w:rPr>
                <w:rFonts w:hint="eastAsia" w:cs="Times New Roman"/>
                <w:kern w:val="2"/>
                <w:sz w:val="24"/>
                <w:szCs w:val="24"/>
                <w:lang w:val="en-US" w:eastAsia="zh-CN" w:bidi="ar-SA"/>
              </w:rPr>
              <w:t>具有</w:t>
            </w:r>
            <w:r>
              <w:rPr>
                <w:rFonts w:hint="eastAsia" w:ascii="Times New Roman" w:hAnsi="Times New Roman" w:eastAsia="宋体" w:cs="Times New Roman"/>
                <w:kern w:val="2"/>
                <w:sz w:val="24"/>
                <w:szCs w:val="24"/>
                <w:lang w:val="en-US" w:eastAsia="zh-CN" w:bidi="ar-SA"/>
              </w:rPr>
              <w:t>资质单位</w:t>
            </w:r>
            <w:r>
              <w:rPr>
                <w:rFonts w:hint="eastAsia" w:cs="Times New Roman"/>
                <w:kern w:val="2"/>
                <w:sz w:val="24"/>
                <w:szCs w:val="24"/>
                <w:lang w:val="en-US" w:eastAsia="zh-CN" w:bidi="ar-SA"/>
              </w:rPr>
              <w:t>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6</w:t>
            </w:r>
          </w:p>
        </w:tc>
        <w:tc>
          <w:tcPr>
            <w:tcW w:w="102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highlight w:val="yellow"/>
                <w:lang w:val="en-US" w:eastAsia="zh-CN" w:bidi="ar-SA"/>
              </w:rPr>
            </w:pPr>
            <w:r>
              <w:rPr>
                <w:rFonts w:hint="eastAsia" w:ascii="Times New Roman" w:hAnsi="Times New Roman" w:eastAsia="宋体" w:cs="Times New Roman"/>
                <w:kern w:val="2"/>
                <w:sz w:val="24"/>
                <w:szCs w:val="24"/>
                <w:highlight w:val="none"/>
                <w:lang w:val="en-US" w:eastAsia="zh-CN" w:bidi="ar-SA"/>
              </w:rPr>
              <w:t>电动叉车废弃电瓶</w:t>
            </w:r>
          </w:p>
        </w:tc>
        <w:tc>
          <w:tcPr>
            <w:tcW w:w="130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highlight w:val="none"/>
                <w:lang w:val="en-US" w:eastAsia="zh-CN" w:bidi="ar-SA"/>
              </w:rPr>
            </w:pPr>
            <w:r>
              <w:rPr>
                <w:rFonts w:hint="eastAsia" w:cs="Times New Roman"/>
                <w:kern w:val="2"/>
                <w:sz w:val="24"/>
                <w:szCs w:val="24"/>
                <w:highlight w:val="none"/>
                <w:lang w:val="en-US" w:eastAsia="zh-CN" w:bidi="ar-SA"/>
              </w:rPr>
              <w:t>搬运</w:t>
            </w:r>
          </w:p>
        </w:tc>
        <w:tc>
          <w:tcPr>
            <w:tcW w:w="100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lang w:val="en-US" w:eastAsia="zh-CN" w:bidi="ar-SA"/>
              </w:rPr>
              <w:t>固态</w:t>
            </w:r>
          </w:p>
        </w:tc>
        <w:tc>
          <w:tcPr>
            <w:tcW w:w="85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eastAsia" w:cs="Times New Roman"/>
                <w:kern w:val="2"/>
                <w:sz w:val="24"/>
                <w:szCs w:val="24"/>
                <w:highlight w:val="none"/>
                <w:lang w:val="en-US" w:eastAsia="zh-CN" w:bidi="ar-SA"/>
              </w:rPr>
              <w:t>/</w:t>
            </w:r>
          </w:p>
        </w:tc>
        <w:tc>
          <w:tcPr>
            <w:tcW w:w="85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eastAsia" w:cs="Times New Roman"/>
                <w:kern w:val="2"/>
                <w:sz w:val="24"/>
                <w:szCs w:val="24"/>
                <w:highlight w:val="none"/>
                <w:lang w:val="en-US" w:eastAsia="zh-CN" w:bidi="ar-SA"/>
              </w:rPr>
              <w:t>/</w:t>
            </w:r>
          </w:p>
        </w:tc>
        <w:tc>
          <w:tcPr>
            <w:tcW w:w="85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eastAsia" w:cs="Times New Roman"/>
                <w:kern w:val="2"/>
                <w:sz w:val="24"/>
                <w:szCs w:val="24"/>
                <w:highlight w:val="none"/>
                <w:lang w:val="en-US" w:eastAsia="zh-CN" w:bidi="ar-SA"/>
              </w:rPr>
              <w:t>/</w:t>
            </w:r>
          </w:p>
        </w:tc>
        <w:tc>
          <w:tcPr>
            <w:tcW w:w="98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eastAsia" w:cs="Times New Roman"/>
                <w:kern w:val="2"/>
                <w:sz w:val="24"/>
                <w:szCs w:val="24"/>
                <w:highlight w:val="none"/>
                <w:lang w:val="en-US" w:eastAsia="zh-CN" w:bidi="ar-SA"/>
              </w:rPr>
              <w:t>0.1</w:t>
            </w:r>
          </w:p>
        </w:tc>
        <w:tc>
          <w:tcPr>
            <w:tcW w:w="82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highlight w:val="none"/>
                <w:lang w:val="en-US" w:eastAsia="zh-CN" w:bidi="ar-SA"/>
              </w:rPr>
            </w:pPr>
            <w:r>
              <w:rPr>
                <w:rFonts w:hint="eastAsia" w:cs="Times New Roman"/>
                <w:kern w:val="2"/>
                <w:sz w:val="24"/>
                <w:szCs w:val="24"/>
                <w:highlight w:val="none"/>
                <w:lang w:val="en-US" w:eastAsia="zh-CN" w:bidi="ar-SA"/>
              </w:rPr>
              <w:t>一年一次</w:t>
            </w:r>
          </w:p>
        </w:tc>
        <w:tc>
          <w:tcPr>
            <w:tcW w:w="153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lang w:val="en-US" w:eastAsia="zh-CN" w:bidi="ar-SA"/>
              </w:rPr>
              <w:t>交</w:t>
            </w:r>
            <w:r>
              <w:rPr>
                <w:rFonts w:hint="eastAsia" w:cs="Times New Roman"/>
                <w:kern w:val="2"/>
                <w:sz w:val="24"/>
                <w:szCs w:val="24"/>
                <w:lang w:val="en-US" w:eastAsia="zh-CN" w:bidi="ar-SA"/>
              </w:rPr>
              <w:t>具有</w:t>
            </w:r>
            <w:r>
              <w:rPr>
                <w:rFonts w:hint="eastAsia" w:ascii="Times New Roman" w:hAnsi="Times New Roman" w:eastAsia="宋体" w:cs="Times New Roman"/>
                <w:kern w:val="2"/>
                <w:sz w:val="24"/>
                <w:szCs w:val="24"/>
                <w:lang w:val="en-US" w:eastAsia="zh-CN" w:bidi="ar-SA"/>
              </w:rPr>
              <w:t>资质单位</w:t>
            </w:r>
            <w:r>
              <w:rPr>
                <w:rFonts w:hint="eastAsia" w:cs="Times New Roman"/>
                <w:kern w:val="2"/>
                <w:sz w:val="24"/>
                <w:szCs w:val="24"/>
                <w:lang w:val="en-US" w:eastAsia="zh-CN" w:bidi="ar-SA"/>
              </w:rPr>
              <w:t>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20" w:type="dxa"/>
            <w:gridSpan w:val="7"/>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总计</w:t>
            </w:r>
          </w:p>
        </w:tc>
        <w:tc>
          <w:tcPr>
            <w:tcW w:w="3339" w:type="dxa"/>
            <w:gridSpan w:val="3"/>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cs="Times New Roman"/>
                <w:kern w:val="2"/>
                <w:sz w:val="24"/>
                <w:szCs w:val="24"/>
                <w:highlight w:val="none"/>
                <w:lang w:val="en-US" w:eastAsia="zh-CN" w:bidi="ar-SA"/>
              </w:rPr>
              <w:t>6.9</w:t>
            </w:r>
            <w:r>
              <w:rPr>
                <w:rFonts w:hint="eastAsia" w:ascii="Times New Roman" w:hAnsi="Times New Roman" w:eastAsia="宋体" w:cs="Times New Roman"/>
                <w:kern w:val="2"/>
                <w:sz w:val="24"/>
                <w:szCs w:val="24"/>
                <w:highlight w:val="none"/>
                <w:lang w:val="en-US" w:eastAsia="zh-CN" w:bidi="ar-SA"/>
              </w:rPr>
              <w:t>t/a</w:t>
            </w:r>
          </w:p>
        </w:tc>
      </w:tr>
      <w:bookmarkEnd w:id="866"/>
    </w:tbl>
    <w:p>
      <w:pPr>
        <w:pStyle w:val="25"/>
        <w:bidi w:val="0"/>
        <w:rPr>
          <w:lang w:val="en-US" w:eastAsia="zh-CN"/>
        </w:rPr>
      </w:pPr>
      <w:bookmarkStart w:id="867" w:name="_Toc14927"/>
      <w:bookmarkStart w:id="868" w:name="_Toc24806"/>
      <w:bookmarkStart w:id="869" w:name="_Toc8350"/>
      <w:bookmarkStart w:id="870" w:name="_Toc23709"/>
    </w:p>
    <w:p>
      <w:pPr>
        <w:pStyle w:val="2"/>
        <w:bidi w:val="0"/>
        <w:rPr>
          <w:lang w:val="en-US" w:eastAsia="zh-CN"/>
        </w:rPr>
      </w:pPr>
      <w:r>
        <w:rPr>
          <w:lang w:val="en-US" w:eastAsia="zh-CN"/>
        </w:rPr>
        <w:t>相关工程平衡</w:t>
      </w:r>
      <w:bookmarkEnd w:id="867"/>
      <w:bookmarkEnd w:id="868"/>
      <w:bookmarkEnd w:id="869"/>
      <w:bookmarkEnd w:id="870"/>
    </w:p>
    <w:p>
      <w:pPr>
        <w:pStyle w:val="4"/>
        <w:bidi w:val="0"/>
        <w:rPr>
          <w:lang w:val="en-US" w:eastAsia="zh-CN"/>
        </w:rPr>
      </w:pPr>
      <w:bookmarkStart w:id="871" w:name="_Toc8229"/>
      <w:bookmarkStart w:id="872" w:name="_Toc17688"/>
      <w:bookmarkStart w:id="873" w:name="_Toc20411"/>
      <w:bookmarkStart w:id="874" w:name="_Toc18042"/>
      <w:bookmarkStart w:id="875" w:name="_Toc23851"/>
      <w:bookmarkStart w:id="876" w:name="_Toc21711"/>
      <w:bookmarkStart w:id="877" w:name="_Toc2573"/>
      <w:bookmarkStart w:id="878" w:name="_Toc26683"/>
      <w:bookmarkStart w:id="879" w:name="_Toc23000"/>
      <w:bookmarkStart w:id="880" w:name="_Toc3295"/>
      <w:bookmarkStart w:id="881" w:name="_Toc30151"/>
      <w:bookmarkStart w:id="882" w:name="_Toc10417"/>
      <w:r>
        <w:rPr>
          <w:lang w:val="en-US" w:eastAsia="zh-CN"/>
        </w:rPr>
        <w:t>物料平衡</w:t>
      </w:r>
      <w:bookmarkEnd w:id="871"/>
      <w:bookmarkEnd w:id="872"/>
      <w:bookmarkEnd w:id="873"/>
      <w:bookmarkEnd w:id="874"/>
      <w:bookmarkEnd w:id="875"/>
      <w:bookmarkEnd w:id="876"/>
      <w:bookmarkEnd w:id="877"/>
      <w:bookmarkEnd w:id="878"/>
      <w:bookmarkEnd w:id="879"/>
      <w:bookmarkEnd w:id="880"/>
      <w:bookmarkEnd w:id="881"/>
      <w:bookmarkEnd w:id="882"/>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本项目物料平衡分别见</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_Ref26901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4</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hint="eastAsia" w:cs="宋体"/>
          <w:kern w:val="2"/>
          <w:sz w:val="24"/>
          <w:szCs w:val="24"/>
          <w:lang w:val="en-US" w:eastAsia="zh-CN" w:bidi="ar-SA"/>
        </w:rPr>
        <w:t>6</w:t>
      </w:r>
      <w:r>
        <w:rPr>
          <w:rFonts w:hint="default"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kern w:val="2"/>
          <w:sz w:val="21"/>
          <w:szCs w:val="21"/>
          <w:lang w:val="en-US" w:eastAsia="zh-CN" w:bidi="ar-SA"/>
        </w:rPr>
      </w:pPr>
      <w:bookmarkStart w:id="883" w:name="_Ref26901"/>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bookmarkEnd w:id="883"/>
      <w:r>
        <w:rPr>
          <w:rFonts w:hint="eastAsia" w:cs="Times New Roman"/>
          <w:b/>
          <w:kern w:val="2"/>
          <w:sz w:val="21"/>
          <w:szCs w:val="21"/>
          <w:lang w:val="en-US" w:eastAsia="zh-CN" w:bidi="ar-SA"/>
        </w:rPr>
        <w:t>6</w:t>
      </w:r>
      <w:r>
        <w:rPr>
          <w:rFonts w:ascii="Times New Roman" w:hAnsi="Times New Roman" w:eastAsia="宋体" w:cs="Times New Roman"/>
          <w:b/>
          <w:kern w:val="2"/>
          <w:sz w:val="21"/>
          <w:szCs w:val="21"/>
          <w:highlight w:val="none"/>
          <w:lang w:val="en-US" w:eastAsia="zh-CN" w:bidi="ar-SA"/>
        </w:rPr>
        <w:t>生产物料平衡表</w:t>
      </w:r>
      <w:r>
        <w:rPr>
          <w:rFonts w:hint="eastAsia" w:ascii="Times New Roman" w:hAnsi="Times New Roman" w:eastAsia="宋体" w:cs="Times New Roman"/>
          <w:b/>
          <w:kern w:val="2"/>
          <w:sz w:val="21"/>
          <w:szCs w:val="21"/>
          <w:highlight w:val="none"/>
          <w:lang w:val="en-US" w:eastAsia="zh-CN" w:bidi="ar-SA"/>
        </w:rPr>
        <w:t xml:space="preserve">  </w:t>
      </w:r>
      <w:r>
        <w:rPr>
          <w:rFonts w:ascii="Times New Roman" w:hAnsi="Times New Roman" w:eastAsia="宋体" w:cs="Times New Roman"/>
          <w:b/>
          <w:kern w:val="2"/>
          <w:sz w:val="21"/>
          <w:szCs w:val="21"/>
          <w:lang w:val="en-US" w:eastAsia="zh-CN" w:bidi="ar-SA"/>
        </w:rPr>
        <w:t>单位：吨/年</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3568"/>
        <w:gridCol w:w="31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7"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序号</w:t>
            </w:r>
          </w:p>
        </w:tc>
        <w:tc>
          <w:tcPr>
            <w:tcW w:w="6708" w:type="dxa"/>
            <w:gridSpan w:val="2"/>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投入</w:t>
            </w:r>
            <w:r>
              <w:rPr>
                <w:rFonts w:ascii="Times New Roman" w:hAnsi="Times New Roman" w:eastAsia="宋体" w:cs="Times New Roman"/>
                <w:kern w:val="2"/>
                <w:sz w:val="24"/>
                <w:szCs w:val="24"/>
                <w:highlight w:val="none"/>
                <w:lang w:val="en-US" w:eastAsia="zh-CN" w:bidi="ar-SA"/>
              </w:rPr>
              <w:t>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7"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p>
        </w:tc>
        <w:tc>
          <w:tcPr>
            <w:tcW w:w="356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物料名称</w:t>
            </w:r>
          </w:p>
        </w:tc>
        <w:tc>
          <w:tcPr>
            <w:tcW w:w="3140"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数量（t/a）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1</w:t>
            </w:r>
          </w:p>
        </w:tc>
        <w:tc>
          <w:tcPr>
            <w:tcW w:w="356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lang w:val="en-US" w:eastAsia="zh-CN" w:bidi="ar-SA"/>
              </w:rPr>
              <w:t>二苯基甲烷二异氰酸酯</w:t>
            </w:r>
          </w:p>
        </w:tc>
        <w:tc>
          <w:tcPr>
            <w:tcW w:w="3140"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975.</w:t>
            </w:r>
            <w:r>
              <w:rPr>
                <w:rFonts w:hint="eastAsia" w:cs="Times New Roman"/>
                <w:kern w:val="2"/>
                <w:sz w:val="24"/>
                <w:szCs w:val="24"/>
                <w:highlight w:val="none"/>
                <w:lang w:val="en-US" w:eastAsia="zh-CN" w:bidi="ar-SA"/>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2</w:t>
            </w:r>
          </w:p>
        </w:tc>
        <w:tc>
          <w:tcPr>
            <w:tcW w:w="356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lang w:val="en-US" w:eastAsia="zh-CN" w:bidi="ar-SA"/>
              </w:rPr>
              <w:t>改性二苯基甲烷二异氰酸酯</w:t>
            </w:r>
          </w:p>
        </w:tc>
        <w:tc>
          <w:tcPr>
            <w:tcW w:w="3140"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325.</w:t>
            </w:r>
            <w:r>
              <w:rPr>
                <w:rFonts w:hint="eastAsia" w:cs="Times New Roman"/>
                <w:kern w:val="2"/>
                <w:sz w:val="24"/>
                <w:szCs w:val="24"/>
                <w:highlight w:val="none"/>
                <w:lang w:val="en-US" w:eastAsia="zh-CN" w:bidi="ar-SA"/>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3</w:t>
            </w:r>
          </w:p>
        </w:tc>
        <w:tc>
          <w:tcPr>
            <w:tcW w:w="356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lang w:val="en-US" w:eastAsia="zh-CN" w:bidi="ar-SA"/>
              </w:rPr>
              <w:t>多亚甲基多苯基异氰酸酯</w:t>
            </w:r>
          </w:p>
        </w:tc>
        <w:tc>
          <w:tcPr>
            <w:tcW w:w="3140"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1300.</w:t>
            </w:r>
            <w:r>
              <w:rPr>
                <w:rFonts w:hint="eastAsia" w:cs="Times New Roman"/>
                <w:kern w:val="2"/>
                <w:sz w:val="24"/>
                <w:szCs w:val="24"/>
                <w:highlight w:val="none"/>
                <w:lang w:val="en-US" w:eastAsia="zh-CN" w:bidi="ar-SA"/>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4</w:t>
            </w:r>
          </w:p>
        </w:tc>
        <w:tc>
          <w:tcPr>
            <w:tcW w:w="356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lang w:val="en-US" w:eastAsia="zh-CN" w:bidi="ar-SA"/>
              </w:rPr>
              <w:t>聚醚多元醇</w:t>
            </w:r>
          </w:p>
        </w:tc>
        <w:tc>
          <w:tcPr>
            <w:tcW w:w="3140"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2600</w:t>
            </w:r>
            <w:r>
              <w:rPr>
                <w:rFonts w:hint="eastAsia" w:cs="Times New Roman"/>
                <w:kern w:val="2"/>
                <w:sz w:val="24"/>
                <w:szCs w:val="24"/>
                <w:highlight w:val="none"/>
                <w:lang w:val="en-US" w:eastAsia="zh-CN" w:bidi="ar-SA"/>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5</w:t>
            </w:r>
          </w:p>
        </w:tc>
        <w:tc>
          <w:tcPr>
            <w:tcW w:w="356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lang w:val="en-US" w:eastAsia="zh-CN" w:bidi="ar-SA"/>
              </w:rPr>
              <w:t>改性聚醚多元醇</w:t>
            </w:r>
          </w:p>
        </w:tc>
        <w:tc>
          <w:tcPr>
            <w:tcW w:w="3140"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650.</w:t>
            </w:r>
            <w:r>
              <w:rPr>
                <w:rFonts w:hint="eastAsia" w:cs="Times New Roman"/>
                <w:kern w:val="2"/>
                <w:sz w:val="24"/>
                <w:szCs w:val="24"/>
                <w:highlight w:val="none"/>
                <w:lang w:val="en-US" w:eastAsia="zh-CN" w:bidi="ar-SA"/>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6</w:t>
            </w:r>
          </w:p>
        </w:tc>
        <w:tc>
          <w:tcPr>
            <w:tcW w:w="356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lang w:val="en-US" w:eastAsia="zh-CN" w:bidi="ar-SA"/>
              </w:rPr>
              <w:t>聚酯多元醇</w:t>
            </w:r>
          </w:p>
        </w:tc>
        <w:tc>
          <w:tcPr>
            <w:tcW w:w="3140"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650.</w:t>
            </w:r>
            <w:r>
              <w:rPr>
                <w:rFonts w:hint="eastAsia" w:cs="Times New Roman"/>
                <w:kern w:val="2"/>
                <w:sz w:val="24"/>
                <w:szCs w:val="24"/>
                <w:highlight w:val="none"/>
                <w:lang w:val="en-US" w:eastAsia="zh-CN" w:bidi="ar-SA"/>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小计</w:t>
            </w:r>
          </w:p>
        </w:tc>
        <w:tc>
          <w:tcPr>
            <w:tcW w:w="3568"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w:t>
            </w:r>
          </w:p>
        </w:tc>
        <w:tc>
          <w:tcPr>
            <w:tcW w:w="3140"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eastAsia" w:cs="Times New Roman"/>
                <w:kern w:val="2"/>
                <w:sz w:val="24"/>
                <w:szCs w:val="24"/>
                <w:highlight w:val="none"/>
                <w:lang w:val="en-US" w:eastAsia="zh-CN" w:bidi="ar-SA"/>
              </w:rPr>
              <w:t>6502.10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7" w:type="dxa"/>
            <w:vMerge w:val="restar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序号</w:t>
            </w:r>
          </w:p>
        </w:tc>
        <w:tc>
          <w:tcPr>
            <w:tcW w:w="6708" w:type="dxa"/>
            <w:gridSpan w:val="2"/>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产出</w:t>
            </w:r>
            <w:r>
              <w:rPr>
                <w:rFonts w:ascii="Times New Roman" w:hAnsi="Times New Roman" w:eastAsia="宋体" w:cs="Times New Roman"/>
                <w:kern w:val="2"/>
                <w:sz w:val="24"/>
                <w:szCs w:val="24"/>
                <w:highlight w:val="none"/>
                <w:lang w:val="en-US" w:eastAsia="zh-CN" w:bidi="ar-SA"/>
              </w:rPr>
              <w:t>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7"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highlight w:val="none"/>
                <w:lang w:val="en-US" w:eastAsia="zh-CN" w:bidi="ar-SA"/>
              </w:rPr>
            </w:pPr>
          </w:p>
        </w:tc>
        <w:tc>
          <w:tcPr>
            <w:tcW w:w="356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物料名称</w:t>
            </w:r>
          </w:p>
        </w:tc>
        <w:tc>
          <w:tcPr>
            <w:tcW w:w="3140"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数量（t/a）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7</w:t>
            </w:r>
          </w:p>
        </w:tc>
        <w:tc>
          <w:tcPr>
            <w:tcW w:w="356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聚氨酯发泡胶</w:t>
            </w:r>
          </w:p>
        </w:tc>
        <w:tc>
          <w:tcPr>
            <w:tcW w:w="3140"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6500.</w:t>
            </w:r>
            <w:r>
              <w:rPr>
                <w:rFonts w:hint="eastAsia" w:cs="Times New Roman"/>
                <w:kern w:val="2"/>
                <w:sz w:val="24"/>
                <w:szCs w:val="24"/>
                <w:highlight w:val="none"/>
                <w:lang w:val="en-US" w:eastAsia="zh-CN" w:bidi="ar-SA"/>
              </w:rPr>
              <w:t>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8</w:t>
            </w:r>
          </w:p>
        </w:tc>
        <w:tc>
          <w:tcPr>
            <w:tcW w:w="3568"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VOCs</w:t>
            </w:r>
          </w:p>
        </w:tc>
        <w:tc>
          <w:tcPr>
            <w:tcW w:w="3140"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eastAsia" w:cs="Times New Roman"/>
                <w:kern w:val="2"/>
                <w:sz w:val="24"/>
                <w:szCs w:val="24"/>
                <w:highlight w:val="none"/>
                <w:lang w:val="en-US" w:eastAsia="zh-CN" w:bidi="ar-SA"/>
              </w:rPr>
              <w:t>2.03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小计</w:t>
            </w:r>
          </w:p>
        </w:tc>
        <w:tc>
          <w:tcPr>
            <w:tcW w:w="356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w:t>
            </w:r>
          </w:p>
        </w:tc>
        <w:tc>
          <w:tcPr>
            <w:tcW w:w="3140"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650</w:t>
            </w:r>
            <w:r>
              <w:rPr>
                <w:rFonts w:hint="eastAsia" w:cs="Times New Roman"/>
                <w:kern w:val="2"/>
                <w:sz w:val="24"/>
                <w:szCs w:val="24"/>
                <w:highlight w:val="none"/>
                <w:lang w:val="en-US" w:eastAsia="zh-CN" w:bidi="ar-SA"/>
              </w:rPr>
              <w:t>2.10</w:t>
            </w:r>
          </w:p>
        </w:tc>
      </w:tr>
    </w:tbl>
    <w:p>
      <w:pPr>
        <w:pStyle w:val="25"/>
        <w:bidi w:val="0"/>
        <w:rPr>
          <w:lang w:val="en-US" w:eastAsia="zh-CN"/>
        </w:rPr>
      </w:pPr>
      <w:bookmarkStart w:id="884" w:name="_Toc28542"/>
      <w:bookmarkStart w:id="885" w:name="_Toc20478"/>
      <w:bookmarkStart w:id="886" w:name="_Toc28406"/>
      <w:bookmarkStart w:id="887" w:name="_Toc31430"/>
      <w:bookmarkStart w:id="888" w:name="_Toc31643"/>
      <w:bookmarkStart w:id="889" w:name="_Toc29569"/>
      <w:bookmarkStart w:id="890" w:name="_Toc13249"/>
      <w:bookmarkStart w:id="891" w:name="_Toc22474"/>
      <w:bookmarkStart w:id="892" w:name="_Toc28415"/>
      <w:bookmarkStart w:id="893" w:name="_Toc1154"/>
      <w:bookmarkStart w:id="894" w:name="_Toc2923"/>
      <w:bookmarkStart w:id="895" w:name="_Toc11687"/>
    </w:p>
    <w:p>
      <w:pPr>
        <w:pStyle w:val="4"/>
        <w:bidi w:val="0"/>
        <w:rPr>
          <w:lang w:val="en-US" w:eastAsia="zh-CN"/>
        </w:rPr>
      </w:pPr>
      <w:r>
        <w:rPr>
          <w:lang w:val="en-US" w:eastAsia="zh-CN"/>
        </w:rPr>
        <w:t>水平衡</w:t>
      </w:r>
      <w:bookmarkEnd w:id="884"/>
      <w:bookmarkEnd w:id="885"/>
      <w:bookmarkEnd w:id="886"/>
      <w:bookmarkEnd w:id="887"/>
      <w:bookmarkEnd w:id="888"/>
      <w:bookmarkEnd w:id="889"/>
      <w:bookmarkEnd w:id="890"/>
      <w:bookmarkEnd w:id="891"/>
      <w:bookmarkEnd w:id="892"/>
      <w:bookmarkEnd w:id="893"/>
      <w:bookmarkEnd w:id="894"/>
      <w:bookmarkEnd w:id="895"/>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项目用水主要</w:t>
      </w:r>
      <w:r>
        <w:rPr>
          <w:rFonts w:hint="eastAsia" w:ascii="Times New Roman" w:hAnsi="Times New Roman" w:eastAsia="宋体" w:cs="宋体"/>
          <w:kern w:val="2"/>
          <w:sz w:val="24"/>
          <w:szCs w:val="24"/>
          <w:lang w:val="en-US" w:eastAsia="zh-CN" w:bidi="ar-SA"/>
        </w:rPr>
        <w:t>为员工</w:t>
      </w:r>
      <w:r>
        <w:rPr>
          <w:rFonts w:ascii="Times New Roman" w:hAnsi="Times New Roman" w:eastAsia="宋体" w:cs="宋体"/>
          <w:kern w:val="2"/>
          <w:sz w:val="24"/>
          <w:szCs w:val="24"/>
          <w:lang w:val="en-US" w:eastAsia="zh-CN" w:bidi="ar-SA"/>
        </w:rPr>
        <w:t>生活用水。</w:t>
      </w:r>
      <w:r>
        <w:rPr>
          <w:rFonts w:hint="eastAsia" w:ascii="Times New Roman" w:hAnsi="Times New Roman" w:eastAsia="宋体" w:cs="宋体"/>
          <w:kern w:val="2"/>
          <w:sz w:val="24"/>
          <w:szCs w:val="24"/>
          <w:lang w:val="en-US" w:eastAsia="zh-CN" w:bidi="ar-SA"/>
        </w:rPr>
        <w:t>项目建成后员工定员4人，在工业园提供的公共食堂和公寓就餐住宿，年生产时间为260天。员工每人用水量以50L/d计，则生活用水量约为0.2m</w:t>
      </w:r>
      <w:r>
        <w:rPr>
          <w:rFonts w:hint="eastAsia" w:ascii="Times New Roman" w:hAnsi="Times New Roman" w:eastAsia="宋体" w:cs="宋体"/>
          <w:kern w:val="2"/>
          <w:sz w:val="24"/>
          <w:szCs w:val="24"/>
          <w:vertAlign w:val="superscript"/>
          <w:lang w:val="en-US" w:eastAsia="zh-CN" w:bidi="ar-SA"/>
        </w:rPr>
        <w:t>3</w:t>
      </w:r>
      <w:r>
        <w:rPr>
          <w:rFonts w:hint="eastAsia" w:ascii="Times New Roman" w:hAnsi="Times New Roman" w:eastAsia="宋体" w:cs="宋体"/>
          <w:kern w:val="2"/>
          <w:sz w:val="24"/>
          <w:szCs w:val="24"/>
          <w:lang w:val="en-US" w:eastAsia="zh-CN" w:bidi="ar-SA"/>
        </w:rPr>
        <w:t>/d（52m</w:t>
      </w:r>
      <w:r>
        <w:rPr>
          <w:rFonts w:hint="eastAsia" w:ascii="Times New Roman" w:hAnsi="Times New Roman" w:eastAsia="宋体" w:cs="宋体"/>
          <w:kern w:val="2"/>
          <w:sz w:val="24"/>
          <w:szCs w:val="24"/>
          <w:vertAlign w:val="superscript"/>
          <w:lang w:val="en-US" w:eastAsia="zh-CN" w:bidi="ar-SA"/>
        </w:rPr>
        <w:t>3</w:t>
      </w:r>
      <w:r>
        <w:rPr>
          <w:rFonts w:hint="eastAsia" w:ascii="Times New Roman" w:hAnsi="Times New Roman" w:eastAsia="宋体" w:cs="宋体"/>
          <w:kern w:val="2"/>
          <w:sz w:val="24"/>
          <w:szCs w:val="24"/>
          <w:lang w:val="en-US" w:eastAsia="zh-CN" w:bidi="ar-SA"/>
        </w:rPr>
        <w:t>/a），生活污水排放系数以80%计，则生活污水产量约为0.16m</w:t>
      </w:r>
      <w:r>
        <w:rPr>
          <w:rFonts w:hint="eastAsia" w:ascii="Times New Roman" w:hAnsi="Times New Roman" w:eastAsia="宋体" w:cs="宋体"/>
          <w:kern w:val="2"/>
          <w:sz w:val="24"/>
          <w:szCs w:val="24"/>
          <w:vertAlign w:val="superscript"/>
          <w:lang w:val="en-US" w:eastAsia="zh-CN" w:bidi="ar-SA"/>
        </w:rPr>
        <w:t>3</w:t>
      </w:r>
      <w:r>
        <w:rPr>
          <w:rFonts w:hint="eastAsia" w:ascii="Times New Roman" w:hAnsi="Times New Roman" w:eastAsia="宋体" w:cs="宋体"/>
          <w:kern w:val="2"/>
          <w:sz w:val="24"/>
          <w:szCs w:val="24"/>
          <w:lang w:val="en-US" w:eastAsia="zh-CN" w:bidi="ar-SA"/>
        </w:rPr>
        <w:t>/d（42m</w:t>
      </w:r>
      <w:r>
        <w:rPr>
          <w:rFonts w:hint="eastAsia" w:ascii="Times New Roman" w:hAnsi="Times New Roman" w:eastAsia="宋体" w:cs="宋体"/>
          <w:kern w:val="2"/>
          <w:sz w:val="24"/>
          <w:szCs w:val="24"/>
          <w:vertAlign w:val="superscript"/>
          <w:lang w:val="en-US" w:eastAsia="zh-CN" w:bidi="ar-SA"/>
        </w:rPr>
        <w:t>3</w:t>
      </w:r>
      <w:r>
        <w:rPr>
          <w:rFonts w:hint="eastAsia" w:ascii="Times New Roman" w:hAnsi="Times New Roman" w:eastAsia="宋体" w:cs="宋体"/>
          <w:kern w:val="2"/>
          <w:sz w:val="24"/>
          <w:szCs w:val="24"/>
          <w:lang w:val="en-US" w:eastAsia="zh-CN" w:bidi="ar-SA"/>
        </w:rPr>
        <w:t>/a）。外排的生活污水</w:t>
      </w:r>
      <w:r>
        <w:rPr>
          <w:rFonts w:hint="eastAsia" w:cs="宋体"/>
          <w:kern w:val="2"/>
          <w:sz w:val="24"/>
          <w:szCs w:val="24"/>
          <w:lang w:val="en-US" w:eastAsia="zh-CN" w:bidi="ar-SA"/>
        </w:rPr>
        <w:t>经园区化粪池处理后达到《污水综合排放标准》（GB8978-1996）三级后</w:t>
      </w:r>
      <w:r>
        <w:rPr>
          <w:rFonts w:hint="eastAsia" w:ascii="Times New Roman" w:hAnsi="Times New Roman" w:eastAsia="宋体" w:cs="宋体"/>
          <w:kern w:val="2"/>
          <w:sz w:val="24"/>
          <w:szCs w:val="24"/>
          <w:lang w:val="en-US" w:eastAsia="zh-CN" w:bidi="ar-SA"/>
        </w:rPr>
        <w:t>进入卓达金谷创业园污水处理站处理</w:t>
      </w:r>
      <w:r>
        <w:rPr>
          <w:rFonts w:hint="eastAsia" w:cs="宋体"/>
          <w:kern w:val="2"/>
          <w:sz w:val="24"/>
          <w:szCs w:val="24"/>
          <w:lang w:val="en-US" w:eastAsia="zh-CN" w:bidi="ar-SA"/>
        </w:rPr>
        <w:t>达到《城镇污水处理厂污染物排放标准》（GB18918-2002）一级A类标准</w:t>
      </w:r>
      <w:r>
        <w:rPr>
          <w:rFonts w:hint="eastAsia" w:ascii="Times New Roman" w:hAnsi="Times New Roman" w:eastAsia="宋体" w:cs="宋体"/>
          <w:kern w:val="2"/>
          <w:sz w:val="24"/>
          <w:szCs w:val="24"/>
          <w:lang w:val="en-US" w:eastAsia="zh-CN" w:bidi="ar-SA"/>
        </w:rPr>
        <w:t>后排入洋沙河至洋沙湖，最终受纳水体为湘江。</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工程水平衡见</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_Ref17190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图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4</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-4</w:t>
      </w:r>
      <w:r>
        <w:rPr>
          <w:rFonts w:hint="default"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p>
    <w:p>
      <w:pPr>
        <w:rPr>
          <w:rFonts w:hint="eastAsia" w:eastAsia="宋体"/>
          <w:lang w:eastAsia="zh-CN"/>
        </w:rPr>
      </w:pPr>
      <w:r>
        <w:drawing>
          <wp:inline distT="0" distB="0" distL="114300" distR="114300">
            <wp:extent cx="5574665" cy="1087755"/>
            <wp:effectExtent l="0" t="0" r="6985" b="17145"/>
            <wp:docPr id="10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7"/>
                    <pic:cNvPicPr>
                      <a:picLocks noChangeAspect="1"/>
                    </pic:cNvPicPr>
                  </pic:nvPicPr>
                  <pic:blipFill>
                    <a:blip r:embed="rId29"/>
                    <a:stretch>
                      <a:fillRect/>
                    </a:stretch>
                  </pic:blipFill>
                  <pic:spPr>
                    <a:xfrm>
                      <a:off x="0" y="0"/>
                      <a:ext cx="5574665" cy="1087755"/>
                    </a:xfrm>
                    <a:prstGeom prst="rect">
                      <a:avLst/>
                    </a:prstGeom>
                    <a:noFill/>
                    <a:ln>
                      <a:noFill/>
                    </a:ln>
                  </pic:spPr>
                </pic:pic>
              </a:graphicData>
            </a:graphic>
          </wp:inline>
        </w:drawing>
      </w:r>
    </w:p>
    <w:p>
      <w:pPr>
        <w:widowControl w:val="0"/>
        <w:spacing w:line="360" w:lineRule="auto"/>
        <w:jc w:val="center"/>
        <w:rPr>
          <w:rFonts w:ascii="Times New Roman" w:hAnsi="Times New Roman" w:eastAsia="宋体" w:cs="Times New Roman"/>
          <w:b/>
          <w:kern w:val="2"/>
          <w:sz w:val="21"/>
          <w:szCs w:val="21"/>
          <w:lang w:val="en-US" w:eastAsia="zh-CN" w:bidi="ar-SA"/>
        </w:rPr>
      </w:pPr>
      <w:bookmarkStart w:id="896" w:name="_Ref17190"/>
      <w:r>
        <w:rPr>
          <w:rFonts w:ascii="Times New Roman" w:hAnsi="Times New Roman" w:eastAsia="宋体" w:cs="Times New Roman"/>
          <w:b/>
          <w:kern w:val="2"/>
          <w:sz w:val="21"/>
          <w:szCs w:val="21"/>
          <w:lang w:val="en-US" w:eastAsia="zh-CN" w:bidi="ar-SA"/>
        </w:rPr>
        <w:t xml:space="preserve">图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图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bookmarkEnd w:id="896"/>
      <w:r>
        <w:rPr>
          <w:rFonts w:ascii="Times New Roman" w:hAnsi="Times New Roman" w:eastAsia="宋体" w:cs="Times New Roman"/>
          <w:b/>
          <w:kern w:val="2"/>
          <w:sz w:val="21"/>
          <w:szCs w:val="21"/>
          <w:lang w:val="en-US" w:eastAsia="zh-CN" w:bidi="ar-SA"/>
        </w:rPr>
        <w:t>工程水平衡图 单位：m</w:t>
      </w:r>
      <w:r>
        <w:rPr>
          <w:rFonts w:ascii="Times New Roman" w:hAnsi="Times New Roman" w:eastAsia="宋体" w:cs="Times New Roman"/>
          <w:b/>
          <w:kern w:val="2"/>
          <w:sz w:val="21"/>
          <w:szCs w:val="21"/>
          <w:vertAlign w:val="superscript"/>
          <w:lang w:val="en-US" w:eastAsia="zh-CN" w:bidi="ar-SA"/>
        </w:rPr>
        <w:t>3</w:t>
      </w:r>
      <w:r>
        <w:rPr>
          <w:rFonts w:ascii="Times New Roman" w:hAnsi="Times New Roman" w:eastAsia="宋体" w:cs="Times New Roman"/>
          <w:b/>
          <w:kern w:val="2"/>
          <w:sz w:val="21"/>
          <w:szCs w:val="21"/>
          <w:lang w:val="en-US" w:eastAsia="zh-CN" w:bidi="ar-SA"/>
        </w:rPr>
        <w:t>/a</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pStyle w:val="4"/>
        <w:bidi w:val="0"/>
        <w:rPr>
          <w:lang w:val="en-US" w:eastAsia="zh-CN"/>
        </w:rPr>
      </w:pPr>
      <w:bookmarkStart w:id="897" w:name="_Toc5443"/>
      <w:bookmarkStart w:id="898" w:name="_Toc30172"/>
      <w:bookmarkStart w:id="899" w:name="_Toc17392"/>
      <w:bookmarkStart w:id="900" w:name="_Toc22093"/>
      <w:bookmarkStart w:id="901" w:name="_Toc6773"/>
      <w:bookmarkStart w:id="902" w:name="_Toc3856"/>
      <w:bookmarkStart w:id="903" w:name="_Toc25781"/>
      <w:bookmarkStart w:id="904" w:name="_Toc6424"/>
      <w:bookmarkStart w:id="905" w:name="_Toc12396"/>
      <w:bookmarkStart w:id="906" w:name="_Toc29210"/>
      <w:bookmarkStart w:id="907" w:name="_Toc22161"/>
      <w:bookmarkStart w:id="908" w:name="_Toc15477"/>
      <w:r>
        <w:rPr>
          <w:rFonts w:hint="eastAsia"/>
          <w:lang w:val="en-US" w:eastAsia="zh-CN"/>
        </w:rPr>
        <w:t>VOCs</w:t>
      </w:r>
      <w:r>
        <w:rPr>
          <w:lang w:val="en-US" w:eastAsia="zh-CN"/>
        </w:rPr>
        <w:t>平衡</w:t>
      </w:r>
      <w:bookmarkEnd w:id="897"/>
      <w:bookmarkEnd w:id="898"/>
      <w:bookmarkEnd w:id="899"/>
      <w:bookmarkEnd w:id="900"/>
      <w:bookmarkEnd w:id="901"/>
      <w:bookmarkEnd w:id="902"/>
      <w:bookmarkEnd w:id="903"/>
      <w:bookmarkEnd w:id="904"/>
      <w:bookmarkEnd w:id="905"/>
      <w:bookmarkEnd w:id="906"/>
      <w:bookmarkEnd w:id="907"/>
      <w:bookmarkEnd w:id="908"/>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w:t>
      </w:r>
      <w:r>
        <w:rPr>
          <w:rFonts w:hint="eastAsia" w:cs="宋体"/>
          <w:kern w:val="2"/>
          <w:sz w:val="24"/>
          <w:szCs w:val="24"/>
          <w:lang w:val="en-US" w:eastAsia="zh-CN" w:bidi="ar-SA"/>
        </w:rPr>
        <w:t>VOCs</w:t>
      </w:r>
      <w:r>
        <w:rPr>
          <w:rFonts w:ascii="Times New Roman" w:hAnsi="Times New Roman" w:eastAsia="宋体" w:cs="宋体"/>
          <w:kern w:val="2"/>
          <w:sz w:val="24"/>
          <w:szCs w:val="24"/>
          <w:lang w:val="en-US" w:eastAsia="zh-CN" w:bidi="ar-SA"/>
        </w:rPr>
        <w:t>平衡见</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_Ref24674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图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4</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-5</w:t>
      </w:r>
      <w:r>
        <w:rPr>
          <w:rFonts w:hint="default"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p>
    <w:p>
      <w:pPr>
        <w:jc w:val="center"/>
      </w:pPr>
      <w:r>
        <w:drawing>
          <wp:inline distT="0" distB="0" distL="114300" distR="114300">
            <wp:extent cx="5578475" cy="1431925"/>
            <wp:effectExtent l="0" t="0" r="3175" b="1587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30"/>
                    <a:stretch>
                      <a:fillRect/>
                    </a:stretch>
                  </pic:blipFill>
                  <pic:spPr>
                    <a:xfrm>
                      <a:off x="0" y="0"/>
                      <a:ext cx="5578475" cy="1431925"/>
                    </a:xfrm>
                    <a:prstGeom prst="rect">
                      <a:avLst/>
                    </a:prstGeom>
                    <a:noFill/>
                    <a:ln>
                      <a:noFill/>
                    </a:ln>
                  </pic:spPr>
                </pic:pic>
              </a:graphicData>
            </a:graphic>
          </wp:inline>
        </w:drawing>
      </w:r>
    </w:p>
    <w:p>
      <w:pPr>
        <w:widowControl w:val="0"/>
        <w:spacing w:line="360" w:lineRule="auto"/>
        <w:jc w:val="center"/>
        <w:rPr>
          <w:rFonts w:ascii="Times New Roman" w:hAnsi="Times New Roman" w:eastAsia="宋体" w:cs="Times New Roman"/>
          <w:b/>
          <w:kern w:val="2"/>
          <w:sz w:val="21"/>
          <w:szCs w:val="21"/>
          <w:lang w:val="en-US" w:eastAsia="zh-CN" w:bidi="ar-SA"/>
        </w:rPr>
      </w:pPr>
      <w:bookmarkStart w:id="909" w:name="_Ref24674"/>
      <w:r>
        <w:rPr>
          <w:rFonts w:ascii="Times New Roman" w:hAnsi="Times New Roman" w:eastAsia="宋体" w:cs="Times New Roman"/>
          <w:b/>
          <w:kern w:val="2"/>
          <w:sz w:val="21"/>
          <w:szCs w:val="21"/>
          <w:lang w:val="en-US" w:eastAsia="zh-CN" w:bidi="ar-SA"/>
        </w:rPr>
        <w:t xml:space="preserve">图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图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5</w:t>
      </w:r>
      <w:r>
        <w:rPr>
          <w:rFonts w:ascii="Times New Roman" w:hAnsi="Times New Roman" w:eastAsia="宋体" w:cs="Times New Roman"/>
          <w:b/>
          <w:kern w:val="2"/>
          <w:sz w:val="21"/>
          <w:szCs w:val="21"/>
          <w:lang w:val="en-US" w:eastAsia="zh-CN" w:bidi="ar-SA"/>
        </w:rPr>
        <w:fldChar w:fldCharType="end"/>
      </w:r>
      <w:bookmarkEnd w:id="909"/>
      <w:r>
        <w:rPr>
          <w:rFonts w:hint="eastAsia" w:cs="Times New Roman"/>
          <w:b/>
          <w:kern w:val="2"/>
          <w:sz w:val="21"/>
          <w:szCs w:val="21"/>
          <w:lang w:val="en-US" w:eastAsia="zh-CN" w:bidi="ar-SA"/>
        </w:rPr>
        <w:t xml:space="preserve"> VOCs</w:t>
      </w:r>
      <w:r>
        <w:rPr>
          <w:rFonts w:ascii="Times New Roman" w:hAnsi="Times New Roman" w:eastAsia="宋体" w:cs="Times New Roman"/>
          <w:b/>
          <w:kern w:val="2"/>
          <w:sz w:val="21"/>
          <w:szCs w:val="21"/>
          <w:lang w:val="en-US" w:eastAsia="zh-CN" w:bidi="ar-SA"/>
        </w:rPr>
        <w:t>平衡图 单位：t/a</w:t>
      </w:r>
    </w:p>
    <w:p>
      <w:pPr>
        <w:pStyle w:val="25"/>
        <w:bidi w:val="0"/>
        <w:rPr>
          <w:lang w:val="en-US" w:eastAsia="zh-CN"/>
        </w:rPr>
      </w:pPr>
    </w:p>
    <w:p>
      <w:pPr>
        <w:widowControl w:val="0"/>
        <w:bidi w:val="0"/>
        <w:spacing w:line="360" w:lineRule="auto"/>
        <w:ind w:firstLine="480" w:firstLineChars="200"/>
        <w:jc w:val="center"/>
        <w:rPr>
          <w:rFonts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p>
    <w:p>
      <w:pPr>
        <w:keepNext/>
        <w:keepLines/>
        <w:widowControl w:val="0"/>
        <w:numPr>
          <w:ilvl w:val="1"/>
          <w:numId w:val="15"/>
        </w:numPr>
        <w:bidi w:val="0"/>
        <w:spacing w:before="260" w:beforeLines="0" w:beforeAutospacing="0" w:after="260" w:afterLines="0" w:afterAutospacing="0" w:line="360" w:lineRule="auto"/>
        <w:ind w:left="575" w:hanging="575" w:firstLineChars="0"/>
        <w:jc w:val="both"/>
        <w:outlineLvl w:val="1"/>
        <w:rPr>
          <w:rFonts w:ascii="Times New Roman" w:hAnsi="Times New Roman" w:eastAsia="宋体" w:cs="Times New Roman"/>
          <w:b/>
          <w:bCs/>
          <w:kern w:val="2"/>
          <w:sz w:val="30"/>
          <w:szCs w:val="30"/>
          <w:lang w:val="en-US" w:eastAsia="zh-CN" w:bidi="ar-SA"/>
        </w:rPr>
        <w:sectPr>
          <w:pgSz w:w="11906" w:h="16838"/>
          <w:pgMar w:top="1417" w:right="1417" w:bottom="1134" w:left="1701" w:header="851" w:footer="992" w:gutter="0"/>
          <w:pgBorders>
            <w:top w:val="none" w:sz="0" w:space="0"/>
            <w:left w:val="none" w:sz="0" w:space="0"/>
            <w:bottom w:val="none" w:sz="0" w:space="0"/>
            <w:right w:val="none" w:sz="0" w:space="0"/>
          </w:pgBorders>
          <w:pgNumType w:fmt="decimal"/>
          <w:cols w:space="0" w:num="1"/>
          <w:rtlGutter w:val="0"/>
          <w:docGrid w:linePitch="312" w:charSpace="0"/>
        </w:sectPr>
      </w:pPr>
      <w:bookmarkStart w:id="910" w:name="_Toc9877"/>
      <w:bookmarkStart w:id="911" w:name="_Toc24197"/>
      <w:bookmarkStart w:id="912" w:name="_Toc11458"/>
      <w:bookmarkStart w:id="913" w:name="_Toc23818"/>
      <w:bookmarkStart w:id="914" w:name="_Toc5668"/>
      <w:bookmarkStart w:id="915" w:name="_Toc2410"/>
    </w:p>
    <w:p>
      <w:pPr>
        <w:pStyle w:val="2"/>
        <w:bidi w:val="0"/>
        <w:rPr>
          <w:lang w:val="en-US" w:eastAsia="zh-CN"/>
        </w:rPr>
      </w:pPr>
      <w:bookmarkStart w:id="916" w:name="_Toc5482"/>
      <w:r>
        <w:rPr>
          <w:lang w:val="en-US" w:eastAsia="zh-CN"/>
        </w:rPr>
        <w:t>污染物排放量汇总</w:t>
      </w:r>
      <w:bookmarkEnd w:id="910"/>
      <w:bookmarkEnd w:id="911"/>
      <w:bookmarkEnd w:id="912"/>
      <w:bookmarkEnd w:id="913"/>
      <w:bookmarkEnd w:id="914"/>
      <w:bookmarkEnd w:id="915"/>
      <w:bookmarkEnd w:id="916"/>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通过上述工程分析，本项目污染物排放量汇总见</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_Ref17736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4</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hint="eastAsia" w:cs="宋体"/>
          <w:kern w:val="2"/>
          <w:sz w:val="24"/>
          <w:szCs w:val="24"/>
          <w:lang w:val="en-US" w:eastAsia="zh-CN" w:bidi="ar-SA"/>
        </w:rPr>
        <w:t>7</w:t>
      </w:r>
      <w:r>
        <w:rPr>
          <w:rFonts w:hint="default"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bookmarkStart w:id="917" w:name="_Ref17736"/>
    </w:p>
    <w:bookmarkEnd w:id="917"/>
    <w:p>
      <w:pPr>
        <w:widowControl w:val="0"/>
        <w:spacing w:line="360" w:lineRule="auto"/>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hint="eastAsia" w:cs="Times New Roman"/>
          <w:b/>
          <w:kern w:val="2"/>
          <w:sz w:val="21"/>
          <w:szCs w:val="21"/>
          <w:lang w:val="en-US" w:eastAsia="zh-CN" w:bidi="ar-SA"/>
        </w:rPr>
        <w:t>7</w:t>
      </w:r>
      <w:r>
        <w:rPr>
          <w:rFonts w:ascii="Times New Roman" w:hAnsi="Times New Roman" w:eastAsia="宋体" w:cs="Times New Roman"/>
          <w:b/>
          <w:kern w:val="2"/>
          <w:sz w:val="21"/>
          <w:szCs w:val="21"/>
          <w:lang w:val="en-US" w:eastAsia="zh-CN" w:bidi="ar-SA"/>
        </w:rPr>
        <w:t>项目污染物产生及排放情况汇总表 单位：t/a</w:t>
      </w:r>
    </w:p>
    <w:tbl>
      <w:tblPr>
        <w:tblStyle w:val="22"/>
        <w:tblW w:w="1455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285"/>
        <w:gridCol w:w="1201"/>
        <w:gridCol w:w="957"/>
        <w:gridCol w:w="1718"/>
        <w:gridCol w:w="1408"/>
        <w:gridCol w:w="1224"/>
        <w:gridCol w:w="75"/>
        <w:gridCol w:w="771"/>
        <w:gridCol w:w="579"/>
        <w:gridCol w:w="1068"/>
        <w:gridCol w:w="35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bookmarkStart w:id="918" w:name="_Hlk509235414"/>
            <w:r>
              <w:rPr>
                <w:rFonts w:ascii="Times New Roman" w:hAnsi="Times New Roman" w:eastAsia="宋体" w:cs="Times New Roman"/>
                <w:kern w:val="2"/>
                <w:sz w:val="24"/>
                <w:szCs w:val="24"/>
                <w:lang w:val="en-US" w:eastAsia="zh-CN" w:bidi="ar-SA"/>
              </w:rPr>
              <w:t>废水</w:t>
            </w:r>
          </w:p>
        </w:tc>
        <w:tc>
          <w:tcPr>
            <w:tcW w:w="1285"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废水类型</w:t>
            </w:r>
          </w:p>
        </w:tc>
        <w:tc>
          <w:tcPr>
            <w:tcW w:w="2158" w:type="dxa"/>
            <w:gridSpan w:val="2"/>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污染物</w:t>
            </w:r>
          </w:p>
        </w:tc>
        <w:tc>
          <w:tcPr>
            <w:tcW w:w="3126" w:type="dxa"/>
            <w:gridSpan w:val="2"/>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产生情况</w:t>
            </w:r>
          </w:p>
        </w:tc>
        <w:tc>
          <w:tcPr>
            <w:tcW w:w="3717" w:type="dxa"/>
            <w:gridSpan w:val="5"/>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厂区排放情况</w:t>
            </w:r>
          </w:p>
        </w:tc>
        <w:tc>
          <w:tcPr>
            <w:tcW w:w="3554"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治理措施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285"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2158" w:type="dxa"/>
            <w:gridSpan w:val="2"/>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71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产生浓度(</w:t>
            </w:r>
            <w:r>
              <w:rPr>
                <w:rFonts w:ascii="Times New Roman" w:hAnsi="Times New Roman" w:eastAsia="宋体" w:cs="Times New Roman"/>
                <w:kern w:val="2"/>
                <w:sz w:val="24"/>
                <w:szCs w:val="24"/>
                <w:lang w:val="nl-NL" w:eastAsia="zh-CN" w:bidi="ar-SA"/>
              </w:rPr>
              <w:t>mg/L</w:t>
            </w:r>
            <w:r>
              <w:rPr>
                <w:rFonts w:ascii="Times New Roman" w:hAnsi="Times New Roman" w:eastAsia="宋体" w:cs="Times New Roman"/>
                <w:kern w:val="2"/>
                <w:sz w:val="24"/>
                <w:szCs w:val="24"/>
                <w:lang w:val="en-US" w:eastAsia="zh-CN" w:bidi="ar-SA"/>
              </w:rPr>
              <w:t>)</w:t>
            </w:r>
          </w:p>
        </w:tc>
        <w:tc>
          <w:tcPr>
            <w:tcW w:w="140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产生量(t/a)</w:t>
            </w:r>
          </w:p>
        </w:tc>
        <w:tc>
          <w:tcPr>
            <w:tcW w:w="2070" w:type="dxa"/>
            <w:gridSpan w:val="3"/>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排放浓度(</w:t>
            </w:r>
            <w:r>
              <w:rPr>
                <w:rFonts w:ascii="Times New Roman" w:hAnsi="Times New Roman" w:eastAsia="宋体" w:cs="Times New Roman"/>
                <w:kern w:val="2"/>
                <w:sz w:val="24"/>
                <w:szCs w:val="24"/>
                <w:lang w:val="nl-NL" w:eastAsia="zh-CN" w:bidi="ar-SA"/>
              </w:rPr>
              <w:t>mg/L</w:t>
            </w:r>
            <w:r>
              <w:rPr>
                <w:rFonts w:ascii="Times New Roman" w:hAnsi="Times New Roman" w:eastAsia="宋体" w:cs="Times New Roman"/>
                <w:kern w:val="2"/>
                <w:sz w:val="24"/>
                <w:szCs w:val="24"/>
                <w:lang w:val="en-US" w:eastAsia="zh-CN" w:bidi="ar-SA"/>
              </w:rPr>
              <w:t>)</w:t>
            </w:r>
          </w:p>
        </w:tc>
        <w:tc>
          <w:tcPr>
            <w:tcW w:w="1647" w:type="dxa"/>
            <w:gridSpan w:val="2"/>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排放量(t/a)</w:t>
            </w:r>
          </w:p>
        </w:tc>
        <w:tc>
          <w:tcPr>
            <w:tcW w:w="3554"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285"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生活污水</w:t>
            </w:r>
          </w:p>
        </w:tc>
        <w:tc>
          <w:tcPr>
            <w:tcW w:w="2158" w:type="dxa"/>
            <w:gridSpan w:val="2"/>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废水量</w:t>
            </w:r>
          </w:p>
        </w:tc>
        <w:tc>
          <w:tcPr>
            <w:tcW w:w="171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140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42</w:t>
            </w:r>
          </w:p>
        </w:tc>
        <w:tc>
          <w:tcPr>
            <w:tcW w:w="2070" w:type="dxa"/>
            <w:gridSpan w:val="3"/>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1647" w:type="dxa"/>
            <w:gridSpan w:val="2"/>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42</w:t>
            </w:r>
          </w:p>
        </w:tc>
        <w:tc>
          <w:tcPr>
            <w:tcW w:w="3554" w:type="dxa"/>
            <w:vMerge w:val="restar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经园区化粪池处理后达到《污水综合排放标准》（GB8978-1996）三级后</w:t>
            </w:r>
            <w:r>
              <w:rPr>
                <w:rFonts w:hint="eastAsia" w:ascii="Times New Roman" w:hAnsi="Times New Roman" w:eastAsia="宋体" w:cs="Times New Roman"/>
                <w:kern w:val="2"/>
                <w:sz w:val="24"/>
                <w:szCs w:val="24"/>
                <w:lang w:val="en-US" w:eastAsia="zh-CN" w:bidi="ar-SA"/>
              </w:rPr>
              <w:t>进入卓达金谷创业园污水处理站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285"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2158" w:type="dxa"/>
            <w:gridSpan w:val="2"/>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COD</w:t>
            </w:r>
          </w:p>
        </w:tc>
        <w:tc>
          <w:tcPr>
            <w:tcW w:w="171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30</w:t>
            </w:r>
            <w:r>
              <w:rPr>
                <w:rFonts w:ascii="Times New Roman" w:hAnsi="Times New Roman" w:eastAsia="宋体" w:cs="Times New Roman"/>
                <w:kern w:val="2"/>
                <w:sz w:val="24"/>
                <w:szCs w:val="24"/>
                <w:lang w:val="en-US" w:eastAsia="zh-CN" w:bidi="ar-SA"/>
              </w:rPr>
              <w:t>0</w:t>
            </w:r>
          </w:p>
        </w:tc>
        <w:tc>
          <w:tcPr>
            <w:tcW w:w="1408"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0.130</w:t>
            </w:r>
          </w:p>
        </w:tc>
        <w:tc>
          <w:tcPr>
            <w:tcW w:w="2070" w:type="dxa"/>
            <w:gridSpan w:val="3"/>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30</w:t>
            </w:r>
            <w:r>
              <w:rPr>
                <w:rFonts w:ascii="Times New Roman" w:hAnsi="Times New Roman" w:eastAsia="宋体" w:cs="Times New Roman"/>
                <w:kern w:val="2"/>
                <w:sz w:val="24"/>
                <w:szCs w:val="24"/>
                <w:lang w:val="en-US" w:eastAsia="zh-CN" w:bidi="ar-SA"/>
              </w:rPr>
              <w:t>0</w:t>
            </w:r>
          </w:p>
        </w:tc>
        <w:tc>
          <w:tcPr>
            <w:tcW w:w="1647" w:type="dxa"/>
            <w:gridSpan w:val="2"/>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0.130</w:t>
            </w:r>
          </w:p>
        </w:tc>
        <w:tc>
          <w:tcPr>
            <w:tcW w:w="3554"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285"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2158" w:type="dxa"/>
            <w:gridSpan w:val="2"/>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氨氮</w:t>
            </w:r>
          </w:p>
        </w:tc>
        <w:tc>
          <w:tcPr>
            <w:tcW w:w="171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30</w:t>
            </w:r>
          </w:p>
        </w:tc>
        <w:tc>
          <w:tcPr>
            <w:tcW w:w="1408"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0.001</w:t>
            </w:r>
          </w:p>
        </w:tc>
        <w:tc>
          <w:tcPr>
            <w:tcW w:w="2070" w:type="dxa"/>
            <w:gridSpan w:val="3"/>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30</w:t>
            </w:r>
          </w:p>
        </w:tc>
        <w:tc>
          <w:tcPr>
            <w:tcW w:w="1647" w:type="dxa"/>
            <w:gridSpan w:val="2"/>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0.001</w:t>
            </w:r>
          </w:p>
        </w:tc>
        <w:tc>
          <w:tcPr>
            <w:tcW w:w="3554"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285"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2158" w:type="dxa"/>
            <w:gridSpan w:val="2"/>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SS</w:t>
            </w:r>
          </w:p>
        </w:tc>
        <w:tc>
          <w:tcPr>
            <w:tcW w:w="1718"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200</w:t>
            </w:r>
          </w:p>
        </w:tc>
        <w:tc>
          <w:tcPr>
            <w:tcW w:w="1408"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0.008</w:t>
            </w:r>
          </w:p>
        </w:tc>
        <w:tc>
          <w:tcPr>
            <w:tcW w:w="2070" w:type="dxa"/>
            <w:gridSpan w:val="3"/>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200</w:t>
            </w:r>
          </w:p>
        </w:tc>
        <w:tc>
          <w:tcPr>
            <w:tcW w:w="1647" w:type="dxa"/>
            <w:gridSpan w:val="2"/>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0.008</w:t>
            </w:r>
          </w:p>
        </w:tc>
        <w:tc>
          <w:tcPr>
            <w:tcW w:w="3554"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废气</w:t>
            </w:r>
          </w:p>
        </w:tc>
        <w:tc>
          <w:tcPr>
            <w:tcW w:w="128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废气</w:t>
            </w:r>
            <w:r>
              <w:rPr>
                <w:rFonts w:ascii="Times New Roman" w:hAnsi="Times New Roman" w:eastAsia="宋体" w:cs="Times New Roman"/>
                <w:kern w:val="2"/>
                <w:sz w:val="24"/>
                <w:szCs w:val="24"/>
                <w:lang w:val="en-US" w:eastAsia="zh-CN" w:bidi="ar-SA"/>
              </w:rPr>
              <w:t>类型</w:t>
            </w:r>
          </w:p>
        </w:tc>
        <w:tc>
          <w:tcPr>
            <w:tcW w:w="2158" w:type="dxa"/>
            <w:gridSpan w:val="2"/>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污染物</w:t>
            </w:r>
          </w:p>
        </w:tc>
        <w:tc>
          <w:tcPr>
            <w:tcW w:w="3126" w:type="dxa"/>
            <w:gridSpan w:val="2"/>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产生量（t/a）</w:t>
            </w:r>
          </w:p>
        </w:tc>
        <w:tc>
          <w:tcPr>
            <w:tcW w:w="1299" w:type="dxa"/>
            <w:gridSpan w:val="2"/>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排放浓度（mg/m</w:t>
            </w:r>
            <w:r>
              <w:rPr>
                <w:rFonts w:ascii="Times New Roman" w:hAnsi="Times New Roman" w:eastAsia="宋体" w:cs="Times New Roman"/>
                <w:kern w:val="2"/>
                <w:sz w:val="24"/>
                <w:szCs w:val="24"/>
                <w:vertAlign w:val="superscript"/>
                <w:lang w:val="en-US" w:eastAsia="zh-CN" w:bidi="ar-SA"/>
              </w:rPr>
              <w:t>3</w:t>
            </w:r>
            <w:r>
              <w:rPr>
                <w:rFonts w:ascii="Times New Roman" w:hAnsi="Times New Roman" w:eastAsia="宋体" w:cs="Times New Roman"/>
                <w:kern w:val="2"/>
                <w:sz w:val="24"/>
                <w:szCs w:val="24"/>
                <w:lang w:val="en-US" w:eastAsia="zh-CN" w:bidi="ar-SA"/>
              </w:rPr>
              <w:t>）</w:t>
            </w:r>
          </w:p>
        </w:tc>
        <w:tc>
          <w:tcPr>
            <w:tcW w:w="1350" w:type="dxa"/>
            <w:gridSpan w:val="2"/>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排放速率（kg/h）</w:t>
            </w:r>
          </w:p>
        </w:tc>
        <w:tc>
          <w:tcPr>
            <w:tcW w:w="106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排放量（t/a）</w:t>
            </w:r>
          </w:p>
        </w:tc>
        <w:tc>
          <w:tcPr>
            <w:tcW w:w="355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治理措施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285"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工艺废气</w:t>
            </w:r>
          </w:p>
        </w:tc>
        <w:tc>
          <w:tcPr>
            <w:tcW w:w="1201" w:type="dxa"/>
            <w:vMerge w:val="restar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VOCs</w:t>
            </w:r>
          </w:p>
        </w:tc>
        <w:tc>
          <w:tcPr>
            <w:tcW w:w="95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有组织</w:t>
            </w:r>
          </w:p>
        </w:tc>
        <w:tc>
          <w:tcPr>
            <w:tcW w:w="3126" w:type="dxa"/>
            <w:gridSpan w:val="2"/>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eastAsia" w:cs="Times New Roman"/>
                <w:kern w:val="2"/>
                <w:sz w:val="24"/>
                <w:szCs w:val="24"/>
                <w:highlight w:val="none"/>
                <w:lang w:val="en-US" w:eastAsia="zh-CN" w:bidi="ar-SA"/>
              </w:rPr>
              <w:t>1.83</w:t>
            </w:r>
          </w:p>
        </w:tc>
        <w:tc>
          <w:tcPr>
            <w:tcW w:w="1299" w:type="dxa"/>
            <w:gridSpan w:val="2"/>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eastAsia" w:cs="Times New Roman"/>
                <w:kern w:val="2"/>
                <w:sz w:val="24"/>
                <w:szCs w:val="24"/>
                <w:highlight w:val="none"/>
                <w:lang w:val="en-US" w:eastAsia="zh-CN" w:bidi="ar-SA"/>
              </w:rPr>
              <w:t>5.38</w:t>
            </w:r>
          </w:p>
        </w:tc>
        <w:tc>
          <w:tcPr>
            <w:tcW w:w="1350" w:type="dxa"/>
            <w:gridSpan w:val="2"/>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eastAsia" w:cs="Times New Roman"/>
                <w:kern w:val="2"/>
                <w:sz w:val="24"/>
                <w:szCs w:val="24"/>
                <w:highlight w:val="none"/>
                <w:lang w:val="en-US" w:eastAsia="zh-CN" w:bidi="ar-SA"/>
              </w:rPr>
              <w:t>0.053</w:t>
            </w:r>
          </w:p>
        </w:tc>
        <w:tc>
          <w:tcPr>
            <w:tcW w:w="1068"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eastAsia" w:cs="Times New Roman"/>
                <w:kern w:val="2"/>
                <w:sz w:val="24"/>
                <w:szCs w:val="24"/>
                <w:highlight w:val="none"/>
                <w:lang w:val="en-US" w:eastAsia="zh-CN" w:bidi="ar-SA"/>
              </w:rPr>
              <w:t>0.11</w:t>
            </w:r>
          </w:p>
        </w:tc>
        <w:tc>
          <w:tcPr>
            <w:tcW w:w="3554" w:type="dxa"/>
            <w:vMerge w:val="restar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集气罩收集后用UV光解净化器</w:t>
            </w:r>
            <w:r>
              <w:rPr>
                <w:rFonts w:hint="eastAsia"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活性炭吸附装置处理</w:t>
            </w:r>
            <w:r>
              <w:rPr>
                <w:rFonts w:hint="eastAsia" w:cs="Times New Roman"/>
                <w:kern w:val="2"/>
                <w:sz w:val="24"/>
                <w:szCs w:val="24"/>
                <w:lang w:val="en-US" w:eastAsia="zh-CN" w:bidi="ar-SA"/>
              </w:rPr>
              <w:t>+21m排气筒</w:t>
            </w:r>
            <w:r>
              <w:rPr>
                <w:rFonts w:hint="eastAsia" w:ascii="Times New Roman" w:hAnsi="Times New Roman" w:eastAsia="宋体" w:cs="Times New Roman"/>
                <w:kern w:val="2"/>
                <w:sz w:val="24"/>
                <w:szCs w:val="24"/>
                <w:lang w:val="en-US" w:eastAsia="zh-CN" w:bidi="ar-SA"/>
              </w:rPr>
              <w:t>（高于屋顶3m）</w:t>
            </w:r>
            <w:r>
              <w:rPr>
                <w:rFonts w:ascii="Times New Roman" w:hAnsi="Times New Roman" w:eastAsia="宋体" w:cs="Times New Roman"/>
                <w:kern w:val="2"/>
                <w:sz w:val="24"/>
                <w:szCs w:val="24"/>
                <w:lang w:val="en-US" w:eastAsia="zh-CN" w:bidi="ar-SA"/>
              </w:rPr>
              <w:t>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285"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201"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5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无组织</w:t>
            </w:r>
          </w:p>
        </w:tc>
        <w:tc>
          <w:tcPr>
            <w:tcW w:w="3126" w:type="dxa"/>
            <w:gridSpan w:val="2"/>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eastAsia" w:cs="Times New Roman"/>
                <w:kern w:val="2"/>
                <w:sz w:val="24"/>
                <w:szCs w:val="24"/>
                <w:highlight w:val="none"/>
                <w:lang w:val="en-US" w:eastAsia="zh-CN" w:bidi="ar-SA"/>
              </w:rPr>
              <w:t>0.20</w:t>
            </w:r>
          </w:p>
        </w:tc>
        <w:tc>
          <w:tcPr>
            <w:tcW w:w="1299" w:type="dxa"/>
            <w:gridSpan w:val="2"/>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eastAsia" w:ascii="Times New Roman" w:hAnsi="Times New Roman" w:eastAsia="宋体" w:cs="Times New Roman"/>
                <w:kern w:val="2"/>
                <w:sz w:val="24"/>
                <w:szCs w:val="24"/>
                <w:highlight w:val="none"/>
                <w:lang w:val="en-US" w:eastAsia="zh-CN" w:bidi="ar-SA"/>
              </w:rPr>
              <w:t>/</w:t>
            </w:r>
          </w:p>
        </w:tc>
        <w:tc>
          <w:tcPr>
            <w:tcW w:w="1350" w:type="dxa"/>
            <w:gridSpan w:val="2"/>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eastAsia" w:cs="Times New Roman"/>
                <w:kern w:val="2"/>
                <w:sz w:val="24"/>
                <w:szCs w:val="24"/>
                <w:highlight w:val="none"/>
                <w:lang w:val="en-US" w:eastAsia="zh-CN" w:bidi="ar-SA"/>
              </w:rPr>
              <w:t>0.096</w:t>
            </w:r>
          </w:p>
        </w:tc>
        <w:tc>
          <w:tcPr>
            <w:tcW w:w="1068"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eastAsia" w:cs="Times New Roman"/>
                <w:kern w:val="2"/>
                <w:sz w:val="24"/>
                <w:szCs w:val="24"/>
                <w:highlight w:val="none"/>
                <w:lang w:val="en-US" w:eastAsia="zh-CN" w:bidi="ar-SA"/>
              </w:rPr>
              <w:t>0.20</w:t>
            </w:r>
          </w:p>
        </w:tc>
        <w:tc>
          <w:tcPr>
            <w:tcW w:w="3554"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固废</w:t>
            </w:r>
          </w:p>
        </w:tc>
        <w:tc>
          <w:tcPr>
            <w:tcW w:w="128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固废种类</w:t>
            </w:r>
          </w:p>
        </w:tc>
        <w:tc>
          <w:tcPr>
            <w:tcW w:w="2158" w:type="dxa"/>
            <w:gridSpan w:val="2"/>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固废名称</w:t>
            </w:r>
          </w:p>
        </w:tc>
        <w:tc>
          <w:tcPr>
            <w:tcW w:w="6843" w:type="dxa"/>
            <w:gridSpan w:val="7"/>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产生量（t/a）</w:t>
            </w:r>
          </w:p>
        </w:tc>
        <w:tc>
          <w:tcPr>
            <w:tcW w:w="355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处置措施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28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员工生活</w:t>
            </w:r>
          </w:p>
        </w:tc>
        <w:tc>
          <w:tcPr>
            <w:tcW w:w="2158" w:type="dxa"/>
            <w:gridSpan w:val="2"/>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生活垃圾</w:t>
            </w:r>
          </w:p>
        </w:tc>
        <w:tc>
          <w:tcPr>
            <w:tcW w:w="6843" w:type="dxa"/>
            <w:gridSpan w:val="7"/>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1.2</w:t>
            </w:r>
          </w:p>
        </w:tc>
        <w:tc>
          <w:tcPr>
            <w:tcW w:w="3554"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环卫部门</w:t>
            </w:r>
            <w:r>
              <w:rPr>
                <w:rFonts w:hint="eastAsia" w:ascii="Times New Roman" w:hAnsi="Times New Roman" w:eastAsia="宋体" w:cs="Times New Roman"/>
                <w:kern w:val="2"/>
                <w:sz w:val="24"/>
                <w:szCs w:val="24"/>
                <w:lang w:val="en-US" w:eastAsia="zh-CN" w:bidi="ar-SA"/>
              </w:rPr>
              <w:t>定期清理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285" w:type="dxa"/>
            <w:vMerge w:val="restar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一般固废</w:t>
            </w:r>
          </w:p>
        </w:tc>
        <w:tc>
          <w:tcPr>
            <w:tcW w:w="2158" w:type="dxa"/>
            <w:gridSpan w:val="2"/>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原料桶标签纸</w:t>
            </w:r>
          </w:p>
        </w:tc>
        <w:tc>
          <w:tcPr>
            <w:tcW w:w="6843" w:type="dxa"/>
            <w:gridSpan w:val="7"/>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0.3</w:t>
            </w:r>
          </w:p>
        </w:tc>
        <w:tc>
          <w:tcPr>
            <w:tcW w:w="3554"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285"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2158" w:type="dxa"/>
            <w:gridSpan w:val="2"/>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破损包装桶</w:t>
            </w:r>
          </w:p>
        </w:tc>
        <w:tc>
          <w:tcPr>
            <w:tcW w:w="6843" w:type="dxa"/>
            <w:gridSpan w:val="7"/>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0.6</w:t>
            </w:r>
          </w:p>
        </w:tc>
        <w:tc>
          <w:tcPr>
            <w:tcW w:w="3554"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285"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2158" w:type="dxa"/>
            <w:gridSpan w:val="2"/>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实验室固废</w:t>
            </w:r>
          </w:p>
        </w:tc>
        <w:tc>
          <w:tcPr>
            <w:tcW w:w="6843" w:type="dxa"/>
            <w:gridSpan w:val="7"/>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0.1</w:t>
            </w:r>
          </w:p>
        </w:tc>
        <w:tc>
          <w:tcPr>
            <w:tcW w:w="3554"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712"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285"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危险废物</w:t>
            </w:r>
          </w:p>
        </w:tc>
        <w:tc>
          <w:tcPr>
            <w:tcW w:w="2158" w:type="dxa"/>
            <w:gridSpan w:val="2"/>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废活性炭</w:t>
            </w:r>
          </w:p>
        </w:tc>
        <w:tc>
          <w:tcPr>
            <w:tcW w:w="6843" w:type="dxa"/>
            <w:gridSpan w:val="7"/>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4.6</w:t>
            </w:r>
          </w:p>
        </w:tc>
        <w:tc>
          <w:tcPr>
            <w:tcW w:w="3554" w:type="dxa"/>
            <w:vMerge w:val="restar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定期交由有资质单位处理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712" w:type="dxa"/>
            <w:vMerge w:val="continue"/>
            <w:noWrap w:val="0"/>
            <w:vAlign w:val="center"/>
          </w:tcPr>
          <w:p>
            <w:pPr>
              <w:widowControl w:val="0"/>
              <w:bidi w:val="0"/>
              <w:adjustRightInd w:val="0"/>
              <w:snapToGrid w:val="0"/>
              <w:spacing w:line="240" w:lineRule="auto"/>
              <w:jc w:val="center"/>
            </w:pPr>
          </w:p>
        </w:tc>
        <w:tc>
          <w:tcPr>
            <w:tcW w:w="1285" w:type="dxa"/>
            <w:vMerge w:val="continue"/>
            <w:noWrap w:val="0"/>
            <w:vAlign w:val="center"/>
          </w:tcPr>
          <w:p>
            <w:pPr>
              <w:widowControl w:val="0"/>
              <w:bidi w:val="0"/>
              <w:adjustRightInd w:val="0"/>
              <w:snapToGrid w:val="0"/>
              <w:spacing w:line="240" w:lineRule="auto"/>
              <w:jc w:val="center"/>
            </w:pPr>
          </w:p>
        </w:tc>
        <w:tc>
          <w:tcPr>
            <w:tcW w:w="2158" w:type="dxa"/>
            <w:gridSpan w:val="2"/>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电动叉车废弃电瓶</w:t>
            </w:r>
          </w:p>
        </w:tc>
        <w:tc>
          <w:tcPr>
            <w:tcW w:w="6843" w:type="dxa"/>
            <w:gridSpan w:val="7"/>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0.1</w:t>
            </w:r>
          </w:p>
        </w:tc>
        <w:tc>
          <w:tcPr>
            <w:tcW w:w="3554"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噪声</w:t>
            </w:r>
          </w:p>
        </w:tc>
        <w:tc>
          <w:tcPr>
            <w:tcW w:w="3443" w:type="dxa"/>
            <w:gridSpan w:val="3"/>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噪声</w:t>
            </w:r>
            <w:r>
              <w:rPr>
                <w:rFonts w:hint="eastAsia" w:ascii="Times New Roman" w:hAnsi="Times New Roman" w:eastAsia="宋体" w:cs="Times New Roman"/>
                <w:kern w:val="2"/>
                <w:sz w:val="24"/>
                <w:szCs w:val="24"/>
                <w:lang w:val="en-US" w:eastAsia="zh-CN" w:bidi="ar-SA"/>
              </w:rPr>
              <w:t>来源</w:t>
            </w:r>
          </w:p>
        </w:tc>
        <w:tc>
          <w:tcPr>
            <w:tcW w:w="4350" w:type="dxa"/>
            <w:gridSpan w:val="3"/>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声压级</w:t>
            </w:r>
          </w:p>
        </w:tc>
        <w:tc>
          <w:tcPr>
            <w:tcW w:w="6047" w:type="dxa"/>
            <w:gridSpan w:val="5"/>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处置措施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3443" w:type="dxa"/>
            <w:gridSpan w:val="3"/>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生产设备运行</w:t>
            </w:r>
          </w:p>
        </w:tc>
        <w:tc>
          <w:tcPr>
            <w:tcW w:w="4350" w:type="dxa"/>
            <w:gridSpan w:val="3"/>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70~85dB</w:t>
            </w:r>
          </w:p>
        </w:tc>
        <w:tc>
          <w:tcPr>
            <w:tcW w:w="6047" w:type="dxa"/>
            <w:gridSpan w:val="5"/>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隔声、减振、消声达到(GB12348-2008)</w:t>
            </w:r>
            <w:r>
              <w:rPr>
                <w:rFonts w:hint="eastAsia" w:ascii="Times New Roman" w:hAnsi="Times New Roman" w:eastAsia="宋体" w:cs="Times New Roman"/>
                <w:kern w:val="2"/>
                <w:sz w:val="24"/>
                <w:szCs w:val="24"/>
                <w:lang w:val="en-US" w:eastAsia="zh-CN" w:bidi="ar-SA"/>
              </w:rPr>
              <w:t>3</w:t>
            </w:r>
            <w:r>
              <w:rPr>
                <w:rFonts w:ascii="Times New Roman" w:hAnsi="Times New Roman" w:eastAsia="宋体" w:cs="Times New Roman"/>
                <w:kern w:val="2"/>
                <w:sz w:val="24"/>
                <w:szCs w:val="24"/>
                <w:lang w:val="en-US" w:eastAsia="zh-CN" w:bidi="ar-SA"/>
              </w:rPr>
              <w:t>类标准</w:t>
            </w:r>
          </w:p>
        </w:tc>
      </w:tr>
      <w:bookmarkEnd w:id="918"/>
    </w:tbl>
    <w:p>
      <w:pPr>
        <w:keepNext/>
        <w:keepLines/>
        <w:widowControl w:val="0"/>
        <w:numPr>
          <w:ilvl w:val="0"/>
          <w:numId w:val="15"/>
        </w:numPr>
        <w:bidi w:val="0"/>
        <w:spacing w:before="100" w:beforeLines="100" w:beforeAutospacing="0" w:after="100" w:afterLines="100" w:afterAutospacing="0" w:line="360" w:lineRule="auto"/>
        <w:ind w:left="432" w:hanging="432" w:firstLineChars="0"/>
        <w:jc w:val="both"/>
        <w:outlineLvl w:val="0"/>
        <w:rPr>
          <w:rFonts w:hint="default" w:ascii="Times New Roman" w:hAnsi="Times New Roman" w:eastAsia="宋体" w:cs="Times New Roman"/>
          <w:b/>
          <w:bCs/>
          <w:kern w:val="44"/>
          <w:sz w:val="32"/>
          <w:szCs w:val="32"/>
          <w:lang w:val="en-US" w:eastAsia="zh-CN" w:bidi="ar-SA"/>
        </w:rPr>
        <w:sectPr>
          <w:headerReference r:id="rId15" w:type="default"/>
          <w:footerReference r:id="rId16" w:type="default"/>
          <w:pgSz w:w="16838" w:h="11906" w:orient="landscape"/>
          <w:pgMar w:top="1701" w:right="1417" w:bottom="1417" w:left="1134" w:header="851" w:footer="992" w:gutter="0"/>
          <w:pgBorders>
            <w:top w:val="none" w:sz="0" w:space="0"/>
            <w:left w:val="none" w:sz="0" w:space="0"/>
            <w:bottom w:val="none" w:sz="0" w:space="0"/>
            <w:right w:val="none" w:sz="0" w:space="0"/>
          </w:pgBorders>
          <w:pgNumType w:fmt="decimal"/>
          <w:cols w:space="0" w:num="1"/>
          <w:rtlGutter w:val="0"/>
          <w:docGrid w:linePitch="312" w:charSpace="0"/>
        </w:sectPr>
      </w:pPr>
      <w:bookmarkStart w:id="919" w:name="_Toc18282"/>
      <w:bookmarkStart w:id="920" w:name="_Toc23014"/>
      <w:bookmarkStart w:id="921" w:name="_Toc26943"/>
      <w:bookmarkStart w:id="922" w:name="_Toc601"/>
      <w:bookmarkStart w:id="923" w:name="_Toc2682"/>
      <w:bookmarkStart w:id="924" w:name="_Toc25246"/>
    </w:p>
    <w:p>
      <w:pPr>
        <w:pStyle w:val="3"/>
        <w:bidi w:val="0"/>
        <w:rPr>
          <w:rFonts w:hint="default"/>
          <w:lang w:val="en-US" w:eastAsia="zh-CN"/>
        </w:rPr>
      </w:pPr>
      <w:bookmarkStart w:id="925" w:name="_Toc3076"/>
      <w:r>
        <w:rPr>
          <w:rFonts w:hint="default"/>
          <w:lang w:val="en-US" w:eastAsia="zh-CN"/>
        </w:rPr>
        <w:t>建设项目区域环境概况</w:t>
      </w:r>
      <w:bookmarkEnd w:id="919"/>
      <w:bookmarkEnd w:id="920"/>
      <w:bookmarkEnd w:id="921"/>
      <w:bookmarkEnd w:id="922"/>
      <w:bookmarkEnd w:id="923"/>
      <w:bookmarkEnd w:id="924"/>
      <w:bookmarkEnd w:id="925"/>
    </w:p>
    <w:p>
      <w:pPr>
        <w:pStyle w:val="2"/>
        <w:bidi w:val="0"/>
        <w:rPr>
          <w:lang w:val="en-US" w:eastAsia="zh-CN"/>
        </w:rPr>
      </w:pPr>
      <w:bookmarkStart w:id="926" w:name="_Toc21353"/>
      <w:bookmarkStart w:id="927" w:name="_Toc16654"/>
      <w:bookmarkStart w:id="928" w:name="_Toc2112"/>
      <w:bookmarkStart w:id="929" w:name="_Toc32243"/>
      <w:bookmarkStart w:id="930" w:name="_Toc12770"/>
      <w:bookmarkStart w:id="931" w:name="_Toc512263900"/>
      <w:bookmarkStart w:id="932" w:name="_Toc11092"/>
      <w:bookmarkStart w:id="933" w:name="_Toc372124950"/>
      <w:bookmarkStart w:id="934" w:name="_Toc31651"/>
      <w:bookmarkStart w:id="935" w:name="_Toc31353"/>
      <w:bookmarkStart w:id="936" w:name="_Toc19711"/>
      <w:bookmarkStart w:id="937" w:name="_Toc30710"/>
      <w:bookmarkStart w:id="938" w:name="_Toc24299"/>
      <w:bookmarkStart w:id="939" w:name="_Toc372124951"/>
      <w:bookmarkStart w:id="940" w:name="_Toc2302"/>
      <w:bookmarkStart w:id="941" w:name="_Toc13848"/>
      <w:r>
        <w:rPr>
          <w:lang w:val="en-US" w:eastAsia="zh-CN"/>
        </w:rPr>
        <w:t>自然环境概况</w:t>
      </w:r>
      <w:bookmarkEnd w:id="926"/>
      <w:bookmarkEnd w:id="927"/>
      <w:bookmarkEnd w:id="928"/>
      <w:bookmarkEnd w:id="929"/>
      <w:bookmarkEnd w:id="930"/>
    </w:p>
    <w:p>
      <w:pPr>
        <w:pStyle w:val="4"/>
        <w:bidi w:val="0"/>
        <w:rPr>
          <w:lang w:val="en-US" w:eastAsia="zh-CN"/>
        </w:rPr>
      </w:pPr>
      <w:bookmarkStart w:id="942" w:name="_Toc5802"/>
      <w:bookmarkStart w:id="943" w:name="_Toc24564"/>
      <w:bookmarkStart w:id="944" w:name="_Toc26595"/>
      <w:bookmarkStart w:id="945" w:name="_Toc28190"/>
      <w:bookmarkStart w:id="946" w:name="_Toc9072"/>
      <w:bookmarkStart w:id="947" w:name="_Toc311"/>
      <w:bookmarkStart w:id="948" w:name="_Toc28014"/>
      <w:bookmarkStart w:id="949" w:name="_Toc31946"/>
      <w:bookmarkStart w:id="950" w:name="_Toc11664"/>
      <w:bookmarkStart w:id="951" w:name="_Toc82"/>
      <w:bookmarkStart w:id="952" w:name="_Toc10427"/>
      <w:r>
        <w:rPr>
          <w:lang w:val="en-US" w:eastAsia="zh-CN"/>
        </w:rPr>
        <w:t>地理位置</w:t>
      </w:r>
      <w:bookmarkEnd w:id="942"/>
      <w:bookmarkEnd w:id="943"/>
      <w:bookmarkEnd w:id="944"/>
      <w:bookmarkEnd w:id="945"/>
      <w:bookmarkEnd w:id="946"/>
      <w:bookmarkEnd w:id="947"/>
      <w:bookmarkEnd w:id="948"/>
      <w:bookmarkEnd w:id="949"/>
      <w:bookmarkEnd w:id="950"/>
      <w:bookmarkEnd w:id="951"/>
      <w:bookmarkEnd w:id="952"/>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953" w:name="_Toc311104719"/>
      <w:r>
        <w:rPr>
          <w:rFonts w:ascii="Times New Roman" w:hAnsi="Times New Roman" w:eastAsia="宋体" w:cs="宋体"/>
          <w:kern w:val="2"/>
          <w:sz w:val="24"/>
          <w:szCs w:val="24"/>
          <w:lang w:val="en-US" w:eastAsia="zh-CN" w:bidi="ar-SA"/>
        </w:rPr>
        <w:t>湘阴县位于湖南省东北部、居湘、资两水尾间，濒南洞庭湖。东邻汨罗市、西接益阳市，南界望城县，北抵沅江市、屈原行政区，介于东经112°30′</w:t>
      </w:r>
      <w:bookmarkEnd w:id="953"/>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113°02′，北纬28°30′</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29°03′之间。南北长61公里</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东西宽51.3公里，面积1581.5平方公里，距益阳市区仅50公里，岳阳市区110公里，经长湘公路至长沙仅45公里，交通十分便利。</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拟建项目位</w:t>
      </w:r>
      <w:r>
        <w:rPr>
          <w:rFonts w:hint="eastAsia" w:ascii="Times New Roman" w:hAnsi="Times New Roman" w:eastAsia="宋体" w:cs="宋体"/>
          <w:kern w:val="2"/>
          <w:sz w:val="24"/>
          <w:szCs w:val="24"/>
          <w:lang w:val="en-US" w:eastAsia="zh-CN" w:bidi="ar-SA"/>
        </w:rPr>
        <w:t>湖南湘阴县金龙新区工业区卓达金谷创业园8栋，112°55′48〞、28°32′1〞</w:t>
      </w:r>
      <w:r>
        <w:rPr>
          <w:rFonts w:ascii="Times New Roman" w:hAnsi="Times New Roman" w:eastAsia="宋体" w:cs="宋体"/>
          <w:kern w:val="2"/>
          <w:sz w:val="24"/>
          <w:szCs w:val="24"/>
          <w:lang w:val="en-US" w:eastAsia="zh-CN" w:bidi="ar-SA"/>
        </w:rPr>
        <w:t>，项目地理位置详见</w:t>
      </w:r>
      <w:r>
        <w:rPr>
          <w:rFonts w:ascii="Times New Roman" w:hAnsi="Times New Roman" w:eastAsia="宋体" w:cs="宋体"/>
          <w:kern w:val="2"/>
          <w:sz w:val="24"/>
          <w:szCs w:val="24"/>
          <w:highlight w:val="none"/>
          <w:lang w:val="en-US" w:eastAsia="zh-CN" w:bidi="ar-SA"/>
        </w:rPr>
        <w:t>附图1</w:t>
      </w:r>
      <w:r>
        <w:rPr>
          <w:rFonts w:ascii="Times New Roman" w:hAnsi="Times New Roman" w:eastAsia="宋体" w:cs="宋体"/>
          <w:kern w:val="2"/>
          <w:sz w:val="24"/>
          <w:szCs w:val="24"/>
          <w:lang w:val="en-US" w:eastAsia="zh-CN" w:bidi="ar-SA"/>
        </w:rPr>
        <w:t>。</w:t>
      </w:r>
    </w:p>
    <w:p>
      <w:pPr>
        <w:pStyle w:val="4"/>
        <w:bidi w:val="0"/>
        <w:rPr>
          <w:rFonts w:hint="eastAsia"/>
          <w:lang w:val="en-US" w:eastAsia="zh-CN"/>
        </w:rPr>
      </w:pPr>
      <w:bookmarkStart w:id="954" w:name="_Toc450229666"/>
      <w:bookmarkEnd w:id="954"/>
      <w:bookmarkStart w:id="955" w:name="_Toc450297754"/>
      <w:bookmarkEnd w:id="955"/>
      <w:bookmarkStart w:id="956" w:name="_Toc435781465"/>
      <w:bookmarkEnd w:id="956"/>
      <w:bookmarkStart w:id="957" w:name="_Toc7206"/>
      <w:bookmarkStart w:id="958" w:name="_Toc13207_WPSOffice_Level3"/>
      <w:bookmarkStart w:id="959" w:name="_Toc959320"/>
      <w:bookmarkStart w:id="960" w:name="_Toc4011"/>
      <w:bookmarkStart w:id="961" w:name="_Toc2587"/>
      <w:bookmarkStart w:id="962" w:name="_Toc959036"/>
      <w:bookmarkStart w:id="963" w:name="_Toc958575"/>
      <w:bookmarkStart w:id="964" w:name="_Toc531790499"/>
      <w:r>
        <w:rPr>
          <w:rFonts w:hint="eastAsia"/>
          <w:lang w:val="en-US" w:eastAsia="zh-CN"/>
        </w:rPr>
        <w:t>地形、地貌、地质</w:t>
      </w:r>
      <w:bookmarkEnd w:id="957"/>
      <w:bookmarkEnd w:id="958"/>
      <w:bookmarkEnd w:id="959"/>
      <w:bookmarkEnd w:id="960"/>
      <w:bookmarkEnd w:id="961"/>
      <w:bookmarkEnd w:id="962"/>
      <w:bookmarkEnd w:id="963"/>
      <w:bookmarkEnd w:id="964"/>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湘阴地块属新华夏构造体系的第二隆起带，所处地质状况，使其地貌呈低山、岗地、平原三种形态，具有如下三个特征：其一、地势东南高、西北低。位居幕阜山余脉走向洞庭湖凹陷处的过渡地带，地势至东南向西北递降，形成一个微向洞庭湖碰盆中心的倾斜面。其二、以滨湖平原为主体，成块状分布。地处湘江大断裂带，其东盘上升，基岩裸露，构成低山、岗地；西盘下降，阶台下切，形成滨湖平源。全县除去江河湖泊及其他水面，滨湖、江河、溪谷三种平原共702.11平方公里，占全县总面积的44.4%；岗地占13.59%；低山占1.51%。其三、河湖交会，水域广阔。湘江自南而北贯穿全景，自然分成东西两部，江东为东乡，为低山岗丘地，岗丘婉蜒，地形起伏；江西为西乡，属滨湖平原地，河渠纵横，湖沼塘堰星罗棋布。全县国土总面积1581.5平方公里，湖区、山丘区、湖洲分别为675.0平方公里、484.6平方公里、421.9平方公里。水域面积98.56万亩，占全县总面积的4</w:t>
      </w:r>
      <w:r>
        <w:rPr>
          <w:rFonts w:hint="eastAsia" w:ascii="Times New Roman" w:hAnsi="Times New Roman" w:eastAsia="宋体" w:cs="宋体"/>
          <w:kern w:val="2"/>
          <w:sz w:val="24"/>
          <w:szCs w:val="24"/>
          <w:lang w:val="en-US" w:eastAsia="zh-CN" w:bidi="ar-SA"/>
        </w:rPr>
        <w:t>0.692</w:t>
      </w:r>
      <w:r>
        <w:rPr>
          <w:rFonts w:ascii="Times New Roman" w:hAnsi="Times New Roman" w:eastAsia="宋体" w:cs="宋体"/>
          <w:kern w:val="2"/>
          <w:sz w:val="24"/>
          <w:szCs w:val="24"/>
          <w:lang w:val="en-US" w:eastAsia="zh-CN" w:bidi="ar-SA"/>
        </w:rPr>
        <w:t>%。各类地貌中的水面面积占总面积的百分比分别为：滨湖平原为89.06万亩，占53.99%；江河平原为2.37万亩，占21.68%；溪谷平原为3.82万亩，占15.54%；岗地为2.95万亩，占8.92%，低山为3600亩，占10.08%。</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根据《建筑抗震设计规范》</w:t>
      </w:r>
      <w:r>
        <w:rPr>
          <w:rFonts w:hint="eastAsia" w:ascii="Times New Roman" w:hAnsi="Times New Roman" w:eastAsia="宋体" w:cs="宋体"/>
          <w:kern w:val="2"/>
          <w:sz w:val="24"/>
          <w:szCs w:val="24"/>
          <w:lang w:val="en-US" w:eastAsia="zh-CN" w:bidi="ar-SA"/>
        </w:rPr>
        <w:t>（GB50011-2001）</w:t>
      </w:r>
      <w:r>
        <w:rPr>
          <w:rFonts w:ascii="Times New Roman" w:hAnsi="Times New Roman" w:eastAsia="宋体" w:cs="宋体"/>
          <w:kern w:val="2"/>
          <w:sz w:val="24"/>
          <w:szCs w:val="24"/>
          <w:lang w:val="en-US" w:eastAsia="zh-CN" w:bidi="ar-SA"/>
        </w:rPr>
        <w:t>附录A及相关规定，湘阴为Ⅶ度烈度区。</w:t>
      </w:r>
    </w:p>
    <w:p>
      <w:pPr>
        <w:pStyle w:val="4"/>
        <w:bidi w:val="0"/>
        <w:rPr>
          <w:rFonts w:hint="eastAsia"/>
          <w:lang w:val="en-US" w:eastAsia="zh-CN"/>
        </w:rPr>
      </w:pPr>
      <w:bookmarkStart w:id="965" w:name="_Toc31338"/>
      <w:bookmarkStart w:id="966" w:name="_Toc8814_WPSOffice_Level3"/>
      <w:bookmarkStart w:id="967" w:name="_Toc959321"/>
      <w:bookmarkStart w:id="968" w:name="_Toc21829"/>
      <w:bookmarkStart w:id="969" w:name="_Toc16389"/>
      <w:bookmarkStart w:id="970" w:name="_Toc958576"/>
      <w:bookmarkStart w:id="971" w:name="_Toc531790500"/>
      <w:bookmarkStart w:id="972" w:name="_Toc959037"/>
      <w:r>
        <w:rPr>
          <w:rFonts w:hint="eastAsia"/>
          <w:lang w:val="en-US" w:eastAsia="zh-CN"/>
        </w:rPr>
        <w:t>气象气候</w:t>
      </w:r>
      <w:bookmarkEnd w:id="965"/>
      <w:bookmarkEnd w:id="966"/>
      <w:bookmarkEnd w:id="967"/>
      <w:bookmarkEnd w:id="968"/>
      <w:bookmarkEnd w:id="969"/>
      <w:bookmarkEnd w:id="970"/>
      <w:bookmarkEnd w:id="971"/>
      <w:bookmarkEnd w:id="972"/>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973" w:name="_Toc435781467"/>
      <w:bookmarkEnd w:id="973"/>
      <w:r>
        <w:rPr>
          <w:rFonts w:ascii="Times New Roman" w:hAnsi="Times New Roman" w:eastAsia="宋体" w:cs="宋体"/>
          <w:kern w:val="2"/>
          <w:sz w:val="24"/>
          <w:szCs w:val="24"/>
          <w:lang w:val="en-US" w:eastAsia="zh-CN" w:bidi="ar-SA"/>
        </w:rPr>
        <w:t>湘阴县地处中亚热带向北亚热带过渡的季风气候区，县域内地貌类型简单，东西两部分气候差异不显著，气候温和，雨量充沛，光照充足，四季分明。主要灾害性天气有暴雨、干旱、大风、雷雹、低温、冰冻。县气象站记载，1959</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1985年的27年间，共发生此类天气141次，年均5.2次。各种灾害性天气发生次数及占此类天气总数的百分比为：暴雨25次，占17.85%；干旱23次，占16.42%，低温31次，占22.17%；大风26次，占18.57%；雷雹13次，占9.28%，冰冻23次，占15.71%。</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湘阴县区域主要气象数据；</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年平均气温16.9℃</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最热月平均气温29.0℃</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最冷月平均气温4.4℃</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极端最高气温38.4℃</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极端最低气温-12.0℃</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年总降水量1410.8</w:t>
      </w:r>
      <w:r>
        <w:rPr>
          <w:rFonts w:hint="eastAsia" w:cs="宋体"/>
          <w:kern w:val="2"/>
          <w:sz w:val="24"/>
          <w:szCs w:val="24"/>
          <w:lang w:val="en-US" w:eastAsia="zh-CN" w:bidi="ar-SA"/>
        </w:rPr>
        <w:t xml:space="preserve"> </w:t>
      </w:r>
      <w:r>
        <w:rPr>
          <w:rFonts w:ascii="Times New Roman" w:hAnsi="Times New Roman" w:eastAsia="宋体" w:cs="宋体"/>
          <w:kern w:val="2"/>
          <w:sz w:val="24"/>
          <w:szCs w:val="24"/>
          <w:lang w:val="en-US" w:eastAsia="zh-CN" w:bidi="ar-SA"/>
        </w:rPr>
        <w:t>mm</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年总日照1610.5h</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年总辐射量1410.4</w:t>
      </w:r>
      <w:r>
        <w:rPr>
          <w:rFonts w:hint="eastAsia" w:cs="宋体"/>
          <w:kern w:val="2"/>
          <w:sz w:val="24"/>
          <w:szCs w:val="24"/>
          <w:lang w:val="en-US" w:eastAsia="zh-CN" w:bidi="ar-SA"/>
        </w:rPr>
        <w:t xml:space="preserve"> </w:t>
      </w:r>
      <w:r>
        <w:rPr>
          <w:rFonts w:hint="eastAsia" w:ascii="Times New Roman" w:hAnsi="Times New Roman" w:eastAsia="宋体" w:cs="宋体"/>
          <w:kern w:val="2"/>
          <w:sz w:val="24"/>
          <w:szCs w:val="24"/>
          <w:lang w:val="en-US" w:eastAsia="zh-CN" w:bidi="ar-SA"/>
        </w:rPr>
        <w:t>k</w:t>
      </w:r>
      <w:r>
        <w:rPr>
          <w:rFonts w:hint="eastAsia" w:cs="宋体"/>
          <w:kern w:val="2"/>
          <w:sz w:val="24"/>
          <w:szCs w:val="24"/>
          <w:lang w:val="en-US" w:eastAsia="zh-CN" w:bidi="ar-SA"/>
        </w:rPr>
        <w:t>C</w:t>
      </w:r>
      <w:r>
        <w:rPr>
          <w:rFonts w:hint="eastAsia" w:ascii="Times New Roman" w:hAnsi="Times New Roman" w:eastAsia="宋体" w:cs="宋体"/>
          <w:kern w:val="2"/>
          <w:sz w:val="24"/>
          <w:szCs w:val="24"/>
          <w:lang w:val="en-US" w:eastAsia="zh-CN" w:bidi="ar-SA"/>
        </w:rPr>
        <w:t>al/cm</w:t>
      </w:r>
      <w:r>
        <w:rPr>
          <w:rFonts w:hint="eastAsia" w:ascii="Times New Roman" w:hAnsi="Times New Roman" w:eastAsia="宋体" w:cs="宋体"/>
          <w:kern w:val="2"/>
          <w:sz w:val="24"/>
          <w:szCs w:val="24"/>
          <w:vertAlign w:val="superscript"/>
          <w:lang w:val="en-US" w:eastAsia="zh-CN" w:bidi="ar-SA"/>
        </w:rPr>
        <w:t>2</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年主导风向西北风</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年平均风速2.5m/s</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年</w:t>
      </w:r>
      <w:r>
        <w:rPr>
          <w:rFonts w:hint="eastAsia" w:ascii="Times New Roman" w:hAnsi="Times New Roman" w:eastAsia="宋体" w:cs="宋体"/>
          <w:kern w:val="2"/>
          <w:sz w:val="24"/>
          <w:szCs w:val="24"/>
          <w:lang w:val="en-US" w:eastAsia="zh-CN" w:bidi="ar-SA"/>
        </w:rPr>
        <w:t>平均</w:t>
      </w:r>
      <w:r>
        <w:rPr>
          <w:rFonts w:ascii="Times New Roman" w:hAnsi="Times New Roman" w:eastAsia="宋体" w:cs="宋体"/>
          <w:kern w:val="2"/>
          <w:sz w:val="24"/>
          <w:szCs w:val="24"/>
          <w:lang w:val="en-US" w:eastAsia="zh-CN" w:bidi="ar-SA"/>
        </w:rPr>
        <w:t>相对湿度81%</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年平均降雨量1383</w:t>
      </w:r>
      <w:r>
        <w:rPr>
          <w:rFonts w:hint="eastAsia" w:cs="宋体"/>
          <w:kern w:val="2"/>
          <w:sz w:val="24"/>
          <w:szCs w:val="24"/>
          <w:lang w:val="en-US" w:eastAsia="zh-CN" w:bidi="ar-SA"/>
        </w:rPr>
        <w:t xml:space="preserve"> </w:t>
      </w:r>
      <w:r>
        <w:rPr>
          <w:rFonts w:hint="eastAsia" w:ascii="Times New Roman" w:hAnsi="Times New Roman" w:eastAsia="宋体" w:cs="宋体"/>
          <w:kern w:val="2"/>
          <w:sz w:val="24"/>
          <w:szCs w:val="24"/>
          <w:lang w:val="en-US" w:eastAsia="zh-CN" w:bidi="ar-SA"/>
        </w:rPr>
        <w:t>mm</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年总蒸发量1329.4</w:t>
      </w:r>
      <w:r>
        <w:rPr>
          <w:rFonts w:hint="eastAsia" w:cs="宋体"/>
          <w:kern w:val="2"/>
          <w:sz w:val="24"/>
          <w:szCs w:val="24"/>
          <w:lang w:val="en-US" w:eastAsia="zh-CN" w:bidi="ar-SA"/>
        </w:rPr>
        <w:t xml:space="preserve"> </w:t>
      </w:r>
      <w:r>
        <w:rPr>
          <w:rFonts w:ascii="Times New Roman" w:hAnsi="Times New Roman" w:eastAsia="宋体" w:cs="宋体"/>
          <w:kern w:val="2"/>
          <w:sz w:val="24"/>
          <w:szCs w:val="24"/>
          <w:lang w:val="en-US" w:eastAsia="zh-CN" w:bidi="ar-SA"/>
        </w:rPr>
        <w:t>mm</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全年无霜期274天</w:t>
      </w:r>
    </w:p>
    <w:p>
      <w:pPr>
        <w:pStyle w:val="4"/>
        <w:bidi w:val="0"/>
        <w:rPr>
          <w:rFonts w:hint="eastAsia"/>
          <w:lang w:val="en-US" w:eastAsia="zh-CN"/>
        </w:rPr>
      </w:pPr>
      <w:bookmarkStart w:id="974" w:name="_Toc958577"/>
      <w:bookmarkStart w:id="975" w:name="_Toc31198"/>
      <w:bookmarkStart w:id="976" w:name="_Toc531790501"/>
      <w:bookmarkStart w:id="977" w:name="_Toc959038"/>
      <w:bookmarkStart w:id="978" w:name="_Toc14359_WPSOffice_Level3"/>
      <w:bookmarkStart w:id="979" w:name="_Toc585"/>
      <w:bookmarkStart w:id="980" w:name="_Toc959322"/>
      <w:bookmarkStart w:id="981" w:name="_Toc31133"/>
      <w:r>
        <w:rPr>
          <w:rFonts w:hint="eastAsia"/>
          <w:lang w:val="en-US" w:eastAsia="zh-CN"/>
        </w:rPr>
        <w:t>水文特征</w:t>
      </w:r>
      <w:bookmarkEnd w:id="974"/>
      <w:bookmarkEnd w:id="975"/>
      <w:bookmarkEnd w:id="976"/>
      <w:bookmarkEnd w:id="977"/>
      <w:bookmarkEnd w:id="978"/>
      <w:bookmarkEnd w:id="979"/>
      <w:bookmarkEnd w:id="980"/>
      <w:bookmarkEnd w:id="981"/>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982" w:name="_Toc435781468"/>
      <w:bookmarkEnd w:id="982"/>
      <w:r>
        <w:rPr>
          <w:rFonts w:hint="eastAsia" w:ascii="Times New Roman" w:hAnsi="Times New Roman" w:eastAsia="宋体" w:cs="宋体"/>
          <w:kern w:val="2"/>
          <w:sz w:val="24"/>
          <w:szCs w:val="24"/>
          <w:lang w:val="en-US" w:eastAsia="zh-CN" w:bidi="ar-SA"/>
        </w:rPr>
        <w:t>（1）</w:t>
      </w:r>
      <w:r>
        <w:rPr>
          <w:rFonts w:ascii="Times New Roman" w:hAnsi="Times New Roman" w:eastAsia="宋体" w:cs="宋体"/>
          <w:kern w:val="2"/>
          <w:sz w:val="24"/>
          <w:szCs w:val="24"/>
          <w:lang w:val="en-US" w:eastAsia="zh-CN" w:bidi="ar-SA"/>
        </w:rPr>
        <w:t>地表水</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湘阴江湖甚多，水域面积98.56万亩，占全县总面积的4</w:t>
      </w:r>
      <w:r>
        <w:rPr>
          <w:rFonts w:hint="eastAsia" w:ascii="Times New Roman" w:hAnsi="Times New Roman" w:eastAsia="宋体" w:cs="宋体"/>
          <w:kern w:val="2"/>
          <w:sz w:val="24"/>
          <w:szCs w:val="24"/>
          <w:lang w:val="en-US" w:eastAsia="zh-CN" w:bidi="ar-SA"/>
        </w:rPr>
        <w:t>0.692</w:t>
      </w:r>
      <w:r>
        <w:rPr>
          <w:rFonts w:ascii="Times New Roman" w:hAnsi="Times New Roman" w:eastAsia="宋体" w:cs="宋体"/>
          <w:kern w:val="2"/>
          <w:sz w:val="24"/>
          <w:szCs w:val="24"/>
          <w:lang w:val="en-US" w:eastAsia="zh-CN" w:bidi="ar-SA"/>
        </w:rPr>
        <w:t>%。其中，江河面积14.55万亩，占水域面积的14.76%；湖泊面积约33.2万亩，占水域面积的33.69%。余为洪水季节是水、枯水季节即洲的湖洲，约占水域的15.55%。</w:t>
      </w:r>
    </w:p>
    <w:p>
      <w:pPr>
        <w:widowControl w:val="0"/>
        <w:numPr>
          <w:ilvl w:val="0"/>
          <w:numId w:val="16"/>
        </w:numPr>
        <w:bidi w:val="0"/>
        <w:spacing w:line="360" w:lineRule="auto"/>
        <w:ind w:left="0" w:leftChars="0"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湘江是我省的最大河流，其发源于广西省临桂县海洋坪龙门界，经金沙入湖南省东安县，流经零陵、湘阴、株洲、湘潭、岳阳，然后自岳阳入洞庭湖，于城陵矶入长江，全长856km，是岳阳市的主要供水源。湘江岳阳段全长95km，江面宽500</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1500m，一般水深6</w:t>
      </w:r>
      <w:r>
        <w:rPr>
          <w:rFonts w:hint="eastAsia" w:ascii="Times New Roman" w:hAnsi="Times New Roman" w:eastAsia="宋体" w:cs="宋体"/>
          <w:kern w:val="2"/>
          <w:sz w:val="24"/>
          <w:szCs w:val="24"/>
          <w:lang w:val="en-US" w:eastAsia="zh-CN" w:bidi="ar-SA"/>
        </w:rPr>
        <w:t>~15m</w:t>
      </w:r>
      <w:r>
        <w:rPr>
          <w:rFonts w:ascii="Times New Roman" w:hAnsi="Times New Roman" w:eastAsia="宋体" w:cs="宋体"/>
          <w:kern w:val="2"/>
          <w:sz w:val="24"/>
          <w:szCs w:val="24"/>
          <w:lang w:val="en-US" w:eastAsia="zh-CN" w:bidi="ar-SA"/>
        </w:rPr>
        <w:t>，河床多砂砾石且坡度平缓，河水流速慢。其流量分平、洪、丰、枯四个水期，有明显的季节变化，洪水期多出现在5</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7月，枯水期多出现在12</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翌年2月。</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其主要水文参数如下：</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年平均水位27.31m</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多年</w:t>
      </w:r>
      <w:r>
        <w:rPr>
          <w:rFonts w:ascii="Times New Roman" w:hAnsi="Times New Roman" w:eastAsia="宋体" w:cs="宋体"/>
          <w:kern w:val="2"/>
          <w:sz w:val="24"/>
          <w:szCs w:val="24"/>
          <w:lang w:val="en-US" w:eastAsia="zh-CN" w:bidi="ar-SA"/>
        </w:rPr>
        <w:t>平均最高水位36.65m</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多年</w:t>
      </w:r>
      <w:r>
        <w:rPr>
          <w:rFonts w:ascii="Times New Roman" w:hAnsi="Times New Roman" w:eastAsia="宋体" w:cs="宋体"/>
          <w:kern w:val="2"/>
          <w:sz w:val="24"/>
          <w:szCs w:val="24"/>
          <w:lang w:val="en-US" w:eastAsia="zh-CN" w:bidi="ar-SA"/>
        </w:rPr>
        <w:t>平均最低水位23.</w:t>
      </w:r>
      <w:r>
        <w:rPr>
          <w:rFonts w:hint="eastAsia" w:ascii="Times New Roman" w:hAnsi="Times New Roman" w:eastAsia="宋体" w:cs="宋体"/>
          <w:kern w:val="2"/>
          <w:sz w:val="24"/>
          <w:szCs w:val="24"/>
          <w:lang w:val="en-US" w:eastAsia="zh-CN" w:bidi="ar-SA"/>
        </w:rPr>
        <w:t>15m</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历史最高洪峰水位37.37m</w:t>
      </w:r>
    </w:p>
    <w:p>
      <w:pPr>
        <w:widowControl w:val="0"/>
        <w:bidi w:val="0"/>
        <w:spacing w:line="360" w:lineRule="auto"/>
        <w:ind w:firstLine="480" w:firstLineChars="200"/>
        <w:jc w:val="left"/>
        <w:rPr>
          <w:rFonts w:hint="default"/>
          <w:highlight w:val="none"/>
          <w:lang w:val="en-US" w:eastAsia="zh-CN"/>
        </w:rPr>
      </w:pPr>
      <w:r>
        <w:rPr>
          <w:rFonts w:hint="eastAsia" w:ascii="Times New Roman" w:hAnsi="Times New Roman" w:eastAsia="宋体" w:cs="宋体"/>
          <w:kern w:val="2"/>
          <w:sz w:val="24"/>
          <w:szCs w:val="24"/>
          <w:highlight w:val="none"/>
          <w:lang w:val="en-US" w:eastAsia="zh-CN" w:bidi="ar-SA"/>
        </w:rPr>
        <w:t>平均径流深</w:t>
      </w:r>
      <w:r>
        <w:rPr>
          <w:rFonts w:hint="eastAsia" w:cs="宋体"/>
          <w:kern w:val="2"/>
          <w:sz w:val="24"/>
          <w:szCs w:val="24"/>
          <w:highlight w:val="none"/>
          <w:lang w:val="en-US" w:eastAsia="zh-CN" w:bidi="ar-SA"/>
        </w:rPr>
        <w:t>935 mm</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年平均流量2131</w:t>
      </w:r>
      <w:r>
        <w:rPr>
          <w:rFonts w:hint="eastAsia" w:cs="宋体"/>
          <w:kern w:val="2"/>
          <w:sz w:val="24"/>
          <w:szCs w:val="24"/>
          <w:lang w:val="en-US" w:eastAsia="zh-CN" w:bidi="ar-SA"/>
        </w:rPr>
        <w:t xml:space="preserve"> </w:t>
      </w:r>
      <w:r>
        <w:rPr>
          <w:rFonts w:ascii="Times New Roman" w:hAnsi="Times New Roman" w:eastAsia="宋体" w:cs="宋体"/>
          <w:kern w:val="2"/>
          <w:sz w:val="24"/>
          <w:szCs w:val="24"/>
          <w:lang w:val="en-US" w:eastAsia="zh-CN" w:bidi="ar-SA"/>
        </w:rPr>
        <w:t>m</w:t>
      </w:r>
      <w:r>
        <w:rPr>
          <w:rFonts w:ascii="Times New Roman" w:hAnsi="Times New Roman" w:eastAsia="宋体" w:cs="宋体"/>
          <w:kern w:val="2"/>
          <w:sz w:val="24"/>
          <w:szCs w:val="24"/>
          <w:vertAlign w:val="superscript"/>
          <w:lang w:val="en-US" w:eastAsia="zh-CN" w:bidi="ar-SA"/>
        </w:rPr>
        <w:t>3</w:t>
      </w:r>
      <w:r>
        <w:rPr>
          <w:rFonts w:ascii="Times New Roman" w:hAnsi="Times New Roman" w:eastAsia="宋体" w:cs="宋体"/>
          <w:kern w:val="2"/>
          <w:sz w:val="24"/>
          <w:szCs w:val="24"/>
          <w:lang w:val="en-US" w:eastAsia="zh-CN" w:bidi="ar-SA"/>
        </w:rPr>
        <w:t>/s</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多年</w:t>
      </w:r>
      <w:r>
        <w:rPr>
          <w:rFonts w:ascii="Times New Roman" w:hAnsi="Times New Roman" w:eastAsia="宋体" w:cs="宋体"/>
          <w:kern w:val="2"/>
          <w:sz w:val="24"/>
          <w:szCs w:val="24"/>
          <w:lang w:val="en-US" w:eastAsia="zh-CN" w:bidi="ar-SA"/>
        </w:rPr>
        <w:t>平均最大流量12900</w:t>
      </w:r>
      <w:r>
        <w:rPr>
          <w:rFonts w:hint="eastAsia" w:cs="宋体"/>
          <w:kern w:val="2"/>
          <w:sz w:val="24"/>
          <w:szCs w:val="24"/>
          <w:lang w:val="en-US" w:eastAsia="zh-CN" w:bidi="ar-SA"/>
        </w:rPr>
        <w:t xml:space="preserve"> </w:t>
      </w:r>
      <w:r>
        <w:rPr>
          <w:rFonts w:ascii="Times New Roman" w:hAnsi="Times New Roman" w:eastAsia="宋体" w:cs="宋体"/>
          <w:kern w:val="2"/>
          <w:sz w:val="24"/>
          <w:szCs w:val="24"/>
          <w:lang w:val="en-US" w:eastAsia="zh-CN" w:bidi="ar-SA"/>
        </w:rPr>
        <w:t>m</w:t>
      </w:r>
      <w:r>
        <w:rPr>
          <w:rFonts w:ascii="Times New Roman" w:hAnsi="Times New Roman" w:eastAsia="宋体" w:cs="宋体"/>
          <w:kern w:val="2"/>
          <w:sz w:val="24"/>
          <w:szCs w:val="24"/>
          <w:vertAlign w:val="superscript"/>
          <w:lang w:val="en-US" w:eastAsia="zh-CN" w:bidi="ar-SA"/>
        </w:rPr>
        <w:t>3</w:t>
      </w:r>
      <w:r>
        <w:rPr>
          <w:rFonts w:ascii="Times New Roman" w:hAnsi="Times New Roman" w:eastAsia="宋体" w:cs="宋体"/>
          <w:kern w:val="2"/>
          <w:sz w:val="24"/>
          <w:szCs w:val="24"/>
          <w:lang w:val="en-US" w:eastAsia="zh-CN" w:bidi="ar-SA"/>
        </w:rPr>
        <w:t>/s</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历史最大洪峰流量23000</w:t>
      </w:r>
      <w:r>
        <w:rPr>
          <w:rFonts w:hint="eastAsia" w:cs="宋体"/>
          <w:kern w:val="2"/>
          <w:sz w:val="24"/>
          <w:szCs w:val="24"/>
          <w:lang w:val="en-US" w:eastAsia="zh-CN" w:bidi="ar-SA"/>
        </w:rPr>
        <w:t xml:space="preserve"> </w:t>
      </w:r>
      <w:r>
        <w:rPr>
          <w:rFonts w:ascii="Times New Roman" w:hAnsi="Times New Roman" w:eastAsia="宋体" w:cs="宋体"/>
          <w:kern w:val="2"/>
          <w:sz w:val="24"/>
          <w:szCs w:val="24"/>
          <w:lang w:val="en-US" w:eastAsia="zh-CN" w:bidi="ar-SA"/>
        </w:rPr>
        <w:t>m</w:t>
      </w:r>
      <w:r>
        <w:rPr>
          <w:rFonts w:ascii="Times New Roman" w:hAnsi="Times New Roman" w:eastAsia="宋体" w:cs="宋体"/>
          <w:kern w:val="2"/>
          <w:sz w:val="24"/>
          <w:szCs w:val="24"/>
          <w:vertAlign w:val="superscript"/>
          <w:lang w:val="en-US" w:eastAsia="zh-CN" w:bidi="ar-SA"/>
        </w:rPr>
        <w:t>3</w:t>
      </w:r>
      <w:r>
        <w:rPr>
          <w:rFonts w:ascii="Times New Roman" w:hAnsi="Times New Roman" w:eastAsia="宋体" w:cs="宋体"/>
          <w:kern w:val="2"/>
          <w:sz w:val="24"/>
          <w:szCs w:val="24"/>
          <w:lang w:val="en-US" w:eastAsia="zh-CN" w:bidi="ar-SA"/>
        </w:rPr>
        <w:t>/s</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多年</w:t>
      </w:r>
      <w:r>
        <w:rPr>
          <w:rFonts w:ascii="Times New Roman" w:hAnsi="Times New Roman" w:eastAsia="宋体" w:cs="宋体"/>
          <w:kern w:val="2"/>
          <w:sz w:val="24"/>
          <w:szCs w:val="24"/>
          <w:lang w:val="en-US" w:eastAsia="zh-CN" w:bidi="ar-SA"/>
        </w:rPr>
        <w:t>平均最小流量248</w:t>
      </w:r>
      <w:r>
        <w:rPr>
          <w:rFonts w:hint="eastAsia" w:cs="宋体"/>
          <w:kern w:val="2"/>
          <w:sz w:val="24"/>
          <w:szCs w:val="24"/>
          <w:lang w:val="en-US" w:eastAsia="zh-CN" w:bidi="ar-SA"/>
        </w:rPr>
        <w:t xml:space="preserve"> </w:t>
      </w:r>
      <w:r>
        <w:rPr>
          <w:rFonts w:ascii="Times New Roman" w:hAnsi="Times New Roman" w:eastAsia="宋体" w:cs="宋体"/>
          <w:kern w:val="2"/>
          <w:sz w:val="24"/>
          <w:szCs w:val="24"/>
          <w:lang w:val="en-US" w:eastAsia="zh-CN" w:bidi="ar-SA"/>
        </w:rPr>
        <w:t>m</w:t>
      </w:r>
      <w:r>
        <w:rPr>
          <w:rFonts w:ascii="Times New Roman" w:hAnsi="Times New Roman" w:eastAsia="宋体" w:cs="宋体"/>
          <w:kern w:val="2"/>
          <w:sz w:val="24"/>
          <w:szCs w:val="24"/>
          <w:vertAlign w:val="superscript"/>
          <w:lang w:val="en-US" w:eastAsia="zh-CN" w:bidi="ar-SA"/>
        </w:rPr>
        <w:t>3</w:t>
      </w:r>
      <w:r>
        <w:rPr>
          <w:rFonts w:ascii="Times New Roman" w:hAnsi="Times New Roman" w:eastAsia="宋体" w:cs="宋体"/>
          <w:kern w:val="2"/>
          <w:sz w:val="24"/>
          <w:szCs w:val="24"/>
          <w:lang w:val="en-US" w:eastAsia="zh-CN" w:bidi="ar-SA"/>
        </w:rPr>
        <w:t>/s</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枯水期流量（90%保证率）410m</w:t>
      </w:r>
      <w:r>
        <w:rPr>
          <w:rFonts w:ascii="Times New Roman" w:hAnsi="Times New Roman" w:eastAsia="宋体" w:cs="宋体"/>
          <w:kern w:val="2"/>
          <w:sz w:val="24"/>
          <w:szCs w:val="24"/>
          <w:vertAlign w:val="superscript"/>
          <w:lang w:val="en-US" w:eastAsia="zh-CN" w:bidi="ar-SA"/>
        </w:rPr>
        <w:t>3</w:t>
      </w:r>
      <w:r>
        <w:rPr>
          <w:rFonts w:ascii="Times New Roman" w:hAnsi="Times New Roman" w:eastAsia="宋体" w:cs="宋体"/>
          <w:kern w:val="2"/>
          <w:sz w:val="24"/>
          <w:szCs w:val="24"/>
          <w:lang w:val="en-US" w:eastAsia="zh-CN" w:bidi="ar-SA"/>
        </w:rPr>
        <w:t>/s</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历史最小流量120</w:t>
      </w:r>
      <w:r>
        <w:rPr>
          <w:rFonts w:hint="eastAsia" w:cs="宋体"/>
          <w:kern w:val="2"/>
          <w:sz w:val="24"/>
          <w:szCs w:val="24"/>
          <w:lang w:val="en-US" w:eastAsia="zh-CN" w:bidi="ar-SA"/>
        </w:rPr>
        <w:t xml:space="preserve"> </w:t>
      </w:r>
      <w:r>
        <w:rPr>
          <w:rFonts w:ascii="Times New Roman" w:hAnsi="Times New Roman" w:eastAsia="宋体" w:cs="宋体"/>
          <w:kern w:val="2"/>
          <w:sz w:val="24"/>
          <w:szCs w:val="24"/>
          <w:lang w:val="en-US" w:eastAsia="zh-CN" w:bidi="ar-SA"/>
        </w:rPr>
        <w:t>m</w:t>
      </w:r>
      <w:r>
        <w:rPr>
          <w:rFonts w:ascii="Times New Roman" w:hAnsi="Times New Roman" w:eastAsia="宋体" w:cs="宋体"/>
          <w:kern w:val="2"/>
          <w:sz w:val="24"/>
          <w:szCs w:val="24"/>
          <w:vertAlign w:val="superscript"/>
          <w:lang w:val="en-US" w:eastAsia="zh-CN" w:bidi="ar-SA"/>
        </w:rPr>
        <w:t>3</w:t>
      </w:r>
      <w:r>
        <w:rPr>
          <w:rFonts w:ascii="Times New Roman" w:hAnsi="Times New Roman" w:eastAsia="宋体" w:cs="宋体"/>
          <w:kern w:val="2"/>
          <w:sz w:val="24"/>
          <w:szCs w:val="24"/>
          <w:lang w:val="en-US" w:eastAsia="zh-CN" w:bidi="ar-SA"/>
        </w:rPr>
        <w:t>/s</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最大流速2.6</w:t>
      </w:r>
      <w:r>
        <w:rPr>
          <w:rFonts w:hint="eastAsia" w:cs="宋体"/>
          <w:kern w:val="2"/>
          <w:sz w:val="24"/>
          <w:szCs w:val="24"/>
          <w:lang w:val="en-US" w:eastAsia="zh-CN" w:bidi="ar-SA"/>
        </w:rPr>
        <w:t xml:space="preserve"> </w:t>
      </w:r>
      <w:r>
        <w:rPr>
          <w:rFonts w:ascii="Times New Roman" w:hAnsi="Times New Roman" w:eastAsia="宋体" w:cs="宋体"/>
          <w:kern w:val="2"/>
          <w:sz w:val="24"/>
          <w:szCs w:val="24"/>
          <w:lang w:val="en-US" w:eastAsia="zh-CN" w:bidi="ar-SA"/>
        </w:rPr>
        <w:t>m/s</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年平均流速0.45</w:t>
      </w:r>
      <w:r>
        <w:rPr>
          <w:rFonts w:hint="eastAsia" w:cs="宋体"/>
          <w:kern w:val="2"/>
          <w:sz w:val="24"/>
          <w:szCs w:val="24"/>
          <w:lang w:val="en-US" w:eastAsia="zh-CN" w:bidi="ar-SA"/>
        </w:rPr>
        <w:t xml:space="preserve"> </w:t>
      </w:r>
      <w:r>
        <w:rPr>
          <w:rFonts w:ascii="Times New Roman" w:hAnsi="Times New Roman" w:eastAsia="宋体" w:cs="宋体"/>
          <w:kern w:val="2"/>
          <w:sz w:val="24"/>
          <w:szCs w:val="24"/>
          <w:lang w:val="en-US" w:eastAsia="zh-CN" w:bidi="ar-SA"/>
        </w:rPr>
        <w:t>m/s</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枯水期平均流速0.18</w:t>
      </w:r>
      <w:r>
        <w:rPr>
          <w:rFonts w:hint="eastAsia" w:cs="宋体"/>
          <w:kern w:val="2"/>
          <w:sz w:val="24"/>
          <w:szCs w:val="24"/>
          <w:lang w:val="en-US" w:eastAsia="zh-CN" w:bidi="ar-SA"/>
        </w:rPr>
        <w:t xml:space="preserve"> </w:t>
      </w:r>
      <w:r>
        <w:rPr>
          <w:rFonts w:ascii="Times New Roman" w:hAnsi="Times New Roman" w:eastAsia="宋体" w:cs="宋体"/>
          <w:kern w:val="2"/>
          <w:sz w:val="24"/>
          <w:szCs w:val="24"/>
          <w:lang w:val="en-US" w:eastAsia="zh-CN" w:bidi="ar-SA"/>
        </w:rPr>
        <w:t>m/s</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平均含砂量0.1</w:t>
      </w:r>
      <w:r>
        <w:rPr>
          <w:rFonts w:hint="eastAsia" w:cs="宋体"/>
          <w:kern w:val="2"/>
          <w:sz w:val="24"/>
          <w:szCs w:val="24"/>
          <w:lang w:val="en-US" w:eastAsia="zh-CN" w:bidi="ar-SA"/>
        </w:rPr>
        <w:t>~</w:t>
      </w:r>
      <w:r>
        <w:rPr>
          <w:rFonts w:ascii="Times New Roman" w:hAnsi="Times New Roman" w:eastAsia="宋体" w:cs="宋体"/>
          <w:kern w:val="2"/>
          <w:sz w:val="24"/>
          <w:szCs w:val="24"/>
          <w:lang w:val="en-US" w:eastAsia="zh-CN" w:bidi="ar-SA"/>
        </w:rPr>
        <w:t>0.2</w:t>
      </w:r>
      <w:r>
        <w:rPr>
          <w:rFonts w:hint="eastAsia" w:cs="宋体"/>
          <w:kern w:val="2"/>
          <w:sz w:val="24"/>
          <w:szCs w:val="24"/>
          <w:lang w:val="en-US" w:eastAsia="zh-CN" w:bidi="ar-SA"/>
        </w:rPr>
        <w:t xml:space="preserve"> </w:t>
      </w:r>
      <w:r>
        <w:rPr>
          <w:rFonts w:ascii="Times New Roman" w:hAnsi="Times New Roman" w:eastAsia="宋体" w:cs="宋体"/>
          <w:kern w:val="2"/>
          <w:sz w:val="24"/>
          <w:szCs w:val="24"/>
          <w:lang w:val="en-US" w:eastAsia="zh-CN" w:bidi="ar-SA"/>
        </w:rPr>
        <w:t>kg/m</w:t>
      </w:r>
      <w:r>
        <w:rPr>
          <w:rFonts w:ascii="Times New Roman" w:hAnsi="Times New Roman" w:eastAsia="宋体" w:cs="宋体"/>
          <w:kern w:val="2"/>
          <w:sz w:val="24"/>
          <w:szCs w:val="24"/>
          <w:vertAlign w:val="superscript"/>
          <w:lang w:val="en-US" w:eastAsia="zh-CN" w:bidi="ar-SA"/>
        </w:rPr>
        <w:t>3</w:t>
      </w:r>
    </w:p>
    <w:p>
      <w:pPr>
        <w:widowControl w:val="0"/>
        <w:numPr>
          <w:ilvl w:val="0"/>
          <w:numId w:val="16"/>
        </w:numPr>
        <w:bidi w:val="0"/>
        <w:spacing w:line="360" w:lineRule="auto"/>
        <w:ind w:left="0" w:leftChars="0" w:firstLine="400" w:firstLineChars="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洋沙河发源于湘阴县金龙镇大兴村，干流长17.05km，主要流经工业园区、静河乡、玉华乡、长康镇、袁家铺镇、樟树铺镇，于湘阴县机瓦厂流入湘江。流域面积70.04km</w:t>
      </w:r>
      <w:r>
        <w:rPr>
          <w:rFonts w:ascii="Times New Roman" w:hAnsi="Times New Roman" w:eastAsia="宋体" w:cs="宋体"/>
          <w:kern w:val="2"/>
          <w:sz w:val="24"/>
          <w:szCs w:val="24"/>
          <w:vertAlign w:val="superscript"/>
          <w:lang w:val="en-US" w:eastAsia="zh-CN" w:bidi="ar-SA"/>
        </w:rPr>
        <w:t>2</w:t>
      </w:r>
      <w:r>
        <w:rPr>
          <w:rFonts w:ascii="Times New Roman" w:hAnsi="Times New Roman" w:eastAsia="宋体" w:cs="宋体"/>
          <w:kern w:val="2"/>
          <w:sz w:val="24"/>
          <w:szCs w:val="24"/>
          <w:lang w:val="en-US" w:eastAsia="zh-CN" w:bidi="ar-SA"/>
        </w:rPr>
        <w:t>，项目调查期间平均流量为1.2m</w:t>
      </w:r>
      <w:r>
        <w:rPr>
          <w:rFonts w:ascii="Times New Roman" w:hAnsi="Times New Roman" w:eastAsia="宋体" w:cs="宋体"/>
          <w:kern w:val="2"/>
          <w:sz w:val="24"/>
          <w:szCs w:val="24"/>
          <w:vertAlign w:val="superscript"/>
          <w:lang w:val="en-US" w:eastAsia="zh-CN" w:bidi="ar-SA"/>
        </w:rPr>
        <w:t>3</w:t>
      </w:r>
      <w:r>
        <w:rPr>
          <w:rFonts w:ascii="Times New Roman" w:hAnsi="Times New Roman" w:eastAsia="宋体" w:cs="宋体"/>
          <w:kern w:val="2"/>
          <w:sz w:val="24"/>
          <w:szCs w:val="24"/>
          <w:lang w:val="en-US" w:eastAsia="zh-CN" w:bidi="ar-SA"/>
        </w:rPr>
        <w:t>/s，为小河（水渠）。其补水主要为降雨地表水，在干旱季节偶有断流现象。洋沙河水域为农业用水水域（兼排洪），湘阴第三污水处理厂位于洋沙河中上游的</w:t>
      </w:r>
      <w:r>
        <w:rPr>
          <w:rFonts w:hint="eastAsia" w:ascii="Times New Roman" w:hAnsi="Times New Roman" w:eastAsia="宋体" w:cs="宋体"/>
          <w:kern w:val="2"/>
          <w:sz w:val="24"/>
          <w:szCs w:val="24"/>
          <w:lang w:val="en-US" w:eastAsia="zh-CN" w:bidi="ar-SA"/>
        </w:rPr>
        <w:t>金华村</w:t>
      </w:r>
      <w:r>
        <w:rPr>
          <w:rFonts w:ascii="Times New Roman" w:hAnsi="Times New Roman" w:eastAsia="宋体" w:cs="宋体"/>
          <w:kern w:val="2"/>
          <w:sz w:val="24"/>
          <w:szCs w:val="24"/>
          <w:lang w:val="en-US" w:eastAsia="zh-CN" w:bidi="ar-SA"/>
        </w:rPr>
        <w:t>。根据调查，洋沙河排污口至洋沙湖汇入口12km河段范围内无饮用水源取水口。</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t>地下水</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地下水以沙卵石层含量为最丰富。据湖南地质局勘测，湘阴年平补给地下水的总量为14.03亿立方米。其中，降水补给1.64亿立方米，江湖补给2.39亿立方米。枯水年地下水径流量为0.78亿立方米，孔隙水总储量为13</w:t>
      </w:r>
      <w:r>
        <w:rPr>
          <w:rFonts w:hint="eastAsia" w:ascii="Times New Roman" w:hAnsi="Times New Roman" w:eastAsia="宋体" w:cs="宋体"/>
          <w:kern w:val="2"/>
          <w:sz w:val="24"/>
          <w:szCs w:val="24"/>
          <w:lang w:val="en-US" w:eastAsia="zh-CN" w:bidi="ar-SA"/>
        </w:rPr>
        <w:t>1.35</w:t>
      </w:r>
      <w:r>
        <w:rPr>
          <w:rFonts w:ascii="Times New Roman" w:hAnsi="Times New Roman" w:eastAsia="宋体" w:cs="宋体"/>
          <w:kern w:val="2"/>
          <w:sz w:val="24"/>
          <w:szCs w:val="24"/>
          <w:lang w:val="en-US" w:eastAsia="zh-CN" w:bidi="ar-SA"/>
        </w:rPr>
        <w:t>亿立方米。年可开采量为3.29亿立方米。县境地下水质良好。</w:t>
      </w:r>
    </w:p>
    <w:p>
      <w:pPr>
        <w:pStyle w:val="4"/>
        <w:bidi w:val="0"/>
        <w:rPr>
          <w:rFonts w:hint="eastAsia"/>
          <w:lang w:val="en-US" w:eastAsia="zh-CN"/>
        </w:rPr>
      </w:pPr>
      <w:bookmarkStart w:id="983" w:name="_Toc21467_WPSOffice_Level3"/>
      <w:bookmarkStart w:id="984" w:name="_Toc26403"/>
      <w:bookmarkStart w:id="985" w:name="_Toc958578"/>
      <w:bookmarkStart w:id="986" w:name="_Toc959323"/>
      <w:bookmarkStart w:id="987" w:name="_Toc27189"/>
      <w:bookmarkStart w:id="988" w:name="_Toc9680"/>
      <w:bookmarkStart w:id="989" w:name="_Toc959039"/>
      <w:r>
        <w:rPr>
          <w:rFonts w:hint="eastAsia"/>
          <w:lang w:val="en-US" w:eastAsia="zh-CN"/>
        </w:rPr>
        <w:t>植被与生物</w:t>
      </w:r>
      <w:bookmarkEnd w:id="983"/>
      <w:bookmarkEnd w:id="984"/>
      <w:bookmarkEnd w:id="985"/>
      <w:bookmarkEnd w:id="986"/>
      <w:bookmarkEnd w:id="987"/>
      <w:bookmarkEnd w:id="988"/>
      <w:bookmarkEnd w:id="989"/>
    </w:p>
    <w:p>
      <w:pPr>
        <w:widowControl w:val="0"/>
        <w:numPr>
          <w:ilvl w:val="0"/>
          <w:numId w:val="17"/>
        </w:numPr>
        <w:bidi w:val="0"/>
        <w:spacing w:line="360" w:lineRule="auto"/>
        <w:ind w:left="425" w:leftChars="0" w:hanging="425" w:firstLineChars="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陆生植物</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评价区为亚热带常绿阔叶林区，陆生自然植被以樟科、壳斗科、山茶科、山矾科、冬青科和禾本科刚竹属植物为主，河滩植被以禾本科、莎草科、菊科、蓼科、睡莲科、香蒲科、杨柳科植物为主。由于开发利用程度较高，区内基本不存在原生植被，地表覆盖物以荒草植被为主，兼有林带、旱地草丛和河滩草甸植被。植被覆盖率高，但森林覆盖率低。常见主要树种有枫杨、水杉、池杉、杉木、马尾松、落叶栎类、檫树、乌桕、湿地松、火炬松、杨树、樟树、栾树、石楠、喜树、苦楝、香椿、悬铃木、柑桔、桃、李、椪柑等。区域内洋沙河上游河岸护岸林带以旱柳、枫杨、喜树、苦楝、香椿、乌桕和重阳木等树种为主；果园林以柑桔、桃、李、椪柑等为主。引进树种有水杉、池杉、落羽杉等。</w:t>
      </w:r>
    </w:p>
    <w:p>
      <w:pPr>
        <w:widowControl w:val="0"/>
        <w:numPr>
          <w:ilvl w:val="0"/>
          <w:numId w:val="17"/>
        </w:numPr>
        <w:bidi w:val="0"/>
        <w:spacing w:line="360" w:lineRule="auto"/>
        <w:ind w:left="425" w:leftChars="0" w:hanging="425" w:firstLineChars="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陆</w:t>
      </w:r>
      <w:r>
        <w:rPr>
          <w:rFonts w:ascii="Times New Roman" w:hAnsi="Times New Roman" w:eastAsia="宋体" w:cs="宋体"/>
          <w:kern w:val="2"/>
          <w:sz w:val="24"/>
          <w:szCs w:val="24"/>
          <w:lang w:val="en-US" w:eastAsia="zh-CN" w:bidi="ar-SA"/>
        </w:rPr>
        <w:t>生动物</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拟建所在地人为活动较频繁，影响程度大，主要以鼠型啮齿类和食谷、食虫篱园形鸟居多，林栖大型兽类较少。陆栖脊椎动物多为黄鼬、野兔、獾、啄木鸟、麻雀等以及鼠类等中、小型野生动物。人工饲养动物为一些常见的家畜家禽，如猪、牛、羊、狗、鸡、鸭、鹅等。</w:t>
      </w:r>
    </w:p>
    <w:p>
      <w:pPr>
        <w:widowControl w:val="0"/>
        <w:numPr>
          <w:ilvl w:val="0"/>
          <w:numId w:val="17"/>
        </w:numPr>
        <w:bidi w:val="0"/>
        <w:spacing w:line="360" w:lineRule="auto"/>
        <w:ind w:left="425" w:leftChars="0" w:hanging="425" w:firstLineChars="0"/>
        <w:jc w:val="left"/>
        <w:rPr>
          <w:rFonts w:ascii="Times New Roman" w:hAnsi="Times New Roman" w:eastAsia="宋体" w:cs="宋体"/>
          <w:kern w:val="2"/>
          <w:sz w:val="24"/>
          <w:szCs w:val="24"/>
          <w:lang w:val="en-US" w:eastAsia="zh-CN" w:bidi="ar-SA"/>
        </w:rPr>
      </w:pPr>
      <w:bookmarkStart w:id="990" w:name="_Toc23879_WPSOffice_Level3"/>
      <w:r>
        <w:rPr>
          <w:rFonts w:ascii="Times New Roman" w:hAnsi="Times New Roman" w:eastAsia="宋体" w:cs="宋体"/>
          <w:kern w:val="2"/>
          <w:sz w:val="24"/>
          <w:szCs w:val="24"/>
          <w:lang w:val="en-US" w:eastAsia="zh-CN" w:bidi="ar-SA"/>
        </w:rPr>
        <w:t>水生生物</w:t>
      </w:r>
      <w:bookmarkEnd w:id="990"/>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据调查，洋沙湖水系区域内鱼类资源的特点是鱼类种类少，有一定产量的多为小型鳅科鱼类，且其种群数量小，几乎不能形成一定的规模经济效益。洋沙湖上游河段鱼类产量低；河道两岸地区属农业开发程度较高的地区，人类活动早已对鱼类资源有较大的影响和破坏。洋沙湖流区域共有鱼类55种，隶属于5目9科。其中，鲤科29种，占洋沙湖鱼类种类数的52.7%，为主要成分；鳅科类占9.1%；鲿科占10.9%，平鳍鳅科占7.3%，鮡科占7.3%，其余11科共占12.7%。据调查，未发现有水生野生保护动物。</w:t>
      </w:r>
    </w:p>
    <w:p>
      <w:pPr>
        <w:pStyle w:val="2"/>
        <w:bidi w:val="0"/>
        <w:rPr>
          <w:rFonts w:hint="eastAsia"/>
          <w:lang w:val="en-US" w:eastAsia="zh-CN"/>
        </w:rPr>
      </w:pPr>
      <w:bookmarkStart w:id="991" w:name="_Toc5438"/>
      <w:bookmarkStart w:id="992" w:name="_Toc27994"/>
      <w:r>
        <w:rPr>
          <w:rFonts w:hint="eastAsia"/>
          <w:lang w:val="en-US" w:eastAsia="zh-CN"/>
        </w:rPr>
        <w:t>社会环境概况</w:t>
      </w:r>
      <w:bookmarkEnd w:id="991"/>
      <w:bookmarkEnd w:id="992"/>
    </w:p>
    <w:p>
      <w:pPr>
        <w:pStyle w:val="4"/>
        <w:bidi w:val="0"/>
        <w:rPr>
          <w:rFonts w:hint="eastAsia"/>
          <w:lang w:val="en-US" w:eastAsia="zh-CN"/>
        </w:rPr>
      </w:pPr>
      <w:bookmarkStart w:id="993" w:name="_Toc27705"/>
      <w:bookmarkStart w:id="994" w:name="_Toc22159"/>
      <w:bookmarkStart w:id="995" w:name="_Toc4881"/>
      <w:r>
        <w:rPr>
          <w:rFonts w:hint="eastAsia"/>
          <w:lang w:val="en-US" w:eastAsia="zh-CN"/>
        </w:rPr>
        <w:t>湘阴县基本情况</w:t>
      </w:r>
      <w:bookmarkEnd w:id="993"/>
      <w:bookmarkEnd w:id="994"/>
      <w:bookmarkEnd w:id="995"/>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湘阴县位于湖南省东北部，总面积1581.5平方公里，全县辖19个乡镇，419个行政村，总面积1581.5平方公里，人口75万；城区规划控制面积达50平方公里，建成区面积16平方公里，城区人口15万。湘阴县是“长株潭”城市群全国“两型社会”建设实验区五大示范区之一的滨湖示范区、全国粮食生产先进县标兵、全国科技工作先进县、全国粮食百强县、全国渔业百强县、全国无公害茶叶生产示范县、全国农产品质量安全管理先进县、全国农业产业结构调整先进县、湖南省名特优水产养殖示范县、湖南省水产品总量第一县、湖南省乡镇企业先进县、湖南省承接产业转移发展加工贸易实验区、湖南省5个最具投资吸引力县之一，同时素称为鱼米之乡，是全国商品粮、商品鱼基地县，水产品总量连续13年居湖南省第一。</w:t>
      </w:r>
    </w:p>
    <w:p>
      <w:pPr>
        <w:pStyle w:val="4"/>
        <w:bidi w:val="0"/>
        <w:rPr>
          <w:rFonts w:hint="eastAsia"/>
          <w:lang w:val="en-US" w:eastAsia="zh-CN"/>
        </w:rPr>
      </w:pPr>
      <w:bookmarkStart w:id="996" w:name="_Toc9995"/>
      <w:bookmarkStart w:id="997" w:name="_Toc20865"/>
      <w:bookmarkStart w:id="998" w:name="_Toc24765"/>
      <w:r>
        <w:rPr>
          <w:rFonts w:hint="eastAsia"/>
          <w:lang w:val="en-US" w:eastAsia="zh-CN"/>
        </w:rPr>
        <w:t>金龙镇基本概况</w:t>
      </w:r>
      <w:bookmarkEnd w:id="996"/>
      <w:bookmarkEnd w:id="997"/>
      <w:bookmarkEnd w:id="998"/>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金龙镇地处湘阴、望城、汨罗三县市交界处，是湘阴对接长沙的南大门和“桥头堡”，是全省“两型”社会试验区滨湖示范区的重点乡镇，同时，又是晚清爱国名将左宗棠、红军早期将领陈毅安烈士的故乡。全镇共有14个行政村，1个居委会，总面积47平方公里，耕地面积15000亩，人口17000人。</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2011年，金龙镇境内成立了金龙工业小区，规划建设总面积88平方公里，其中起步区规划建设5.71平方公里，区域内资源丰富，可供工业、商贸开发利用的成片丘岗林地达85％以上。按照“两型引领、规划主导、市场运作、产业先行”的原则，新区已经启动“一纵一横”两条主干道、110KV变电站、主供水管道和通讯等基础设施和配套服务设施建设，金龙镇的经济、社会事业正飞速向前发展。</w:t>
      </w:r>
    </w:p>
    <w:bookmarkEnd w:id="931"/>
    <w:bookmarkEnd w:id="932"/>
    <w:bookmarkEnd w:id="933"/>
    <w:bookmarkEnd w:id="934"/>
    <w:bookmarkEnd w:id="935"/>
    <w:bookmarkEnd w:id="936"/>
    <w:bookmarkEnd w:id="937"/>
    <w:bookmarkEnd w:id="938"/>
    <w:bookmarkEnd w:id="939"/>
    <w:bookmarkEnd w:id="940"/>
    <w:bookmarkEnd w:id="941"/>
    <w:p>
      <w:pPr>
        <w:pStyle w:val="2"/>
        <w:bidi w:val="0"/>
        <w:rPr>
          <w:lang w:val="en-US" w:eastAsia="zh-CN"/>
        </w:rPr>
      </w:pPr>
      <w:bookmarkStart w:id="999" w:name="_Toc5367"/>
      <w:bookmarkStart w:id="1000" w:name="_Toc15716"/>
      <w:bookmarkStart w:id="1001" w:name="_Toc10600"/>
      <w:bookmarkStart w:id="1002" w:name="_Toc8451"/>
      <w:bookmarkStart w:id="1003" w:name="_Toc21123"/>
      <w:bookmarkStart w:id="1004" w:name="_Toc31562"/>
      <w:r>
        <w:rPr>
          <w:lang w:val="en-US" w:eastAsia="zh-CN"/>
        </w:rPr>
        <w:t>区域环境质量现状评价</w:t>
      </w:r>
      <w:bookmarkEnd w:id="999"/>
      <w:bookmarkEnd w:id="1000"/>
      <w:bookmarkEnd w:id="1001"/>
      <w:bookmarkEnd w:id="1002"/>
    </w:p>
    <w:p>
      <w:pPr>
        <w:pStyle w:val="4"/>
        <w:bidi w:val="0"/>
        <w:rPr>
          <w:lang w:val="en-US" w:eastAsia="zh-CN"/>
        </w:rPr>
      </w:pPr>
      <w:bookmarkStart w:id="1005" w:name="_Toc17863"/>
      <w:bookmarkStart w:id="1006" w:name="_Toc16088"/>
      <w:bookmarkStart w:id="1007" w:name="_Toc19729"/>
      <w:bookmarkStart w:id="1008" w:name="_Toc28207"/>
      <w:bookmarkStart w:id="1009" w:name="_Toc8790"/>
      <w:bookmarkStart w:id="1010" w:name="_Toc27795"/>
      <w:bookmarkStart w:id="1011" w:name="_Toc10292"/>
      <w:bookmarkStart w:id="1012" w:name="_Toc20869"/>
      <w:bookmarkStart w:id="1013" w:name="_Toc947"/>
      <w:bookmarkStart w:id="1014" w:name="_Toc27013"/>
      <w:bookmarkStart w:id="1015" w:name="_Toc3148"/>
      <w:bookmarkStart w:id="1016" w:name="_Toc17966"/>
      <w:bookmarkStart w:id="1017" w:name="_Toc8057"/>
      <w:bookmarkStart w:id="1018" w:name="_Toc20256"/>
      <w:r>
        <w:rPr>
          <w:lang w:val="en-US" w:eastAsia="zh-CN"/>
        </w:rPr>
        <w:t>环境空气现状调查与评价</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pPr>
        <w:pStyle w:val="25"/>
        <w:bidi w:val="0"/>
        <w:rPr>
          <w:rFonts w:hint="eastAsia"/>
          <w:lang w:val="en-US" w:eastAsia="zh-CN"/>
        </w:rPr>
      </w:pPr>
      <w:r>
        <w:rPr>
          <w:lang w:val="en-US" w:eastAsia="zh-CN"/>
        </w:rPr>
        <w:t>根据</w:t>
      </w:r>
      <w:r>
        <w:rPr>
          <w:rFonts w:hint="eastAsia"/>
          <w:lang w:val="en-US" w:eastAsia="zh-CN"/>
        </w:rPr>
        <w:t>《环境影响评价技术导则 大气环境》</w:t>
      </w:r>
      <w:r>
        <w:rPr>
          <w:lang w:val="en-US" w:eastAsia="zh-CN"/>
        </w:rPr>
        <w:t>(HJ2.2-20</w:t>
      </w:r>
      <w:r>
        <w:rPr>
          <w:rFonts w:hint="eastAsia"/>
          <w:lang w:val="en-US" w:eastAsia="zh-CN"/>
        </w:rPr>
        <w:t>18</w:t>
      </w:r>
      <w:r>
        <w:rPr>
          <w:lang w:val="en-US" w:eastAsia="zh-CN"/>
        </w:rPr>
        <w:t>)中</w:t>
      </w:r>
      <w:r>
        <w:rPr>
          <w:rFonts w:hint="eastAsia"/>
          <w:lang w:val="en-US" w:eastAsia="zh-CN"/>
        </w:rPr>
        <w:t>二级项目需调查项目所在区域环境质量达标情况，采用评价范围内国家或地方环境空气质量监测网中评价基准年连续一年的监测数据。</w:t>
      </w:r>
    </w:p>
    <w:p>
      <w:pPr>
        <w:pStyle w:val="25"/>
        <w:bidi w:val="0"/>
        <w:rPr>
          <w:lang w:val="en-US" w:eastAsia="zh-CN"/>
        </w:rPr>
      </w:pPr>
      <w:r>
        <w:rPr>
          <w:rFonts w:hint="eastAsia"/>
          <w:lang w:val="en-US" w:eastAsia="zh-CN"/>
        </w:rPr>
        <w:t>目前湘阴县生态环境局尚未公开发布城市环境空气质量达标情况，故本项目所在区域的环境空气质量达标判断数据主要引用湘阴县生态环境局发布的《湘阴县环境空气质量指数统计表(2019年)》，数据如</w:t>
      </w:r>
      <w:r>
        <w:rPr>
          <w:rFonts w:hint="eastAsia"/>
          <w:lang w:val="en-US" w:eastAsia="zh-CN"/>
        </w:rPr>
        <w:fldChar w:fldCharType="begin"/>
      </w:r>
      <w:r>
        <w:rPr>
          <w:rFonts w:hint="eastAsia"/>
          <w:lang w:val="en-US" w:eastAsia="zh-CN"/>
        </w:rPr>
        <w:instrText xml:space="preserve"> REF _Ref18751 \h </w:instrText>
      </w:r>
      <w:r>
        <w:rPr>
          <w:rFonts w:hint="eastAsia"/>
          <w:lang w:val="en-US" w:eastAsia="zh-CN"/>
        </w:rPr>
        <w:fldChar w:fldCharType="separate"/>
      </w:r>
      <w:r>
        <w:rPr>
          <w:lang w:val="en-US" w:eastAsia="zh-CN"/>
        </w:rPr>
        <w:t xml:space="preserve">表 </w:t>
      </w:r>
      <w:r>
        <w:rPr>
          <w:lang w:val="en-US" w:eastAsia="zh-CN"/>
        </w:rPr>
        <w:fldChar w:fldCharType="begin"/>
      </w:r>
      <w:r>
        <w:rPr>
          <w:lang w:val="en-US" w:eastAsia="zh-CN"/>
        </w:rPr>
        <w:instrText xml:space="preserve"> STYLEREF 1 \s </w:instrText>
      </w:r>
      <w:r>
        <w:rPr>
          <w:lang w:val="en-US" w:eastAsia="zh-CN"/>
        </w:rPr>
        <w:fldChar w:fldCharType="separate"/>
      </w:r>
      <w:r>
        <w:rPr>
          <w:lang w:val="en-US" w:eastAsia="zh-CN"/>
        </w:rPr>
        <w:t>5</w:t>
      </w:r>
      <w:r>
        <w:rPr>
          <w:lang w:val="en-US" w:eastAsia="zh-CN"/>
        </w:rPr>
        <w:fldChar w:fldCharType="end"/>
      </w:r>
      <w:r>
        <w:rPr>
          <w:rFonts w:hint="eastAsia"/>
          <w:lang w:val="en-US" w:eastAsia="zh-CN"/>
        </w:rPr>
        <w:t>-</w:t>
      </w:r>
      <w:r>
        <w:rPr>
          <w:lang w:val="en-US" w:eastAsia="zh-CN"/>
        </w:rPr>
        <w:t>1</w:t>
      </w:r>
      <w:r>
        <w:rPr>
          <w:rFonts w:hint="eastAsia"/>
          <w:lang w:val="en-US" w:eastAsia="zh-CN"/>
        </w:rPr>
        <w:fldChar w:fldCharType="end"/>
      </w:r>
      <w:r>
        <w:rPr>
          <w:rFonts w:hint="eastAsia"/>
          <w:lang w:val="en-US" w:eastAsia="zh-CN"/>
        </w:rPr>
        <w:t>所示：</w:t>
      </w:r>
    </w:p>
    <w:p>
      <w:pPr>
        <w:widowControl w:val="0"/>
        <w:spacing w:line="360" w:lineRule="auto"/>
        <w:jc w:val="center"/>
        <w:rPr>
          <w:rFonts w:ascii="Times New Roman" w:hAnsi="Times New Roman" w:eastAsia="宋体" w:cs="Times New Roman"/>
          <w:b/>
          <w:kern w:val="2"/>
          <w:sz w:val="21"/>
          <w:szCs w:val="21"/>
          <w:lang w:val="en-US" w:eastAsia="zh-CN" w:bidi="ar-SA"/>
        </w:rPr>
        <w:sectPr>
          <w:pgSz w:w="11906" w:h="16838"/>
          <w:pgMar w:top="1417" w:right="1417" w:bottom="1134" w:left="1701"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pPr>
        <w:widowControl w:val="0"/>
        <w:spacing w:line="360" w:lineRule="auto"/>
        <w:jc w:val="center"/>
        <w:rPr>
          <w:rFonts w:hint="eastAsia"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5</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湘阴县生态环境局监测站2</w:t>
      </w:r>
      <w:r>
        <w:rPr>
          <w:rFonts w:ascii="Times New Roman" w:hAnsi="Times New Roman" w:eastAsia="宋体" w:cs="Times New Roman"/>
          <w:b/>
          <w:kern w:val="2"/>
          <w:sz w:val="21"/>
          <w:szCs w:val="21"/>
          <w:lang w:val="en-US" w:eastAsia="zh-CN" w:bidi="ar-SA"/>
        </w:rPr>
        <w:t>01</w:t>
      </w:r>
      <w:r>
        <w:rPr>
          <w:rFonts w:hint="eastAsia" w:ascii="Times New Roman" w:hAnsi="Times New Roman" w:eastAsia="宋体" w:cs="Times New Roman"/>
          <w:b/>
          <w:kern w:val="2"/>
          <w:sz w:val="21"/>
          <w:szCs w:val="21"/>
          <w:lang w:val="en-US" w:eastAsia="zh-CN" w:bidi="ar-SA"/>
        </w:rPr>
        <w:t>9年空气质量指数统计表</w:t>
      </w:r>
    </w:p>
    <w:tbl>
      <w:tblPr>
        <w:tblStyle w:val="22"/>
        <w:tblW w:w="922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1042"/>
        <w:gridCol w:w="971"/>
        <w:gridCol w:w="569"/>
        <w:gridCol w:w="624"/>
        <w:gridCol w:w="624"/>
        <w:gridCol w:w="624"/>
        <w:gridCol w:w="624"/>
        <w:gridCol w:w="624"/>
        <w:gridCol w:w="680"/>
        <w:gridCol w:w="624"/>
        <w:gridCol w:w="794"/>
        <w:gridCol w:w="522"/>
        <w:gridCol w:w="90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restar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7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统计</w:t>
            </w:r>
          </w:p>
        </w:tc>
        <w:tc>
          <w:tcPr>
            <w:tcW w:w="569" w:type="dxa"/>
            <w:vMerge w:val="restar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实测天数</w:t>
            </w:r>
          </w:p>
        </w:tc>
        <w:tc>
          <w:tcPr>
            <w:tcW w:w="3800" w:type="dxa"/>
            <w:gridSpan w:val="6"/>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污染物日均值浓度月平均（</w:t>
            </w:r>
            <w:r>
              <w:rPr>
                <w:rFonts w:hint="default" w:ascii="Calibri" w:hAnsi="Calibri" w:eastAsia="宋体" w:cs="Calibri"/>
                <w:kern w:val="2"/>
                <w:sz w:val="24"/>
                <w:szCs w:val="24"/>
                <w:lang w:val="en-US" w:eastAsia="zh-CN" w:bidi="ar-SA"/>
              </w:rPr>
              <w:t>μ</w:t>
            </w:r>
            <w:r>
              <w:rPr>
                <w:rFonts w:hint="eastAsia" w:ascii="Times New Roman" w:hAnsi="Times New Roman" w:eastAsia="宋体" w:cs="Times New Roman"/>
                <w:kern w:val="2"/>
                <w:sz w:val="24"/>
                <w:szCs w:val="24"/>
                <w:lang w:val="en-US" w:eastAsia="zh-CN" w:bidi="ar-SA"/>
              </w:rPr>
              <w:t>g/m³）</w:t>
            </w:r>
          </w:p>
        </w:tc>
        <w:tc>
          <w:tcPr>
            <w:tcW w:w="624" w:type="dxa"/>
            <w:vMerge w:val="restar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AQI</w:t>
            </w:r>
          </w:p>
        </w:tc>
        <w:tc>
          <w:tcPr>
            <w:tcW w:w="794" w:type="dxa"/>
            <w:vMerge w:val="restar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首要污染物</w:t>
            </w:r>
          </w:p>
        </w:tc>
        <w:tc>
          <w:tcPr>
            <w:tcW w:w="522" w:type="dxa"/>
            <w:vMerge w:val="restar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优良天数</w:t>
            </w:r>
          </w:p>
        </w:tc>
        <w:tc>
          <w:tcPr>
            <w:tcW w:w="906" w:type="dxa"/>
            <w:vMerge w:val="restart"/>
            <w:noWrap w:val="0"/>
            <w:vAlign w:val="center"/>
          </w:tcPr>
          <w:p>
            <w:pPr>
              <w:widowControl w:val="0"/>
              <w:bidi w:val="0"/>
              <w:adjustRightInd w:val="0"/>
              <w:snapToGrid w:val="0"/>
              <w:spacing w:line="240" w:lineRule="auto"/>
              <w:jc w:val="center"/>
              <w:rPr>
                <w:rFonts w:hint="eastAsia"/>
                <w:lang w:val="en-US" w:eastAsia="zh-CN"/>
              </w:rPr>
            </w:pPr>
            <w:r>
              <w:rPr>
                <w:rFonts w:hint="eastAsia"/>
                <w:lang w:val="en-US" w:eastAsia="zh-CN"/>
              </w:rPr>
              <w:t>优良率</w:t>
            </w:r>
          </w:p>
          <w:p>
            <w:pPr>
              <w:pStyle w:val="26"/>
              <w:bidi w:val="0"/>
              <w:rPr>
                <w:rFonts w:hint="default"/>
                <w:lang w:val="en-US" w:eastAsia="zh-CN"/>
              </w:rPr>
            </w:pPr>
            <w:r>
              <w:rPr>
                <w:rFonts w:hint="eastAsia"/>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7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时间</w:t>
            </w:r>
          </w:p>
        </w:tc>
        <w:tc>
          <w:tcPr>
            <w:tcW w:w="569"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SO</w:t>
            </w:r>
            <w:r>
              <w:rPr>
                <w:rFonts w:hint="eastAsia" w:ascii="Times New Roman" w:hAnsi="Times New Roman" w:eastAsia="宋体" w:cs="Times New Roman"/>
                <w:kern w:val="2"/>
                <w:sz w:val="24"/>
                <w:szCs w:val="24"/>
                <w:vertAlign w:val="subscript"/>
                <w:lang w:val="en-US" w:eastAsia="zh-CN" w:bidi="ar-SA"/>
              </w:rPr>
              <w:t>2</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NO</w:t>
            </w:r>
            <w:r>
              <w:rPr>
                <w:rFonts w:hint="eastAsia" w:ascii="Times New Roman" w:hAnsi="Times New Roman" w:eastAsia="宋体" w:cs="Times New Roman"/>
                <w:kern w:val="2"/>
                <w:sz w:val="24"/>
                <w:szCs w:val="24"/>
                <w:vertAlign w:val="subscript"/>
                <w:lang w:val="en-US" w:eastAsia="zh-CN" w:bidi="ar-SA"/>
              </w:rPr>
              <w:t>2</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PM</w:t>
            </w:r>
            <w:r>
              <w:rPr>
                <w:rFonts w:hint="eastAsia" w:ascii="Times New Roman" w:hAnsi="Times New Roman" w:eastAsia="宋体" w:cs="Times New Roman"/>
                <w:kern w:val="2"/>
                <w:sz w:val="24"/>
                <w:szCs w:val="24"/>
                <w:vertAlign w:val="subscript"/>
                <w:lang w:val="en-US" w:eastAsia="zh-CN" w:bidi="ar-SA"/>
              </w:rPr>
              <w:t>10</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CO</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O</w:t>
            </w:r>
            <w:r>
              <w:rPr>
                <w:rFonts w:hint="eastAsia" w:ascii="Times New Roman" w:hAnsi="Times New Roman" w:eastAsia="宋体" w:cs="Times New Roman"/>
                <w:kern w:val="2"/>
                <w:sz w:val="24"/>
                <w:szCs w:val="24"/>
                <w:vertAlign w:val="subscript"/>
                <w:lang w:val="en-US" w:eastAsia="zh-CN" w:bidi="ar-SA"/>
              </w:rPr>
              <w:t>3</w:t>
            </w:r>
          </w:p>
        </w:tc>
        <w:tc>
          <w:tcPr>
            <w:tcW w:w="68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PM</w:t>
            </w:r>
            <w:r>
              <w:rPr>
                <w:rFonts w:hint="eastAsia" w:ascii="Times New Roman" w:hAnsi="Times New Roman" w:eastAsia="宋体" w:cs="Times New Roman"/>
                <w:kern w:val="2"/>
                <w:sz w:val="24"/>
                <w:szCs w:val="24"/>
                <w:vertAlign w:val="subscript"/>
                <w:lang w:val="en-US" w:eastAsia="zh-CN" w:bidi="ar-SA"/>
              </w:rPr>
              <w:t>2.5</w:t>
            </w:r>
          </w:p>
        </w:tc>
        <w:tc>
          <w:tcPr>
            <w:tcW w:w="624"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794"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522"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06"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restar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湘阴县生态环境局</w:t>
            </w:r>
          </w:p>
        </w:tc>
        <w:tc>
          <w:tcPr>
            <w:tcW w:w="97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1月</w:t>
            </w:r>
          </w:p>
        </w:tc>
        <w:tc>
          <w:tcPr>
            <w:tcW w:w="56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31</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33</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84</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1.5</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53</w:t>
            </w:r>
          </w:p>
        </w:tc>
        <w:tc>
          <w:tcPr>
            <w:tcW w:w="68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71</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95</w:t>
            </w:r>
          </w:p>
        </w:tc>
        <w:tc>
          <w:tcPr>
            <w:tcW w:w="79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PM</w:t>
            </w:r>
            <w:r>
              <w:rPr>
                <w:rFonts w:hint="eastAsia" w:ascii="Times New Roman" w:hAnsi="Times New Roman" w:eastAsia="宋体" w:cs="Times New Roman"/>
                <w:kern w:val="2"/>
                <w:sz w:val="24"/>
                <w:szCs w:val="24"/>
                <w:vertAlign w:val="subscript"/>
                <w:lang w:val="en-US" w:eastAsia="zh-CN" w:bidi="ar-SA"/>
              </w:rPr>
              <w:t>2.5</w:t>
            </w:r>
          </w:p>
        </w:tc>
        <w:tc>
          <w:tcPr>
            <w:tcW w:w="52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18</w:t>
            </w:r>
          </w:p>
        </w:tc>
        <w:tc>
          <w:tcPr>
            <w:tcW w:w="90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58.1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7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2月</w:t>
            </w:r>
          </w:p>
        </w:tc>
        <w:tc>
          <w:tcPr>
            <w:tcW w:w="56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28</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18</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54</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14</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52</w:t>
            </w:r>
          </w:p>
        </w:tc>
        <w:tc>
          <w:tcPr>
            <w:tcW w:w="68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44</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61</w:t>
            </w:r>
          </w:p>
        </w:tc>
        <w:tc>
          <w:tcPr>
            <w:tcW w:w="79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PM</w:t>
            </w:r>
            <w:r>
              <w:rPr>
                <w:rFonts w:hint="eastAsia" w:ascii="Times New Roman" w:hAnsi="Times New Roman" w:eastAsia="宋体" w:cs="Times New Roman"/>
                <w:kern w:val="2"/>
                <w:sz w:val="24"/>
                <w:szCs w:val="24"/>
                <w:vertAlign w:val="subscript"/>
                <w:lang w:val="en-US" w:eastAsia="zh-CN" w:bidi="ar-SA"/>
              </w:rPr>
              <w:t>2.5</w:t>
            </w:r>
          </w:p>
        </w:tc>
        <w:tc>
          <w:tcPr>
            <w:tcW w:w="52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26</w:t>
            </w:r>
          </w:p>
        </w:tc>
        <w:tc>
          <w:tcPr>
            <w:tcW w:w="90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92.9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7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3月</w:t>
            </w:r>
          </w:p>
        </w:tc>
        <w:tc>
          <w:tcPr>
            <w:tcW w:w="56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31</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27</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39</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1.1</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89</w:t>
            </w:r>
          </w:p>
        </w:tc>
        <w:tc>
          <w:tcPr>
            <w:tcW w:w="68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30</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70</w:t>
            </w:r>
          </w:p>
        </w:tc>
        <w:tc>
          <w:tcPr>
            <w:tcW w:w="79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52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31</w:t>
            </w:r>
          </w:p>
        </w:tc>
        <w:tc>
          <w:tcPr>
            <w:tcW w:w="90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7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4月</w:t>
            </w:r>
          </w:p>
        </w:tc>
        <w:tc>
          <w:tcPr>
            <w:tcW w:w="56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30</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21</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47</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1.1</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95</w:t>
            </w:r>
          </w:p>
        </w:tc>
        <w:tc>
          <w:tcPr>
            <w:tcW w:w="68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34</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77</w:t>
            </w:r>
          </w:p>
        </w:tc>
        <w:tc>
          <w:tcPr>
            <w:tcW w:w="79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O</w:t>
            </w:r>
            <w:r>
              <w:rPr>
                <w:rFonts w:hint="eastAsia" w:ascii="Times New Roman" w:hAnsi="Times New Roman" w:eastAsia="宋体" w:cs="Times New Roman"/>
                <w:kern w:val="2"/>
                <w:sz w:val="24"/>
                <w:szCs w:val="24"/>
                <w:vertAlign w:val="subscript"/>
                <w:lang w:val="en-US" w:eastAsia="zh-CN" w:bidi="ar-SA"/>
              </w:rPr>
              <w:t>3</w:t>
            </w:r>
          </w:p>
        </w:tc>
        <w:tc>
          <w:tcPr>
            <w:tcW w:w="52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29</w:t>
            </w:r>
          </w:p>
        </w:tc>
        <w:tc>
          <w:tcPr>
            <w:tcW w:w="90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93.5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7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5月</w:t>
            </w:r>
          </w:p>
        </w:tc>
        <w:tc>
          <w:tcPr>
            <w:tcW w:w="56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31</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19</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55</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104</w:t>
            </w:r>
          </w:p>
        </w:tc>
        <w:tc>
          <w:tcPr>
            <w:tcW w:w="68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36</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56</w:t>
            </w:r>
          </w:p>
        </w:tc>
        <w:tc>
          <w:tcPr>
            <w:tcW w:w="79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O</w:t>
            </w:r>
            <w:r>
              <w:rPr>
                <w:rFonts w:hint="eastAsia" w:ascii="Times New Roman" w:hAnsi="Times New Roman" w:eastAsia="宋体" w:cs="Times New Roman"/>
                <w:kern w:val="2"/>
                <w:sz w:val="24"/>
                <w:szCs w:val="24"/>
                <w:vertAlign w:val="subscript"/>
                <w:lang w:val="en-US" w:eastAsia="zh-CN" w:bidi="ar-SA"/>
              </w:rPr>
              <w:t>3</w:t>
            </w:r>
          </w:p>
        </w:tc>
        <w:tc>
          <w:tcPr>
            <w:tcW w:w="52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29</w:t>
            </w:r>
          </w:p>
        </w:tc>
        <w:tc>
          <w:tcPr>
            <w:tcW w:w="90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93.5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7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6月</w:t>
            </w:r>
          </w:p>
        </w:tc>
        <w:tc>
          <w:tcPr>
            <w:tcW w:w="56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30</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15</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31</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0.5</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107</w:t>
            </w:r>
          </w:p>
        </w:tc>
        <w:tc>
          <w:tcPr>
            <w:tcW w:w="68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24</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56</w:t>
            </w:r>
          </w:p>
        </w:tc>
        <w:tc>
          <w:tcPr>
            <w:tcW w:w="79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w:t>
            </w:r>
          </w:p>
        </w:tc>
        <w:tc>
          <w:tcPr>
            <w:tcW w:w="52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30</w:t>
            </w:r>
          </w:p>
        </w:tc>
        <w:tc>
          <w:tcPr>
            <w:tcW w:w="90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7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7月</w:t>
            </w:r>
          </w:p>
        </w:tc>
        <w:tc>
          <w:tcPr>
            <w:tcW w:w="56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31</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13</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31</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0.8</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108</w:t>
            </w:r>
          </w:p>
        </w:tc>
        <w:tc>
          <w:tcPr>
            <w:tcW w:w="68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25</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57</w:t>
            </w:r>
          </w:p>
        </w:tc>
        <w:tc>
          <w:tcPr>
            <w:tcW w:w="79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O</w:t>
            </w:r>
            <w:r>
              <w:rPr>
                <w:rFonts w:hint="eastAsia" w:ascii="Times New Roman" w:hAnsi="Times New Roman" w:eastAsia="宋体" w:cs="Times New Roman"/>
                <w:kern w:val="2"/>
                <w:sz w:val="24"/>
                <w:szCs w:val="24"/>
                <w:vertAlign w:val="subscript"/>
                <w:lang w:val="en-US" w:eastAsia="zh-CN" w:bidi="ar-SA"/>
              </w:rPr>
              <w:t>3</w:t>
            </w:r>
          </w:p>
        </w:tc>
        <w:tc>
          <w:tcPr>
            <w:tcW w:w="52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30</w:t>
            </w:r>
          </w:p>
        </w:tc>
        <w:tc>
          <w:tcPr>
            <w:tcW w:w="90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96.8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7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8月</w:t>
            </w:r>
          </w:p>
        </w:tc>
        <w:tc>
          <w:tcPr>
            <w:tcW w:w="56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31</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13</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43</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1.1</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137</w:t>
            </w:r>
          </w:p>
        </w:tc>
        <w:tc>
          <w:tcPr>
            <w:tcW w:w="68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35</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81</w:t>
            </w:r>
          </w:p>
        </w:tc>
        <w:tc>
          <w:tcPr>
            <w:tcW w:w="79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O</w:t>
            </w:r>
            <w:r>
              <w:rPr>
                <w:rFonts w:hint="eastAsia" w:ascii="Times New Roman" w:hAnsi="Times New Roman" w:eastAsia="宋体" w:cs="Times New Roman"/>
                <w:kern w:val="2"/>
                <w:sz w:val="24"/>
                <w:szCs w:val="24"/>
                <w:vertAlign w:val="subscript"/>
                <w:lang w:val="en-US" w:eastAsia="zh-CN" w:bidi="ar-SA"/>
              </w:rPr>
              <w:t>3</w:t>
            </w:r>
          </w:p>
        </w:tc>
        <w:tc>
          <w:tcPr>
            <w:tcW w:w="52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29</w:t>
            </w:r>
          </w:p>
        </w:tc>
        <w:tc>
          <w:tcPr>
            <w:tcW w:w="90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93.5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7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9月</w:t>
            </w:r>
          </w:p>
        </w:tc>
        <w:tc>
          <w:tcPr>
            <w:tcW w:w="56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30</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18</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51</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0.9</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161</w:t>
            </w:r>
          </w:p>
        </w:tc>
        <w:tc>
          <w:tcPr>
            <w:tcW w:w="68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39</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101</w:t>
            </w:r>
          </w:p>
        </w:tc>
        <w:tc>
          <w:tcPr>
            <w:tcW w:w="79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O</w:t>
            </w:r>
            <w:r>
              <w:rPr>
                <w:rFonts w:hint="eastAsia" w:ascii="Times New Roman" w:hAnsi="Times New Roman" w:eastAsia="宋体" w:cs="Times New Roman"/>
                <w:kern w:val="2"/>
                <w:sz w:val="24"/>
                <w:szCs w:val="24"/>
                <w:vertAlign w:val="subscript"/>
                <w:lang w:val="en-US" w:eastAsia="zh-CN" w:bidi="ar-SA"/>
              </w:rPr>
              <w:t>3</w:t>
            </w:r>
          </w:p>
        </w:tc>
        <w:tc>
          <w:tcPr>
            <w:tcW w:w="52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24</w:t>
            </w:r>
          </w:p>
        </w:tc>
        <w:tc>
          <w:tcPr>
            <w:tcW w:w="90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80.0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7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10月</w:t>
            </w:r>
          </w:p>
        </w:tc>
        <w:tc>
          <w:tcPr>
            <w:tcW w:w="56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27</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26</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50</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1.1</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139</w:t>
            </w:r>
          </w:p>
        </w:tc>
        <w:tc>
          <w:tcPr>
            <w:tcW w:w="68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38</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83</w:t>
            </w:r>
          </w:p>
        </w:tc>
        <w:tc>
          <w:tcPr>
            <w:tcW w:w="79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O</w:t>
            </w:r>
            <w:r>
              <w:rPr>
                <w:rFonts w:hint="eastAsia" w:ascii="Times New Roman" w:hAnsi="Times New Roman" w:eastAsia="宋体" w:cs="Times New Roman"/>
                <w:kern w:val="2"/>
                <w:sz w:val="24"/>
                <w:szCs w:val="24"/>
                <w:vertAlign w:val="subscript"/>
                <w:lang w:val="en-US" w:eastAsia="zh-CN" w:bidi="ar-SA"/>
              </w:rPr>
              <w:t>3</w:t>
            </w:r>
          </w:p>
        </w:tc>
        <w:tc>
          <w:tcPr>
            <w:tcW w:w="52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29</w:t>
            </w:r>
          </w:p>
        </w:tc>
        <w:tc>
          <w:tcPr>
            <w:tcW w:w="90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93.5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7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11月</w:t>
            </w:r>
          </w:p>
        </w:tc>
        <w:tc>
          <w:tcPr>
            <w:tcW w:w="56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30</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9</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32</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68</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1.1</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125</w:t>
            </w:r>
          </w:p>
        </w:tc>
        <w:tc>
          <w:tcPr>
            <w:tcW w:w="68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47</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71</w:t>
            </w:r>
          </w:p>
        </w:tc>
        <w:tc>
          <w:tcPr>
            <w:tcW w:w="79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PM</w:t>
            </w:r>
            <w:r>
              <w:rPr>
                <w:rFonts w:hint="eastAsia" w:ascii="Times New Roman" w:hAnsi="Times New Roman" w:eastAsia="宋体" w:cs="Times New Roman"/>
                <w:kern w:val="2"/>
                <w:sz w:val="24"/>
                <w:szCs w:val="24"/>
                <w:vertAlign w:val="subscript"/>
                <w:lang w:val="en-US" w:eastAsia="zh-CN" w:bidi="ar-SA"/>
              </w:rPr>
              <w:t>2.5</w:t>
            </w:r>
          </w:p>
        </w:tc>
        <w:tc>
          <w:tcPr>
            <w:tcW w:w="52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28</w:t>
            </w:r>
          </w:p>
        </w:tc>
        <w:tc>
          <w:tcPr>
            <w:tcW w:w="90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93.3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7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12月</w:t>
            </w:r>
          </w:p>
        </w:tc>
        <w:tc>
          <w:tcPr>
            <w:tcW w:w="56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31</w:t>
            </w:r>
          </w:p>
        </w:tc>
        <w:tc>
          <w:tcPr>
            <w:tcW w:w="624"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7</w:t>
            </w:r>
          </w:p>
        </w:tc>
        <w:tc>
          <w:tcPr>
            <w:tcW w:w="624"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41</w:t>
            </w:r>
          </w:p>
        </w:tc>
        <w:tc>
          <w:tcPr>
            <w:tcW w:w="624"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64</w:t>
            </w:r>
          </w:p>
        </w:tc>
        <w:tc>
          <w:tcPr>
            <w:tcW w:w="624"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0.9</w:t>
            </w:r>
          </w:p>
        </w:tc>
        <w:tc>
          <w:tcPr>
            <w:tcW w:w="624"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50</w:t>
            </w:r>
          </w:p>
        </w:tc>
        <w:tc>
          <w:tcPr>
            <w:tcW w:w="680"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49</w:t>
            </w:r>
          </w:p>
        </w:tc>
        <w:tc>
          <w:tcPr>
            <w:tcW w:w="624"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68</w:t>
            </w:r>
          </w:p>
        </w:tc>
        <w:tc>
          <w:tcPr>
            <w:tcW w:w="79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PM</w:t>
            </w:r>
            <w:r>
              <w:rPr>
                <w:rFonts w:hint="eastAsia" w:ascii="Times New Roman" w:hAnsi="Times New Roman" w:eastAsia="宋体" w:cs="Times New Roman"/>
                <w:kern w:val="2"/>
                <w:sz w:val="24"/>
                <w:szCs w:val="24"/>
                <w:vertAlign w:val="subscript"/>
                <w:lang w:val="en-US" w:eastAsia="zh-CN" w:bidi="ar-SA"/>
              </w:rPr>
              <w:t>2.5</w:t>
            </w:r>
          </w:p>
        </w:tc>
        <w:tc>
          <w:tcPr>
            <w:tcW w:w="522"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r>
              <w:rPr>
                <w:rFonts w:hint="eastAsia" w:cs="Times New Roman"/>
                <w:kern w:val="2"/>
                <w:sz w:val="24"/>
                <w:szCs w:val="24"/>
                <w:lang w:val="en-US" w:eastAsia="zh-CN" w:bidi="ar-SA"/>
              </w:rPr>
              <w:t>8</w:t>
            </w:r>
          </w:p>
        </w:tc>
        <w:tc>
          <w:tcPr>
            <w:tcW w:w="90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90.3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7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年均值</w:t>
            </w:r>
          </w:p>
        </w:tc>
        <w:tc>
          <w:tcPr>
            <w:tcW w:w="56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624"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5.7</w:t>
            </w:r>
          </w:p>
        </w:tc>
        <w:tc>
          <w:tcPr>
            <w:tcW w:w="624"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23</w:t>
            </w:r>
          </w:p>
        </w:tc>
        <w:tc>
          <w:tcPr>
            <w:tcW w:w="624"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51.4</w:t>
            </w:r>
          </w:p>
        </w:tc>
        <w:tc>
          <w:tcPr>
            <w:tcW w:w="624"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2.1</w:t>
            </w:r>
          </w:p>
        </w:tc>
        <w:tc>
          <w:tcPr>
            <w:tcW w:w="624"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101.7</w:t>
            </w:r>
          </w:p>
        </w:tc>
        <w:tc>
          <w:tcPr>
            <w:tcW w:w="680"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39.3</w:t>
            </w:r>
          </w:p>
        </w:tc>
        <w:tc>
          <w:tcPr>
            <w:tcW w:w="624"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73</w:t>
            </w:r>
          </w:p>
        </w:tc>
        <w:tc>
          <w:tcPr>
            <w:tcW w:w="79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w:t>
            </w:r>
          </w:p>
        </w:tc>
        <w:tc>
          <w:tcPr>
            <w:tcW w:w="52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90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042"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7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合计</w:t>
            </w:r>
          </w:p>
        </w:tc>
        <w:tc>
          <w:tcPr>
            <w:tcW w:w="56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365</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68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6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79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522"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331</w:t>
            </w:r>
          </w:p>
        </w:tc>
        <w:tc>
          <w:tcPr>
            <w:tcW w:w="90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90.5</w:t>
            </w:r>
          </w:p>
        </w:tc>
      </w:tr>
    </w:tbl>
    <w:p>
      <w:pPr>
        <w:pStyle w:val="25"/>
        <w:bidi w:val="0"/>
        <w:rPr>
          <w:lang w:val="en-US" w:eastAsia="zh-CN"/>
        </w:rPr>
      </w:pPr>
    </w:p>
    <w:p>
      <w:pPr>
        <w:widowControl w:val="0"/>
        <w:spacing w:line="360" w:lineRule="auto"/>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5</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湘阴县2</w:t>
      </w:r>
      <w:r>
        <w:rPr>
          <w:rFonts w:ascii="Times New Roman" w:hAnsi="Times New Roman" w:eastAsia="宋体" w:cs="Times New Roman"/>
          <w:b/>
          <w:kern w:val="2"/>
          <w:sz w:val="21"/>
          <w:szCs w:val="21"/>
          <w:lang w:val="en-US" w:eastAsia="zh-CN" w:bidi="ar-SA"/>
        </w:rPr>
        <w:t>01</w:t>
      </w:r>
      <w:r>
        <w:rPr>
          <w:rFonts w:hint="eastAsia" w:ascii="Times New Roman" w:hAnsi="Times New Roman" w:eastAsia="宋体" w:cs="Times New Roman"/>
          <w:b/>
          <w:kern w:val="2"/>
          <w:sz w:val="21"/>
          <w:szCs w:val="21"/>
          <w:lang w:val="en-US" w:eastAsia="zh-CN" w:bidi="ar-SA"/>
        </w:rPr>
        <w:t>9年环境空气质量评价表</w:t>
      </w:r>
    </w:p>
    <w:tbl>
      <w:tblPr>
        <w:tblStyle w:val="22"/>
        <w:tblW w:w="86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2292"/>
        <w:gridCol w:w="1701"/>
        <w:gridCol w:w="1701"/>
        <w:gridCol w:w="15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48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污染物</w:t>
            </w:r>
          </w:p>
        </w:tc>
        <w:tc>
          <w:tcPr>
            <w:tcW w:w="229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评价指标</w:t>
            </w:r>
          </w:p>
        </w:tc>
        <w:tc>
          <w:tcPr>
            <w:tcW w:w="170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现状浓度</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hint="default" w:ascii="Calibri" w:hAnsi="Calibri" w:eastAsia="宋体" w:cs="Calibri"/>
                <w:kern w:val="2"/>
                <w:sz w:val="24"/>
                <w:szCs w:val="24"/>
                <w:lang w:val="en-US" w:eastAsia="zh-CN" w:bidi="ar-SA"/>
              </w:rPr>
              <w:t>μ</w:t>
            </w:r>
            <w:r>
              <w:rPr>
                <w:rFonts w:hint="eastAsia" w:ascii="Times New Roman" w:hAnsi="Times New Roman" w:eastAsia="宋体" w:cs="Times New Roman"/>
                <w:kern w:val="2"/>
                <w:sz w:val="24"/>
                <w:szCs w:val="24"/>
                <w:lang w:val="en-US" w:eastAsia="zh-CN" w:bidi="ar-SA"/>
              </w:rPr>
              <w:t>g/m³）</w:t>
            </w:r>
          </w:p>
        </w:tc>
        <w:tc>
          <w:tcPr>
            <w:tcW w:w="170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标准值</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hint="default" w:ascii="Calibri" w:hAnsi="Calibri" w:eastAsia="宋体" w:cs="Calibri"/>
                <w:kern w:val="2"/>
                <w:sz w:val="24"/>
                <w:szCs w:val="24"/>
                <w:lang w:val="en-US" w:eastAsia="zh-CN" w:bidi="ar-SA"/>
              </w:rPr>
              <w:t>μ</w:t>
            </w:r>
            <w:r>
              <w:rPr>
                <w:rFonts w:hint="eastAsia" w:ascii="Times New Roman" w:hAnsi="Times New Roman" w:eastAsia="宋体" w:cs="Times New Roman"/>
                <w:kern w:val="2"/>
                <w:sz w:val="24"/>
                <w:szCs w:val="24"/>
                <w:lang w:val="en-US" w:eastAsia="zh-CN" w:bidi="ar-SA"/>
              </w:rPr>
              <w:t>g/m³）</w:t>
            </w:r>
          </w:p>
        </w:tc>
        <w:tc>
          <w:tcPr>
            <w:tcW w:w="1513"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PM</w:t>
            </w:r>
            <w:r>
              <w:rPr>
                <w:rFonts w:hint="eastAsia" w:ascii="Times New Roman" w:hAnsi="Times New Roman" w:eastAsia="宋体" w:cs="Times New Roman"/>
                <w:kern w:val="2"/>
                <w:sz w:val="24"/>
                <w:szCs w:val="24"/>
                <w:vertAlign w:val="subscript"/>
                <w:lang w:val="en-US" w:eastAsia="zh-CN" w:bidi="ar-SA"/>
              </w:rPr>
              <w:t>10</w:t>
            </w:r>
          </w:p>
        </w:tc>
        <w:tc>
          <w:tcPr>
            <w:tcW w:w="229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年平均</w:t>
            </w:r>
          </w:p>
        </w:tc>
        <w:tc>
          <w:tcPr>
            <w:tcW w:w="1701"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51.4</w:t>
            </w:r>
          </w:p>
        </w:tc>
        <w:tc>
          <w:tcPr>
            <w:tcW w:w="170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70</w:t>
            </w:r>
          </w:p>
        </w:tc>
        <w:tc>
          <w:tcPr>
            <w:tcW w:w="1513"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PM</w:t>
            </w:r>
            <w:r>
              <w:rPr>
                <w:rFonts w:hint="eastAsia" w:ascii="Times New Roman" w:hAnsi="Times New Roman" w:eastAsia="宋体" w:cs="Times New Roman"/>
                <w:kern w:val="2"/>
                <w:sz w:val="24"/>
                <w:szCs w:val="24"/>
                <w:vertAlign w:val="subscript"/>
                <w:lang w:val="en-US" w:eastAsia="zh-CN" w:bidi="ar-SA"/>
              </w:rPr>
              <w:t>2.5</w:t>
            </w:r>
          </w:p>
        </w:tc>
        <w:tc>
          <w:tcPr>
            <w:tcW w:w="229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年平均</w:t>
            </w:r>
          </w:p>
        </w:tc>
        <w:tc>
          <w:tcPr>
            <w:tcW w:w="1701"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39.3</w:t>
            </w:r>
          </w:p>
        </w:tc>
        <w:tc>
          <w:tcPr>
            <w:tcW w:w="1701"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35 </w:t>
            </w:r>
          </w:p>
        </w:tc>
        <w:tc>
          <w:tcPr>
            <w:tcW w:w="1513"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SO</w:t>
            </w:r>
            <w:r>
              <w:rPr>
                <w:rFonts w:hint="eastAsia" w:ascii="Times New Roman" w:hAnsi="Times New Roman" w:eastAsia="宋体" w:cs="Times New Roman"/>
                <w:kern w:val="2"/>
                <w:sz w:val="24"/>
                <w:szCs w:val="24"/>
                <w:vertAlign w:val="subscript"/>
                <w:lang w:val="en-US" w:eastAsia="zh-CN" w:bidi="ar-SA"/>
              </w:rPr>
              <w:t>2</w:t>
            </w:r>
          </w:p>
        </w:tc>
        <w:tc>
          <w:tcPr>
            <w:tcW w:w="229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年平均</w:t>
            </w:r>
          </w:p>
        </w:tc>
        <w:tc>
          <w:tcPr>
            <w:tcW w:w="1701"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5.7</w:t>
            </w:r>
          </w:p>
        </w:tc>
        <w:tc>
          <w:tcPr>
            <w:tcW w:w="170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60</w:t>
            </w:r>
          </w:p>
        </w:tc>
        <w:tc>
          <w:tcPr>
            <w:tcW w:w="1513"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NO</w:t>
            </w:r>
            <w:r>
              <w:rPr>
                <w:rFonts w:hint="eastAsia" w:ascii="Times New Roman" w:hAnsi="Times New Roman" w:eastAsia="宋体" w:cs="Times New Roman"/>
                <w:kern w:val="2"/>
                <w:sz w:val="24"/>
                <w:szCs w:val="24"/>
                <w:vertAlign w:val="subscript"/>
                <w:lang w:val="en-US" w:eastAsia="zh-CN" w:bidi="ar-SA"/>
              </w:rPr>
              <w:t>2</w:t>
            </w:r>
          </w:p>
        </w:tc>
        <w:tc>
          <w:tcPr>
            <w:tcW w:w="229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年平均</w:t>
            </w:r>
          </w:p>
        </w:tc>
        <w:tc>
          <w:tcPr>
            <w:tcW w:w="1701"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r>
              <w:rPr>
                <w:rFonts w:hint="eastAsia" w:cs="Times New Roman"/>
                <w:kern w:val="2"/>
                <w:sz w:val="24"/>
                <w:szCs w:val="24"/>
                <w:lang w:val="en-US" w:eastAsia="zh-CN" w:bidi="ar-SA"/>
              </w:rPr>
              <w:t>3</w:t>
            </w:r>
          </w:p>
        </w:tc>
        <w:tc>
          <w:tcPr>
            <w:tcW w:w="170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40</w:t>
            </w:r>
          </w:p>
        </w:tc>
        <w:tc>
          <w:tcPr>
            <w:tcW w:w="1513"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48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CO</w:t>
            </w:r>
          </w:p>
        </w:tc>
        <w:tc>
          <w:tcPr>
            <w:tcW w:w="229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24小时平均（第95位百分位数）</w:t>
            </w:r>
          </w:p>
        </w:tc>
        <w:tc>
          <w:tcPr>
            <w:tcW w:w="1701"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2100</w:t>
            </w:r>
          </w:p>
        </w:tc>
        <w:tc>
          <w:tcPr>
            <w:tcW w:w="170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4000</w:t>
            </w:r>
          </w:p>
        </w:tc>
        <w:tc>
          <w:tcPr>
            <w:tcW w:w="1513"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48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O</w:t>
            </w:r>
            <w:r>
              <w:rPr>
                <w:rFonts w:hint="eastAsia" w:ascii="Times New Roman" w:hAnsi="Times New Roman" w:eastAsia="宋体" w:cs="Times New Roman"/>
                <w:kern w:val="2"/>
                <w:sz w:val="24"/>
                <w:szCs w:val="24"/>
                <w:vertAlign w:val="subscript"/>
                <w:lang w:val="en-US" w:eastAsia="zh-CN" w:bidi="ar-SA"/>
              </w:rPr>
              <w:t>3</w:t>
            </w:r>
          </w:p>
        </w:tc>
        <w:tc>
          <w:tcPr>
            <w:tcW w:w="229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日最大8h平均（第90位百分位数）</w:t>
            </w:r>
          </w:p>
        </w:tc>
        <w:tc>
          <w:tcPr>
            <w:tcW w:w="1701"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101.7</w:t>
            </w:r>
          </w:p>
        </w:tc>
        <w:tc>
          <w:tcPr>
            <w:tcW w:w="170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160</w:t>
            </w:r>
          </w:p>
        </w:tc>
        <w:tc>
          <w:tcPr>
            <w:tcW w:w="1513"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达标</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根据《环境影响评价技术导则 大气环境》（HJ2.2-2018）6.4.1.1——“城市环境空气质量达标情况评价指标为SO</w:t>
      </w:r>
      <w:r>
        <w:rPr>
          <w:rFonts w:hint="eastAsia" w:ascii="Times New Roman" w:hAnsi="Times New Roman" w:eastAsia="宋体" w:cs="宋体"/>
          <w:kern w:val="2"/>
          <w:sz w:val="24"/>
          <w:szCs w:val="24"/>
          <w:vertAlign w:val="subscript"/>
          <w:lang w:val="en-US" w:eastAsia="zh-CN" w:bidi="ar-SA"/>
        </w:rPr>
        <w:t>2</w:t>
      </w:r>
      <w:r>
        <w:rPr>
          <w:rFonts w:hint="eastAsia" w:ascii="Times New Roman" w:hAnsi="Times New Roman" w:eastAsia="宋体" w:cs="宋体"/>
          <w:kern w:val="2"/>
          <w:sz w:val="24"/>
          <w:szCs w:val="24"/>
          <w:lang w:val="en-US" w:eastAsia="zh-CN" w:bidi="ar-SA"/>
        </w:rPr>
        <w:t>、NO</w:t>
      </w:r>
      <w:r>
        <w:rPr>
          <w:rFonts w:hint="eastAsia" w:ascii="Times New Roman" w:hAnsi="Times New Roman" w:eastAsia="宋体" w:cs="宋体"/>
          <w:kern w:val="2"/>
          <w:sz w:val="24"/>
          <w:szCs w:val="24"/>
          <w:vertAlign w:val="subscript"/>
          <w:lang w:val="en-US" w:eastAsia="zh-CN" w:bidi="ar-SA"/>
        </w:rPr>
        <w:t>2</w:t>
      </w:r>
      <w:r>
        <w:rPr>
          <w:rFonts w:hint="eastAsia" w:ascii="Times New Roman" w:hAnsi="Times New Roman" w:eastAsia="宋体" w:cs="宋体"/>
          <w:kern w:val="2"/>
          <w:sz w:val="24"/>
          <w:szCs w:val="24"/>
          <w:lang w:val="en-US" w:eastAsia="zh-CN" w:bidi="ar-SA"/>
        </w:rPr>
        <w:t>、PM</w:t>
      </w:r>
      <w:r>
        <w:rPr>
          <w:rFonts w:hint="eastAsia" w:ascii="Times New Roman" w:hAnsi="Times New Roman" w:eastAsia="宋体" w:cs="宋体"/>
          <w:kern w:val="2"/>
          <w:sz w:val="24"/>
          <w:szCs w:val="24"/>
          <w:vertAlign w:val="subscript"/>
          <w:lang w:val="en-US" w:eastAsia="zh-CN" w:bidi="ar-SA"/>
        </w:rPr>
        <w:t>10</w:t>
      </w:r>
      <w:r>
        <w:rPr>
          <w:rFonts w:hint="eastAsia" w:ascii="Times New Roman" w:hAnsi="Times New Roman" w:eastAsia="宋体" w:cs="宋体"/>
          <w:kern w:val="2"/>
          <w:sz w:val="24"/>
          <w:szCs w:val="24"/>
          <w:lang w:val="en-US" w:eastAsia="zh-CN" w:bidi="ar-SA"/>
        </w:rPr>
        <w:t>、PM</w:t>
      </w:r>
      <w:r>
        <w:rPr>
          <w:rFonts w:hint="eastAsia" w:ascii="Times New Roman" w:hAnsi="Times New Roman" w:eastAsia="宋体" w:cs="宋体"/>
          <w:kern w:val="2"/>
          <w:sz w:val="24"/>
          <w:szCs w:val="24"/>
          <w:vertAlign w:val="subscript"/>
          <w:lang w:val="en-US" w:eastAsia="zh-CN" w:bidi="ar-SA"/>
        </w:rPr>
        <w:t>2.5</w:t>
      </w:r>
      <w:r>
        <w:rPr>
          <w:rFonts w:hint="eastAsia" w:ascii="Times New Roman" w:hAnsi="Times New Roman" w:eastAsia="宋体" w:cs="宋体"/>
          <w:kern w:val="2"/>
          <w:sz w:val="24"/>
          <w:szCs w:val="24"/>
          <w:lang w:val="en-US" w:eastAsia="zh-CN" w:bidi="ar-SA"/>
        </w:rPr>
        <w:t>、CO和O</w:t>
      </w:r>
      <w:r>
        <w:rPr>
          <w:rFonts w:hint="eastAsia" w:ascii="Times New Roman" w:hAnsi="Times New Roman" w:eastAsia="宋体" w:cs="宋体"/>
          <w:kern w:val="2"/>
          <w:sz w:val="24"/>
          <w:szCs w:val="24"/>
          <w:vertAlign w:val="subscript"/>
          <w:lang w:val="en-US" w:eastAsia="zh-CN" w:bidi="ar-SA"/>
        </w:rPr>
        <w:t>3</w:t>
      </w:r>
      <w:r>
        <w:rPr>
          <w:rFonts w:hint="eastAsia" w:ascii="Times New Roman" w:hAnsi="Times New Roman" w:eastAsia="宋体" w:cs="宋体"/>
          <w:kern w:val="2"/>
          <w:sz w:val="24"/>
          <w:szCs w:val="24"/>
          <w:lang w:val="en-US" w:eastAsia="zh-CN" w:bidi="ar-SA"/>
        </w:rPr>
        <w:t>，六项污染物全部达标即为城市环境空气质量达标”；6.4.1.3——“采用HJ663中各评价项目的年评价指标进行判定。年评价指标中的平均浓度和相应百分位数24h平均或8h平均质量浓度满足GB3095中浓度限值要求的即为达标。”</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根据2019年已公布的年评价指标中的平均浓度可知湘阴县环境空气质量中PM</w:t>
      </w:r>
      <w:r>
        <w:rPr>
          <w:rFonts w:hint="eastAsia" w:ascii="Times New Roman" w:hAnsi="Times New Roman" w:eastAsia="宋体" w:cs="宋体"/>
          <w:kern w:val="2"/>
          <w:sz w:val="24"/>
          <w:szCs w:val="24"/>
          <w:vertAlign w:val="subscript"/>
          <w:lang w:val="en-US" w:eastAsia="zh-CN" w:bidi="ar-SA"/>
        </w:rPr>
        <w:t>2.5</w:t>
      </w:r>
      <w:r>
        <w:rPr>
          <w:rFonts w:hint="eastAsia" w:ascii="Times New Roman" w:hAnsi="Times New Roman" w:eastAsia="宋体" w:cs="宋体"/>
          <w:kern w:val="2"/>
          <w:sz w:val="24"/>
          <w:szCs w:val="24"/>
          <w:lang w:val="en-US" w:eastAsia="zh-CN" w:bidi="ar-SA"/>
        </w:rPr>
        <w:t>的年平均质量浓度为</w:t>
      </w:r>
      <w:r>
        <w:rPr>
          <w:rFonts w:hint="eastAsia" w:cs="宋体"/>
          <w:kern w:val="2"/>
          <w:sz w:val="24"/>
          <w:szCs w:val="24"/>
          <w:lang w:val="en-US" w:eastAsia="zh-CN" w:bidi="ar-SA"/>
        </w:rPr>
        <w:t>39.3</w:t>
      </w:r>
      <w:r>
        <w:rPr>
          <w:rFonts w:hint="default" w:ascii="Calibri" w:hAnsi="Calibri" w:eastAsia="宋体" w:cs="Calibri"/>
          <w:kern w:val="2"/>
          <w:sz w:val="24"/>
          <w:szCs w:val="24"/>
          <w:lang w:val="en-US" w:eastAsia="zh-CN" w:bidi="ar-SA"/>
        </w:rPr>
        <w:t>μ</w:t>
      </w:r>
      <w:r>
        <w:rPr>
          <w:rFonts w:hint="eastAsia" w:ascii="Times New Roman" w:hAnsi="Times New Roman" w:eastAsia="宋体" w:cs="宋体"/>
          <w:kern w:val="2"/>
          <w:sz w:val="24"/>
          <w:szCs w:val="24"/>
          <w:lang w:val="en-US" w:eastAsia="zh-CN" w:bidi="ar-SA"/>
        </w:rPr>
        <w:t>g/m³，不满足GB3095中浓度35</w:t>
      </w:r>
      <w:r>
        <w:rPr>
          <w:rFonts w:hint="default" w:ascii="Calibri" w:hAnsi="Calibri" w:eastAsia="宋体" w:cs="Calibri"/>
          <w:kern w:val="2"/>
          <w:sz w:val="24"/>
          <w:szCs w:val="24"/>
          <w:lang w:val="en-US" w:eastAsia="zh-CN" w:bidi="ar-SA"/>
        </w:rPr>
        <w:t>μ</w:t>
      </w:r>
      <w:r>
        <w:rPr>
          <w:rFonts w:hint="eastAsia" w:ascii="Times New Roman" w:hAnsi="Times New Roman" w:eastAsia="宋体" w:cs="宋体"/>
          <w:kern w:val="2"/>
          <w:sz w:val="24"/>
          <w:szCs w:val="24"/>
          <w:lang w:val="en-US" w:eastAsia="zh-CN" w:bidi="ar-SA"/>
        </w:rPr>
        <w:t>g/m³限值，超标倍数0.1</w:t>
      </w:r>
      <w:r>
        <w:rPr>
          <w:rFonts w:hint="eastAsia" w:cs="宋体"/>
          <w:kern w:val="2"/>
          <w:sz w:val="24"/>
          <w:szCs w:val="24"/>
          <w:lang w:val="en-US" w:eastAsia="zh-CN" w:bidi="ar-SA"/>
        </w:rPr>
        <w:t>2</w:t>
      </w:r>
      <w:r>
        <w:rPr>
          <w:rFonts w:hint="eastAsia" w:ascii="Times New Roman" w:hAnsi="Times New Roman" w:eastAsia="宋体" w:cs="宋体"/>
          <w:kern w:val="2"/>
          <w:sz w:val="24"/>
          <w:szCs w:val="24"/>
          <w:lang w:val="en-US" w:eastAsia="zh-CN" w:bidi="ar-SA"/>
        </w:rPr>
        <w:t>，由此判定2019年湘阴县的城市环境空气质量不达标。</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湘阴县近期采取产业和能源结构调整措施、大气污染治理的措施等一系列措施，湘阴县环境空气质量正在逐步改善。</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对于环境空气质量现状其他污染物数据，本项目引用湖南中科建涂实业有限公司《年产20000吨水性涂料混合与分装项目环境影响报告表》委托湖南中骏高新科技股份有限公司于2019年6月6</w:t>
      </w:r>
      <w:r>
        <w:rPr>
          <w:rFonts w:ascii="Times New Roman" w:hAnsi="Times New Roman" w:eastAsia="宋体" w:cs="宋体"/>
          <w:kern w:val="2"/>
          <w:sz w:val="24"/>
          <w:szCs w:val="24"/>
          <w:lang w:val="en-US" w:eastAsia="zh-CN" w:bidi="ar-SA"/>
        </w:rPr>
        <w:t>日对项目周边</w:t>
      </w:r>
      <w:r>
        <w:rPr>
          <w:rFonts w:hint="eastAsia" w:cs="宋体"/>
          <w:kern w:val="2"/>
          <w:sz w:val="24"/>
          <w:szCs w:val="24"/>
          <w:lang w:val="en-US" w:eastAsia="zh-CN" w:bidi="ar-SA"/>
        </w:rPr>
        <w:t>VOCs</w:t>
      </w:r>
      <w:r>
        <w:rPr>
          <w:rFonts w:ascii="Times New Roman" w:hAnsi="Times New Roman" w:eastAsia="宋体" w:cs="宋体"/>
          <w:kern w:val="2"/>
          <w:sz w:val="24"/>
          <w:szCs w:val="24"/>
          <w:lang w:val="en-US" w:eastAsia="zh-CN" w:bidi="ar-SA"/>
        </w:rPr>
        <w:t>进行了现状监测的数据</w:t>
      </w:r>
      <w:r>
        <w:rPr>
          <w:rFonts w:hint="eastAsia" w:ascii="Times New Roman" w:hAnsi="Times New Roman" w:eastAsia="宋体" w:cs="宋体"/>
          <w:kern w:val="2"/>
          <w:sz w:val="24"/>
          <w:szCs w:val="24"/>
          <w:lang w:val="en-US" w:eastAsia="zh-CN" w:bidi="ar-SA"/>
        </w:rPr>
        <w:t>，中科建涂公司位于本项目南面约900米处，</w:t>
      </w:r>
      <w:r>
        <w:rPr>
          <w:rFonts w:hint="eastAsia" w:cs="宋体"/>
          <w:kern w:val="2"/>
          <w:sz w:val="24"/>
          <w:szCs w:val="24"/>
          <w:lang w:val="en-US" w:eastAsia="zh-CN" w:bidi="ar-SA"/>
        </w:rPr>
        <w:t>VOCs</w:t>
      </w:r>
      <w:r>
        <w:rPr>
          <w:rFonts w:hint="eastAsia" w:ascii="Times New Roman" w:hAnsi="Times New Roman" w:eastAsia="宋体" w:cs="宋体"/>
          <w:kern w:val="2"/>
          <w:sz w:val="24"/>
          <w:szCs w:val="24"/>
          <w:lang w:val="en-US" w:eastAsia="zh-CN" w:bidi="ar-SA"/>
        </w:rPr>
        <w:t>监测点设置在文襄路以北周公冲以南的开阔地。监测点位基本信息如</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_Ref19120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5</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3</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所示</w:t>
      </w:r>
      <w:r>
        <w:rPr>
          <w:rFonts w:ascii="Times New Roman" w:hAnsi="Times New Roman" w:eastAsia="宋体" w:cs="宋体"/>
          <w:kern w:val="2"/>
          <w:sz w:val="24"/>
          <w:szCs w:val="24"/>
          <w:lang w:val="en-US" w:eastAsia="zh-CN" w:bidi="ar-SA"/>
        </w:rPr>
        <w:t>。</w:t>
      </w:r>
    </w:p>
    <w:p>
      <w:pPr>
        <w:widowControl w:val="0"/>
        <w:bidi w:val="0"/>
        <w:spacing w:line="360" w:lineRule="auto"/>
        <w:jc w:val="center"/>
        <w:rPr>
          <w:rFonts w:hint="eastAsia" w:ascii="Times New Roman" w:hAnsi="Times New Roman" w:eastAsia="宋体" w:cs="Times New Roman"/>
          <w:b/>
          <w:kern w:val="2"/>
          <w:sz w:val="21"/>
          <w:szCs w:val="21"/>
          <w:highlight w:val="none"/>
          <w:lang w:val="en-US" w:eastAsia="zh-CN" w:bidi="ar-SA"/>
        </w:rPr>
      </w:pPr>
      <w:bookmarkStart w:id="1019" w:name="_Ref19120"/>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5</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3</w:t>
      </w:r>
      <w:r>
        <w:rPr>
          <w:rFonts w:ascii="Times New Roman" w:hAnsi="Times New Roman" w:eastAsia="宋体" w:cs="Times New Roman"/>
          <w:b/>
          <w:kern w:val="2"/>
          <w:sz w:val="21"/>
          <w:szCs w:val="21"/>
          <w:lang w:val="en-US" w:eastAsia="zh-CN" w:bidi="ar-SA"/>
        </w:rPr>
        <w:fldChar w:fldCharType="end"/>
      </w:r>
      <w:bookmarkEnd w:id="1019"/>
      <w:r>
        <w:rPr>
          <w:rFonts w:hint="eastAsia" w:ascii="Times New Roman" w:hAnsi="Times New Roman" w:eastAsia="宋体" w:cs="Times New Roman"/>
          <w:b/>
          <w:kern w:val="2"/>
          <w:sz w:val="21"/>
          <w:szCs w:val="21"/>
          <w:lang w:val="en-US" w:eastAsia="zh-CN" w:bidi="ar-SA"/>
        </w:rPr>
        <w:t xml:space="preserve"> </w:t>
      </w:r>
      <w:r>
        <w:rPr>
          <w:rFonts w:hint="eastAsia" w:cs="Times New Roman"/>
          <w:b/>
          <w:kern w:val="2"/>
          <w:sz w:val="21"/>
          <w:szCs w:val="21"/>
          <w:highlight w:val="none"/>
          <w:lang w:val="en-US" w:eastAsia="zh-CN" w:bidi="ar-SA"/>
        </w:rPr>
        <w:t>VOCs</w:t>
      </w:r>
      <w:r>
        <w:rPr>
          <w:rFonts w:hint="eastAsia" w:ascii="Times New Roman" w:hAnsi="Times New Roman" w:eastAsia="宋体" w:cs="Times New Roman"/>
          <w:b/>
          <w:kern w:val="2"/>
          <w:sz w:val="21"/>
          <w:szCs w:val="21"/>
          <w:highlight w:val="none"/>
          <w:lang w:val="en-US" w:eastAsia="zh-CN" w:bidi="ar-SA"/>
        </w:rPr>
        <w:t>补充监测点位基本信息</w:t>
      </w:r>
    </w:p>
    <w:tbl>
      <w:tblPr>
        <w:tblStyle w:val="23"/>
        <w:tblW w:w="10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765"/>
        <w:gridCol w:w="822"/>
        <w:gridCol w:w="900"/>
        <w:gridCol w:w="914"/>
        <w:gridCol w:w="794"/>
        <w:gridCol w:w="794"/>
        <w:gridCol w:w="794"/>
        <w:gridCol w:w="1272"/>
        <w:gridCol w:w="1274"/>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60"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监测点位名称</w:t>
            </w:r>
          </w:p>
        </w:tc>
        <w:tc>
          <w:tcPr>
            <w:tcW w:w="1587" w:type="dxa"/>
            <w:gridSpan w:val="2"/>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监测点坐标（m）</w:t>
            </w:r>
          </w:p>
        </w:tc>
        <w:tc>
          <w:tcPr>
            <w:tcW w:w="900"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监测</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因子</w:t>
            </w:r>
          </w:p>
        </w:tc>
        <w:tc>
          <w:tcPr>
            <w:tcW w:w="914"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监测</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时段</w:t>
            </w:r>
          </w:p>
        </w:tc>
        <w:tc>
          <w:tcPr>
            <w:tcW w:w="794"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相对聚特公司方位</w:t>
            </w:r>
          </w:p>
        </w:tc>
        <w:tc>
          <w:tcPr>
            <w:tcW w:w="794"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相对距离（m）</w:t>
            </w:r>
          </w:p>
        </w:tc>
        <w:tc>
          <w:tcPr>
            <w:tcW w:w="794"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平均时间</w:t>
            </w:r>
          </w:p>
        </w:tc>
        <w:tc>
          <w:tcPr>
            <w:tcW w:w="1272"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监测浓度范围（</w:t>
            </w:r>
            <w:r>
              <w:rPr>
                <w:rFonts w:hint="default" w:ascii="Calibri" w:hAnsi="Calibri" w:eastAsia="宋体" w:cs="Calibri"/>
                <w:kern w:val="2"/>
                <w:sz w:val="24"/>
                <w:szCs w:val="24"/>
                <w:lang w:val="en-US" w:eastAsia="zh-CN" w:bidi="ar-SA"/>
              </w:rPr>
              <w:t>μ</w:t>
            </w:r>
            <w:r>
              <w:rPr>
                <w:rFonts w:hint="eastAsia" w:ascii="Times New Roman" w:hAnsi="Times New Roman" w:eastAsia="宋体" w:cs="Times New Roman"/>
                <w:kern w:val="2"/>
                <w:sz w:val="24"/>
                <w:szCs w:val="24"/>
                <w:lang w:val="en-US" w:eastAsia="zh-CN" w:bidi="ar-SA"/>
              </w:rPr>
              <w:t>g/m</w:t>
            </w:r>
            <w:r>
              <w:rPr>
                <w:rFonts w:hint="eastAsia"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w:t>
            </w:r>
          </w:p>
        </w:tc>
        <w:tc>
          <w:tcPr>
            <w:tcW w:w="1274"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评价标准（</w:t>
            </w:r>
            <w:r>
              <w:rPr>
                <w:rFonts w:hint="default" w:ascii="Calibri" w:hAnsi="Calibri" w:eastAsia="宋体" w:cs="Calibri"/>
                <w:kern w:val="2"/>
                <w:sz w:val="24"/>
                <w:szCs w:val="24"/>
                <w:lang w:val="en-US" w:eastAsia="zh-CN" w:bidi="ar-SA"/>
              </w:rPr>
              <w:t>μ</w:t>
            </w:r>
            <w:r>
              <w:rPr>
                <w:rFonts w:hint="eastAsia" w:ascii="Times New Roman" w:hAnsi="Times New Roman" w:eastAsia="宋体" w:cs="Times New Roman"/>
                <w:kern w:val="2"/>
                <w:sz w:val="24"/>
                <w:szCs w:val="24"/>
                <w:lang w:val="en-US" w:eastAsia="zh-CN" w:bidi="ar-SA"/>
              </w:rPr>
              <w:t>g/m</w:t>
            </w:r>
            <w:r>
              <w:rPr>
                <w:rFonts w:hint="eastAsia"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w:t>
            </w:r>
          </w:p>
        </w:tc>
        <w:tc>
          <w:tcPr>
            <w:tcW w:w="793"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0"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76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X</w:t>
            </w:r>
          </w:p>
        </w:tc>
        <w:tc>
          <w:tcPr>
            <w:tcW w:w="822"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Y</w:t>
            </w:r>
          </w:p>
        </w:tc>
        <w:tc>
          <w:tcPr>
            <w:tcW w:w="900"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14"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794"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794"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794"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1272"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1274"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793"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96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卓达金谷创新园中科建涂公司北侧</w:t>
            </w:r>
          </w:p>
        </w:tc>
        <w:tc>
          <w:tcPr>
            <w:tcW w:w="76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688762.00</w:t>
            </w:r>
          </w:p>
        </w:tc>
        <w:tc>
          <w:tcPr>
            <w:tcW w:w="822"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3156987.80</w:t>
            </w:r>
          </w:p>
        </w:tc>
        <w:tc>
          <w:tcPr>
            <w:tcW w:w="90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VOCs</w:t>
            </w:r>
          </w:p>
        </w:tc>
        <w:tc>
          <w:tcPr>
            <w:tcW w:w="91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2019年6月</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6日</w:t>
            </w:r>
          </w:p>
        </w:tc>
        <w:tc>
          <w:tcPr>
            <w:tcW w:w="79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S</w:t>
            </w:r>
          </w:p>
        </w:tc>
        <w:tc>
          <w:tcPr>
            <w:tcW w:w="79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900</w:t>
            </w:r>
          </w:p>
        </w:tc>
        <w:tc>
          <w:tcPr>
            <w:tcW w:w="79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8小时均值</w:t>
            </w:r>
          </w:p>
        </w:tc>
        <w:tc>
          <w:tcPr>
            <w:tcW w:w="1272"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highlight w:val="none"/>
                <w:lang w:val="en-US" w:eastAsia="zh-CN" w:bidi="ar-SA"/>
              </w:rPr>
              <w:t>5~10</w:t>
            </w:r>
          </w:p>
        </w:tc>
        <w:tc>
          <w:tcPr>
            <w:tcW w:w="1274"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600</w:t>
            </w:r>
          </w:p>
        </w:tc>
        <w:tc>
          <w:tcPr>
            <w:tcW w:w="793"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达标</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hint="eastAsia" w:ascii="Times New Roman" w:hAnsi="Times New Roman" w:eastAsia="宋体" w:cs="宋体"/>
          <w:kern w:val="2"/>
          <w:sz w:val="24"/>
          <w:szCs w:val="24"/>
          <w:highlight w:val="none"/>
          <w:u w:val="single"/>
          <w:lang w:val="en-US" w:eastAsia="zh-CN" w:bidi="ar-SA"/>
        </w:rPr>
      </w:pPr>
      <w:r>
        <w:rPr>
          <w:rFonts w:hint="eastAsia" w:ascii="Times New Roman" w:hAnsi="Times New Roman" w:eastAsia="宋体" w:cs="宋体"/>
          <w:kern w:val="2"/>
          <w:sz w:val="24"/>
          <w:szCs w:val="24"/>
          <w:highlight w:val="none"/>
          <w:lang w:val="en-US" w:eastAsia="zh-CN" w:bidi="ar-SA"/>
        </w:rPr>
        <w:t>根据监测结果分析可知，</w:t>
      </w:r>
      <w:r>
        <w:rPr>
          <w:rFonts w:hint="eastAsia" w:ascii="Times New Roman" w:hAnsi="Times New Roman" w:eastAsia="宋体" w:cs="宋体"/>
          <w:kern w:val="2"/>
          <w:sz w:val="24"/>
          <w:szCs w:val="24"/>
          <w:highlight w:val="none"/>
          <w:u w:val="single"/>
          <w:lang w:val="en-US" w:eastAsia="zh-CN" w:bidi="ar-SA"/>
        </w:rPr>
        <w:t>项目所在区域环境空气中</w:t>
      </w:r>
      <w:r>
        <w:rPr>
          <w:rFonts w:hint="eastAsia" w:cs="宋体"/>
          <w:kern w:val="2"/>
          <w:sz w:val="24"/>
          <w:szCs w:val="24"/>
          <w:highlight w:val="none"/>
          <w:u w:val="single"/>
          <w:lang w:val="en-US" w:eastAsia="zh-CN" w:bidi="ar-SA"/>
        </w:rPr>
        <w:t>VOCs</w:t>
      </w:r>
      <w:r>
        <w:rPr>
          <w:rFonts w:hint="eastAsia" w:ascii="Times New Roman" w:hAnsi="Times New Roman" w:eastAsia="宋体" w:cs="宋体"/>
          <w:kern w:val="2"/>
          <w:sz w:val="24"/>
          <w:szCs w:val="24"/>
          <w:highlight w:val="none"/>
          <w:u w:val="single"/>
          <w:lang w:val="en-US" w:eastAsia="zh-CN" w:bidi="ar-SA"/>
        </w:rPr>
        <w:t>浓度满足《环境影响评价技术导则 大气环境》(HJ2.2-2018)中的附录D标准中的相应的标准。</w:t>
      </w:r>
    </w:p>
    <w:p>
      <w:pPr>
        <w:pStyle w:val="4"/>
        <w:bidi w:val="0"/>
        <w:rPr>
          <w:lang w:val="en-US" w:eastAsia="zh-CN"/>
        </w:rPr>
      </w:pPr>
      <w:bookmarkStart w:id="1020" w:name="_Toc9201"/>
      <w:bookmarkStart w:id="1021" w:name="_Toc2165"/>
      <w:bookmarkStart w:id="1022" w:name="_Toc18808"/>
      <w:bookmarkStart w:id="1023" w:name="_Toc19219"/>
      <w:bookmarkStart w:id="1024" w:name="_Toc29742"/>
      <w:bookmarkStart w:id="1025" w:name="_Toc21435"/>
      <w:bookmarkStart w:id="1026" w:name="_Toc19778"/>
      <w:bookmarkStart w:id="1027" w:name="_Toc29828"/>
      <w:bookmarkStart w:id="1028" w:name="_Toc14817"/>
      <w:bookmarkStart w:id="1029" w:name="_Toc304"/>
      <w:bookmarkStart w:id="1030" w:name="_Toc24352"/>
      <w:bookmarkStart w:id="1031" w:name="_Toc20324"/>
      <w:bookmarkStart w:id="1032" w:name="_Toc12563"/>
      <w:bookmarkStart w:id="1033" w:name="_Toc14180"/>
      <w:bookmarkStart w:id="1034" w:name="_Toc11931"/>
      <w:bookmarkStart w:id="1035" w:name="_Toc3780"/>
      <w:r>
        <w:rPr>
          <w:lang w:val="en-US" w:eastAsia="zh-CN"/>
        </w:rPr>
        <w:t>地表水环境现状监测与评价</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1036" w:name="_Toc10397"/>
      <w:bookmarkStart w:id="1037" w:name="_Toc24050"/>
      <w:bookmarkStart w:id="1038" w:name="_Toc17874"/>
      <w:bookmarkStart w:id="1039" w:name="_Toc641"/>
      <w:bookmarkStart w:id="1040" w:name="_Toc20364"/>
      <w:bookmarkStart w:id="1041" w:name="_Toc14636"/>
      <w:bookmarkStart w:id="1042" w:name="_Toc21118"/>
      <w:bookmarkStart w:id="1043" w:name="_Toc2689"/>
      <w:bookmarkStart w:id="1044" w:name="_Toc11352"/>
      <w:bookmarkStart w:id="1045" w:name="_Toc16150"/>
      <w:r>
        <w:rPr>
          <w:rFonts w:ascii="Times New Roman" w:hAnsi="Times New Roman" w:eastAsia="宋体" w:cs="宋体"/>
          <w:kern w:val="2"/>
          <w:sz w:val="24"/>
          <w:szCs w:val="24"/>
          <w:lang w:val="en-US" w:eastAsia="zh-CN" w:bidi="ar-SA"/>
        </w:rPr>
        <w:t>本项目主要地表水环境为湘江，同时也是本项目的</w:t>
      </w:r>
      <w:r>
        <w:rPr>
          <w:rFonts w:hint="eastAsia" w:ascii="Times New Roman" w:hAnsi="Times New Roman" w:eastAsia="宋体" w:cs="宋体"/>
          <w:kern w:val="2"/>
          <w:sz w:val="24"/>
          <w:szCs w:val="24"/>
          <w:lang w:val="en-US" w:eastAsia="zh-CN" w:bidi="ar-SA"/>
        </w:rPr>
        <w:t>最终</w:t>
      </w:r>
      <w:r>
        <w:rPr>
          <w:rFonts w:ascii="Times New Roman" w:hAnsi="Times New Roman" w:eastAsia="宋体" w:cs="宋体"/>
          <w:kern w:val="2"/>
          <w:sz w:val="24"/>
          <w:szCs w:val="24"/>
          <w:lang w:val="en-US" w:eastAsia="zh-CN" w:bidi="ar-SA"/>
        </w:rPr>
        <w:t>受纳水体，为了解本项目所在区域地表水环境质量现状，本项目引用</w:t>
      </w:r>
      <w:r>
        <w:rPr>
          <w:rFonts w:hint="eastAsia" w:ascii="Times New Roman" w:hAnsi="Times New Roman" w:eastAsia="宋体" w:cs="宋体"/>
          <w:kern w:val="2"/>
          <w:sz w:val="24"/>
          <w:szCs w:val="24"/>
          <w:lang w:val="en-US" w:eastAsia="zh-CN" w:bidi="ar-SA"/>
        </w:rPr>
        <w:t>其</w:t>
      </w:r>
      <w:r>
        <w:rPr>
          <w:rFonts w:ascii="Times New Roman" w:hAnsi="Times New Roman" w:eastAsia="宋体" w:cs="宋体"/>
          <w:kern w:val="2"/>
          <w:sz w:val="24"/>
          <w:szCs w:val="24"/>
          <w:lang w:val="en-US" w:eastAsia="zh-CN" w:bidi="ar-SA"/>
        </w:rPr>
        <w:t>湘阴县环境监测站对湘江设置</w:t>
      </w:r>
      <w:r>
        <w:rPr>
          <w:rFonts w:hint="eastAsia" w:ascii="Times New Roman" w:hAnsi="Times New Roman" w:eastAsia="宋体" w:cs="宋体"/>
          <w:kern w:val="2"/>
          <w:sz w:val="24"/>
          <w:szCs w:val="24"/>
          <w:lang w:val="en-US" w:eastAsia="zh-CN" w:bidi="ar-SA"/>
        </w:rPr>
        <w:t>的</w:t>
      </w:r>
      <w:r>
        <w:rPr>
          <w:rFonts w:ascii="Times New Roman" w:hAnsi="Times New Roman" w:eastAsia="宋体" w:cs="宋体"/>
          <w:kern w:val="2"/>
          <w:sz w:val="24"/>
          <w:szCs w:val="24"/>
          <w:lang w:val="en-US" w:eastAsia="zh-CN" w:bidi="ar-SA"/>
        </w:rPr>
        <w:t>乌龙</w:t>
      </w:r>
      <w:r>
        <w:rPr>
          <w:rFonts w:hint="eastAsia" w:ascii="Times New Roman" w:hAnsi="Times New Roman" w:eastAsia="宋体" w:cs="宋体"/>
          <w:kern w:val="2"/>
          <w:sz w:val="24"/>
          <w:szCs w:val="24"/>
          <w:lang w:val="en-US" w:eastAsia="zh-CN" w:bidi="ar-SA"/>
        </w:rPr>
        <w:t>嘴</w:t>
      </w:r>
      <w:r>
        <w:rPr>
          <w:rFonts w:ascii="Times New Roman" w:hAnsi="Times New Roman" w:eastAsia="宋体" w:cs="宋体"/>
          <w:kern w:val="2"/>
          <w:sz w:val="24"/>
          <w:szCs w:val="24"/>
          <w:lang w:val="en-US" w:eastAsia="zh-CN" w:bidi="ar-SA"/>
        </w:rPr>
        <w:t>W1、洋沙湖W2二个断面</w:t>
      </w:r>
      <w:r>
        <w:rPr>
          <w:rFonts w:hint="eastAsia" w:ascii="Times New Roman" w:hAnsi="Times New Roman" w:eastAsia="宋体" w:cs="宋体"/>
          <w:kern w:val="2"/>
          <w:sz w:val="24"/>
          <w:szCs w:val="24"/>
          <w:lang w:val="en-US" w:eastAsia="zh-CN" w:bidi="ar-SA"/>
        </w:rPr>
        <w:t>的监测数据。</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（1）监测布点：乌龙</w:t>
      </w:r>
      <w:r>
        <w:rPr>
          <w:rFonts w:hint="eastAsia" w:ascii="Times New Roman" w:hAnsi="Times New Roman" w:eastAsia="宋体" w:cs="宋体"/>
          <w:kern w:val="2"/>
          <w:sz w:val="24"/>
          <w:szCs w:val="24"/>
          <w:lang w:val="en-US" w:eastAsia="zh-CN" w:bidi="ar-SA"/>
        </w:rPr>
        <w:t>嘴</w:t>
      </w:r>
      <w:r>
        <w:rPr>
          <w:rFonts w:ascii="Times New Roman" w:hAnsi="Times New Roman" w:eastAsia="宋体" w:cs="宋体"/>
          <w:kern w:val="2"/>
          <w:sz w:val="24"/>
          <w:szCs w:val="24"/>
          <w:lang w:val="en-US" w:eastAsia="zh-CN" w:bidi="ar-SA"/>
        </w:rPr>
        <w:t>W1</w:t>
      </w:r>
      <w:r>
        <w:rPr>
          <w:rFonts w:hint="eastAsia" w:ascii="Times New Roman" w:hAnsi="Times New Roman" w:eastAsia="宋体" w:cs="宋体"/>
          <w:kern w:val="2"/>
          <w:sz w:val="24"/>
          <w:szCs w:val="24"/>
          <w:lang w:val="en-US" w:eastAsia="zh-CN" w:bidi="ar-SA"/>
        </w:rPr>
        <w:t>断面</w:t>
      </w:r>
      <w:r>
        <w:rPr>
          <w:rFonts w:ascii="Times New Roman" w:hAnsi="Times New Roman" w:eastAsia="宋体" w:cs="宋体"/>
          <w:kern w:val="2"/>
          <w:sz w:val="24"/>
          <w:szCs w:val="24"/>
          <w:lang w:val="en-US" w:eastAsia="zh-CN" w:bidi="ar-SA"/>
        </w:rPr>
        <w:t>、洋沙湖W2</w:t>
      </w:r>
      <w:r>
        <w:rPr>
          <w:rFonts w:hint="eastAsia" w:ascii="Times New Roman" w:hAnsi="Times New Roman" w:eastAsia="宋体" w:cs="宋体"/>
          <w:kern w:val="2"/>
          <w:sz w:val="24"/>
          <w:szCs w:val="24"/>
          <w:lang w:val="en-US" w:eastAsia="zh-CN" w:bidi="ar-SA"/>
        </w:rPr>
        <w:t>断面</w:t>
      </w:r>
      <w:r>
        <w:rPr>
          <w:rFonts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（2）监测因子：选定为pH、DO、COD</w:t>
      </w:r>
      <w:r>
        <w:rPr>
          <w:rFonts w:ascii="Times New Roman" w:hAnsi="Times New Roman" w:eastAsia="宋体" w:cs="宋体"/>
          <w:kern w:val="2"/>
          <w:sz w:val="24"/>
          <w:szCs w:val="24"/>
          <w:vertAlign w:val="subscript"/>
          <w:lang w:val="en-US" w:eastAsia="zh-CN" w:bidi="ar-SA"/>
        </w:rPr>
        <w:t>Cr</w:t>
      </w:r>
      <w:r>
        <w:rPr>
          <w:rFonts w:ascii="Times New Roman" w:hAnsi="Times New Roman" w:eastAsia="宋体" w:cs="宋体"/>
          <w:kern w:val="2"/>
          <w:sz w:val="24"/>
          <w:szCs w:val="24"/>
          <w:lang w:val="en-US" w:eastAsia="zh-CN" w:bidi="ar-SA"/>
        </w:rPr>
        <w:t>、BOD</w:t>
      </w:r>
      <w:r>
        <w:rPr>
          <w:rFonts w:ascii="Times New Roman" w:hAnsi="Times New Roman" w:eastAsia="宋体" w:cs="宋体"/>
          <w:kern w:val="2"/>
          <w:sz w:val="24"/>
          <w:szCs w:val="24"/>
          <w:vertAlign w:val="subscript"/>
          <w:lang w:val="en-US" w:eastAsia="zh-CN" w:bidi="ar-SA"/>
        </w:rPr>
        <w:t>5</w:t>
      </w:r>
      <w:r>
        <w:rPr>
          <w:rFonts w:ascii="Times New Roman" w:hAnsi="Times New Roman" w:eastAsia="宋体" w:cs="宋体"/>
          <w:kern w:val="2"/>
          <w:sz w:val="24"/>
          <w:szCs w:val="24"/>
          <w:lang w:val="en-US" w:eastAsia="zh-CN" w:bidi="ar-SA"/>
        </w:rPr>
        <w:t>、氨氮、石油类</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总磷、粪大肠菌群等。</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（3）</w:t>
      </w:r>
      <w:r>
        <w:rPr>
          <w:rFonts w:ascii="Times New Roman" w:hAnsi="Times New Roman" w:eastAsia="宋体" w:cs="宋体"/>
          <w:kern w:val="2"/>
          <w:sz w:val="24"/>
          <w:szCs w:val="24"/>
          <w:lang w:val="en-US" w:eastAsia="zh-CN" w:bidi="ar-SA"/>
        </w:rPr>
        <w:t>监测时间：</w:t>
      </w:r>
      <w:r>
        <w:rPr>
          <w:rFonts w:hint="eastAsia" w:ascii="Times New Roman" w:hAnsi="Times New Roman" w:eastAsia="宋体" w:cs="宋体"/>
          <w:kern w:val="2"/>
          <w:sz w:val="24"/>
          <w:szCs w:val="24"/>
          <w:lang w:val="en-US" w:eastAsia="zh-CN" w:bidi="ar-SA"/>
        </w:rPr>
        <w:t>乌龙嘴断面（</w:t>
      </w:r>
      <w:r>
        <w:rPr>
          <w:rFonts w:ascii="Times New Roman" w:hAnsi="Times New Roman" w:eastAsia="宋体" w:cs="宋体"/>
          <w:kern w:val="2"/>
          <w:sz w:val="24"/>
          <w:szCs w:val="24"/>
          <w:lang w:val="en-US" w:eastAsia="zh-CN" w:bidi="ar-SA"/>
        </w:rPr>
        <w:t>201</w:t>
      </w:r>
      <w:r>
        <w:rPr>
          <w:rFonts w:hint="eastAsia" w:ascii="Times New Roman" w:hAnsi="Times New Roman" w:eastAsia="宋体" w:cs="宋体"/>
          <w:kern w:val="2"/>
          <w:sz w:val="24"/>
          <w:szCs w:val="24"/>
          <w:lang w:val="en-US" w:eastAsia="zh-CN" w:bidi="ar-SA"/>
        </w:rPr>
        <w:t>9</w:t>
      </w:r>
      <w:r>
        <w:rPr>
          <w:rFonts w:ascii="Times New Roman" w:hAnsi="Times New Roman" w:eastAsia="宋体" w:cs="宋体"/>
          <w:kern w:val="2"/>
          <w:sz w:val="24"/>
          <w:szCs w:val="24"/>
          <w:lang w:val="en-US" w:eastAsia="zh-CN" w:bidi="ar-SA"/>
        </w:rPr>
        <w:t>年</w:t>
      </w:r>
      <w:r>
        <w:rPr>
          <w:rFonts w:hint="eastAsia" w:ascii="Times New Roman" w:hAnsi="Times New Roman" w:eastAsia="宋体" w:cs="宋体"/>
          <w:kern w:val="2"/>
          <w:sz w:val="24"/>
          <w:szCs w:val="24"/>
          <w:lang w:val="en-US" w:eastAsia="zh-CN" w:bidi="ar-SA"/>
        </w:rPr>
        <w:t>11</w:t>
      </w:r>
      <w:r>
        <w:rPr>
          <w:rFonts w:ascii="Times New Roman" w:hAnsi="Times New Roman" w:eastAsia="宋体" w:cs="宋体"/>
          <w:kern w:val="2"/>
          <w:sz w:val="24"/>
          <w:szCs w:val="24"/>
          <w:lang w:val="en-US" w:eastAsia="zh-CN" w:bidi="ar-SA"/>
        </w:rPr>
        <w:t>月</w:t>
      </w:r>
      <w:r>
        <w:rPr>
          <w:rFonts w:hint="eastAsia" w:ascii="Times New Roman" w:hAnsi="Times New Roman" w:eastAsia="宋体" w:cs="宋体"/>
          <w:kern w:val="2"/>
          <w:sz w:val="24"/>
          <w:szCs w:val="24"/>
          <w:lang w:val="en-US" w:eastAsia="zh-CN" w:bidi="ar-SA"/>
        </w:rPr>
        <w:t>、12</w:t>
      </w:r>
      <w:r>
        <w:rPr>
          <w:rFonts w:ascii="Times New Roman" w:hAnsi="Times New Roman" w:eastAsia="宋体" w:cs="宋体"/>
          <w:kern w:val="2"/>
          <w:sz w:val="24"/>
          <w:szCs w:val="24"/>
          <w:lang w:val="en-US" w:eastAsia="zh-CN" w:bidi="ar-SA"/>
        </w:rPr>
        <w:t>月</w:t>
      </w:r>
      <w:r>
        <w:rPr>
          <w:rFonts w:hint="eastAsia" w:ascii="Times New Roman" w:hAnsi="Times New Roman" w:eastAsia="宋体" w:cs="宋体"/>
          <w:kern w:val="2"/>
          <w:sz w:val="24"/>
          <w:szCs w:val="24"/>
          <w:lang w:val="en-US" w:eastAsia="zh-CN" w:bidi="ar-SA"/>
        </w:rPr>
        <w:t>）；洋沙湖断面（</w:t>
      </w:r>
      <w:r>
        <w:rPr>
          <w:rFonts w:ascii="Times New Roman" w:hAnsi="Times New Roman" w:eastAsia="宋体" w:cs="宋体"/>
          <w:kern w:val="2"/>
          <w:sz w:val="24"/>
          <w:szCs w:val="24"/>
          <w:lang w:val="en-US" w:eastAsia="zh-CN" w:bidi="ar-SA"/>
        </w:rPr>
        <w:t>201</w:t>
      </w:r>
      <w:r>
        <w:rPr>
          <w:rFonts w:hint="eastAsia" w:ascii="Times New Roman" w:hAnsi="Times New Roman" w:eastAsia="宋体" w:cs="宋体"/>
          <w:kern w:val="2"/>
          <w:sz w:val="24"/>
          <w:szCs w:val="24"/>
          <w:lang w:val="en-US" w:eastAsia="zh-CN" w:bidi="ar-SA"/>
        </w:rPr>
        <w:t>7</w:t>
      </w:r>
      <w:r>
        <w:rPr>
          <w:rFonts w:ascii="Times New Roman" w:hAnsi="Times New Roman" w:eastAsia="宋体" w:cs="宋体"/>
          <w:kern w:val="2"/>
          <w:sz w:val="24"/>
          <w:szCs w:val="24"/>
          <w:lang w:val="en-US" w:eastAsia="zh-CN" w:bidi="ar-SA"/>
        </w:rPr>
        <w:t>年</w:t>
      </w:r>
      <w:r>
        <w:rPr>
          <w:rFonts w:hint="eastAsia" w:ascii="Times New Roman" w:hAnsi="Times New Roman" w:eastAsia="宋体" w:cs="宋体"/>
          <w:kern w:val="2"/>
          <w:sz w:val="24"/>
          <w:szCs w:val="24"/>
          <w:lang w:val="en-US" w:eastAsia="zh-CN" w:bidi="ar-SA"/>
        </w:rPr>
        <w:t>4</w:t>
      </w:r>
      <w:r>
        <w:rPr>
          <w:rFonts w:ascii="Times New Roman" w:hAnsi="Times New Roman" w:eastAsia="宋体" w:cs="宋体"/>
          <w:kern w:val="2"/>
          <w:sz w:val="24"/>
          <w:szCs w:val="24"/>
          <w:lang w:val="en-US" w:eastAsia="zh-CN" w:bidi="ar-SA"/>
        </w:rPr>
        <w:t>月</w:t>
      </w:r>
      <w:r>
        <w:rPr>
          <w:rFonts w:hint="eastAsia" w:ascii="Times New Roman" w:hAnsi="Times New Roman" w:eastAsia="宋体" w:cs="宋体"/>
          <w:kern w:val="2"/>
          <w:sz w:val="24"/>
          <w:szCs w:val="24"/>
          <w:lang w:val="en-US" w:eastAsia="zh-CN" w:bidi="ar-SA"/>
        </w:rPr>
        <w:t>、7</w:t>
      </w:r>
      <w:r>
        <w:rPr>
          <w:rFonts w:ascii="Times New Roman" w:hAnsi="Times New Roman" w:eastAsia="宋体" w:cs="宋体"/>
          <w:kern w:val="2"/>
          <w:sz w:val="24"/>
          <w:szCs w:val="24"/>
          <w:lang w:val="en-US" w:eastAsia="zh-CN" w:bidi="ar-SA"/>
        </w:rPr>
        <w:t>月</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监测频率：每个断面分别于左、中、右各点采样1次</w:t>
      </w:r>
      <w:r>
        <w:rPr>
          <w:rFonts w:hint="eastAsia"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4</w:t>
      </w:r>
      <w:r>
        <w:rPr>
          <w:rFonts w:ascii="Times New Roman" w:hAnsi="Times New Roman" w:eastAsia="宋体" w:cs="宋体"/>
          <w:kern w:val="2"/>
          <w:sz w:val="24"/>
          <w:szCs w:val="24"/>
          <w:lang w:val="en-US" w:eastAsia="zh-CN" w:bidi="ar-SA"/>
        </w:rPr>
        <w:t>）监测结果统计与评价：监测结果统计见</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_Ref26564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5</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4</w:t>
      </w:r>
      <w:r>
        <w:rPr>
          <w:rFonts w:hint="default"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_Ref22471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5</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5</w:t>
      </w:r>
      <w:r>
        <w:rPr>
          <w:rFonts w:hint="default"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kern w:val="2"/>
          <w:sz w:val="21"/>
          <w:szCs w:val="21"/>
          <w:lang w:val="en-US" w:eastAsia="zh-CN" w:bidi="ar-SA"/>
        </w:rPr>
      </w:pPr>
      <w:bookmarkStart w:id="1046" w:name="_Ref26564"/>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5</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bookmarkEnd w:id="1046"/>
      <w:r>
        <w:rPr>
          <w:rFonts w:hint="eastAsia" w:ascii="Times New Roman" w:hAnsi="Times New Roman" w:eastAsia="宋体" w:cs="Times New Roman"/>
          <w:b/>
          <w:kern w:val="2"/>
          <w:sz w:val="21"/>
          <w:szCs w:val="21"/>
          <w:lang w:val="en-US" w:eastAsia="zh-CN" w:bidi="ar-SA"/>
        </w:rPr>
        <w:t>湘江乌龙嘴断面监测数据统计</w:t>
      </w:r>
      <w:r>
        <w:rPr>
          <w:rFonts w:ascii="Times New Roman" w:hAnsi="Times New Roman" w:eastAsia="宋体" w:cs="Times New Roman"/>
          <w:b/>
          <w:kern w:val="2"/>
          <w:sz w:val="21"/>
          <w:szCs w:val="21"/>
          <w:lang w:val="en-US" w:eastAsia="zh-CN" w:bidi="ar-SA"/>
        </w:rPr>
        <w:t xml:space="preserve"> </w:t>
      </w:r>
      <w:r>
        <w:rPr>
          <w:rFonts w:hint="eastAsia" w:ascii="Times New Roman" w:hAnsi="Times New Roman" w:eastAsia="宋体" w:cs="Times New Roman"/>
          <w:b/>
          <w:kern w:val="2"/>
          <w:sz w:val="21"/>
          <w:szCs w:val="21"/>
          <w:lang w:val="en-US" w:eastAsia="zh-CN" w:bidi="ar-SA"/>
        </w:rPr>
        <w:t>单位：</w:t>
      </w:r>
      <w:r>
        <w:rPr>
          <w:rFonts w:ascii="Times New Roman" w:hAnsi="Times New Roman" w:eastAsia="宋体" w:cs="Times New Roman"/>
          <w:b/>
          <w:kern w:val="2"/>
          <w:sz w:val="21"/>
          <w:szCs w:val="21"/>
          <w:lang w:val="en-US" w:eastAsia="zh-CN" w:bidi="ar-SA"/>
        </w:rPr>
        <w:t>mg/L</w:t>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t>pH</w:t>
      </w:r>
      <w:r>
        <w:rPr>
          <w:rFonts w:hint="eastAsia" w:ascii="Times New Roman" w:hAnsi="Times New Roman" w:eastAsia="宋体" w:cs="Times New Roman"/>
          <w:b/>
          <w:kern w:val="2"/>
          <w:sz w:val="21"/>
          <w:szCs w:val="21"/>
          <w:lang w:val="en-US" w:eastAsia="zh-CN" w:bidi="ar-SA"/>
        </w:rPr>
        <w:t>无量纲）</w:t>
      </w:r>
    </w:p>
    <w:tbl>
      <w:tblPr>
        <w:tblStyle w:val="22"/>
        <w:tblW w:w="9664"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466"/>
        <w:gridCol w:w="1468"/>
        <w:gridCol w:w="1069"/>
        <w:gridCol w:w="979"/>
        <w:gridCol w:w="1086"/>
        <w:gridCol w:w="1187"/>
        <w:gridCol w:w="1035"/>
        <w:gridCol w:w="137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66" w:type="dxa"/>
            <w:vMerge w:val="restar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监测时间</w:t>
            </w:r>
          </w:p>
        </w:tc>
        <w:tc>
          <w:tcPr>
            <w:tcW w:w="1468"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监测因子</w:t>
            </w:r>
          </w:p>
        </w:tc>
        <w:tc>
          <w:tcPr>
            <w:tcW w:w="3134" w:type="dxa"/>
            <w:gridSpan w:val="3"/>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分析或测试结果</w:t>
            </w:r>
          </w:p>
        </w:tc>
        <w:tc>
          <w:tcPr>
            <w:tcW w:w="1187"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平均值</w:t>
            </w:r>
          </w:p>
        </w:tc>
        <w:tc>
          <w:tcPr>
            <w:tcW w:w="1035"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超标（</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w:t>
            </w:r>
          </w:p>
        </w:tc>
        <w:tc>
          <w:tcPr>
            <w:tcW w:w="1374"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执行标准</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GB3838-2002Ⅲ</w:t>
            </w:r>
            <w:r>
              <w:rPr>
                <w:rFonts w:hint="eastAsia" w:ascii="Times New Roman" w:hAnsi="Times New Roman" w:eastAsia="宋体" w:cs="Times New Roman"/>
                <w:kern w:val="2"/>
                <w:sz w:val="24"/>
                <w:szCs w:val="24"/>
                <w:lang w:val="en-US" w:eastAsia="zh-CN" w:bidi="ar-SA"/>
              </w:rPr>
              <w:t>类）</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66"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68"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06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左</w:t>
            </w:r>
          </w:p>
        </w:tc>
        <w:tc>
          <w:tcPr>
            <w:tcW w:w="97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中</w:t>
            </w:r>
          </w:p>
        </w:tc>
        <w:tc>
          <w:tcPr>
            <w:tcW w:w="1086"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右</w:t>
            </w:r>
          </w:p>
        </w:tc>
        <w:tc>
          <w:tcPr>
            <w:tcW w:w="1187"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035"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374"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66" w:type="dxa"/>
            <w:vMerge w:val="restar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2019.11.4</w:t>
            </w:r>
          </w:p>
        </w:tc>
        <w:tc>
          <w:tcPr>
            <w:tcW w:w="146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pH</w:t>
            </w:r>
          </w:p>
        </w:tc>
        <w:tc>
          <w:tcPr>
            <w:tcW w:w="106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7.59</w:t>
            </w:r>
          </w:p>
        </w:tc>
        <w:tc>
          <w:tcPr>
            <w:tcW w:w="97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7.52</w:t>
            </w:r>
          </w:p>
        </w:tc>
        <w:tc>
          <w:tcPr>
            <w:tcW w:w="108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7.49</w:t>
            </w:r>
          </w:p>
        </w:tc>
        <w:tc>
          <w:tcPr>
            <w:tcW w:w="1187"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7.49~7.59</w:t>
            </w:r>
          </w:p>
        </w:tc>
        <w:tc>
          <w:tcPr>
            <w:tcW w:w="1035"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37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6~9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66"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6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DO</w:t>
            </w:r>
          </w:p>
        </w:tc>
        <w:tc>
          <w:tcPr>
            <w:tcW w:w="106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5.1</w:t>
            </w:r>
          </w:p>
        </w:tc>
        <w:tc>
          <w:tcPr>
            <w:tcW w:w="97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5.9</w:t>
            </w:r>
          </w:p>
        </w:tc>
        <w:tc>
          <w:tcPr>
            <w:tcW w:w="108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5.3</w:t>
            </w:r>
          </w:p>
        </w:tc>
        <w:tc>
          <w:tcPr>
            <w:tcW w:w="1187"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5.4</w:t>
            </w:r>
          </w:p>
        </w:tc>
        <w:tc>
          <w:tcPr>
            <w:tcW w:w="1035"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37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66"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6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COD</w:t>
            </w:r>
            <w:r>
              <w:rPr>
                <w:rFonts w:hint="eastAsia" w:ascii="Times New Roman" w:hAnsi="Times New Roman" w:eastAsia="宋体" w:cs="Times New Roman"/>
                <w:kern w:val="2"/>
                <w:sz w:val="24"/>
                <w:szCs w:val="24"/>
                <w:lang w:val="en-US" w:eastAsia="zh-CN" w:bidi="ar-SA"/>
              </w:rPr>
              <w:t>cr</w:t>
            </w:r>
          </w:p>
        </w:tc>
        <w:tc>
          <w:tcPr>
            <w:tcW w:w="106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1.8</w:t>
            </w:r>
          </w:p>
        </w:tc>
        <w:tc>
          <w:tcPr>
            <w:tcW w:w="97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1.7</w:t>
            </w:r>
          </w:p>
        </w:tc>
        <w:tc>
          <w:tcPr>
            <w:tcW w:w="108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1.9</w:t>
            </w:r>
          </w:p>
        </w:tc>
        <w:tc>
          <w:tcPr>
            <w:tcW w:w="1187"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w:t>
            </w:r>
          </w:p>
        </w:tc>
        <w:tc>
          <w:tcPr>
            <w:tcW w:w="1035"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37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66"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6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BOD</w:t>
            </w:r>
            <w:r>
              <w:rPr>
                <w:rFonts w:ascii="Times New Roman" w:hAnsi="Times New Roman" w:eastAsia="宋体" w:cs="Times New Roman"/>
                <w:kern w:val="2"/>
                <w:sz w:val="24"/>
                <w:szCs w:val="24"/>
                <w:vertAlign w:val="subscript"/>
                <w:lang w:val="en-US" w:eastAsia="zh-CN" w:bidi="ar-SA"/>
              </w:rPr>
              <w:t>5</w:t>
            </w:r>
          </w:p>
        </w:tc>
        <w:tc>
          <w:tcPr>
            <w:tcW w:w="106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2.1</w:t>
            </w:r>
          </w:p>
        </w:tc>
        <w:tc>
          <w:tcPr>
            <w:tcW w:w="97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1.8</w:t>
            </w:r>
          </w:p>
        </w:tc>
        <w:tc>
          <w:tcPr>
            <w:tcW w:w="108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w:t>
            </w:r>
          </w:p>
        </w:tc>
        <w:tc>
          <w:tcPr>
            <w:tcW w:w="1187"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w:t>
            </w:r>
          </w:p>
        </w:tc>
        <w:tc>
          <w:tcPr>
            <w:tcW w:w="1035"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37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66"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6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NH</w:t>
            </w:r>
            <w:r>
              <w:rPr>
                <w:rFonts w:ascii="Times New Roman" w:hAnsi="Times New Roman" w:eastAsia="宋体" w:cs="Times New Roman"/>
                <w:kern w:val="2"/>
                <w:sz w:val="24"/>
                <w:szCs w:val="24"/>
                <w:vertAlign w:val="subscript"/>
                <w:lang w:val="en-US" w:eastAsia="zh-CN" w:bidi="ar-SA"/>
              </w:rPr>
              <w:t>3</w:t>
            </w:r>
            <w:r>
              <w:rPr>
                <w:rFonts w:ascii="Times New Roman" w:hAnsi="Times New Roman" w:eastAsia="宋体" w:cs="Times New Roman"/>
                <w:kern w:val="2"/>
                <w:sz w:val="24"/>
                <w:szCs w:val="24"/>
                <w:lang w:val="en-US" w:eastAsia="zh-CN" w:bidi="ar-SA"/>
              </w:rPr>
              <w:t>-N</w:t>
            </w:r>
          </w:p>
        </w:tc>
        <w:tc>
          <w:tcPr>
            <w:tcW w:w="106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0.18</w:t>
            </w:r>
          </w:p>
        </w:tc>
        <w:tc>
          <w:tcPr>
            <w:tcW w:w="97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0.16</w:t>
            </w:r>
          </w:p>
        </w:tc>
        <w:tc>
          <w:tcPr>
            <w:tcW w:w="108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0.17</w:t>
            </w:r>
          </w:p>
        </w:tc>
        <w:tc>
          <w:tcPr>
            <w:tcW w:w="1187"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0.17</w:t>
            </w:r>
          </w:p>
        </w:tc>
        <w:tc>
          <w:tcPr>
            <w:tcW w:w="1035"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37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66"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6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总磷</w:t>
            </w:r>
          </w:p>
        </w:tc>
        <w:tc>
          <w:tcPr>
            <w:tcW w:w="106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0.01</w:t>
            </w:r>
          </w:p>
        </w:tc>
        <w:tc>
          <w:tcPr>
            <w:tcW w:w="97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0.01</w:t>
            </w:r>
          </w:p>
        </w:tc>
        <w:tc>
          <w:tcPr>
            <w:tcW w:w="108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0.02</w:t>
            </w:r>
          </w:p>
        </w:tc>
        <w:tc>
          <w:tcPr>
            <w:tcW w:w="1187"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0.01</w:t>
            </w:r>
          </w:p>
        </w:tc>
        <w:tc>
          <w:tcPr>
            <w:tcW w:w="1035"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37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0.2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66"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146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石油类</w:t>
            </w:r>
          </w:p>
        </w:tc>
        <w:tc>
          <w:tcPr>
            <w:tcW w:w="106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0.01ND</w:t>
            </w:r>
          </w:p>
        </w:tc>
        <w:tc>
          <w:tcPr>
            <w:tcW w:w="97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0.01</w:t>
            </w:r>
          </w:p>
        </w:tc>
        <w:tc>
          <w:tcPr>
            <w:tcW w:w="108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0.01ND</w:t>
            </w:r>
          </w:p>
        </w:tc>
        <w:tc>
          <w:tcPr>
            <w:tcW w:w="1187"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0.01ND</w:t>
            </w:r>
          </w:p>
        </w:tc>
        <w:tc>
          <w:tcPr>
            <w:tcW w:w="1035"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37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0.05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66"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6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粪大肠菌群</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（个/L）</w:t>
            </w:r>
          </w:p>
        </w:tc>
        <w:tc>
          <w:tcPr>
            <w:tcW w:w="106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9200</w:t>
            </w:r>
          </w:p>
        </w:tc>
        <w:tc>
          <w:tcPr>
            <w:tcW w:w="97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5400</w:t>
            </w:r>
          </w:p>
        </w:tc>
        <w:tc>
          <w:tcPr>
            <w:tcW w:w="108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9200</w:t>
            </w:r>
          </w:p>
        </w:tc>
        <w:tc>
          <w:tcPr>
            <w:tcW w:w="1187"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7933</w:t>
            </w:r>
          </w:p>
        </w:tc>
        <w:tc>
          <w:tcPr>
            <w:tcW w:w="1035"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37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10000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66" w:type="dxa"/>
            <w:vMerge w:val="restart"/>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2019.12.2</w:t>
            </w:r>
          </w:p>
        </w:tc>
        <w:tc>
          <w:tcPr>
            <w:tcW w:w="146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pH</w:t>
            </w:r>
          </w:p>
        </w:tc>
        <w:tc>
          <w:tcPr>
            <w:tcW w:w="106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7.65</w:t>
            </w:r>
          </w:p>
        </w:tc>
        <w:tc>
          <w:tcPr>
            <w:tcW w:w="97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7.58</w:t>
            </w:r>
          </w:p>
        </w:tc>
        <w:tc>
          <w:tcPr>
            <w:tcW w:w="108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7.62</w:t>
            </w:r>
          </w:p>
        </w:tc>
        <w:tc>
          <w:tcPr>
            <w:tcW w:w="1187"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7.58~7.65</w:t>
            </w:r>
          </w:p>
        </w:tc>
        <w:tc>
          <w:tcPr>
            <w:tcW w:w="1035"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37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6~9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66"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6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DO</w:t>
            </w:r>
          </w:p>
        </w:tc>
        <w:tc>
          <w:tcPr>
            <w:tcW w:w="106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5.9</w:t>
            </w:r>
          </w:p>
        </w:tc>
        <w:tc>
          <w:tcPr>
            <w:tcW w:w="97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5.7</w:t>
            </w:r>
          </w:p>
        </w:tc>
        <w:tc>
          <w:tcPr>
            <w:tcW w:w="108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6.4</w:t>
            </w:r>
          </w:p>
        </w:tc>
        <w:tc>
          <w:tcPr>
            <w:tcW w:w="1187"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6.0</w:t>
            </w:r>
          </w:p>
        </w:tc>
        <w:tc>
          <w:tcPr>
            <w:tcW w:w="1035"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37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66"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6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COD</w:t>
            </w:r>
            <w:r>
              <w:rPr>
                <w:rFonts w:hint="eastAsia" w:ascii="Times New Roman" w:hAnsi="Times New Roman" w:eastAsia="宋体" w:cs="Times New Roman"/>
                <w:kern w:val="2"/>
                <w:sz w:val="24"/>
                <w:szCs w:val="24"/>
                <w:lang w:val="en-US" w:eastAsia="zh-CN" w:bidi="ar-SA"/>
              </w:rPr>
              <w:t>cr</w:t>
            </w:r>
          </w:p>
        </w:tc>
        <w:tc>
          <w:tcPr>
            <w:tcW w:w="106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2.1</w:t>
            </w:r>
          </w:p>
        </w:tc>
        <w:tc>
          <w:tcPr>
            <w:tcW w:w="97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1.8</w:t>
            </w:r>
          </w:p>
        </w:tc>
        <w:tc>
          <w:tcPr>
            <w:tcW w:w="108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w:t>
            </w:r>
          </w:p>
        </w:tc>
        <w:tc>
          <w:tcPr>
            <w:tcW w:w="1187"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w:t>
            </w:r>
          </w:p>
        </w:tc>
        <w:tc>
          <w:tcPr>
            <w:tcW w:w="1035"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37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66"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6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BOD</w:t>
            </w:r>
            <w:r>
              <w:rPr>
                <w:rFonts w:ascii="Times New Roman" w:hAnsi="Times New Roman" w:eastAsia="宋体" w:cs="Times New Roman"/>
                <w:kern w:val="2"/>
                <w:sz w:val="24"/>
                <w:szCs w:val="24"/>
                <w:vertAlign w:val="subscript"/>
                <w:lang w:val="en-US" w:eastAsia="zh-CN" w:bidi="ar-SA"/>
              </w:rPr>
              <w:t>5</w:t>
            </w:r>
          </w:p>
        </w:tc>
        <w:tc>
          <w:tcPr>
            <w:tcW w:w="106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2.4</w:t>
            </w:r>
          </w:p>
        </w:tc>
        <w:tc>
          <w:tcPr>
            <w:tcW w:w="97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2.1</w:t>
            </w:r>
          </w:p>
        </w:tc>
        <w:tc>
          <w:tcPr>
            <w:tcW w:w="108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2.3</w:t>
            </w:r>
          </w:p>
        </w:tc>
        <w:tc>
          <w:tcPr>
            <w:tcW w:w="1187"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2.3</w:t>
            </w:r>
          </w:p>
        </w:tc>
        <w:tc>
          <w:tcPr>
            <w:tcW w:w="1035"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37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66"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6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NH</w:t>
            </w:r>
            <w:r>
              <w:rPr>
                <w:rFonts w:ascii="Times New Roman" w:hAnsi="Times New Roman" w:eastAsia="宋体" w:cs="Times New Roman"/>
                <w:kern w:val="2"/>
                <w:sz w:val="24"/>
                <w:szCs w:val="24"/>
                <w:vertAlign w:val="subscript"/>
                <w:lang w:val="en-US" w:eastAsia="zh-CN" w:bidi="ar-SA"/>
              </w:rPr>
              <w:t>3</w:t>
            </w:r>
            <w:r>
              <w:rPr>
                <w:rFonts w:ascii="Times New Roman" w:hAnsi="Times New Roman" w:eastAsia="宋体" w:cs="Times New Roman"/>
                <w:kern w:val="2"/>
                <w:sz w:val="24"/>
                <w:szCs w:val="24"/>
                <w:lang w:val="en-US" w:eastAsia="zh-CN" w:bidi="ar-SA"/>
              </w:rPr>
              <w:t>-N</w:t>
            </w:r>
          </w:p>
        </w:tc>
        <w:tc>
          <w:tcPr>
            <w:tcW w:w="106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0.33</w:t>
            </w:r>
          </w:p>
        </w:tc>
        <w:tc>
          <w:tcPr>
            <w:tcW w:w="97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0.28</w:t>
            </w:r>
          </w:p>
        </w:tc>
        <w:tc>
          <w:tcPr>
            <w:tcW w:w="108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0.24</w:t>
            </w:r>
          </w:p>
        </w:tc>
        <w:tc>
          <w:tcPr>
            <w:tcW w:w="1187"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0.28</w:t>
            </w:r>
          </w:p>
        </w:tc>
        <w:tc>
          <w:tcPr>
            <w:tcW w:w="1035"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37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66"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6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总磷</w:t>
            </w:r>
          </w:p>
        </w:tc>
        <w:tc>
          <w:tcPr>
            <w:tcW w:w="106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0.02</w:t>
            </w:r>
          </w:p>
        </w:tc>
        <w:tc>
          <w:tcPr>
            <w:tcW w:w="97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0.02</w:t>
            </w:r>
          </w:p>
        </w:tc>
        <w:tc>
          <w:tcPr>
            <w:tcW w:w="108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0.01</w:t>
            </w:r>
          </w:p>
        </w:tc>
        <w:tc>
          <w:tcPr>
            <w:tcW w:w="1187"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0.02</w:t>
            </w:r>
          </w:p>
        </w:tc>
        <w:tc>
          <w:tcPr>
            <w:tcW w:w="1035"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37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0.2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66"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6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石油类</w:t>
            </w:r>
          </w:p>
        </w:tc>
        <w:tc>
          <w:tcPr>
            <w:tcW w:w="106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0.01ND</w:t>
            </w:r>
          </w:p>
        </w:tc>
        <w:tc>
          <w:tcPr>
            <w:tcW w:w="97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0.02</w:t>
            </w:r>
          </w:p>
        </w:tc>
        <w:tc>
          <w:tcPr>
            <w:tcW w:w="108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0.01</w:t>
            </w:r>
          </w:p>
        </w:tc>
        <w:tc>
          <w:tcPr>
            <w:tcW w:w="1187"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0.01</w:t>
            </w:r>
          </w:p>
        </w:tc>
        <w:tc>
          <w:tcPr>
            <w:tcW w:w="1035"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37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0.05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466"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6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粪大肠菌群</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（个/L）</w:t>
            </w:r>
          </w:p>
        </w:tc>
        <w:tc>
          <w:tcPr>
            <w:tcW w:w="106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9200</w:t>
            </w:r>
          </w:p>
        </w:tc>
        <w:tc>
          <w:tcPr>
            <w:tcW w:w="979"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5400</w:t>
            </w:r>
          </w:p>
        </w:tc>
        <w:tc>
          <w:tcPr>
            <w:tcW w:w="108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9200</w:t>
            </w:r>
          </w:p>
        </w:tc>
        <w:tc>
          <w:tcPr>
            <w:tcW w:w="1187"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7933</w:t>
            </w:r>
          </w:p>
        </w:tc>
        <w:tc>
          <w:tcPr>
            <w:tcW w:w="1035"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37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10000</w:t>
            </w:r>
          </w:p>
        </w:tc>
      </w:tr>
    </w:tbl>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p>
    <w:p>
      <w:pPr>
        <w:widowControl w:val="0"/>
        <w:spacing w:line="360" w:lineRule="auto"/>
        <w:jc w:val="center"/>
        <w:rPr>
          <w:rFonts w:ascii="Times New Roman" w:hAnsi="Times New Roman" w:eastAsia="宋体" w:cs="Times New Roman"/>
          <w:b/>
          <w:kern w:val="2"/>
          <w:sz w:val="21"/>
          <w:szCs w:val="21"/>
          <w:lang w:val="en-US" w:eastAsia="zh-CN" w:bidi="ar-SA"/>
        </w:rPr>
        <w:sectPr>
          <w:pgSz w:w="11906" w:h="16838"/>
          <w:pgMar w:top="1417" w:right="1417" w:bottom="1134" w:left="1701"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pPr>
        <w:widowControl w:val="0"/>
        <w:spacing w:line="360" w:lineRule="auto"/>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5</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5</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湘江洋沙湖断面监测数据统计表</w:t>
      </w:r>
      <w:r>
        <w:rPr>
          <w:rFonts w:ascii="Times New Roman" w:hAnsi="Times New Roman" w:eastAsia="宋体" w:cs="Times New Roman"/>
          <w:b/>
          <w:kern w:val="2"/>
          <w:sz w:val="21"/>
          <w:szCs w:val="21"/>
          <w:lang w:val="en-US" w:eastAsia="zh-CN" w:bidi="ar-SA"/>
        </w:rPr>
        <w:t xml:space="preserve"> </w:t>
      </w:r>
      <w:r>
        <w:rPr>
          <w:rFonts w:hint="eastAsia" w:ascii="Times New Roman" w:hAnsi="Times New Roman" w:eastAsia="宋体" w:cs="Times New Roman"/>
          <w:b/>
          <w:kern w:val="2"/>
          <w:sz w:val="21"/>
          <w:szCs w:val="21"/>
          <w:lang w:val="en-US" w:eastAsia="zh-CN" w:bidi="ar-SA"/>
        </w:rPr>
        <w:t>单位：</w:t>
      </w:r>
      <w:r>
        <w:rPr>
          <w:rFonts w:ascii="Times New Roman" w:hAnsi="Times New Roman" w:eastAsia="宋体" w:cs="Times New Roman"/>
          <w:b/>
          <w:kern w:val="2"/>
          <w:sz w:val="21"/>
          <w:szCs w:val="21"/>
          <w:lang w:val="en-US" w:eastAsia="zh-CN" w:bidi="ar-SA"/>
        </w:rPr>
        <w:t>mg/L</w:t>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t>pH</w:t>
      </w:r>
      <w:r>
        <w:rPr>
          <w:rFonts w:hint="eastAsia" w:ascii="Times New Roman" w:hAnsi="Times New Roman" w:eastAsia="宋体" w:cs="Times New Roman"/>
          <w:b/>
          <w:kern w:val="2"/>
          <w:sz w:val="21"/>
          <w:szCs w:val="21"/>
          <w:lang w:val="en-US" w:eastAsia="zh-CN" w:bidi="ar-SA"/>
        </w:rPr>
        <w:t>无量纲）</w:t>
      </w:r>
    </w:p>
    <w:tbl>
      <w:tblPr>
        <w:tblStyle w:val="22"/>
        <w:tblW w:w="9862"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357"/>
        <w:gridCol w:w="1449"/>
        <w:gridCol w:w="1069"/>
        <w:gridCol w:w="979"/>
        <w:gridCol w:w="941"/>
        <w:gridCol w:w="1240"/>
        <w:gridCol w:w="960"/>
        <w:gridCol w:w="186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57" w:type="dxa"/>
            <w:vMerge w:val="restar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监测时间</w:t>
            </w:r>
          </w:p>
        </w:tc>
        <w:tc>
          <w:tcPr>
            <w:tcW w:w="1449"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监测因子</w:t>
            </w:r>
          </w:p>
        </w:tc>
        <w:tc>
          <w:tcPr>
            <w:tcW w:w="2989" w:type="dxa"/>
            <w:gridSpan w:val="3"/>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分析或测试结果</w:t>
            </w:r>
          </w:p>
        </w:tc>
        <w:tc>
          <w:tcPr>
            <w:tcW w:w="1240"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平均值</w:t>
            </w:r>
          </w:p>
        </w:tc>
        <w:tc>
          <w:tcPr>
            <w:tcW w:w="960"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超标（</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w:t>
            </w:r>
          </w:p>
        </w:tc>
        <w:tc>
          <w:tcPr>
            <w:tcW w:w="1867"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执行标准</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GB3838-2002Ⅲ</w:t>
            </w:r>
            <w:r>
              <w:rPr>
                <w:rFonts w:hint="eastAsia" w:ascii="Times New Roman" w:hAnsi="Times New Roman" w:eastAsia="宋体" w:cs="Times New Roman"/>
                <w:kern w:val="2"/>
                <w:sz w:val="24"/>
                <w:szCs w:val="24"/>
                <w:lang w:val="en-US" w:eastAsia="zh-CN" w:bidi="ar-SA"/>
              </w:rPr>
              <w:t>类）</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57"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49"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06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左</w:t>
            </w:r>
          </w:p>
        </w:tc>
        <w:tc>
          <w:tcPr>
            <w:tcW w:w="97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中</w:t>
            </w:r>
          </w:p>
        </w:tc>
        <w:tc>
          <w:tcPr>
            <w:tcW w:w="94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右</w:t>
            </w:r>
          </w:p>
        </w:tc>
        <w:tc>
          <w:tcPr>
            <w:tcW w:w="1240"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960"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867"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57" w:type="dxa"/>
            <w:vMerge w:val="restart"/>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2017.4.5</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49" w:type="dxa"/>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pH</w:t>
            </w:r>
          </w:p>
        </w:tc>
        <w:tc>
          <w:tcPr>
            <w:tcW w:w="106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6.52</w:t>
            </w:r>
          </w:p>
        </w:tc>
        <w:tc>
          <w:tcPr>
            <w:tcW w:w="97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6.54</w:t>
            </w:r>
          </w:p>
        </w:tc>
        <w:tc>
          <w:tcPr>
            <w:tcW w:w="941"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6.55</w:t>
            </w:r>
          </w:p>
        </w:tc>
        <w:tc>
          <w:tcPr>
            <w:tcW w:w="124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6.52~6.55</w:t>
            </w:r>
          </w:p>
        </w:tc>
        <w:tc>
          <w:tcPr>
            <w:tcW w:w="96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867"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6~9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57"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49" w:type="dxa"/>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DO</w:t>
            </w:r>
          </w:p>
        </w:tc>
        <w:tc>
          <w:tcPr>
            <w:tcW w:w="106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6.93</w:t>
            </w:r>
          </w:p>
        </w:tc>
        <w:tc>
          <w:tcPr>
            <w:tcW w:w="97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7.86</w:t>
            </w:r>
          </w:p>
        </w:tc>
        <w:tc>
          <w:tcPr>
            <w:tcW w:w="941"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7.18</w:t>
            </w:r>
          </w:p>
        </w:tc>
        <w:tc>
          <w:tcPr>
            <w:tcW w:w="124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7.32</w:t>
            </w:r>
          </w:p>
        </w:tc>
        <w:tc>
          <w:tcPr>
            <w:tcW w:w="96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867"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57"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49" w:type="dxa"/>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COD</w:t>
            </w:r>
            <w:r>
              <w:rPr>
                <w:rFonts w:hint="eastAsia" w:ascii="Times New Roman" w:hAnsi="Times New Roman" w:eastAsia="宋体" w:cs="Times New Roman"/>
                <w:kern w:val="2"/>
                <w:sz w:val="24"/>
                <w:szCs w:val="24"/>
                <w:vertAlign w:val="subscript"/>
                <w:lang w:val="en-US" w:eastAsia="zh-CN" w:bidi="ar-SA"/>
              </w:rPr>
              <w:t>cr</w:t>
            </w:r>
          </w:p>
        </w:tc>
        <w:tc>
          <w:tcPr>
            <w:tcW w:w="1069" w:type="dxa"/>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13.6</w:t>
            </w:r>
          </w:p>
        </w:tc>
        <w:tc>
          <w:tcPr>
            <w:tcW w:w="979" w:type="dxa"/>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12.5</w:t>
            </w:r>
          </w:p>
        </w:tc>
        <w:tc>
          <w:tcPr>
            <w:tcW w:w="941"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13.2</w:t>
            </w:r>
          </w:p>
        </w:tc>
        <w:tc>
          <w:tcPr>
            <w:tcW w:w="1240" w:type="dxa"/>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13.1</w:t>
            </w:r>
          </w:p>
        </w:tc>
        <w:tc>
          <w:tcPr>
            <w:tcW w:w="96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867"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57"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49" w:type="dxa"/>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BOD</w:t>
            </w:r>
            <w:r>
              <w:rPr>
                <w:rFonts w:ascii="Times New Roman" w:hAnsi="Times New Roman" w:eastAsia="宋体" w:cs="Times New Roman"/>
                <w:kern w:val="2"/>
                <w:sz w:val="24"/>
                <w:szCs w:val="24"/>
                <w:vertAlign w:val="subscript"/>
                <w:lang w:val="en-US" w:eastAsia="zh-CN" w:bidi="ar-SA"/>
              </w:rPr>
              <w:t>5</w:t>
            </w:r>
          </w:p>
        </w:tc>
        <w:tc>
          <w:tcPr>
            <w:tcW w:w="106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2.72</w:t>
            </w:r>
          </w:p>
        </w:tc>
        <w:tc>
          <w:tcPr>
            <w:tcW w:w="97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2.50</w:t>
            </w:r>
          </w:p>
        </w:tc>
        <w:tc>
          <w:tcPr>
            <w:tcW w:w="941"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2.64</w:t>
            </w:r>
          </w:p>
        </w:tc>
        <w:tc>
          <w:tcPr>
            <w:tcW w:w="124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2.62</w:t>
            </w:r>
          </w:p>
        </w:tc>
        <w:tc>
          <w:tcPr>
            <w:tcW w:w="96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867"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57"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49" w:type="dxa"/>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NH</w:t>
            </w:r>
            <w:r>
              <w:rPr>
                <w:rFonts w:ascii="Times New Roman" w:hAnsi="Times New Roman" w:eastAsia="宋体" w:cs="Times New Roman"/>
                <w:kern w:val="2"/>
                <w:sz w:val="24"/>
                <w:szCs w:val="24"/>
                <w:vertAlign w:val="subscript"/>
                <w:lang w:val="en-US" w:eastAsia="zh-CN" w:bidi="ar-SA"/>
              </w:rPr>
              <w:t>3</w:t>
            </w:r>
            <w:r>
              <w:rPr>
                <w:rFonts w:ascii="Times New Roman" w:hAnsi="Times New Roman" w:eastAsia="宋体" w:cs="Times New Roman"/>
                <w:kern w:val="2"/>
                <w:sz w:val="24"/>
                <w:szCs w:val="24"/>
                <w:lang w:val="en-US" w:eastAsia="zh-CN" w:bidi="ar-SA"/>
              </w:rPr>
              <w:t>-N</w:t>
            </w:r>
          </w:p>
        </w:tc>
        <w:tc>
          <w:tcPr>
            <w:tcW w:w="106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0.407</w:t>
            </w:r>
          </w:p>
        </w:tc>
        <w:tc>
          <w:tcPr>
            <w:tcW w:w="97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0.583</w:t>
            </w:r>
          </w:p>
        </w:tc>
        <w:tc>
          <w:tcPr>
            <w:tcW w:w="941"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0.572</w:t>
            </w:r>
          </w:p>
        </w:tc>
        <w:tc>
          <w:tcPr>
            <w:tcW w:w="124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0.521</w:t>
            </w:r>
          </w:p>
        </w:tc>
        <w:tc>
          <w:tcPr>
            <w:tcW w:w="96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867"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57"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49" w:type="dxa"/>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总磷</w:t>
            </w:r>
          </w:p>
        </w:tc>
        <w:tc>
          <w:tcPr>
            <w:tcW w:w="106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0.035</w:t>
            </w:r>
          </w:p>
        </w:tc>
        <w:tc>
          <w:tcPr>
            <w:tcW w:w="97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0.038</w:t>
            </w:r>
          </w:p>
        </w:tc>
        <w:tc>
          <w:tcPr>
            <w:tcW w:w="941"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0.041</w:t>
            </w:r>
          </w:p>
        </w:tc>
        <w:tc>
          <w:tcPr>
            <w:tcW w:w="124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0.038</w:t>
            </w:r>
          </w:p>
        </w:tc>
        <w:tc>
          <w:tcPr>
            <w:tcW w:w="96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867"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0.2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57"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1449" w:type="dxa"/>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石油类</w:t>
            </w:r>
          </w:p>
        </w:tc>
        <w:tc>
          <w:tcPr>
            <w:tcW w:w="106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0.01</w:t>
            </w:r>
          </w:p>
        </w:tc>
        <w:tc>
          <w:tcPr>
            <w:tcW w:w="97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0.02</w:t>
            </w:r>
          </w:p>
        </w:tc>
        <w:tc>
          <w:tcPr>
            <w:tcW w:w="941"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0.02</w:t>
            </w:r>
          </w:p>
        </w:tc>
        <w:tc>
          <w:tcPr>
            <w:tcW w:w="124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0.02</w:t>
            </w:r>
          </w:p>
        </w:tc>
        <w:tc>
          <w:tcPr>
            <w:tcW w:w="96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867"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0.05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57"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49" w:type="dxa"/>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粪大肠菌群</w:t>
            </w:r>
          </w:p>
          <w:p>
            <w:pPr>
              <w:widowControl w:val="0"/>
              <w:bidi w:val="0"/>
              <w:adjustRightInd w:val="0"/>
              <w:snapToGrid w:val="0"/>
              <w:spacing w:line="240" w:lineRule="auto"/>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（个/L）</w:t>
            </w:r>
          </w:p>
        </w:tc>
        <w:tc>
          <w:tcPr>
            <w:tcW w:w="106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2200</w:t>
            </w:r>
          </w:p>
        </w:tc>
        <w:tc>
          <w:tcPr>
            <w:tcW w:w="97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1800</w:t>
            </w:r>
          </w:p>
        </w:tc>
        <w:tc>
          <w:tcPr>
            <w:tcW w:w="941"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2800</w:t>
            </w:r>
          </w:p>
        </w:tc>
        <w:tc>
          <w:tcPr>
            <w:tcW w:w="124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2267</w:t>
            </w:r>
          </w:p>
        </w:tc>
        <w:tc>
          <w:tcPr>
            <w:tcW w:w="96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867"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10000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57" w:type="dxa"/>
            <w:vMerge w:val="restart"/>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2017.7.3</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49" w:type="dxa"/>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pH</w:t>
            </w:r>
          </w:p>
        </w:tc>
        <w:tc>
          <w:tcPr>
            <w:tcW w:w="106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6.98</w:t>
            </w:r>
          </w:p>
        </w:tc>
        <w:tc>
          <w:tcPr>
            <w:tcW w:w="97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7.12</w:t>
            </w:r>
          </w:p>
        </w:tc>
        <w:tc>
          <w:tcPr>
            <w:tcW w:w="941"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7.08</w:t>
            </w:r>
          </w:p>
        </w:tc>
        <w:tc>
          <w:tcPr>
            <w:tcW w:w="124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6.98~7.12</w:t>
            </w:r>
          </w:p>
        </w:tc>
        <w:tc>
          <w:tcPr>
            <w:tcW w:w="96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867"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6~9</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57"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49" w:type="dxa"/>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DO</w:t>
            </w:r>
          </w:p>
        </w:tc>
        <w:tc>
          <w:tcPr>
            <w:tcW w:w="106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5.76</w:t>
            </w:r>
          </w:p>
        </w:tc>
        <w:tc>
          <w:tcPr>
            <w:tcW w:w="97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5.61</w:t>
            </w:r>
          </w:p>
        </w:tc>
        <w:tc>
          <w:tcPr>
            <w:tcW w:w="941"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5.84</w:t>
            </w:r>
          </w:p>
        </w:tc>
        <w:tc>
          <w:tcPr>
            <w:tcW w:w="124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5.74</w:t>
            </w:r>
          </w:p>
        </w:tc>
        <w:tc>
          <w:tcPr>
            <w:tcW w:w="96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867"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57"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49" w:type="dxa"/>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COD</w:t>
            </w:r>
            <w:r>
              <w:rPr>
                <w:rFonts w:hint="eastAsia" w:ascii="Times New Roman" w:hAnsi="Times New Roman" w:eastAsia="宋体" w:cs="Times New Roman"/>
                <w:kern w:val="2"/>
                <w:sz w:val="24"/>
                <w:szCs w:val="24"/>
                <w:vertAlign w:val="subscript"/>
                <w:lang w:val="en-US" w:eastAsia="zh-CN" w:bidi="ar-SA"/>
              </w:rPr>
              <w:t>cr</w:t>
            </w:r>
          </w:p>
        </w:tc>
        <w:tc>
          <w:tcPr>
            <w:tcW w:w="1069" w:type="dxa"/>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13.6</w:t>
            </w:r>
          </w:p>
        </w:tc>
        <w:tc>
          <w:tcPr>
            <w:tcW w:w="979" w:type="dxa"/>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13.1</w:t>
            </w:r>
          </w:p>
        </w:tc>
        <w:tc>
          <w:tcPr>
            <w:tcW w:w="941"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13.4</w:t>
            </w:r>
          </w:p>
        </w:tc>
        <w:tc>
          <w:tcPr>
            <w:tcW w:w="1240" w:type="dxa"/>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13.4</w:t>
            </w:r>
          </w:p>
        </w:tc>
        <w:tc>
          <w:tcPr>
            <w:tcW w:w="96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867"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57"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49" w:type="dxa"/>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BOD</w:t>
            </w:r>
            <w:r>
              <w:rPr>
                <w:rFonts w:ascii="Times New Roman" w:hAnsi="Times New Roman" w:eastAsia="宋体" w:cs="Times New Roman"/>
                <w:kern w:val="2"/>
                <w:sz w:val="24"/>
                <w:szCs w:val="24"/>
                <w:vertAlign w:val="subscript"/>
                <w:lang w:val="en-US" w:eastAsia="zh-CN" w:bidi="ar-SA"/>
              </w:rPr>
              <w:t>5</w:t>
            </w:r>
          </w:p>
        </w:tc>
        <w:tc>
          <w:tcPr>
            <w:tcW w:w="106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2.72</w:t>
            </w:r>
          </w:p>
        </w:tc>
        <w:tc>
          <w:tcPr>
            <w:tcW w:w="97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2.62</w:t>
            </w:r>
          </w:p>
        </w:tc>
        <w:tc>
          <w:tcPr>
            <w:tcW w:w="941"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2.68</w:t>
            </w:r>
          </w:p>
        </w:tc>
        <w:tc>
          <w:tcPr>
            <w:tcW w:w="124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2.67</w:t>
            </w:r>
          </w:p>
        </w:tc>
        <w:tc>
          <w:tcPr>
            <w:tcW w:w="96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867"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57"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49" w:type="dxa"/>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NH</w:t>
            </w:r>
            <w:r>
              <w:rPr>
                <w:rFonts w:ascii="Times New Roman" w:hAnsi="Times New Roman" w:eastAsia="宋体" w:cs="Times New Roman"/>
                <w:kern w:val="2"/>
                <w:sz w:val="24"/>
                <w:szCs w:val="24"/>
                <w:vertAlign w:val="subscript"/>
                <w:lang w:val="en-US" w:eastAsia="zh-CN" w:bidi="ar-SA"/>
              </w:rPr>
              <w:t>3</w:t>
            </w:r>
            <w:r>
              <w:rPr>
                <w:rFonts w:ascii="Times New Roman" w:hAnsi="Times New Roman" w:eastAsia="宋体" w:cs="Times New Roman"/>
                <w:kern w:val="2"/>
                <w:sz w:val="24"/>
                <w:szCs w:val="24"/>
                <w:lang w:val="en-US" w:eastAsia="zh-CN" w:bidi="ar-SA"/>
              </w:rPr>
              <w:t>-N</w:t>
            </w:r>
          </w:p>
        </w:tc>
        <w:tc>
          <w:tcPr>
            <w:tcW w:w="106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0.535</w:t>
            </w:r>
          </w:p>
        </w:tc>
        <w:tc>
          <w:tcPr>
            <w:tcW w:w="97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0.486</w:t>
            </w:r>
          </w:p>
        </w:tc>
        <w:tc>
          <w:tcPr>
            <w:tcW w:w="941"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0.529</w:t>
            </w:r>
          </w:p>
        </w:tc>
        <w:tc>
          <w:tcPr>
            <w:tcW w:w="124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0.517</w:t>
            </w:r>
          </w:p>
        </w:tc>
        <w:tc>
          <w:tcPr>
            <w:tcW w:w="96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867"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57"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49" w:type="dxa"/>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总磷</w:t>
            </w:r>
          </w:p>
        </w:tc>
        <w:tc>
          <w:tcPr>
            <w:tcW w:w="106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0.092</w:t>
            </w:r>
          </w:p>
        </w:tc>
        <w:tc>
          <w:tcPr>
            <w:tcW w:w="97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0.076</w:t>
            </w:r>
          </w:p>
        </w:tc>
        <w:tc>
          <w:tcPr>
            <w:tcW w:w="941"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0.083</w:t>
            </w:r>
          </w:p>
        </w:tc>
        <w:tc>
          <w:tcPr>
            <w:tcW w:w="124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0.084</w:t>
            </w:r>
          </w:p>
        </w:tc>
        <w:tc>
          <w:tcPr>
            <w:tcW w:w="96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867"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0.2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57"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49" w:type="dxa"/>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石油类</w:t>
            </w:r>
          </w:p>
        </w:tc>
        <w:tc>
          <w:tcPr>
            <w:tcW w:w="106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0.02</w:t>
            </w:r>
          </w:p>
        </w:tc>
        <w:tc>
          <w:tcPr>
            <w:tcW w:w="97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0.03</w:t>
            </w:r>
          </w:p>
        </w:tc>
        <w:tc>
          <w:tcPr>
            <w:tcW w:w="941"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0.02</w:t>
            </w:r>
          </w:p>
        </w:tc>
        <w:tc>
          <w:tcPr>
            <w:tcW w:w="124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0.02</w:t>
            </w:r>
          </w:p>
        </w:tc>
        <w:tc>
          <w:tcPr>
            <w:tcW w:w="96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w:t>
            </w:r>
          </w:p>
        </w:tc>
        <w:tc>
          <w:tcPr>
            <w:tcW w:w="1867"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0.05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357"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449" w:type="dxa"/>
            <w:noWrap w:val="0"/>
            <w:vAlign w:val="center"/>
          </w:tcPr>
          <w:p>
            <w:pPr>
              <w:widowControl w:val="0"/>
              <w:bidi w:val="0"/>
              <w:adjustRightInd w:val="0"/>
              <w:snapToGrid w:val="0"/>
              <w:spacing w:line="240" w:lineRule="auto"/>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粪大肠菌群</w:t>
            </w:r>
          </w:p>
          <w:p>
            <w:pPr>
              <w:widowControl w:val="0"/>
              <w:bidi w:val="0"/>
              <w:adjustRightInd w:val="0"/>
              <w:snapToGrid w:val="0"/>
              <w:spacing w:line="240" w:lineRule="auto"/>
              <w:ind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（个/L）</w:t>
            </w:r>
          </w:p>
        </w:tc>
        <w:tc>
          <w:tcPr>
            <w:tcW w:w="106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22000</w:t>
            </w:r>
          </w:p>
        </w:tc>
        <w:tc>
          <w:tcPr>
            <w:tcW w:w="979"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22000</w:t>
            </w:r>
          </w:p>
        </w:tc>
        <w:tc>
          <w:tcPr>
            <w:tcW w:w="941"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28000</w:t>
            </w:r>
          </w:p>
        </w:tc>
        <w:tc>
          <w:tcPr>
            <w:tcW w:w="1240"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24000</w:t>
            </w:r>
          </w:p>
        </w:tc>
        <w:tc>
          <w:tcPr>
            <w:tcW w:w="960" w:type="dxa"/>
            <w:noWrap w:val="0"/>
            <w:vAlign w:val="center"/>
          </w:tcPr>
          <w:p>
            <w:pPr>
              <w:widowControl w:val="0"/>
              <w:bidi w:val="0"/>
              <w:adjustRightInd w:val="0"/>
              <w:snapToGrid w:val="0"/>
              <w:spacing w:line="240" w:lineRule="auto"/>
              <w:ind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140</w:t>
            </w:r>
          </w:p>
        </w:tc>
        <w:tc>
          <w:tcPr>
            <w:tcW w:w="1867" w:type="dxa"/>
            <w:noWrap w:val="0"/>
            <w:vAlign w:val="center"/>
          </w:tcPr>
          <w:p>
            <w:pPr>
              <w:widowControl w:val="0"/>
              <w:bidi w:val="0"/>
              <w:adjustRightInd w:val="0"/>
              <w:snapToGrid w:val="0"/>
              <w:spacing w:line="240" w:lineRule="auto"/>
              <w:ind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≦10000</w:t>
            </w:r>
          </w:p>
        </w:tc>
      </w:tr>
    </w:tbl>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湘江乌龙嘴断面和洋沙湖断面</w:t>
      </w:r>
      <w:r>
        <w:rPr>
          <w:rFonts w:ascii="Times New Roman" w:hAnsi="Times New Roman" w:eastAsia="宋体" w:cs="宋体"/>
          <w:kern w:val="2"/>
          <w:sz w:val="24"/>
          <w:szCs w:val="24"/>
          <w:lang w:val="en-US" w:eastAsia="zh-CN" w:bidi="ar-SA"/>
        </w:rPr>
        <w:t>监测结果表明，</w:t>
      </w:r>
      <w:r>
        <w:rPr>
          <w:rFonts w:hint="eastAsia" w:ascii="Times New Roman" w:hAnsi="Times New Roman" w:eastAsia="宋体" w:cs="宋体"/>
          <w:kern w:val="2"/>
          <w:sz w:val="24"/>
          <w:szCs w:val="24"/>
          <w:lang w:val="en-US" w:eastAsia="zh-CN" w:bidi="ar-SA"/>
        </w:rPr>
        <w:t>湘江洋沙湖断面2017年7月3日水质监测粪大肠菌群超过</w:t>
      </w:r>
      <w:r>
        <w:rPr>
          <w:rFonts w:ascii="Times New Roman" w:hAnsi="Times New Roman" w:eastAsia="宋体" w:cs="宋体"/>
          <w:kern w:val="2"/>
          <w:sz w:val="24"/>
          <w:szCs w:val="24"/>
          <w:lang w:val="en-US" w:eastAsia="zh-CN" w:bidi="ar-SA"/>
        </w:rPr>
        <w:t>《地表水环境质量标准》（GB3838-2002）中Ⅲ类标准</w:t>
      </w:r>
      <w:r>
        <w:rPr>
          <w:rFonts w:hint="eastAsia" w:ascii="Times New Roman" w:hAnsi="Times New Roman" w:eastAsia="宋体" w:cs="宋体"/>
          <w:kern w:val="2"/>
          <w:sz w:val="24"/>
          <w:szCs w:val="24"/>
          <w:lang w:val="en-US" w:eastAsia="zh-CN" w:bidi="ar-SA"/>
        </w:rPr>
        <w:t>（超标1.4倍，4月5日监测达标），其他</w:t>
      </w:r>
      <w:r>
        <w:rPr>
          <w:rFonts w:ascii="Times New Roman" w:hAnsi="Times New Roman" w:eastAsia="宋体" w:cs="宋体"/>
          <w:kern w:val="2"/>
          <w:sz w:val="24"/>
          <w:szCs w:val="24"/>
          <w:lang w:val="en-US" w:eastAsia="zh-CN" w:bidi="ar-SA"/>
        </w:rPr>
        <w:t>各项水质指标均达到《地表水环境质量标准》（GB3838-2002）中Ⅲ类标准，湘江水质较好。</w:t>
      </w:r>
      <w:r>
        <w:rPr>
          <w:rFonts w:hint="eastAsia" w:ascii="Times New Roman" w:hAnsi="Times New Roman" w:eastAsia="宋体" w:cs="宋体"/>
          <w:kern w:val="2"/>
          <w:sz w:val="24"/>
          <w:szCs w:val="24"/>
          <w:lang w:val="en-US" w:eastAsia="zh-CN" w:bidi="ar-SA"/>
        </w:rPr>
        <w:t>洋沙湖断面粪大肠菌群超标原因可能为农田排水引起。</w:t>
      </w:r>
    </w:p>
    <w:p>
      <w:pPr>
        <w:pStyle w:val="4"/>
        <w:bidi w:val="0"/>
        <w:rPr>
          <w:lang w:val="en-US" w:eastAsia="zh-CN"/>
        </w:rPr>
      </w:pPr>
      <w:bookmarkStart w:id="1047" w:name="_Toc369"/>
      <w:bookmarkStart w:id="1048" w:name="_Toc30098"/>
      <w:bookmarkStart w:id="1049" w:name="_Toc15958"/>
      <w:bookmarkStart w:id="1050" w:name="_Toc18561"/>
      <w:bookmarkStart w:id="1051" w:name="_Toc20150"/>
      <w:bookmarkStart w:id="1052" w:name="_Toc13862"/>
      <w:r>
        <w:rPr>
          <w:lang w:val="en-US" w:eastAsia="zh-CN"/>
        </w:rPr>
        <w:t>地下水环境现状监测与评价</w:t>
      </w:r>
      <w:bookmarkEnd w:id="1036"/>
      <w:bookmarkEnd w:id="1037"/>
      <w:bookmarkEnd w:id="1038"/>
      <w:bookmarkEnd w:id="1039"/>
      <w:bookmarkEnd w:id="1040"/>
      <w:bookmarkEnd w:id="1041"/>
      <w:bookmarkEnd w:id="1042"/>
      <w:bookmarkEnd w:id="1043"/>
      <w:bookmarkEnd w:id="1044"/>
      <w:bookmarkEnd w:id="1045"/>
      <w:bookmarkEnd w:id="1047"/>
      <w:bookmarkEnd w:id="1048"/>
      <w:bookmarkEnd w:id="1049"/>
      <w:bookmarkEnd w:id="1050"/>
      <w:bookmarkEnd w:id="1051"/>
      <w:bookmarkEnd w:id="1052"/>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bookmarkStart w:id="1053" w:name="_Hlk512258163"/>
      <w:bookmarkStart w:id="1054" w:name="_Toc24940"/>
      <w:bookmarkStart w:id="1055" w:name="_Toc3327"/>
      <w:bookmarkStart w:id="1056" w:name="_Toc15244"/>
      <w:bookmarkStart w:id="1057" w:name="_Toc346"/>
      <w:bookmarkStart w:id="1058" w:name="_Toc18139"/>
      <w:bookmarkStart w:id="1059" w:name="_Toc3956"/>
      <w:bookmarkStart w:id="1060" w:name="_Toc9053"/>
      <w:bookmarkStart w:id="1061" w:name="_Toc12882"/>
      <w:bookmarkStart w:id="1062" w:name="_Toc2548"/>
      <w:bookmarkStart w:id="1063" w:name="_Toc22332"/>
      <w:r>
        <w:rPr>
          <w:rFonts w:hint="eastAsia" w:ascii="Times New Roman" w:hAnsi="Times New Roman" w:eastAsia="宋体" w:cs="宋体"/>
          <w:kern w:val="2"/>
          <w:sz w:val="24"/>
          <w:szCs w:val="24"/>
          <w:lang w:val="en-US" w:eastAsia="zh-CN" w:bidi="ar-SA"/>
        </w:rPr>
        <w:t>本环评单位为金龙工业区卓达金谷创新园湖南中科建涂实业有限公司编制《年产20000吨水性涂料混合与分装项目环境影响报告表》过程中，委托湖南中骏高新科技股份有限公司于2019年6月8对卓达金谷创新园南侧的范公塘左家水井进行了水质监测，监测点位于聚特公司南侧1200m处，地处聚特公司周边地下水上游，作为地下水监测对照点。</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卓达金谷创新园南侧的范公塘左家水井</w:t>
      </w:r>
      <w:r>
        <w:rPr>
          <w:rFonts w:ascii="Times New Roman" w:hAnsi="Times New Roman" w:eastAsia="宋体" w:cs="宋体"/>
          <w:kern w:val="2"/>
          <w:sz w:val="24"/>
          <w:szCs w:val="24"/>
          <w:lang w:val="en-US" w:eastAsia="zh-CN" w:bidi="ar-SA"/>
        </w:rPr>
        <w:t>监测结果见</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_Ref22569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5</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6</w:t>
      </w:r>
      <w:r>
        <w:rPr>
          <w:rFonts w:hint="default"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5</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6</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卓达创新园南侧的范公塘左家水井水质</w:t>
      </w:r>
      <w:r>
        <w:rPr>
          <w:rFonts w:ascii="Times New Roman" w:hAnsi="Times New Roman" w:eastAsia="宋体" w:cs="Times New Roman"/>
          <w:b/>
          <w:kern w:val="2"/>
          <w:sz w:val="21"/>
          <w:szCs w:val="21"/>
          <w:lang w:val="en-US" w:eastAsia="zh-CN" w:bidi="ar-SA"/>
        </w:rPr>
        <w:t xml:space="preserve">现状监测结果表 </w:t>
      </w:r>
      <w:r>
        <w:rPr>
          <w:rFonts w:hint="eastAsia" w:ascii="Times New Roman" w:hAnsi="Times New Roman" w:eastAsia="宋体" w:cs="Times New Roman"/>
          <w:b/>
          <w:kern w:val="2"/>
          <w:sz w:val="21"/>
          <w:szCs w:val="21"/>
          <w:lang w:val="en-US" w:eastAsia="zh-CN" w:bidi="ar-SA"/>
        </w:rPr>
        <w:t>单位：</w:t>
      </w:r>
      <w:r>
        <w:rPr>
          <w:rFonts w:ascii="Times New Roman" w:hAnsi="Times New Roman" w:eastAsia="宋体" w:cs="Times New Roman"/>
          <w:b/>
          <w:kern w:val="2"/>
          <w:sz w:val="21"/>
          <w:szCs w:val="21"/>
          <w:lang w:val="en-US" w:eastAsia="zh-CN" w:bidi="ar-SA"/>
        </w:rPr>
        <w:t>mg/L</w:t>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t>pH</w:t>
      </w:r>
      <w:r>
        <w:rPr>
          <w:rFonts w:hint="eastAsia" w:ascii="Times New Roman" w:hAnsi="Times New Roman" w:eastAsia="宋体" w:cs="Times New Roman"/>
          <w:b/>
          <w:kern w:val="2"/>
          <w:sz w:val="21"/>
          <w:szCs w:val="21"/>
          <w:lang w:val="en-US" w:eastAsia="zh-CN" w:bidi="ar-SA"/>
        </w:rPr>
        <w:t>无量纲）</w:t>
      </w:r>
    </w:p>
    <w:tbl>
      <w:tblPr>
        <w:tblStyle w:val="23"/>
        <w:tblW w:w="915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58"/>
        <w:gridCol w:w="1192"/>
        <w:gridCol w:w="1290"/>
        <w:gridCol w:w="2580"/>
        <w:gridCol w:w="1317"/>
        <w:gridCol w:w="141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7" w:hRule="exact"/>
          <w:jc w:val="center"/>
        </w:trPr>
        <w:tc>
          <w:tcPr>
            <w:tcW w:w="1358"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水井名称 </w:t>
            </w:r>
          </w:p>
        </w:tc>
        <w:tc>
          <w:tcPr>
            <w:tcW w:w="1192"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监测时间</w:t>
            </w:r>
          </w:p>
        </w:tc>
        <w:tc>
          <w:tcPr>
            <w:tcW w:w="129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监测因子</w:t>
            </w:r>
          </w:p>
        </w:tc>
        <w:tc>
          <w:tcPr>
            <w:tcW w:w="258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监测结果 </w:t>
            </w:r>
          </w:p>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（mg/L，pH为无纲量）</w:t>
            </w:r>
          </w:p>
        </w:tc>
        <w:tc>
          <w:tcPr>
            <w:tcW w:w="1317"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标准限值</w:t>
            </w:r>
          </w:p>
        </w:tc>
        <w:tc>
          <w:tcPr>
            <w:tcW w:w="1413"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是否达标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58"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范公塘</w:t>
            </w:r>
            <w:r>
              <w:rPr>
                <w:rFonts w:hint="default" w:ascii="Times New Roman" w:hAnsi="Times New Roman" w:eastAsia="宋体" w:cs="Times New Roman"/>
                <w:kern w:val="2"/>
                <w:sz w:val="24"/>
                <w:szCs w:val="24"/>
                <w:lang w:val="en-US" w:eastAsia="zh-CN" w:bidi="ar-SA"/>
              </w:rPr>
              <w:t>左家水井</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（对照点）</w:t>
            </w:r>
          </w:p>
        </w:tc>
        <w:tc>
          <w:tcPr>
            <w:tcW w:w="1192"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2019.6.8</w:t>
            </w:r>
          </w:p>
        </w:tc>
        <w:tc>
          <w:tcPr>
            <w:tcW w:w="129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pH</w:t>
            </w:r>
          </w:p>
        </w:tc>
        <w:tc>
          <w:tcPr>
            <w:tcW w:w="258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7.31</w:t>
            </w:r>
          </w:p>
        </w:tc>
        <w:tc>
          <w:tcPr>
            <w:tcW w:w="1317"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6.5～8.5</w:t>
            </w:r>
          </w:p>
        </w:tc>
        <w:tc>
          <w:tcPr>
            <w:tcW w:w="1413"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58"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1192"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129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COD</w:t>
            </w:r>
            <w:r>
              <w:rPr>
                <w:rFonts w:hint="default" w:ascii="Times New Roman" w:hAnsi="Times New Roman" w:eastAsia="宋体" w:cs="Times New Roman"/>
                <w:kern w:val="2"/>
                <w:sz w:val="24"/>
                <w:szCs w:val="24"/>
                <w:vertAlign w:val="subscript"/>
                <w:lang w:val="en-US" w:eastAsia="zh-CN" w:bidi="ar-SA"/>
              </w:rPr>
              <w:t>Mn</w:t>
            </w:r>
          </w:p>
        </w:tc>
        <w:tc>
          <w:tcPr>
            <w:tcW w:w="258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1.06</w:t>
            </w:r>
          </w:p>
        </w:tc>
        <w:tc>
          <w:tcPr>
            <w:tcW w:w="1317"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3.0</w:t>
            </w:r>
          </w:p>
        </w:tc>
        <w:tc>
          <w:tcPr>
            <w:tcW w:w="1413"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58"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1192"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129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铜</w:t>
            </w:r>
          </w:p>
        </w:tc>
        <w:tc>
          <w:tcPr>
            <w:tcW w:w="258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0.01ND</w:t>
            </w:r>
          </w:p>
        </w:tc>
        <w:tc>
          <w:tcPr>
            <w:tcW w:w="1317"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1.0</w:t>
            </w:r>
          </w:p>
        </w:tc>
        <w:tc>
          <w:tcPr>
            <w:tcW w:w="1413"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58"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1192"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129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铅</w:t>
            </w:r>
          </w:p>
        </w:tc>
        <w:tc>
          <w:tcPr>
            <w:tcW w:w="258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0.003ND</w:t>
            </w:r>
          </w:p>
        </w:tc>
        <w:tc>
          <w:tcPr>
            <w:tcW w:w="1317"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0.05</w:t>
            </w:r>
          </w:p>
        </w:tc>
        <w:tc>
          <w:tcPr>
            <w:tcW w:w="1413"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58"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1192"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129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锌</w:t>
            </w:r>
          </w:p>
        </w:tc>
        <w:tc>
          <w:tcPr>
            <w:tcW w:w="258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0.01ND</w:t>
            </w:r>
          </w:p>
        </w:tc>
        <w:tc>
          <w:tcPr>
            <w:tcW w:w="1317"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1.0</w:t>
            </w:r>
          </w:p>
        </w:tc>
        <w:tc>
          <w:tcPr>
            <w:tcW w:w="1413"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58"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1192"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129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镉</w:t>
            </w:r>
          </w:p>
        </w:tc>
        <w:tc>
          <w:tcPr>
            <w:tcW w:w="258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0.0001ND</w:t>
            </w:r>
          </w:p>
        </w:tc>
        <w:tc>
          <w:tcPr>
            <w:tcW w:w="1317"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0.01</w:t>
            </w:r>
          </w:p>
        </w:tc>
        <w:tc>
          <w:tcPr>
            <w:tcW w:w="1413"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58"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1192"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129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总铬</w:t>
            </w:r>
          </w:p>
        </w:tc>
        <w:tc>
          <w:tcPr>
            <w:tcW w:w="258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0.01ND</w:t>
            </w:r>
          </w:p>
        </w:tc>
        <w:tc>
          <w:tcPr>
            <w:tcW w:w="1317"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w:t>
            </w:r>
          </w:p>
        </w:tc>
        <w:tc>
          <w:tcPr>
            <w:tcW w:w="1413"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58"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1192"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129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砷</w:t>
            </w:r>
          </w:p>
        </w:tc>
        <w:tc>
          <w:tcPr>
            <w:tcW w:w="258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0.0002ND</w:t>
            </w:r>
          </w:p>
        </w:tc>
        <w:tc>
          <w:tcPr>
            <w:tcW w:w="1317"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0.05</w:t>
            </w:r>
          </w:p>
        </w:tc>
        <w:tc>
          <w:tcPr>
            <w:tcW w:w="1413"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358"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1192"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129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汞</w:t>
            </w:r>
          </w:p>
        </w:tc>
        <w:tc>
          <w:tcPr>
            <w:tcW w:w="258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0.00002ND</w:t>
            </w:r>
          </w:p>
        </w:tc>
        <w:tc>
          <w:tcPr>
            <w:tcW w:w="1317"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0.001</w:t>
            </w:r>
          </w:p>
        </w:tc>
        <w:tc>
          <w:tcPr>
            <w:tcW w:w="1413"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550" w:type="dxa"/>
            <w:gridSpan w:val="2"/>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执行标准</w:t>
            </w:r>
          </w:p>
        </w:tc>
        <w:tc>
          <w:tcPr>
            <w:tcW w:w="6600" w:type="dxa"/>
            <w:gridSpan w:val="4"/>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《地下环境质量标准》(GB/T14848-2017)III类水质</w:t>
            </w:r>
          </w:p>
        </w:tc>
      </w:tr>
    </w:tbl>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为了解项目所在区域地下水环境质量现状，</w:t>
      </w:r>
      <w:r>
        <w:rPr>
          <w:rFonts w:hint="eastAsia" w:ascii="Times New Roman" w:hAnsi="Times New Roman" w:eastAsia="宋体" w:cs="宋体"/>
          <w:kern w:val="2"/>
          <w:sz w:val="24"/>
          <w:szCs w:val="24"/>
          <w:lang w:val="en-US" w:eastAsia="zh-CN" w:bidi="ar-SA"/>
        </w:rPr>
        <w:t>本环评除使用本公司环评监测数据以外，还引用位于本项目西北面900米处的《</w:t>
      </w:r>
      <w:r>
        <w:rPr>
          <w:rFonts w:ascii="Times New Roman" w:hAnsi="Times New Roman" w:eastAsia="宋体" w:cs="宋体"/>
          <w:kern w:val="2"/>
          <w:sz w:val="24"/>
          <w:szCs w:val="24"/>
          <w:lang w:val="en-US" w:eastAsia="zh-CN" w:bidi="ar-SA"/>
        </w:rPr>
        <w:t>湘阴县德高建材有限公司年产1000万块空心砖建设项目环境影响报告表</w:t>
      </w:r>
      <w:r>
        <w:rPr>
          <w:rFonts w:hint="eastAsia" w:ascii="Times New Roman" w:hAnsi="Times New Roman" w:eastAsia="宋体" w:cs="宋体"/>
          <w:kern w:val="2"/>
          <w:sz w:val="24"/>
          <w:szCs w:val="24"/>
          <w:lang w:val="en-US" w:eastAsia="zh-CN" w:bidi="ar-SA"/>
        </w:rPr>
        <w:t>》中的地下水监测数据，又引用位于本项目北面400米处的《</w:t>
      </w:r>
      <w:r>
        <w:rPr>
          <w:rFonts w:ascii="Times New Roman" w:hAnsi="Times New Roman" w:eastAsia="宋体" w:cs="宋体"/>
          <w:kern w:val="2"/>
          <w:sz w:val="24"/>
          <w:szCs w:val="24"/>
          <w:lang w:val="en-US" w:eastAsia="zh-CN" w:bidi="ar-SA"/>
        </w:rPr>
        <w:t>湘阴县</w:t>
      </w:r>
      <w:r>
        <w:rPr>
          <w:rFonts w:hint="eastAsia" w:ascii="Times New Roman" w:hAnsi="Times New Roman" w:eastAsia="宋体" w:cs="宋体"/>
          <w:kern w:val="2"/>
          <w:sz w:val="24"/>
          <w:szCs w:val="24"/>
          <w:lang w:val="en-US" w:eastAsia="zh-CN" w:bidi="ar-SA"/>
        </w:rPr>
        <w:t>雅彩化妆用品有限公司年产化妆刷3000万支、化妆粉扑5000万个项目</w:t>
      </w:r>
      <w:r>
        <w:rPr>
          <w:rFonts w:ascii="Times New Roman" w:hAnsi="Times New Roman" w:eastAsia="宋体" w:cs="宋体"/>
          <w:kern w:val="2"/>
          <w:sz w:val="24"/>
          <w:szCs w:val="24"/>
          <w:lang w:val="en-US" w:eastAsia="zh-CN" w:bidi="ar-SA"/>
        </w:rPr>
        <w:t>环境影响报告</w:t>
      </w:r>
      <w:r>
        <w:rPr>
          <w:rFonts w:hint="eastAsia" w:ascii="Times New Roman" w:hAnsi="Times New Roman" w:eastAsia="宋体" w:cs="宋体"/>
          <w:kern w:val="2"/>
          <w:sz w:val="24"/>
          <w:szCs w:val="24"/>
          <w:lang w:val="en-US" w:eastAsia="zh-CN" w:bidi="ar-SA"/>
        </w:rPr>
        <w:t>书》中周边陈家江居民水井地下水监测数据，</w:t>
      </w:r>
      <w:r>
        <w:rPr>
          <w:rFonts w:ascii="Times New Roman" w:hAnsi="Times New Roman" w:eastAsia="宋体" w:cs="宋体"/>
          <w:kern w:val="2"/>
          <w:sz w:val="24"/>
          <w:szCs w:val="24"/>
          <w:lang w:val="en-US" w:eastAsia="zh-CN" w:bidi="ar-SA"/>
        </w:rPr>
        <w:t>德高建材公司</w:t>
      </w:r>
      <w:r>
        <w:rPr>
          <w:rFonts w:hint="eastAsia" w:ascii="Times New Roman" w:hAnsi="Times New Roman" w:eastAsia="宋体" w:cs="宋体"/>
          <w:kern w:val="2"/>
          <w:sz w:val="24"/>
          <w:szCs w:val="24"/>
          <w:lang w:val="en-US" w:eastAsia="zh-CN" w:bidi="ar-SA"/>
        </w:rPr>
        <w:t>和雅彩公司环评地下水监测点均处于聚特公司周边地下水下游，一同作为地下水监测影响点</w:t>
      </w:r>
      <w:r>
        <w:rPr>
          <w:rFonts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湘阴县德高建材公司</w:t>
      </w:r>
      <w:r>
        <w:rPr>
          <w:rFonts w:hint="eastAsia" w:ascii="Times New Roman" w:hAnsi="Times New Roman" w:eastAsia="宋体" w:cs="宋体"/>
          <w:kern w:val="2"/>
          <w:sz w:val="24"/>
          <w:szCs w:val="24"/>
          <w:lang w:val="en-US" w:eastAsia="zh-CN" w:bidi="ar-SA"/>
        </w:rPr>
        <w:t>监测时间为</w:t>
      </w:r>
      <w:r>
        <w:rPr>
          <w:rFonts w:ascii="Times New Roman" w:hAnsi="Times New Roman" w:eastAsia="宋体" w:cs="宋体"/>
          <w:kern w:val="2"/>
          <w:sz w:val="24"/>
          <w:szCs w:val="24"/>
          <w:lang w:val="en-US" w:eastAsia="zh-CN" w:bidi="ar-SA"/>
        </w:rPr>
        <w:t>201</w:t>
      </w:r>
      <w:r>
        <w:rPr>
          <w:rFonts w:hint="eastAsia" w:ascii="Times New Roman" w:hAnsi="Times New Roman" w:eastAsia="宋体" w:cs="宋体"/>
          <w:kern w:val="2"/>
          <w:sz w:val="24"/>
          <w:szCs w:val="24"/>
          <w:lang w:val="en-US" w:eastAsia="zh-CN" w:bidi="ar-SA"/>
        </w:rPr>
        <w:t>7</w:t>
      </w:r>
      <w:r>
        <w:rPr>
          <w:rFonts w:ascii="Times New Roman" w:hAnsi="Times New Roman" w:eastAsia="宋体" w:cs="宋体"/>
          <w:kern w:val="2"/>
          <w:sz w:val="24"/>
          <w:szCs w:val="24"/>
          <w:lang w:val="en-US" w:eastAsia="zh-CN" w:bidi="ar-SA"/>
        </w:rPr>
        <w:t>年</w:t>
      </w:r>
      <w:r>
        <w:rPr>
          <w:rFonts w:hint="eastAsia" w:ascii="Times New Roman" w:hAnsi="Times New Roman" w:eastAsia="宋体" w:cs="宋体"/>
          <w:kern w:val="2"/>
          <w:sz w:val="24"/>
          <w:szCs w:val="24"/>
          <w:lang w:val="en-US" w:eastAsia="zh-CN" w:bidi="ar-SA"/>
        </w:rPr>
        <w:t>5</w:t>
      </w:r>
      <w:r>
        <w:rPr>
          <w:rFonts w:ascii="Times New Roman" w:hAnsi="Times New Roman" w:eastAsia="宋体" w:cs="宋体"/>
          <w:kern w:val="2"/>
          <w:sz w:val="24"/>
          <w:szCs w:val="24"/>
          <w:lang w:val="en-US" w:eastAsia="zh-CN" w:bidi="ar-SA"/>
        </w:rPr>
        <w:t>月</w:t>
      </w:r>
      <w:r>
        <w:rPr>
          <w:rFonts w:hint="eastAsia" w:ascii="Times New Roman" w:hAnsi="Times New Roman" w:eastAsia="宋体" w:cs="宋体"/>
          <w:kern w:val="2"/>
          <w:sz w:val="24"/>
          <w:szCs w:val="24"/>
          <w:lang w:val="en-US" w:eastAsia="zh-CN" w:bidi="ar-SA"/>
        </w:rPr>
        <w:t>24日</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25日，</w:t>
      </w:r>
      <w:r>
        <w:rPr>
          <w:rFonts w:ascii="Times New Roman" w:hAnsi="Times New Roman" w:eastAsia="宋体" w:cs="宋体"/>
          <w:kern w:val="2"/>
          <w:sz w:val="24"/>
          <w:szCs w:val="24"/>
          <w:lang w:val="en-US" w:eastAsia="zh-CN" w:bidi="ar-SA"/>
        </w:rPr>
        <w:t>监测单位为湖南永蓝检测技术有限公司。监测结果见</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_Ref22569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表</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5</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-7</w:t>
      </w:r>
      <w:r>
        <w:rPr>
          <w:rFonts w:hint="default"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kern w:val="2"/>
          <w:sz w:val="21"/>
          <w:szCs w:val="21"/>
          <w:lang w:val="en-US" w:eastAsia="zh-CN" w:bidi="ar-SA"/>
        </w:rPr>
        <w:sectPr>
          <w:pgSz w:w="11906" w:h="16838"/>
          <w:pgMar w:top="1417" w:right="1417" w:bottom="1134" w:left="1701"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pPr>
        <w:widowControl w:val="0"/>
        <w:spacing w:line="360" w:lineRule="auto"/>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5</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7</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德高建材公司地</w:t>
      </w:r>
      <w:r>
        <w:rPr>
          <w:rFonts w:hint="eastAsia" w:ascii="Times New Roman" w:hAnsi="Times New Roman" w:eastAsia="宋体" w:cs="Times New Roman"/>
          <w:b/>
          <w:kern w:val="2"/>
          <w:sz w:val="21"/>
          <w:szCs w:val="21"/>
          <w:lang w:val="en-US" w:eastAsia="zh-CN" w:bidi="ar-SA"/>
        </w:rPr>
        <w:t>下</w:t>
      </w:r>
      <w:r>
        <w:rPr>
          <w:rFonts w:ascii="Times New Roman" w:hAnsi="Times New Roman" w:eastAsia="宋体" w:cs="Times New Roman"/>
          <w:b/>
          <w:kern w:val="2"/>
          <w:sz w:val="21"/>
          <w:szCs w:val="21"/>
          <w:lang w:val="en-US" w:eastAsia="zh-CN" w:bidi="ar-SA"/>
        </w:rPr>
        <w:t>水环境监测</w:t>
      </w:r>
      <w:r>
        <w:rPr>
          <w:rFonts w:hint="eastAsia" w:ascii="Times New Roman" w:hAnsi="Times New Roman" w:eastAsia="宋体" w:cs="Times New Roman"/>
          <w:b/>
          <w:kern w:val="2"/>
          <w:sz w:val="21"/>
          <w:szCs w:val="21"/>
          <w:lang w:val="en-US" w:eastAsia="zh-CN" w:bidi="ar-SA"/>
        </w:rPr>
        <w:t>结果</w:t>
      </w:r>
      <w:r>
        <w:rPr>
          <w:rFonts w:ascii="Times New Roman" w:hAnsi="Times New Roman" w:eastAsia="宋体" w:cs="Times New Roman"/>
          <w:b/>
          <w:kern w:val="2"/>
          <w:sz w:val="21"/>
          <w:szCs w:val="21"/>
          <w:lang w:val="en-US" w:eastAsia="zh-CN" w:bidi="ar-SA"/>
        </w:rPr>
        <w:t>表</w:t>
      </w:r>
      <w:r>
        <w:rPr>
          <w:rFonts w:hint="eastAsia" w:ascii="Times New Roman" w:hAnsi="Times New Roman" w:eastAsia="宋体" w:cs="Times New Roman"/>
          <w:b/>
          <w:kern w:val="2"/>
          <w:sz w:val="21"/>
          <w:szCs w:val="21"/>
          <w:lang w:val="en-US" w:eastAsia="zh-CN" w:bidi="ar-SA"/>
        </w:rPr>
        <w:t xml:space="preserve">  单位：</w:t>
      </w:r>
      <w:r>
        <w:rPr>
          <w:rFonts w:ascii="Times New Roman" w:hAnsi="Times New Roman" w:eastAsia="宋体" w:cs="Times New Roman"/>
          <w:b/>
          <w:kern w:val="2"/>
          <w:sz w:val="21"/>
          <w:szCs w:val="21"/>
          <w:lang w:val="en-US" w:eastAsia="zh-CN" w:bidi="ar-SA"/>
        </w:rPr>
        <w:t>mg/L</w:t>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t>pH</w:t>
      </w:r>
      <w:r>
        <w:rPr>
          <w:rFonts w:hint="eastAsia" w:ascii="Times New Roman" w:hAnsi="Times New Roman" w:eastAsia="宋体" w:cs="Times New Roman"/>
          <w:b/>
          <w:kern w:val="2"/>
          <w:sz w:val="21"/>
          <w:szCs w:val="21"/>
          <w:lang w:val="en-US" w:eastAsia="zh-CN" w:bidi="ar-SA"/>
        </w:rPr>
        <w:t>无量纲）</w:t>
      </w:r>
      <w:r>
        <w:rPr>
          <w:rFonts w:ascii="Times New Roman" w:hAnsi="Times New Roman" w:eastAsia="宋体" w:cs="Times New Roman"/>
          <w:b/>
          <w:kern w:val="2"/>
          <w:sz w:val="21"/>
          <w:szCs w:val="21"/>
          <w:lang w:val="en-US" w:eastAsia="zh-CN" w:bidi="ar-SA"/>
        </w:rPr>
        <w:t xml:space="preserve"> </w:t>
      </w:r>
    </w:p>
    <w:tbl>
      <w:tblPr>
        <w:tblStyle w:val="22"/>
        <w:tblW w:w="92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1502"/>
        <w:gridCol w:w="1208"/>
        <w:gridCol w:w="1177"/>
        <w:gridCol w:w="1193"/>
        <w:gridCol w:w="1215"/>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5"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检测项目</w:t>
            </w:r>
          </w:p>
        </w:tc>
        <w:tc>
          <w:tcPr>
            <w:tcW w:w="2710" w:type="dxa"/>
            <w:gridSpan w:val="2"/>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color w:val="000000"/>
                <w:kern w:val="2"/>
                <w:sz w:val="24"/>
                <w:szCs w:val="24"/>
                <w:u w:val="none"/>
                <w:lang w:val="en-US" w:eastAsia="zh-CN" w:bidi="ar-SA"/>
              </w:rPr>
              <w:t>德高公司</w:t>
            </w:r>
            <w:r>
              <w:rPr>
                <w:rFonts w:hint="eastAsia" w:ascii="Times New Roman" w:hAnsi="Times New Roman" w:eastAsia="宋体" w:cs="Times New Roman"/>
                <w:color w:val="000000"/>
                <w:kern w:val="2"/>
                <w:sz w:val="24"/>
                <w:szCs w:val="24"/>
                <w:u w:val="none"/>
                <w:lang w:val="en-US" w:eastAsia="zh-CN" w:bidi="ar-SA"/>
              </w:rPr>
              <w:t>周边居民水井</w:t>
            </w:r>
          </w:p>
        </w:tc>
        <w:tc>
          <w:tcPr>
            <w:tcW w:w="2370" w:type="dxa"/>
            <w:gridSpan w:val="2"/>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德高公司</w:t>
            </w:r>
            <w:r>
              <w:rPr>
                <w:rFonts w:hint="eastAsia" w:ascii="Times New Roman" w:hAnsi="Times New Roman" w:eastAsia="宋体" w:cs="Times New Roman"/>
                <w:kern w:val="2"/>
                <w:sz w:val="24"/>
                <w:szCs w:val="24"/>
                <w:lang w:val="en-US" w:eastAsia="zh-CN" w:bidi="ar-SA"/>
              </w:rPr>
              <w:t>厂内水井</w:t>
            </w:r>
          </w:p>
        </w:tc>
        <w:tc>
          <w:tcPr>
            <w:tcW w:w="1215" w:type="dxa"/>
            <w:vMerge w:val="restar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标准</w:t>
            </w:r>
            <w:r>
              <w:rPr>
                <w:rFonts w:hint="eastAsia" w:ascii="Times New Roman" w:hAnsi="Times New Roman" w:eastAsia="宋体" w:cs="Times New Roman"/>
                <w:kern w:val="2"/>
                <w:sz w:val="24"/>
                <w:szCs w:val="24"/>
                <w:lang w:val="en-US" w:eastAsia="zh-CN" w:bidi="ar-SA"/>
              </w:rPr>
              <w:t>限值</w:t>
            </w:r>
          </w:p>
        </w:tc>
        <w:tc>
          <w:tcPr>
            <w:tcW w:w="1200" w:type="dxa"/>
            <w:vMerge w:val="restar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5"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150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5月24日</w:t>
            </w:r>
          </w:p>
        </w:tc>
        <w:tc>
          <w:tcPr>
            <w:tcW w:w="120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5月25日</w:t>
            </w:r>
          </w:p>
        </w:tc>
        <w:tc>
          <w:tcPr>
            <w:tcW w:w="117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5月24日</w:t>
            </w:r>
          </w:p>
        </w:tc>
        <w:tc>
          <w:tcPr>
            <w:tcW w:w="1193"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5月25日</w:t>
            </w:r>
          </w:p>
        </w:tc>
        <w:tc>
          <w:tcPr>
            <w:tcW w:w="1215"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1200"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pH</w:t>
            </w:r>
          </w:p>
        </w:tc>
        <w:tc>
          <w:tcPr>
            <w:tcW w:w="150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6.62</w:t>
            </w:r>
          </w:p>
        </w:tc>
        <w:tc>
          <w:tcPr>
            <w:tcW w:w="120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6.65</w:t>
            </w:r>
          </w:p>
        </w:tc>
        <w:tc>
          <w:tcPr>
            <w:tcW w:w="117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6.82</w:t>
            </w:r>
          </w:p>
        </w:tc>
        <w:tc>
          <w:tcPr>
            <w:tcW w:w="1193"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6.79</w:t>
            </w:r>
          </w:p>
        </w:tc>
        <w:tc>
          <w:tcPr>
            <w:tcW w:w="121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6.5~8.5</w:t>
            </w:r>
          </w:p>
        </w:tc>
        <w:tc>
          <w:tcPr>
            <w:tcW w:w="120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高锰酸盐指数</w:t>
            </w:r>
          </w:p>
        </w:tc>
        <w:tc>
          <w:tcPr>
            <w:tcW w:w="150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1.4</w:t>
            </w:r>
          </w:p>
        </w:tc>
        <w:tc>
          <w:tcPr>
            <w:tcW w:w="120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1.6</w:t>
            </w:r>
          </w:p>
        </w:tc>
        <w:tc>
          <w:tcPr>
            <w:tcW w:w="117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2.1</w:t>
            </w:r>
          </w:p>
        </w:tc>
        <w:tc>
          <w:tcPr>
            <w:tcW w:w="1193"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1.9</w:t>
            </w:r>
          </w:p>
        </w:tc>
        <w:tc>
          <w:tcPr>
            <w:tcW w:w="121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3.0</w:t>
            </w:r>
          </w:p>
        </w:tc>
        <w:tc>
          <w:tcPr>
            <w:tcW w:w="120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氨氮</w:t>
            </w:r>
          </w:p>
        </w:tc>
        <w:tc>
          <w:tcPr>
            <w:tcW w:w="150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ND</w:t>
            </w:r>
          </w:p>
        </w:tc>
        <w:tc>
          <w:tcPr>
            <w:tcW w:w="120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ND</w:t>
            </w:r>
          </w:p>
        </w:tc>
        <w:tc>
          <w:tcPr>
            <w:tcW w:w="117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ND</w:t>
            </w:r>
          </w:p>
        </w:tc>
        <w:tc>
          <w:tcPr>
            <w:tcW w:w="1193"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ND</w:t>
            </w:r>
          </w:p>
        </w:tc>
        <w:tc>
          <w:tcPr>
            <w:tcW w:w="121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0.2</w:t>
            </w:r>
          </w:p>
        </w:tc>
        <w:tc>
          <w:tcPr>
            <w:tcW w:w="120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2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总大肠菌群（MPN/L）</w:t>
            </w:r>
          </w:p>
        </w:tc>
        <w:tc>
          <w:tcPr>
            <w:tcW w:w="150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未检出</w:t>
            </w:r>
          </w:p>
        </w:tc>
        <w:tc>
          <w:tcPr>
            <w:tcW w:w="120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未检出</w:t>
            </w:r>
          </w:p>
        </w:tc>
        <w:tc>
          <w:tcPr>
            <w:tcW w:w="117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未检出</w:t>
            </w:r>
          </w:p>
        </w:tc>
        <w:tc>
          <w:tcPr>
            <w:tcW w:w="1193"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未检出</w:t>
            </w:r>
          </w:p>
        </w:tc>
        <w:tc>
          <w:tcPr>
            <w:tcW w:w="121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3.0</w:t>
            </w:r>
          </w:p>
        </w:tc>
        <w:tc>
          <w:tcPr>
            <w:tcW w:w="120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氯化物</w:t>
            </w:r>
          </w:p>
        </w:tc>
        <w:tc>
          <w:tcPr>
            <w:tcW w:w="150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22</w:t>
            </w:r>
          </w:p>
        </w:tc>
        <w:tc>
          <w:tcPr>
            <w:tcW w:w="120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21</w:t>
            </w:r>
          </w:p>
        </w:tc>
        <w:tc>
          <w:tcPr>
            <w:tcW w:w="117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w:t>
            </w:r>
          </w:p>
        </w:tc>
        <w:tc>
          <w:tcPr>
            <w:tcW w:w="1193"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21</w:t>
            </w:r>
          </w:p>
        </w:tc>
        <w:tc>
          <w:tcPr>
            <w:tcW w:w="121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250</w:t>
            </w:r>
          </w:p>
        </w:tc>
        <w:tc>
          <w:tcPr>
            <w:tcW w:w="120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六价铬</w:t>
            </w:r>
          </w:p>
        </w:tc>
        <w:tc>
          <w:tcPr>
            <w:tcW w:w="150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ND</w:t>
            </w:r>
          </w:p>
        </w:tc>
        <w:tc>
          <w:tcPr>
            <w:tcW w:w="120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ND</w:t>
            </w:r>
          </w:p>
        </w:tc>
        <w:tc>
          <w:tcPr>
            <w:tcW w:w="117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ND</w:t>
            </w:r>
          </w:p>
        </w:tc>
        <w:tc>
          <w:tcPr>
            <w:tcW w:w="1193"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ND</w:t>
            </w:r>
          </w:p>
        </w:tc>
        <w:tc>
          <w:tcPr>
            <w:tcW w:w="121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0.05</w:t>
            </w:r>
          </w:p>
        </w:tc>
        <w:tc>
          <w:tcPr>
            <w:tcW w:w="120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亚硝酸盐</w:t>
            </w:r>
          </w:p>
        </w:tc>
        <w:tc>
          <w:tcPr>
            <w:tcW w:w="150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0.008</w:t>
            </w:r>
          </w:p>
        </w:tc>
        <w:tc>
          <w:tcPr>
            <w:tcW w:w="120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0.011</w:t>
            </w:r>
          </w:p>
        </w:tc>
        <w:tc>
          <w:tcPr>
            <w:tcW w:w="117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0.009</w:t>
            </w:r>
          </w:p>
        </w:tc>
        <w:tc>
          <w:tcPr>
            <w:tcW w:w="1193"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0.008</w:t>
            </w:r>
          </w:p>
        </w:tc>
        <w:tc>
          <w:tcPr>
            <w:tcW w:w="121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0.0</w:t>
            </w:r>
            <w:r>
              <w:rPr>
                <w:rFonts w:hint="eastAsia" w:ascii="Times New Roman" w:hAnsi="Times New Roman" w:eastAsia="宋体" w:cs="Times New Roman"/>
                <w:kern w:val="2"/>
                <w:sz w:val="24"/>
                <w:szCs w:val="24"/>
                <w:lang w:val="en-US" w:eastAsia="zh-CN" w:bidi="ar-SA"/>
              </w:rPr>
              <w:t>2</w:t>
            </w:r>
          </w:p>
        </w:tc>
        <w:tc>
          <w:tcPr>
            <w:tcW w:w="120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2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执行标准</w:t>
            </w:r>
          </w:p>
        </w:tc>
        <w:tc>
          <w:tcPr>
            <w:tcW w:w="7495" w:type="dxa"/>
            <w:gridSpan w:val="6"/>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《地下环境质量标准》(GB/T14848-2017)III类水质</w:t>
            </w:r>
          </w:p>
        </w:tc>
      </w:tr>
    </w:tbl>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p>
    <w:bookmarkEnd w:id="1053"/>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湘阴县</w:t>
      </w:r>
      <w:r>
        <w:rPr>
          <w:rFonts w:hint="eastAsia" w:ascii="Times New Roman" w:hAnsi="Times New Roman" w:eastAsia="宋体" w:cs="宋体"/>
          <w:kern w:val="2"/>
          <w:sz w:val="24"/>
          <w:szCs w:val="24"/>
          <w:lang w:val="en-US" w:eastAsia="zh-CN" w:bidi="ar-SA"/>
        </w:rPr>
        <w:t>雅彩化妆品</w:t>
      </w:r>
      <w:r>
        <w:rPr>
          <w:rFonts w:ascii="Times New Roman" w:hAnsi="Times New Roman" w:eastAsia="宋体" w:cs="宋体"/>
          <w:kern w:val="2"/>
          <w:sz w:val="24"/>
          <w:szCs w:val="24"/>
          <w:lang w:val="en-US" w:eastAsia="zh-CN" w:bidi="ar-SA"/>
        </w:rPr>
        <w:t>公司</w:t>
      </w:r>
      <w:r>
        <w:rPr>
          <w:rFonts w:hint="eastAsia" w:ascii="Times New Roman" w:hAnsi="Times New Roman" w:eastAsia="宋体" w:cs="宋体"/>
          <w:kern w:val="2"/>
          <w:sz w:val="24"/>
          <w:szCs w:val="24"/>
          <w:lang w:val="en-US" w:eastAsia="zh-CN" w:bidi="ar-SA"/>
        </w:rPr>
        <w:t>监测时间为</w:t>
      </w:r>
      <w:r>
        <w:rPr>
          <w:rFonts w:ascii="Times New Roman" w:hAnsi="Times New Roman" w:eastAsia="宋体" w:cs="宋体"/>
          <w:kern w:val="2"/>
          <w:sz w:val="24"/>
          <w:szCs w:val="24"/>
          <w:lang w:val="en-US" w:eastAsia="zh-CN" w:bidi="ar-SA"/>
        </w:rPr>
        <w:t>201</w:t>
      </w:r>
      <w:r>
        <w:rPr>
          <w:rFonts w:hint="eastAsia" w:ascii="Times New Roman" w:hAnsi="Times New Roman" w:eastAsia="宋体" w:cs="宋体"/>
          <w:kern w:val="2"/>
          <w:sz w:val="24"/>
          <w:szCs w:val="24"/>
          <w:lang w:val="en-US" w:eastAsia="zh-CN" w:bidi="ar-SA"/>
        </w:rPr>
        <w:t>9</w:t>
      </w:r>
      <w:r>
        <w:rPr>
          <w:rFonts w:ascii="Times New Roman" w:hAnsi="Times New Roman" w:eastAsia="宋体" w:cs="宋体"/>
          <w:kern w:val="2"/>
          <w:sz w:val="24"/>
          <w:szCs w:val="24"/>
          <w:lang w:val="en-US" w:eastAsia="zh-CN" w:bidi="ar-SA"/>
        </w:rPr>
        <w:t>年</w:t>
      </w:r>
      <w:r>
        <w:rPr>
          <w:rFonts w:hint="eastAsia" w:ascii="Times New Roman" w:hAnsi="Times New Roman" w:eastAsia="宋体" w:cs="宋体"/>
          <w:kern w:val="2"/>
          <w:sz w:val="24"/>
          <w:szCs w:val="24"/>
          <w:lang w:val="en-US" w:eastAsia="zh-CN" w:bidi="ar-SA"/>
        </w:rPr>
        <w:t>6</w:t>
      </w:r>
      <w:r>
        <w:rPr>
          <w:rFonts w:ascii="Times New Roman" w:hAnsi="Times New Roman" w:eastAsia="宋体" w:cs="宋体"/>
          <w:kern w:val="2"/>
          <w:sz w:val="24"/>
          <w:szCs w:val="24"/>
          <w:lang w:val="en-US" w:eastAsia="zh-CN" w:bidi="ar-SA"/>
        </w:rPr>
        <w:t>月</w:t>
      </w:r>
      <w:r>
        <w:rPr>
          <w:rFonts w:hint="eastAsia" w:ascii="Times New Roman" w:hAnsi="Times New Roman" w:eastAsia="宋体" w:cs="宋体"/>
          <w:kern w:val="2"/>
          <w:sz w:val="24"/>
          <w:szCs w:val="24"/>
          <w:lang w:val="en-US" w:eastAsia="zh-CN" w:bidi="ar-SA"/>
        </w:rPr>
        <w:t>20日，</w:t>
      </w:r>
      <w:r>
        <w:rPr>
          <w:rFonts w:ascii="Times New Roman" w:hAnsi="Times New Roman" w:eastAsia="宋体" w:cs="宋体"/>
          <w:kern w:val="2"/>
          <w:sz w:val="24"/>
          <w:szCs w:val="24"/>
          <w:lang w:val="en-US" w:eastAsia="zh-CN" w:bidi="ar-SA"/>
        </w:rPr>
        <w:t>监测单位为湖南</w:t>
      </w:r>
      <w:r>
        <w:rPr>
          <w:rFonts w:hint="eastAsia" w:ascii="Times New Roman" w:hAnsi="Times New Roman" w:eastAsia="宋体" w:cs="宋体"/>
          <w:kern w:val="2"/>
          <w:sz w:val="24"/>
          <w:szCs w:val="24"/>
          <w:lang w:val="en-US" w:eastAsia="zh-CN" w:bidi="ar-SA"/>
        </w:rPr>
        <w:t>汨江</w:t>
      </w:r>
      <w:r>
        <w:rPr>
          <w:rFonts w:ascii="Times New Roman" w:hAnsi="Times New Roman" w:eastAsia="宋体" w:cs="宋体"/>
          <w:kern w:val="2"/>
          <w:sz w:val="24"/>
          <w:szCs w:val="24"/>
          <w:lang w:val="en-US" w:eastAsia="zh-CN" w:bidi="ar-SA"/>
        </w:rPr>
        <w:t>检测有限公司。监测结果见</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_Ref22569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表</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5</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-8</w:t>
      </w:r>
      <w:r>
        <w:rPr>
          <w:rFonts w:hint="default"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color w:val="000000"/>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5</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8</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雅彩化妆品公司</w:t>
      </w:r>
      <w:r>
        <w:rPr>
          <w:rFonts w:ascii="Times New Roman" w:hAnsi="Times New Roman" w:eastAsia="宋体" w:cs="Times New Roman"/>
          <w:b/>
          <w:color w:val="000000"/>
          <w:kern w:val="2"/>
          <w:sz w:val="21"/>
          <w:szCs w:val="21"/>
          <w:lang w:val="en-US" w:eastAsia="zh-CN" w:bidi="ar-SA"/>
        </w:rPr>
        <w:t xml:space="preserve">地下水环境监测结果表 </w:t>
      </w:r>
      <w:r>
        <w:rPr>
          <w:rFonts w:hint="eastAsia" w:ascii="Times New Roman" w:hAnsi="Times New Roman" w:eastAsia="宋体" w:cs="Times New Roman"/>
          <w:b/>
          <w:kern w:val="2"/>
          <w:sz w:val="21"/>
          <w:szCs w:val="21"/>
          <w:lang w:val="en-US" w:eastAsia="zh-CN" w:bidi="ar-SA"/>
        </w:rPr>
        <w:t>单位：</w:t>
      </w:r>
      <w:r>
        <w:rPr>
          <w:rFonts w:ascii="Times New Roman" w:hAnsi="Times New Roman" w:eastAsia="宋体" w:cs="Times New Roman"/>
          <w:b/>
          <w:kern w:val="2"/>
          <w:sz w:val="21"/>
          <w:szCs w:val="21"/>
          <w:lang w:val="en-US" w:eastAsia="zh-CN" w:bidi="ar-SA"/>
        </w:rPr>
        <w:t>mg/L</w:t>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t>pH</w:t>
      </w:r>
      <w:r>
        <w:rPr>
          <w:rFonts w:hint="eastAsia" w:ascii="Times New Roman" w:hAnsi="Times New Roman" w:eastAsia="宋体" w:cs="Times New Roman"/>
          <w:b/>
          <w:kern w:val="2"/>
          <w:sz w:val="21"/>
          <w:szCs w:val="21"/>
          <w:lang w:val="en-US" w:eastAsia="zh-CN" w:bidi="ar-SA"/>
        </w:rPr>
        <w:t>无量纲）</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63"/>
        <w:gridCol w:w="3024"/>
        <w:gridCol w:w="1601"/>
        <w:gridCol w:w="16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163"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检测项目</w:t>
            </w:r>
          </w:p>
        </w:tc>
        <w:tc>
          <w:tcPr>
            <w:tcW w:w="302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监测点位</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（周边陈家江居民水井）</w:t>
            </w:r>
          </w:p>
        </w:tc>
        <w:tc>
          <w:tcPr>
            <w:tcW w:w="1601"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标准值</w:t>
            </w:r>
          </w:p>
        </w:tc>
        <w:tc>
          <w:tcPr>
            <w:tcW w:w="1601"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3"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302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201</w:t>
            </w:r>
            <w:r>
              <w:rPr>
                <w:rFonts w:hint="eastAsia" w:ascii="Times New Roman" w:hAnsi="Times New Roman" w:eastAsia="宋体" w:cs="Times New Roman"/>
                <w:kern w:val="2"/>
                <w:sz w:val="24"/>
                <w:szCs w:val="24"/>
                <w:lang w:val="en-US" w:eastAsia="zh-CN" w:bidi="ar-SA"/>
              </w:rPr>
              <w:t>9</w:t>
            </w:r>
            <w:r>
              <w:rPr>
                <w:rFonts w:ascii="Times New Roman" w:hAnsi="Times New Roman" w:eastAsia="宋体" w:cs="Times New Roman"/>
                <w:kern w:val="2"/>
                <w:sz w:val="24"/>
                <w:szCs w:val="24"/>
                <w:lang w:val="en-US" w:eastAsia="zh-CN" w:bidi="ar-SA"/>
              </w:rPr>
              <w:t>.0</w:t>
            </w:r>
            <w:r>
              <w:rPr>
                <w:rFonts w:hint="eastAsia" w:ascii="Times New Roman" w:hAnsi="Times New Roman" w:eastAsia="宋体" w:cs="Times New Roman"/>
                <w:kern w:val="2"/>
                <w:sz w:val="24"/>
                <w:szCs w:val="24"/>
                <w:lang w:val="en-US" w:eastAsia="zh-CN" w:bidi="ar-SA"/>
              </w:rPr>
              <w:t>6.20</w:t>
            </w:r>
          </w:p>
        </w:tc>
        <w:tc>
          <w:tcPr>
            <w:tcW w:w="1601"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601"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3"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pH</w:t>
            </w:r>
          </w:p>
        </w:tc>
        <w:tc>
          <w:tcPr>
            <w:tcW w:w="302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7.00</w:t>
            </w:r>
          </w:p>
        </w:tc>
        <w:tc>
          <w:tcPr>
            <w:tcW w:w="160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6.5-8.5</w:t>
            </w:r>
          </w:p>
        </w:tc>
        <w:tc>
          <w:tcPr>
            <w:tcW w:w="160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3"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氨氮</w:t>
            </w:r>
          </w:p>
        </w:tc>
        <w:tc>
          <w:tcPr>
            <w:tcW w:w="302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0.143</w:t>
            </w:r>
          </w:p>
        </w:tc>
        <w:tc>
          <w:tcPr>
            <w:tcW w:w="160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0.</w:t>
            </w:r>
            <w:r>
              <w:rPr>
                <w:rFonts w:hint="eastAsia" w:ascii="Times New Roman" w:hAnsi="Times New Roman" w:eastAsia="宋体" w:cs="Times New Roman"/>
                <w:kern w:val="2"/>
                <w:sz w:val="24"/>
                <w:szCs w:val="24"/>
                <w:lang w:val="en-US" w:eastAsia="zh-CN" w:bidi="ar-SA"/>
              </w:rPr>
              <w:t>5</w:t>
            </w:r>
          </w:p>
        </w:tc>
        <w:tc>
          <w:tcPr>
            <w:tcW w:w="160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3"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挥发酚</w:t>
            </w:r>
          </w:p>
        </w:tc>
        <w:tc>
          <w:tcPr>
            <w:tcW w:w="30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0.0003ND</w:t>
            </w:r>
          </w:p>
        </w:tc>
        <w:tc>
          <w:tcPr>
            <w:tcW w:w="160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0.002</w:t>
            </w:r>
          </w:p>
        </w:tc>
        <w:tc>
          <w:tcPr>
            <w:tcW w:w="160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3"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氯</w:t>
            </w:r>
            <w:r>
              <w:rPr>
                <w:rFonts w:ascii="Times New Roman" w:hAnsi="Times New Roman" w:eastAsia="宋体" w:cs="Times New Roman"/>
                <w:kern w:val="2"/>
                <w:sz w:val="24"/>
                <w:szCs w:val="24"/>
                <w:lang w:val="en-US" w:eastAsia="zh-CN" w:bidi="ar-SA"/>
              </w:rPr>
              <w:t>化物</w:t>
            </w:r>
          </w:p>
        </w:tc>
        <w:tc>
          <w:tcPr>
            <w:tcW w:w="302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18.8</w:t>
            </w:r>
          </w:p>
        </w:tc>
        <w:tc>
          <w:tcPr>
            <w:tcW w:w="160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≦250</w:t>
            </w:r>
          </w:p>
        </w:tc>
        <w:tc>
          <w:tcPr>
            <w:tcW w:w="160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3"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总大肠菌群</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MPN/L</w:t>
            </w:r>
            <w:r>
              <w:rPr>
                <w:rFonts w:hint="eastAsia" w:ascii="Times New Roman" w:hAnsi="Times New Roman" w:eastAsia="宋体" w:cs="Times New Roman"/>
                <w:kern w:val="2"/>
                <w:sz w:val="24"/>
                <w:szCs w:val="24"/>
                <w:lang w:val="en-US" w:eastAsia="zh-CN" w:bidi="ar-SA"/>
              </w:rPr>
              <w:t>）</w:t>
            </w:r>
          </w:p>
        </w:tc>
        <w:tc>
          <w:tcPr>
            <w:tcW w:w="302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49</w:t>
            </w:r>
          </w:p>
        </w:tc>
        <w:tc>
          <w:tcPr>
            <w:tcW w:w="160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3</w:t>
            </w:r>
          </w:p>
        </w:tc>
        <w:tc>
          <w:tcPr>
            <w:tcW w:w="160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3"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亚硝酸盐</w:t>
            </w:r>
          </w:p>
        </w:tc>
        <w:tc>
          <w:tcPr>
            <w:tcW w:w="30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0.016ND</w:t>
            </w:r>
          </w:p>
        </w:tc>
        <w:tc>
          <w:tcPr>
            <w:tcW w:w="160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60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3"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总硬度</w:t>
            </w:r>
          </w:p>
        </w:tc>
        <w:tc>
          <w:tcPr>
            <w:tcW w:w="302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54</w:t>
            </w:r>
          </w:p>
        </w:tc>
        <w:tc>
          <w:tcPr>
            <w:tcW w:w="160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≦450</w:t>
            </w:r>
          </w:p>
        </w:tc>
        <w:tc>
          <w:tcPr>
            <w:tcW w:w="160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3"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高锰酸盐指数</w:t>
            </w:r>
          </w:p>
        </w:tc>
        <w:tc>
          <w:tcPr>
            <w:tcW w:w="30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1.3</w:t>
            </w:r>
          </w:p>
        </w:tc>
        <w:tc>
          <w:tcPr>
            <w:tcW w:w="160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3.0</w:t>
            </w:r>
          </w:p>
        </w:tc>
        <w:tc>
          <w:tcPr>
            <w:tcW w:w="160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63"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执行标准</w:t>
            </w:r>
          </w:p>
        </w:tc>
        <w:tc>
          <w:tcPr>
            <w:tcW w:w="6226" w:type="dxa"/>
            <w:gridSpan w:val="3"/>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《地下环境质量标准》(GB/T14848-2017)III类水质</w:t>
            </w:r>
          </w:p>
        </w:tc>
      </w:tr>
    </w:tbl>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以上监测结果表明</w:t>
      </w:r>
      <w:r>
        <w:rPr>
          <w:rFonts w:hint="default" w:ascii="Times New Roman" w:hAnsi="Times New Roman" w:eastAsia="宋体" w:cs="宋体"/>
          <w:kern w:val="2"/>
          <w:sz w:val="24"/>
          <w:szCs w:val="24"/>
          <w:lang w:val="en-US" w:eastAsia="zh-CN" w:bidi="ar-SA"/>
        </w:rPr>
        <w:t>，项目区域</w:t>
      </w:r>
      <w:r>
        <w:rPr>
          <w:rFonts w:hint="eastAsia" w:ascii="Times New Roman" w:hAnsi="Times New Roman" w:eastAsia="宋体" w:cs="宋体"/>
          <w:kern w:val="2"/>
          <w:sz w:val="24"/>
          <w:szCs w:val="24"/>
          <w:lang w:val="en-US" w:eastAsia="zh-CN" w:bidi="ar-SA"/>
        </w:rPr>
        <w:t>地下水环境质量较好。4个水井</w:t>
      </w:r>
      <w:r>
        <w:rPr>
          <w:rFonts w:hint="default" w:ascii="Times New Roman" w:hAnsi="Times New Roman" w:eastAsia="宋体" w:cs="宋体"/>
          <w:kern w:val="2"/>
          <w:sz w:val="24"/>
          <w:szCs w:val="24"/>
          <w:lang w:val="en-US" w:eastAsia="zh-CN" w:bidi="ar-SA"/>
        </w:rPr>
        <w:t>监测</w:t>
      </w:r>
      <w:r>
        <w:rPr>
          <w:rFonts w:hint="eastAsia" w:ascii="Times New Roman" w:hAnsi="Times New Roman" w:eastAsia="宋体" w:cs="宋体"/>
          <w:kern w:val="2"/>
          <w:sz w:val="24"/>
          <w:szCs w:val="24"/>
          <w:lang w:val="en-US" w:eastAsia="zh-CN" w:bidi="ar-SA"/>
        </w:rPr>
        <w:t>点的各项监测</w:t>
      </w:r>
      <w:r>
        <w:rPr>
          <w:rFonts w:hint="default" w:ascii="Times New Roman" w:hAnsi="Times New Roman" w:eastAsia="宋体" w:cs="宋体"/>
          <w:kern w:val="2"/>
          <w:sz w:val="24"/>
          <w:szCs w:val="24"/>
          <w:lang w:val="en-US" w:eastAsia="zh-CN" w:bidi="ar-SA"/>
        </w:rPr>
        <w:t>因子</w:t>
      </w:r>
      <w:r>
        <w:rPr>
          <w:rFonts w:hint="eastAsia" w:ascii="Times New Roman" w:hAnsi="Times New Roman" w:eastAsia="宋体" w:cs="宋体"/>
          <w:kern w:val="2"/>
          <w:sz w:val="24"/>
          <w:szCs w:val="24"/>
          <w:lang w:val="en-US" w:eastAsia="zh-CN" w:bidi="ar-SA"/>
        </w:rPr>
        <w:t>中，除聚特公司北侧400m的陈家江</w:t>
      </w:r>
      <w:r>
        <w:rPr>
          <w:rFonts w:hint="eastAsia" w:ascii="Times New Roman" w:hAnsi="Times New Roman" w:eastAsia="宋体" w:cs="宋体"/>
          <w:color w:val="000000"/>
          <w:kern w:val="2"/>
          <w:sz w:val="24"/>
          <w:szCs w:val="24"/>
          <w:lang w:val="en-US" w:eastAsia="zh-CN" w:bidi="ar-SA"/>
        </w:rPr>
        <w:t>居民水井总大肠菌群超过</w:t>
      </w:r>
      <w:r>
        <w:rPr>
          <w:rFonts w:ascii="Times New Roman" w:hAnsi="Times New Roman" w:eastAsia="宋体" w:cs="宋体"/>
          <w:color w:val="000000"/>
          <w:kern w:val="2"/>
          <w:sz w:val="24"/>
          <w:szCs w:val="24"/>
          <w:lang w:val="en-US" w:eastAsia="zh-CN" w:bidi="ar-SA"/>
        </w:rPr>
        <w:t>《地下水环境质量标准》（GB/T14848-2017）Ⅲ类标准要求</w:t>
      </w:r>
      <w:r>
        <w:rPr>
          <w:rFonts w:hint="eastAsia" w:ascii="Times New Roman" w:hAnsi="Times New Roman" w:eastAsia="宋体" w:cs="宋体"/>
          <w:color w:val="000000"/>
          <w:kern w:val="2"/>
          <w:sz w:val="24"/>
          <w:szCs w:val="24"/>
          <w:lang w:val="en-US" w:eastAsia="zh-CN" w:bidi="ar-SA"/>
        </w:rPr>
        <w:t>外，</w:t>
      </w:r>
      <w:r>
        <w:rPr>
          <w:rFonts w:hint="eastAsia" w:ascii="Times New Roman" w:hAnsi="Times New Roman" w:eastAsia="宋体" w:cs="宋体"/>
          <w:kern w:val="2"/>
          <w:sz w:val="24"/>
          <w:szCs w:val="24"/>
          <w:lang w:val="en-US" w:eastAsia="zh-CN" w:bidi="ar-SA"/>
        </w:rPr>
        <w:t>其余</w:t>
      </w:r>
      <w:r>
        <w:rPr>
          <w:rFonts w:hint="default" w:ascii="Times New Roman" w:hAnsi="Times New Roman" w:eastAsia="宋体" w:cs="宋体"/>
          <w:kern w:val="2"/>
          <w:sz w:val="24"/>
          <w:szCs w:val="24"/>
          <w:lang w:val="en-US" w:eastAsia="zh-CN" w:bidi="ar-SA"/>
        </w:rPr>
        <w:t>均达到《地下水环境质量标准》（GB/T</w:t>
      </w:r>
      <w:r>
        <w:rPr>
          <w:rFonts w:hint="eastAsia" w:ascii="Times New Roman" w:hAnsi="Times New Roman" w:eastAsia="宋体" w:cs="宋体"/>
          <w:kern w:val="2"/>
          <w:sz w:val="24"/>
          <w:szCs w:val="24"/>
          <w:lang w:val="en-US" w:eastAsia="zh-CN" w:bidi="ar-SA"/>
        </w:rPr>
        <w:t xml:space="preserve"> </w:t>
      </w:r>
      <w:r>
        <w:rPr>
          <w:rFonts w:hint="default" w:ascii="Times New Roman" w:hAnsi="Times New Roman" w:eastAsia="宋体" w:cs="宋体"/>
          <w:kern w:val="2"/>
          <w:sz w:val="24"/>
          <w:szCs w:val="24"/>
          <w:lang w:val="en-US" w:eastAsia="zh-CN" w:bidi="ar-SA"/>
        </w:rPr>
        <w:t>14848-93）中的Ⅲ类标准。</w:t>
      </w:r>
    </w:p>
    <w:p>
      <w:pPr>
        <w:pStyle w:val="4"/>
        <w:bidi w:val="0"/>
        <w:rPr>
          <w:lang w:val="en-US" w:eastAsia="zh-CN"/>
        </w:rPr>
      </w:pPr>
      <w:bookmarkStart w:id="1064" w:name="_Toc22129"/>
      <w:bookmarkStart w:id="1065" w:name="_Toc23740"/>
      <w:bookmarkStart w:id="1066" w:name="_Toc30464"/>
      <w:bookmarkStart w:id="1067" w:name="_Toc7043"/>
      <w:bookmarkStart w:id="1068" w:name="_Toc6270"/>
      <w:bookmarkStart w:id="1069" w:name="_Toc13994"/>
      <w:r>
        <w:rPr>
          <w:lang w:val="en-US" w:eastAsia="zh-CN"/>
        </w:rPr>
        <w:t>声环境现状监测与评价</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1070" w:name="_Toc4694"/>
      <w:bookmarkStart w:id="1071" w:name="_Toc23361"/>
      <w:bookmarkStart w:id="1072" w:name="_Toc10970"/>
      <w:bookmarkStart w:id="1073" w:name="_Toc870"/>
      <w:bookmarkStart w:id="1074" w:name="_Toc24305"/>
      <w:bookmarkStart w:id="1075" w:name="_Toc15134"/>
      <w:bookmarkStart w:id="1076" w:name="_Toc8555"/>
      <w:bookmarkStart w:id="1077" w:name="_Toc26991"/>
      <w:bookmarkStart w:id="1078" w:name="_Toc1094"/>
      <w:bookmarkStart w:id="1079" w:name="_Toc3204"/>
      <w:r>
        <w:rPr>
          <w:rFonts w:hint="default" w:ascii="Times New Roman" w:hAnsi="Times New Roman" w:eastAsia="宋体" w:cs="宋体"/>
          <w:kern w:val="2"/>
          <w:sz w:val="24"/>
          <w:szCs w:val="24"/>
          <w:lang w:val="en-US" w:eastAsia="zh-CN" w:bidi="ar-SA"/>
        </w:rPr>
        <w:t>为了解项目周围声环境质量现状，根据项目性质和项目所在地环境</w:t>
      </w:r>
      <w:r>
        <w:rPr>
          <w:rFonts w:hint="eastAsia" w:ascii="Times New Roman" w:hAnsi="Times New Roman" w:eastAsia="宋体" w:cs="宋体"/>
          <w:kern w:val="2"/>
          <w:sz w:val="24"/>
          <w:szCs w:val="24"/>
          <w:lang w:val="en-US" w:eastAsia="zh-CN" w:bidi="ar-SA"/>
        </w:rPr>
        <w:t>状况</w:t>
      </w:r>
      <w:r>
        <w:rPr>
          <w:rFonts w:hint="default"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本环评委托湖南中骏高新科技股份有限公司</w:t>
      </w:r>
      <w:r>
        <w:rPr>
          <w:rFonts w:hint="default" w:ascii="Times New Roman" w:hAnsi="Times New Roman" w:eastAsia="宋体" w:cs="宋体"/>
          <w:kern w:val="2"/>
          <w:sz w:val="24"/>
          <w:szCs w:val="24"/>
          <w:lang w:val="en-US" w:eastAsia="zh-CN" w:bidi="ar-SA"/>
        </w:rPr>
        <w:t>于2019年</w:t>
      </w:r>
      <w:r>
        <w:rPr>
          <w:rFonts w:hint="eastAsia" w:ascii="Times New Roman" w:hAnsi="Times New Roman" w:eastAsia="宋体" w:cs="宋体"/>
          <w:kern w:val="2"/>
          <w:sz w:val="24"/>
          <w:szCs w:val="24"/>
          <w:lang w:val="en-US" w:eastAsia="zh-CN" w:bidi="ar-SA"/>
        </w:rPr>
        <w:t>12</w:t>
      </w:r>
      <w:r>
        <w:rPr>
          <w:rFonts w:hint="default" w:ascii="Times New Roman" w:hAnsi="Times New Roman" w:eastAsia="宋体" w:cs="宋体"/>
          <w:kern w:val="2"/>
          <w:sz w:val="24"/>
          <w:szCs w:val="24"/>
          <w:lang w:val="en-US" w:eastAsia="zh-CN" w:bidi="ar-SA"/>
        </w:rPr>
        <w:t>月</w:t>
      </w:r>
      <w:r>
        <w:rPr>
          <w:rFonts w:hint="eastAsia" w:ascii="Times New Roman" w:hAnsi="Times New Roman" w:eastAsia="宋体" w:cs="宋体"/>
          <w:kern w:val="2"/>
          <w:sz w:val="24"/>
          <w:szCs w:val="24"/>
          <w:lang w:val="en-US" w:eastAsia="zh-CN" w:bidi="ar-SA"/>
        </w:rPr>
        <w:t>9</w:t>
      </w:r>
      <w:r>
        <w:rPr>
          <w:rFonts w:hint="default" w:ascii="Times New Roman" w:hAnsi="Times New Roman" w:eastAsia="宋体" w:cs="宋体"/>
          <w:kern w:val="2"/>
          <w:sz w:val="24"/>
          <w:szCs w:val="24"/>
          <w:lang w:val="en-US" w:eastAsia="zh-CN" w:bidi="ar-SA"/>
        </w:rPr>
        <w:t>~1</w:t>
      </w:r>
      <w:r>
        <w:rPr>
          <w:rFonts w:hint="eastAsia" w:ascii="Times New Roman" w:hAnsi="Times New Roman" w:eastAsia="宋体" w:cs="宋体"/>
          <w:kern w:val="2"/>
          <w:sz w:val="24"/>
          <w:szCs w:val="24"/>
          <w:lang w:val="en-US" w:eastAsia="zh-CN" w:bidi="ar-SA"/>
        </w:rPr>
        <w:t>0</w:t>
      </w:r>
      <w:r>
        <w:rPr>
          <w:rFonts w:hint="default" w:ascii="Times New Roman" w:hAnsi="Times New Roman" w:eastAsia="宋体" w:cs="宋体"/>
          <w:kern w:val="2"/>
          <w:sz w:val="24"/>
          <w:szCs w:val="24"/>
          <w:lang w:val="en-US" w:eastAsia="zh-CN" w:bidi="ar-SA"/>
        </w:rPr>
        <w:t>日</w:t>
      </w:r>
      <w:r>
        <w:rPr>
          <w:rFonts w:ascii="Times New Roman" w:hAnsi="Times New Roman" w:eastAsia="宋体" w:cs="宋体"/>
          <w:kern w:val="2"/>
          <w:sz w:val="24"/>
          <w:szCs w:val="24"/>
          <w:lang w:val="en-US" w:eastAsia="zh-CN" w:bidi="ar-SA"/>
        </w:rPr>
        <w:t>在本项目场址周围外1m处进行了噪声现场监测</w:t>
      </w:r>
      <w:r>
        <w:rPr>
          <w:rFonts w:hint="eastAsia"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（1）监测布点</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本次噪声现状监测共布设4个监测点，分别位于项目拟建地厂界西、北、东、南外1m处。</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（2）噪声监测方法</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测量方法与仪器噪声测量按照《声环境质量标准》（GB3096-2008）中相关要求进行测量，测量仪器为HE6250型噪声统计分析仪。测量前后均经校正，前后两次校正灵敏度之差小于0.5dB。</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（3）监测时间和频次</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连续监测2天，分昼夜和夜间两个时段，各测一次。</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（4）监测结果</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项目所在区域环境噪声监测结果见</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_Ref22729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5</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-9</w:t>
      </w:r>
      <w:r>
        <w:rPr>
          <w:rFonts w:hint="default"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jc w:val="center"/>
        <w:textAlignment w:val="auto"/>
        <w:outlineLvl w:val="9"/>
        <w:rPr>
          <w:rFonts w:hint="eastAsia" w:ascii="Times New Roman" w:hAnsi="Times New Roman" w:eastAsia="宋体" w:cs="Times New Roman"/>
          <w:b/>
          <w:bCs/>
          <w:kern w:val="2"/>
          <w:sz w:val="21"/>
          <w:szCs w:val="21"/>
          <w:u w:val="none"/>
          <w:vertAlign w:val="baseline"/>
          <w:lang w:val="en-US" w:eastAsia="zh-CN" w:bidi="ar-SA"/>
        </w:rPr>
      </w:pPr>
      <w:bookmarkStart w:id="1080" w:name="_Ref22729"/>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5</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9</w:t>
      </w:r>
      <w:r>
        <w:rPr>
          <w:rFonts w:ascii="Times New Roman" w:hAnsi="Times New Roman" w:eastAsia="宋体" w:cs="Times New Roman"/>
          <w:b/>
          <w:kern w:val="2"/>
          <w:sz w:val="21"/>
          <w:szCs w:val="21"/>
          <w:lang w:val="en-US" w:eastAsia="zh-CN" w:bidi="ar-SA"/>
        </w:rPr>
        <w:fldChar w:fldCharType="end"/>
      </w:r>
      <w:bookmarkEnd w:id="1080"/>
      <w:r>
        <w:rPr>
          <w:rFonts w:hint="default" w:ascii="Times New Roman" w:hAnsi="Times New Roman" w:eastAsia="宋体" w:cs="Times New Roman"/>
          <w:b/>
          <w:bCs/>
          <w:kern w:val="2"/>
          <w:sz w:val="21"/>
          <w:szCs w:val="21"/>
          <w:u w:val="none"/>
          <w:vertAlign w:val="baseline"/>
          <w:lang w:val="en-US" w:eastAsia="zh-CN" w:bidi="ar-SA"/>
        </w:rPr>
        <w:t>项目环境噪声质量现状监测一</w:t>
      </w:r>
      <w:r>
        <w:rPr>
          <w:rFonts w:hint="eastAsia" w:ascii="Times New Roman" w:hAnsi="Times New Roman" w:eastAsia="宋体" w:cs="Times New Roman"/>
          <w:b/>
          <w:bCs/>
          <w:kern w:val="2"/>
          <w:sz w:val="21"/>
          <w:szCs w:val="21"/>
          <w:u w:val="none"/>
          <w:vertAlign w:val="baseline"/>
          <w:lang w:val="en-US" w:eastAsia="zh-CN" w:bidi="ar-SA"/>
        </w:rPr>
        <w:t>览表单位：dB（A）</w:t>
      </w:r>
    </w:p>
    <w:tbl>
      <w:tblPr>
        <w:tblStyle w:val="23"/>
        <w:tblW w:w="90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1"/>
        <w:gridCol w:w="718"/>
        <w:gridCol w:w="873"/>
        <w:gridCol w:w="845"/>
        <w:gridCol w:w="914"/>
        <w:gridCol w:w="914"/>
        <w:gridCol w:w="900"/>
        <w:gridCol w:w="1963"/>
        <w:gridCol w:w="9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1"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监测点位</w:t>
            </w:r>
          </w:p>
        </w:tc>
        <w:tc>
          <w:tcPr>
            <w:tcW w:w="718"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点位编号</w:t>
            </w:r>
          </w:p>
        </w:tc>
        <w:tc>
          <w:tcPr>
            <w:tcW w:w="873"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监测时间</w:t>
            </w:r>
          </w:p>
        </w:tc>
        <w:tc>
          <w:tcPr>
            <w:tcW w:w="1759" w:type="dxa"/>
            <w:gridSpan w:val="2"/>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监测结果</w:t>
            </w:r>
          </w:p>
        </w:tc>
        <w:tc>
          <w:tcPr>
            <w:tcW w:w="1814" w:type="dxa"/>
            <w:gridSpan w:val="2"/>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标准值</w:t>
            </w:r>
          </w:p>
        </w:tc>
        <w:tc>
          <w:tcPr>
            <w:tcW w:w="1963"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执行标准（GB3096-2008）</w:t>
            </w:r>
          </w:p>
        </w:tc>
        <w:tc>
          <w:tcPr>
            <w:tcW w:w="921"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达标</w:t>
            </w:r>
            <w:r>
              <w:rPr>
                <w:rFonts w:hint="eastAsia" w:ascii="Times New Roman" w:hAnsi="Times New Roman" w:eastAsia="宋体" w:cs="Times New Roman"/>
                <w:kern w:val="2"/>
                <w:sz w:val="24"/>
                <w:szCs w:val="24"/>
                <w:lang w:val="en-US" w:eastAsia="zh-CN" w:bidi="ar-SA"/>
              </w:rPr>
              <w:t>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1"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718"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873"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84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昼间</w:t>
            </w:r>
          </w:p>
        </w:tc>
        <w:tc>
          <w:tcPr>
            <w:tcW w:w="914"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夜间</w:t>
            </w:r>
          </w:p>
        </w:tc>
        <w:tc>
          <w:tcPr>
            <w:tcW w:w="914"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昼间</w:t>
            </w:r>
          </w:p>
        </w:tc>
        <w:tc>
          <w:tcPr>
            <w:tcW w:w="90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夜间</w:t>
            </w:r>
          </w:p>
        </w:tc>
        <w:tc>
          <w:tcPr>
            <w:tcW w:w="1963"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921"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1"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厂界东</w:t>
            </w:r>
          </w:p>
        </w:tc>
        <w:tc>
          <w:tcPr>
            <w:tcW w:w="718"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N1</w:t>
            </w:r>
          </w:p>
        </w:tc>
        <w:tc>
          <w:tcPr>
            <w:tcW w:w="873"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12.9</w:t>
            </w:r>
          </w:p>
        </w:tc>
        <w:tc>
          <w:tcPr>
            <w:tcW w:w="84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47</w:t>
            </w:r>
          </w:p>
        </w:tc>
        <w:tc>
          <w:tcPr>
            <w:tcW w:w="914"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38</w:t>
            </w:r>
          </w:p>
        </w:tc>
        <w:tc>
          <w:tcPr>
            <w:tcW w:w="914"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65</w:t>
            </w:r>
          </w:p>
        </w:tc>
        <w:tc>
          <w:tcPr>
            <w:tcW w:w="900"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55</w:t>
            </w:r>
          </w:p>
        </w:tc>
        <w:tc>
          <w:tcPr>
            <w:tcW w:w="1963"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3类</w:t>
            </w:r>
          </w:p>
        </w:tc>
        <w:tc>
          <w:tcPr>
            <w:tcW w:w="921"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1"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718"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873"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12</w:t>
            </w:r>
            <w:r>
              <w:rPr>
                <w:rFonts w:hint="default" w:ascii="Times New Roman" w:hAnsi="Times New Roman" w:eastAsia="宋体" w:cs="Times New Roman"/>
                <w:kern w:val="2"/>
                <w:sz w:val="24"/>
                <w:szCs w:val="24"/>
                <w:lang w:val="en-US" w:eastAsia="zh-CN" w:bidi="ar-SA"/>
              </w:rPr>
              <w:t>.10</w:t>
            </w:r>
          </w:p>
        </w:tc>
        <w:tc>
          <w:tcPr>
            <w:tcW w:w="84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51</w:t>
            </w:r>
          </w:p>
        </w:tc>
        <w:tc>
          <w:tcPr>
            <w:tcW w:w="914"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36</w:t>
            </w:r>
          </w:p>
        </w:tc>
        <w:tc>
          <w:tcPr>
            <w:tcW w:w="914"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900"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1963"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921"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1"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厂界南</w:t>
            </w:r>
          </w:p>
        </w:tc>
        <w:tc>
          <w:tcPr>
            <w:tcW w:w="718"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N2</w:t>
            </w:r>
          </w:p>
        </w:tc>
        <w:tc>
          <w:tcPr>
            <w:tcW w:w="873"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12</w:t>
            </w:r>
            <w:r>
              <w:rPr>
                <w:rFonts w:hint="default" w:ascii="Times New Roman" w:hAnsi="Times New Roman" w:eastAsia="宋体" w:cs="Times New Roman"/>
                <w:kern w:val="2"/>
                <w:sz w:val="24"/>
                <w:szCs w:val="24"/>
                <w:lang w:val="en-US" w:eastAsia="zh-CN" w:bidi="ar-SA"/>
              </w:rPr>
              <w:t>.9</w:t>
            </w:r>
          </w:p>
        </w:tc>
        <w:tc>
          <w:tcPr>
            <w:tcW w:w="84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48</w:t>
            </w:r>
          </w:p>
        </w:tc>
        <w:tc>
          <w:tcPr>
            <w:tcW w:w="914"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40</w:t>
            </w:r>
          </w:p>
        </w:tc>
        <w:tc>
          <w:tcPr>
            <w:tcW w:w="914"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65</w:t>
            </w:r>
          </w:p>
        </w:tc>
        <w:tc>
          <w:tcPr>
            <w:tcW w:w="900"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55</w:t>
            </w:r>
          </w:p>
        </w:tc>
        <w:tc>
          <w:tcPr>
            <w:tcW w:w="1963"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3类</w:t>
            </w:r>
          </w:p>
        </w:tc>
        <w:tc>
          <w:tcPr>
            <w:tcW w:w="921"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1"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718"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873"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12</w:t>
            </w:r>
            <w:r>
              <w:rPr>
                <w:rFonts w:hint="default" w:ascii="Times New Roman" w:hAnsi="Times New Roman" w:eastAsia="宋体" w:cs="Times New Roman"/>
                <w:kern w:val="2"/>
                <w:sz w:val="24"/>
                <w:szCs w:val="24"/>
                <w:lang w:val="en-US" w:eastAsia="zh-CN" w:bidi="ar-SA"/>
              </w:rPr>
              <w:t>.10</w:t>
            </w:r>
          </w:p>
        </w:tc>
        <w:tc>
          <w:tcPr>
            <w:tcW w:w="84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53</w:t>
            </w:r>
          </w:p>
        </w:tc>
        <w:tc>
          <w:tcPr>
            <w:tcW w:w="914"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42</w:t>
            </w:r>
          </w:p>
        </w:tc>
        <w:tc>
          <w:tcPr>
            <w:tcW w:w="914"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900"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1963"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921"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1"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厂界西</w:t>
            </w:r>
          </w:p>
        </w:tc>
        <w:tc>
          <w:tcPr>
            <w:tcW w:w="718"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N3</w:t>
            </w:r>
          </w:p>
        </w:tc>
        <w:tc>
          <w:tcPr>
            <w:tcW w:w="873"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12</w:t>
            </w:r>
            <w:r>
              <w:rPr>
                <w:rFonts w:hint="default" w:ascii="Times New Roman" w:hAnsi="Times New Roman" w:eastAsia="宋体" w:cs="Times New Roman"/>
                <w:kern w:val="2"/>
                <w:sz w:val="24"/>
                <w:szCs w:val="24"/>
                <w:lang w:val="en-US" w:eastAsia="zh-CN" w:bidi="ar-SA"/>
              </w:rPr>
              <w:t>.9</w:t>
            </w:r>
          </w:p>
        </w:tc>
        <w:tc>
          <w:tcPr>
            <w:tcW w:w="84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56</w:t>
            </w:r>
          </w:p>
        </w:tc>
        <w:tc>
          <w:tcPr>
            <w:tcW w:w="914"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42</w:t>
            </w:r>
          </w:p>
        </w:tc>
        <w:tc>
          <w:tcPr>
            <w:tcW w:w="914"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65</w:t>
            </w:r>
          </w:p>
        </w:tc>
        <w:tc>
          <w:tcPr>
            <w:tcW w:w="900"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55</w:t>
            </w:r>
          </w:p>
        </w:tc>
        <w:tc>
          <w:tcPr>
            <w:tcW w:w="1963"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3类</w:t>
            </w:r>
          </w:p>
        </w:tc>
        <w:tc>
          <w:tcPr>
            <w:tcW w:w="921"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1"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718"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873"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12</w:t>
            </w:r>
            <w:r>
              <w:rPr>
                <w:rFonts w:hint="default" w:ascii="Times New Roman" w:hAnsi="Times New Roman" w:eastAsia="宋体" w:cs="Times New Roman"/>
                <w:kern w:val="2"/>
                <w:sz w:val="24"/>
                <w:szCs w:val="24"/>
                <w:lang w:val="en-US" w:eastAsia="zh-CN" w:bidi="ar-SA"/>
              </w:rPr>
              <w:t>.10</w:t>
            </w:r>
          </w:p>
        </w:tc>
        <w:tc>
          <w:tcPr>
            <w:tcW w:w="84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59</w:t>
            </w:r>
          </w:p>
        </w:tc>
        <w:tc>
          <w:tcPr>
            <w:tcW w:w="914"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43</w:t>
            </w:r>
          </w:p>
        </w:tc>
        <w:tc>
          <w:tcPr>
            <w:tcW w:w="914"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900"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1963"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921"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1"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厂界北</w:t>
            </w:r>
          </w:p>
        </w:tc>
        <w:tc>
          <w:tcPr>
            <w:tcW w:w="718"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N4</w:t>
            </w:r>
          </w:p>
        </w:tc>
        <w:tc>
          <w:tcPr>
            <w:tcW w:w="873"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12</w:t>
            </w:r>
            <w:r>
              <w:rPr>
                <w:rFonts w:hint="default" w:ascii="Times New Roman" w:hAnsi="Times New Roman" w:eastAsia="宋体" w:cs="Times New Roman"/>
                <w:kern w:val="2"/>
                <w:sz w:val="24"/>
                <w:szCs w:val="24"/>
                <w:lang w:val="en-US" w:eastAsia="zh-CN" w:bidi="ar-SA"/>
              </w:rPr>
              <w:t>.9</w:t>
            </w:r>
          </w:p>
        </w:tc>
        <w:tc>
          <w:tcPr>
            <w:tcW w:w="84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52</w:t>
            </w:r>
          </w:p>
        </w:tc>
        <w:tc>
          <w:tcPr>
            <w:tcW w:w="914"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4</w:t>
            </w:r>
            <w:r>
              <w:rPr>
                <w:rFonts w:hint="eastAsia" w:ascii="Times New Roman" w:hAnsi="Times New Roman" w:eastAsia="宋体" w:cs="Times New Roman"/>
                <w:kern w:val="2"/>
                <w:sz w:val="24"/>
                <w:szCs w:val="24"/>
                <w:lang w:val="en-US" w:eastAsia="zh-CN" w:bidi="ar-SA"/>
              </w:rPr>
              <w:t>0</w:t>
            </w:r>
          </w:p>
        </w:tc>
        <w:tc>
          <w:tcPr>
            <w:tcW w:w="914"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65</w:t>
            </w:r>
          </w:p>
        </w:tc>
        <w:tc>
          <w:tcPr>
            <w:tcW w:w="900"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55</w:t>
            </w:r>
          </w:p>
        </w:tc>
        <w:tc>
          <w:tcPr>
            <w:tcW w:w="1963"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3类</w:t>
            </w:r>
          </w:p>
        </w:tc>
        <w:tc>
          <w:tcPr>
            <w:tcW w:w="921"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1"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718"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873"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12</w:t>
            </w:r>
            <w:r>
              <w:rPr>
                <w:rFonts w:hint="default" w:ascii="Times New Roman" w:hAnsi="Times New Roman" w:eastAsia="宋体" w:cs="Times New Roman"/>
                <w:kern w:val="2"/>
                <w:sz w:val="24"/>
                <w:szCs w:val="24"/>
                <w:lang w:val="en-US" w:eastAsia="zh-CN" w:bidi="ar-SA"/>
              </w:rPr>
              <w:t>.10</w:t>
            </w:r>
          </w:p>
        </w:tc>
        <w:tc>
          <w:tcPr>
            <w:tcW w:w="84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50</w:t>
            </w:r>
          </w:p>
        </w:tc>
        <w:tc>
          <w:tcPr>
            <w:tcW w:w="914"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39</w:t>
            </w:r>
          </w:p>
        </w:tc>
        <w:tc>
          <w:tcPr>
            <w:tcW w:w="914"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900"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1963"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921"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从监测数据来看，本项目建设地东、南、西、北厂界及厂房内声环境昼间、夜间均能达到《声环境质量标准》（GB3096-2008）中的3类标准要求，表明项目建设地声环境质量较好。</w:t>
      </w:r>
    </w:p>
    <w:p>
      <w:pPr>
        <w:pStyle w:val="4"/>
        <w:bidi w:val="0"/>
        <w:rPr>
          <w:lang w:val="en-US" w:eastAsia="zh-CN"/>
        </w:rPr>
      </w:pPr>
      <w:bookmarkStart w:id="1081" w:name="_Toc21181"/>
      <w:bookmarkStart w:id="1082" w:name="_Toc8236"/>
      <w:bookmarkStart w:id="1083" w:name="_Toc725"/>
      <w:bookmarkStart w:id="1084" w:name="_Toc13547"/>
      <w:r>
        <w:rPr>
          <w:lang w:val="en-US" w:eastAsia="zh-CN"/>
        </w:rPr>
        <w:t>土壤环境现状监测与评价</w:t>
      </w:r>
      <w:bookmarkEnd w:id="1070"/>
      <w:bookmarkEnd w:id="1071"/>
      <w:bookmarkEnd w:id="1072"/>
      <w:bookmarkEnd w:id="1073"/>
      <w:bookmarkEnd w:id="1074"/>
      <w:bookmarkEnd w:id="1075"/>
      <w:bookmarkEnd w:id="1076"/>
      <w:bookmarkEnd w:id="1077"/>
      <w:bookmarkEnd w:id="1078"/>
      <w:bookmarkEnd w:id="1079"/>
      <w:bookmarkEnd w:id="1081"/>
      <w:bookmarkEnd w:id="1082"/>
      <w:bookmarkEnd w:id="1083"/>
      <w:bookmarkEnd w:id="1084"/>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土壤环境影响评价项目类别为Ⅳ类；且根据导则4.2.2中“Ⅳ类建设项目可不开展土壤环境影响评价”。但是为了解项目所在区域内的土壤环境质量现状，本报告引用本环评单位在金龙新区卓达金谷创新园为《湖南中科实业有限公司年产20000吨水性涂料混合与分装项目环境影响报告表》实地采样分析的土壤监测数据</w:t>
      </w:r>
      <w:r>
        <w:rPr>
          <w:rFonts w:hint="eastAsia" w:ascii="Times New Roman" w:hAnsi="Times New Roman" w:eastAsia="宋体" w:cs="宋体"/>
          <w:color w:val="auto"/>
          <w:kern w:val="2"/>
          <w:sz w:val="24"/>
          <w:szCs w:val="24"/>
          <w:lang w:val="en-US" w:eastAsia="zh-CN" w:bidi="ar-SA"/>
        </w:rPr>
        <w:t>（监测单位湖南中骏高新科技股份有限公司），</w:t>
      </w:r>
      <w:r>
        <w:rPr>
          <w:rFonts w:hint="eastAsia" w:ascii="Times New Roman" w:hAnsi="Times New Roman" w:eastAsia="宋体" w:cs="宋体"/>
          <w:kern w:val="2"/>
          <w:sz w:val="24"/>
          <w:szCs w:val="24"/>
          <w:lang w:val="en-US" w:eastAsia="zh-CN" w:bidi="ar-SA"/>
        </w:rPr>
        <w:t>湖南中科实业公司土壤监测点位于金龙镇新光村范庄组，地处聚特公司南面1200m</w:t>
      </w:r>
      <w:r>
        <w:rPr>
          <w:rFonts w:hint="eastAsia" w:ascii="Times New Roman" w:hAnsi="Times New Roman" w:eastAsia="宋体" w:cs="宋体"/>
          <w:color w:val="auto"/>
          <w:kern w:val="2"/>
          <w:sz w:val="24"/>
          <w:szCs w:val="24"/>
          <w:lang w:val="en-US" w:eastAsia="zh-CN" w:bidi="ar-SA"/>
        </w:rPr>
        <w:t>。同时引用《湘阴县雅彩化妆用</w:t>
      </w:r>
      <w:r>
        <w:rPr>
          <w:rFonts w:hint="eastAsia" w:ascii="Times New Roman" w:hAnsi="Times New Roman" w:eastAsia="宋体" w:cs="宋体"/>
          <w:kern w:val="2"/>
          <w:sz w:val="24"/>
          <w:szCs w:val="24"/>
          <w:lang w:val="en-US" w:eastAsia="zh-CN" w:bidi="ar-SA"/>
        </w:rPr>
        <w:t>品有限公司年产化妆刷3000万支、化妆粉扑5000万个项目环境影响报告书》中的土壤监测数据，雅彩公司土壤监测点位于雅彩公司项目所在地，地处聚特公司东北150m。用以分析评价项目周边土壤环境质量。</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湖南中骏高新科技股份有限公司现场土壤监测现场参数及监测结果分别见表5-10和表5-11。</w:t>
      </w:r>
    </w:p>
    <w:p>
      <w:pPr>
        <w:widowControl w:val="0"/>
        <w:bidi w:val="0"/>
        <w:spacing w:line="360" w:lineRule="auto"/>
        <w:jc w:val="center"/>
        <w:rPr>
          <w:rFonts w:hint="default" w:ascii="Times New Roman" w:hAnsi="Times New Roman" w:eastAsia="宋体" w:cs="Times New Roman"/>
          <w:b/>
          <w:bCs/>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5</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10</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 xml:space="preserve"> </w:t>
      </w:r>
      <w:r>
        <w:rPr>
          <w:rFonts w:hint="eastAsia" w:ascii="Times New Roman" w:hAnsi="Times New Roman" w:eastAsia="宋体" w:cs="Times New Roman"/>
          <w:b/>
          <w:bCs/>
          <w:kern w:val="2"/>
          <w:sz w:val="21"/>
          <w:szCs w:val="21"/>
          <w:lang w:val="en-US" w:eastAsia="zh-CN" w:bidi="ar-SA"/>
        </w:rPr>
        <w:t>卓达金谷创新园周边土壤监测现场参数表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786"/>
        <w:gridCol w:w="1256"/>
        <w:gridCol w:w="1179"/>
        <w:gridCol w:w="1211"/>
        <w:gridCol w:w="1181"/>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编号</w:t>
            </w:r>
          </w:p>
        </w:tc>
        <w:tc>
          <w:tcPr>
            <w:tcW w:w="178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采样点位</w:t>
            </w:r>
          </w:p>
        </w:tc>
        <w:tc>
          <w:tcPr>
            <w:tcW w:w="125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采样日期</w:t>
            </w:r>
          </w:p>
        </w:tc>
        <w:tc>
          <w:tcPr>
            <w:tcW w:w="117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土壤植被</w:t>
            </w:r>
          </w:p>
        </w:tc>
        <w:tc>
          <w:tcPr>
            <w:tcW w:w="121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断面深度</w:t>
            </w:r>
          </w:p>
        </w:tc>
        <w:tc>
          <w:tcPr>
            <w:tcW w:w="118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土壤颜色</w:t>
            </w:r>
          </w:p>
        </w:tc>
        <w:tc>
          <w:tcPr>
            <w:tcW w:w="118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土壤类型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210"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ZJC2019061202</w:t>
            </w:r>
          </w:p>
        </w:tc>
        <w:tc>
          <w:tcPr>
            <w:tcW w:w="178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湘阴县金龙镇新光村范庄组（卓达金谷创业园南侧）</w:t>
            </w:r>
          </w:p>
        </w:tc>
        <w:tc>
          <w:tcPr>
            <w:tcW w:w="1256"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2019.6.4</w:t>
            </w:r>
          </w:p>
        </w:tc>
        <w:tc>
          <w:tcPr>
            <w:tcW w:w="117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山坡林地</w:t>
            </w:r>
          </w:p>
        </w:tc>
        <w:tc>
          <w:tcPr>
            <w:tcW w:w="121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0.2m</w:t>
            </w:r>
          </w:p>
        </w:tc>
        <w:tc>
          <w:tcPr>
            <w:tcW w:w="118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棕黄色</w:t>
            </w:r>
          </w:p>
        </w:tc>
        <w:tc>
          <w:tcPr>
            <w:tcW w:w="118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棕红壤</w:t>
            </w:r>
          </w:p>
        </w:tc>
      </w:tr>
    </w:tbl>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p>
    <w:p>
      <w:pPr>
        <w:widowControl w:val="0"/>
        <w:bidi w:val="0"/>
        <w:spacing w:line="360" w:lineRule="auto"/>
        <w:jc w:val="center"/>
        <w:rPr>
          <w:rFonts w:hint="default" w:ascii="Times New Roman" w:hAnsi="Times New Roman" w:eastAsia="宋体" w:cs="Times New Roman"/>
          <w:b/>
          <w:bCs/>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5</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11</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 xml:space="preserve"> 金龙镇新光村范庄组</w:t>
      </w:r>
      <w:r>
        <w:rPr>
          <w:rFonts w:hint="eastAsia" w:ascii="Times New Roman" w:hAnsi="Times New Roman" w:eastAsia="宋体" w:cs="Times New Roman"/>
          <w:b/>
          <w:bCs/>
          <w:kern w:val="2"/>
          <w:sz w:val="21"/>
          <w:szCs w:val="21"/>
          <w:lang w:val="en-US" w:eastAsia="zh-CN" w:bidi="ar-SA"/>
        </w:rPr>
        <w:t xml:space="preserve">土壤监测结果表  </w:t>
      </w:r>
      <w:r>
        <w:rPr>
          <w:rFonts w:ascii="Times New Roman" w:hAnsi="Times New Roman" w:eastAsia="宋体" w:cs="Times New Roman"/>
          <w:b/>
          <w:kern w:val="2"/>
          <w:sz w:val="21"/>
          <w:szCs w:val="21"/>
          <w:lang w:val="en-US" w:eastAsia="zh-CN" w:bidi="ar-SA"/>
        </w:rPr>
        <w:t>单位：mg/kg</w:t>
      </w:r>
    </w:p>
    <w:tbl>
      <w:tblPr>
        <w:tblStyle w:val="23"/>
        <w:tblW w:w="93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777"/>
        <w:gridCol w:w="833"/>
        <w:gridCol w:w="777"/>
        <w:gridCol w:w="749"/>
        <w:gridCol w:w="777"/>
        <w:gridCol w:w="862"/>
        <w:gridCol w:w="778"/>
        <w:gridCol w:w="778"/>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监测项目</w:t>
            </w:r>
          </w:p>
        </w:tc>
        <w:tc>
          <w:tcPr>
            <w:tcW w:w="77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lang w:val="en-US" w:eastAsia="zh-CN" w:bidi="ar-SA"/>
              </w:rPr>
              <w:t>镉</w:t>
            </w:r>
          </w:p>
        </w:tc>
        <w:tc>
          <w:tcPr>
            <w:tcW w:w="83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汞</w:t>
            </w:r>
          </w:p>
        </w:tc>
        <w:tc>
          <w:tcPr>
            <w:tcW w:w="77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lang w:val="en-US" w:eastAsia="zh-CN" w:bidi="ar-SA"/>
              </w:rPr>
              <w:t>砷</w:t>
            </w:r>
          </w:p>
        </w:tc>
        <w:tc>
          <w:tcPr>
            <w:tcW w:w="74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lang w:val="en-US" w:eastAsia="zh-CN" w:bidi="ar-SA"/>
              </w:rPr>
              <w:t>铅</w:t>
            </w:r>
          </w:p>
        </w:tc>
        <w:tc>
          <w:tcPr>
            <w:tcW w:w="77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lang w:val="en-US" w:eastAsia="zh-CN" w:bidi="ar-SA"/>
              </w:rPr>
              <w:t>总铬</w:t>
            </w:r>
          </w:p>
        </w:tc>
        <w:tc>
          <w:tcPr>
            <w:tcW w:w="8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lang w:val="en-US" w:eastAsia="zh-CN" w:bidi="ar-SA"/>
              </w:rPr>
              <w:t>铜</w:t>
            </w:r>
          </w:p>
        </w:tc>
        <w:tc>
          <w:tcPr>
            <w:tcW w:w="77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镍</w:t>
            </w:r>
          </w:p>
        </w:tc>
        <w:tc>
          <w:tcPr>
            <w:tcW w:w="77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lang w:val="en-US" w:eastAsia="zh-CN" w:bidi="ar-SA"/>
              </w:rPr>
              <w:t>锌</w:t>
            </w:r>
          </w:p>
        </w:tc>
        <w:tc>
          <w:tcPr>
            <w:tcW w:w="105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lang w:val="en-US" w:eastAsia="zh-CN" w:bidi="ar-SA"/>
              </w:rPr>
              <w:t>六价铬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监测结果</w:t>
            </w:r>
          </w:p>
        </w:tc>
        <w:tc>
          <w:tcPr>
            <w:tcW w:w="77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0.06</w:t>
            </w:r>
          </w:p>
        </w:tc>
        <w:tc>
          <w:tcPr>
            <w:tcW w:w="83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0.109</w:t>
            </w:r>
          </w:p>
        </w:tc>
        <w:tc>
          <w:tcPr>
            <w:tcW w:w="77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21.3</w:t>
            </w:r>
          </w:p>
        </w:tc>
        <w:tc>
          <w:tcPr>
            <w:tcW w:w="74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48</w:t>
            </w:r>
          </w:p>
        </w:tc>
        <w:tc>
          <w:tcPr>
            <w:tcW w:w="77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78.4</w:t>
            </w:r>
          </w:p>
        </w:tc>
        <w:tc>
          <w:tcPr>
            <w:tcW w:w="8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22</w:t>
            </w:r>
          </w:p>
        </w:tc>
        <w:tc>
          <w:tcPr>
            <w:tcW w:w="77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33.3</w:t>
            </w:r>
          </w:p>
        </w:tc>
        <w:tc>
          <w:tcPr>
            <w:tcW w:w="77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71.4</w:t>
            </w:r>
          </w:p>
        </w:tc>
        <w:tc>
          <w:tcPr>
            <w:tcW w:w="105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950"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评价标准</w:t>
            </w:r>
            <w:r>
              <w:rPr>
                <w:rFonts w:hint="eastAsia" w:ascii="Times New Roman" w:hAnsi="Times New Roman" w:eastAsia="宋体" w:cs="宋体"/>
                <w:kern w:val="2"/>
                <w:sz w:val="24"/>
                <w:szCs w:val="24"/>
                <w:lang w:val="en-US" w:eastAsia="zh-CN" w:bidi="ar-SA"/>
              </w:rPr>
              <w:t>GB36600-2018表1中第二类用地筛选值</w:t>
            </w:r>
          </w:p>
        </w:tc>
        <w:tc>
          <w:tcPr>
            <w:tcW w:w="77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65</w:t>
            </w:r>
          </w:p>
        </w:tc>
        <w:tc>
          <w:tcPr>
            <w:tcW w:w="833"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38</w:t>
            </w:r>
          </w:p>
        </w:tc>
        <w:tc>
          <w:tcPr>
            <w:tcW w:w="77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60</w:t>
            </w:r>
          </w:p>
        </w:tc>
        <w:tc>
          <w:tcPr>
            <w:tcW w:w="74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800</w:t>
            </w:r>
          </w:p>
        </w:tc>
        <w:tc>
          <w:tcPr>
            <w:tcW w:w="777"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w:t>
            </w:r>
          </w:p>
        </w:tc>
        <w:tc>
          <w:tcPr>
            <w:tcW w:w="86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18000</w:t>
            </w:r>
          </w:p>
        </w:tc>
        <w:tc>
          <w:tcPr>
            <w:tcW w:w="77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900</w:t>
            </w:r>
          </w:p>
        </w:tc>
        <w:tc>
          <w:tcPr>
            <w:tcW w:w="77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w:t>
            </w:r>
          </w:p>
        </w:tc>
        <w:tc>
          <w:tcPr>
            <w:tcW w:w="1052"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宋体"/>
                <w:kern w:val="2"/>
                <w:sz w:val="24"/>
                <w:szCs w:val="24"/>
                <w:vertAlign w:val="baseline"/>
                <w:lang w:val="en-US" w:eastAsia="zh-CN" w:bidi="ar-SA"/>
              </w:rPr>
            </w:pPr>
            <w:r>
              <w:rPr>
                <w:rFonts w:hint="eastAsia" w:ascii="Times New Roman" w:hAnsi="Times New Roman" w:eastAsia="宋体" w:cs="宋体"/>
                <w:kern w:val="2"/>
                <w:sz w:val="24"/>
                <w:szCs w:val="24"/>
                <w:vertAlign w:val="baseline"/>
                <w:lang w:val="en-US" w:eastAsia="zh-CN" w:bidi="ar-SA"/>
              </w:rPr>
              <w:t>5.7</w:t>
            </w:r>
          </w:p>
        </w:tc>
      </w:tr>
    </w:tbl>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雅彩化妆品公司环评报告书土壤监测时间为2019年6月20日，监测单位为湖南汨江检测有限公司。雅彩化妆品公司土壤监测结果见</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_Ref22817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5</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-1</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2。</w:t>
      </w:r>
    </w:p>
    <w:p>
      <w:pPr>
        <w:widowControl w:val="0"/>
        <w:spacing w:line="360" w:lineRule="auto"/>
        <w:jc w:val="center"/>
        <w:rPr>
          <w:rFonts w:ascii="Times New Roman" w:hAnsi="Times New Roman" w:eastAsia="宋体" w:cs="Times New Roman"/>
          <w:b/>
          <w:kern w:val="2"/>
          <w:sz w:val="21"/>
          <w:szCs w:val="21"/>
          <w:lang w:val="en-US" w:eastAsia="zh-CN" w:bidi="ar-SA"/>
        </w:rPr>
        <w:sectPr>
          <w:pgSz w:w="11906" w:h="16838"/>
          <w:pgMar w:top="1417" w:right="1417" w:bottom="1134" w:left="1701" w:header="851" w:footer="992" w:gutter="0"/>
          <w:pgBorders>
            <w:top w:val="none" w:sz="0" w:space="0"/>
            <w:left w:val="none" w:sz="0" w:space="0"/>
            <w:bottom w:val="none" w:sz="0" w:space="0"/>
            <w:right w:val="none" w:sz="0" w:space="0"/>
          </w:pgBorders>
          <w:pgNumType w:fmt="decimal"/>
          <w:cols w:space="0" w:num="1"/>
          <w:rtlGutter w:val="0"/>
          <w:docGrid w:linePitch="312" w:charSpace="0"/>
        </w:sectPr>
      </w:pPr>
      <w:bookmarkStart w:id="1085" w:name="_Ref22918"/>
    </w:p>
    <w:p>
      <w:pPr>
        <w:widowControl w:val="0"/>
        <w:spacing w:line="360" w:lineRule="auto"/>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5</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12</w:t>
      </w:r>
      <w:r>
        <w:rPr>
          <w:rFonts w:ascii="Times New Roman" w:hAnsi="Times New Roman" w:eastAsia="宋体" w:cs="Times New Roman"/>
          <w:b/>
          <w:kern w:val="2"/>
          <w:sz w:val="21"/>
          <w:szCs w:val="21"/>
          <w:lang w:val="en-US" w:eastAsia="zh-CN" w:bidi="ar-SA"/>
        </w:rPr>
        <w:fldChar w:fldCharType="end"/>
      </w:r>
      <w:bookmarkEnd w:id="1085"/>
      <w:r>
        <w:rPr>
          <w:rFonts w:hint="eastAsia" w:ascii="Times New Roman" w:hAnsi="Times New Roman" w:eastAsia="宋体" w:cs="Times New Roman"/>
          <w:b/>
          <w:kern w:val="2"/>
          <w:sz w:val="21"/>
          <w:szCs w:val="21"/>
          <w:lang w:val="en-US" w:eastAsia="zh-CN" w:bidi="ar-SA"/>
        </w:rPr>
        <w:t xml:space="preserve"> 雅彩化妆品公司项目所在地</w:t>
      </w:r>
      <w:r>
        <w:rPr>
          <w:rFonts w:ascii="Times New Roman" w:hAnsi="Times New Roman" w:eastAsia="宋体" w:cs="Times New Roman"/>
          <w:b/>
          <w:kern w:val="2"/>
          <w:sz w:val="21"/>
          <w:szCs w:val="21"/>
          <w:lang w:val="en-US" w:eastAsia="zh-CN" w:bidi="ar-SA"/>
        </w:rPr>
        <w:t>土壤现状监测结果 单位：mg/kg</w:t>
      </w:r>
    </w:p>
    <w:tbl>
      <w:tblPr>
        <w:tblStyle w:val="22"/>
        <w:tblW w:w="91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15"/>
        <w:gridCol w:w="975"/>
        <w:gridCol w:w="1170"/>
        <w:gridCol w:w="930"/>
        <w:gridCol w:w="840"/>
        <w:gridCol w:w="840"/>
        <w:gridCol w:w="1051"/>
        <w:gridCol w:w="8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1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vertAlign w:val="baseline"/>
                <w:lang w:val="en-US" w:eastAsia="zh-CN" w:bidi="ar-SA"/>
              </w:rPr>
              <w:t>监测项目</w:t>
            </w:r>
          </w:p>
        </w:tc>
        <w:tc>
          <w:tcPr>
            <w:tcW w:w="97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pH</w:t>
            </w:r>
          </w:p>
        </w:tc>
        <w:tc>
          <w:tcPr>
            <w:tcW w:w="117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铜</w:t>
            </w:r>
          </w:p>
        </w:tc>
        <w:tc>
          <w:tcPr>
            <w:tcW w:w="93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铅</w:t>
            </w:r>
          </w:p>
        </w:tc>
        <w:tc>
          <w:tcPr>
            <w:tcW w:w="84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锌</w:t>
            </w:r>
          </w:p>
        </w:tc>
        <w:tc>
          <w:tcPr>
            <w:tcW w:w="84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镉</w:t>
            </w:r>
          </w:p>
        </w:tc>
        <w:tc>
          <w:tcPr>
            <w:tcW w:w="105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六价铬</w:t>
            </w:r>
          </w:p>
        </w:tc>
        <w:tc>
          <w:tcPr>
            <w:tcW w:w="88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1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监测</w:t>
            </w:r>
            <w:r>
              <w:rPr>
                <w:rFonts w:hint="eastAsia" w:ascii="Times New Roman" w:hAnsi="Times New Roman" w:eastAsia="宋体" w:cs="Times New Roman"/>
                <w:kern w:val="2"/>
                <w:sz w:val="24"/>
                <w:szCs w:val="24"/>
                <w:lang w:val="en-US" w:eastAsia="zh-CN" w:bidi="ar-SA"/>
              </w:rPr>
              <w:t>结果</w:t>
            </w:r>
          </w:p>
        </w:tc>
        <w:tc>
          <w:tcPr>
            <w:tcW w:w="97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7.32</w:t>
            </w:r>
          </w:p>
        </w:tc>
        <w:tc>
          <w:tcPr>
            <w:tcW w:w="1170"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105</w:t>
            </w:r>
          </w:p>
        </w:tc>
        <w:tc>
          <w:tcPr>
            <w:tcW w:w="930"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2.5</w:t>
            </w:r>
          </w:p>
        </w:tc>
        <w:tc>
          <w:tcPr>
            <w:tcW w:w="840"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25.4</w:t>
            </w:r>
          </w:p>
        </w:tc>
        <w:tc>
          <w:tcPr>
            <w:tcW w:w="840"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4.06</w:t>
            </w:r>
          </w:p>
        </w:tc>
        <w:tc>
          <w:tcPr>
            <w:tcW w:w="105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4.3</w:t>
            </w:r>
          </w:p>
        </w:tc>
        <w:tc>
          <w:tcPr>
            <w:tcW w:w="88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41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评价</w:t>
            </w:r>
            <w:r>
              <w:rPr>
                <w:rFonts w:ascii="Times New Roman" w:hAnsi="Times New Roman" w:eastAsia="宋体" w:cs="Times New Roman"/>
                <w:kern w:val="2"/>
                <w:sz w:val="24"/>
                <w:szCs w:val="24"/>
                <w:lang w:val="en-US" w:eastAsia="zh-CN" w:bidi="ar-SA"/>
              </w:rPr>
              <w:t>标准</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GB36600-2018表1中第二类用地筛选值</w:t>
            </w:r>
          </w:p>
        </w:tc>
        <w:tc>
          <w:tcPr>
            <w:tcW w:w="97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117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≦18000</w:t>
            </w:r>
          </w:p>
        </w:tc>
        <w:tc>
          <w:tcPr>
            <w:tcW w:w="93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≦800</w:t>
            </w:r>
          </w:p>
        </w:tc>
        <w:tc>
          <w:tcPr>
            <w:tcW w:w="84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84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≦65</w:t>
            </w:r>
          </w:p>
        </w:tc>
        <w:tc>
          <w:tcPr>
            <w:tcW w:w="105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≦5.7</w:t>
            </w:r>
          </w:p>
        </w:tc>
        <w:tc>
          <w:tcPr>
            <w:tcW w:w="88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≦60</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从上表监测结果可知，</w:t>
      </w:r>
      <w:bookmarkStart w:id="1086" w:name="_Toc30947_WPSOffice_Level2"/>
      <w:bookmarkStart w:id="1087" w:name="_Toc958585"/>
      <w:bookmarkStart w:id="1088" w:name="_Toc25842_WPSOffice_Level2"/>
      <w:bookmarkStart w:id="1089" w:name="_Toc959046"/>
      <w:bookmarkStart w:id="1090" w:name="_Toc531790551"/>
      <w:bookmarkStart w:id="1091" w:name="_Toc959330"/>
      <w:bookmarkStart w:id="1092" w:name="_Toc31869_WPSOffice_Level2"/>
      <w:bookmarkStart w:id="1093" w:name="_Toc535311736"/>
      <w:r>
        <w:rPr>
          <w:rFonts w:hint="eastAsia" w:ascii="Times New Roman" w:hAnsi="Times New Roman" w:eastAsia="宋体" w:cs="宋体"/>
          <w:kern w:val="2"/>
          <w:sz w:val="24"/>
          <w:szCs w:val="24"/>
          <w:lang w:val="en-US" w:eastAsia="zh-CN" w:bidi="ar-SA"/>
        </w:rPr>
        <w:t>项目所在区域</w:t>
      </w:r>
      <w:r>
        <w:rPr>
          <w:rFonts w:ascii="Times New Roman" w:hAnsi="Times New Roman" w:eastAsia="宋体" w:cs="宋体"/>
          <w:kern w:val="2"/>
          <w:sz w:val="24"/>
          <w:szCs w:val="24"/>
          <w:lang w:val="en-US" w:eastAsia="zh-CN" w:bidi="ar-SA"/>
        </w:rPr>
        <w:t>土壤采样点位的各项监测因子均可以满足</w:t>
      </w:r>
      <w:r>
        <w:rPr>
          <w:rFonts w:hint="eastAsia" w:ascii="Times New Roman" w:hAnsi="Times New Roman" w:eastAsia="宋体" w:cs="宋体"/>
          <w:kern w:val="2"/>
          <w:sz w:val="24"/>
          <w:szCs w:val="24"/>
          <w:lang w:val="en-US" w:eastAsia="zh-CN" w:bidi="ar-SA"/>
        </w:rPr>
        <w:t>《土壤环境质量 建设用地土壤污染风险管控标准（试行）》（GB36600-2018）表1中第二类用地筛选值。</w:t>
      </w:r>
    </w:p>
    <w:bookmarkEnd w:id="1086"/>
    <w:bookmarkEnd w:id="1087"/>
    <w:bookmarkEnd w:id="1088"/>
    <w:bookmarkEnd w:id="1089"/>
    <w:bookmarkEnd w:id="1090"/>
    <w:bookmarkEnd w:id="1091"/>
    <w:bookmarkEnd w:id="1092"/>
    <w:bookmarkEnd w:id="1093"/>
    <w:p>
      <w:pPr>
        <w:pStyle w:val="4"/>
        <w:bidi w:val="0"/>
        <w:rPr>
          <w:rFonts w:hint="eastAsia"/>
          <w:lang w:val="en-US" w:eastAsia="zh-CN"/>
        </w:rPr>
      </w:pPr>
      <w:bookmarkStart w:id="1094" w:name="_Toc7115"/>
      <w:bookmarkStart w:id="1095" w:name="_Toc24787"/>
      <w:bookmarkStart w:id="1096" w:name="_Toc10874"/>
      <w:r>
        <w:rPr>
          <w:rFonts w:hint="eastAsia"/>
          <w:lang w:val="en-US" w:eastAsia="zh-CN"/>
        </w:rPr>
        <w:t>生态环境现状</w:t>
      </w:r>
      <w:bookmarkEnd w:id="1094"/>
      <w:bookmarkEnd w:id="1095"/>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所在区域为湘阴县金龙新区，区域生态环境由原来的农村环境向城市化工业小区环境转变。根据现场调查，目前区域生态及植被良好，评价区域内未发现历史文物古迹和人文景观，评价区域内无国家明文规定的珍惜动植物群落。</w:t>
      </w:r>
    </w:p>
    <w:p>
      <w:pPr>
        <w:widowControl w:val="0"/>
        <w:bidi w:val="0"/>
        <w:spacing w:line="360" w:lineRule="auto"/>
        <w:ind w:firstLine="480" w:firstLineChars="200"/>
        <w:jc w:val="left"/>
        <w:rPr>
          <w:rFonts w:hint="eastAsia" w:ascii="Times New Roman" w:hAnsi="Times New Roman" w:eastAsia="宋体" w:cs="宋体"/>
          <w:kern w:val="2"/>
          <w:sz w:val="24"/>
          <w:szCs w:val="24"/>
          <w:highlight w:val="green"/>
          <w:lang w:val="en-US" w:eastAsia="zh-CN" w:bidi="ar-SA"/>
        </w:rPr>
      </w:pPr>
      <w:r>
        <w:rPr>
          <w:rFonts w:hint="eastAsia" w:ascii="Times New Roman" w:hAnsi="Times New Roman" w:eastAsia="宋体" w:cs="宋体"/>
          <w:kern w:val="2"/>
          <w:sz w:val="24"/>
          <w:szCs w:val="24"/>
          <w:lang w:val="en-US" w:eastAsia="zh-CN" w:bidi="ar-SA"/>
        </w:rPr>
        <w:t>主要环境保护目标：</w:t>
      </w:r>
      <w:r>
        <w:rPr>
          <w:rFonts w:ascii="Times New Roman" w:hAnsi="Times New Roman" w:eastAsia="宋体" w:cs="宋体"/>
          <w:kern w:val="2"/>
          <w:sz w:val="24"/>
          <w:szCs w:val="24"/>
          <w:lang w:val="en-US" w:eastAsia="zh-CN" w:bidi="ar-SA"/>
        </w:rPr>
        <w:t>人口集中的居民区、村庄、河流等，具体见</w:t>
      </w:r>
      <w:r>
        <w:rPr>
          <w:rFonts w:ascii="Times New Roman" w:hAnsi="Times New Roman" w:eastAsia="宋体" w:cs="宋体"/>
          <w:kern w:val="2"/>
          <w:sz w:val="24"/>
          <w:szCs w:val="24"/>
          <w:highlight w:val="cyan"/>
          <w:lang w:val="en-US" w:eastAsia="zh-CN" w:bidi="ar-SA"/>
        </w:rPr>
        <w:fldChar w:fldCharType="begin"/>
      </w:r>
      <w:r>
        <w:rPr>
          <w:rFonts w:ascii="Times New Roman" w:hAnsi="Times New Roman" w:eastAsia="宋体" w:cs="宋体"/>
          <w:kern w:val="2"/>
          <w:sz w:val="24"/>
          <w:szCs w:val="24"/>
          <w:highlight w:val="cyan"/>
          <w:lang w:val="en-US" w:eastAsia="zh-CN" w:bidi="ar-SA"/>
        </w:rPr>
        <w:instrText xml:space="preserve"> REF _Ref27065 \h </w:instrText>
      </w:r>
      <w:r>
        <w:rPr>
          <w:rFonts w:ascii="Times New Roman" w:hAnsi="Times New Roman" w:eastAsia="宋体" w:cs="宋体"/>
          <w:kern w:val="2"/>
          <w:sz w:val="24"/>
          <w:szCs w:val="24"/>
          <w:highlight w:val="cyan"/>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19</w:t>
      </w:r>
      <w:r>
        <w:rPr>
          <w:rFonts w:ascii="Times New Roman" w:hAnsi="Times New Roman" w:eastAsia="宋体" w:cs="宋体"/>
          <w:kern w:val="2"/>
          <w:sz w:val="24"/>
          <w:szCs w:val="24"/>
          <w:highlight w:val="cyan"/>
          <w:lang w:val="en-US" w:eastAsia="zh-CN" w:bidi="ar-SA"/>
        </w:rPr>
        <w:fldChar w:fldCharType="end"/>
      </w:r>
      <w:r>
        <w:rPr>
          <w:rFonts w:hint="eastAsia" w:ascii="Times New Roman" w:hAnsi="Times New Roman" w:eastAsia="宋体" w:cs="宋体"/>
          <w:kern w:val="2"/>
          <w:sz w:val="24"/>
          <w:szCs w:val="24"/>
          <w:lang w:val="en-US" w:eastAsia="zh-CN" w:bidi="ar-SA"/>
        </w:rPr>
        <w:t>和</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_Ref27153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20</w:t>
      </w:r>
      <w:r>
        <w:rPr>
          <w:rFonts w:hint="eastAsia"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项目环境敏感点分布详情见</w:t>
      </w:r>
      <w:r>
        <w:rPr>
          <w:rFonts w:hint="eastAsia" w:ascii="Times New Roman" w:hAnsi="Times New Roman" w:eastAsia="宋体" w:cs="宋体"/>
          <w:kern w:val="2"/>
          <w:sz w:val="24"/>
          <w:szCs w:val="24"/>
          <w:highlight w:val="none"/>
          <w:lang w:val="en-US" w:eastAsia="zh-CN" w:bidi="ar-SA"/>
        </w:rPr>
        <w:t>附图6</w:t>
      </w:r>
      <w:r>
        <w:rPr>
          <w:rFonts w:hint="eastAsia" w:ascii="Times New Roman" w:hAnsi="Times New Roman" w:eastAsia="宋体" w:cs="宋体"/>
          <w:kern w:val="2"/>
          <w:sz w:val="24"/>
          <w:szCs w:val="24"/>
          <w:lang w:val="en-US" w:eastAsia="zh-CN" w:bidi="ar-SA"/>
        </w:rPr>
        <w:t>。</w:t>
      </w:r>
    </w:p>
    <w:p>
      <w:pPr>
        <w:pStyle w:val="4"/>
        <w:bidi w:val="0"/>
        <w:rPr>
          <w:rFonts w:hint="eastAsia"/>
          <w:lang w:val="en-US" w:eastAsia="zh-CN"/>
        </w:rPr>
      </w:pPr>
      <w:bookmarkStart w:id="1097" w:name="_Toc3985"/>
      <w:bookmarkStart w:id="1098" w:name="_Toc7731"/>
      <w:r>
        <w:rPr>
          <w:rFonts w:hint="eastAsia"/>
          <w:lang w:val="en-US" w:eastAsia="zh-CN"/>
        </w:rPr>
        <w:t>区域污染源调查</w:t>
      </w:r>
      <w:bookmarkEnd w:id="1096"/>
      <w:bookmarkEnd w:id="1097"/>
      <w:bookmarkEnd w:id="1098"/>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1099" w:name="_Toc420928164"/>
      <w:bookmarkEnd w:id="1099"/>
      <w:r>
        <w:rPr>
          <w:rFonts w:ascii="Times New Roman" w:hAnsi="Times New Roman" w:eastAsia="宋体" w:cs="宋体"/>
          <w:kern w:val="2"/>
          <w:sz w:val="24"/>
          <w:szCs w:val="24"/>
          <w:lang w:val="en-US" w:eastAsia="zh-CN" w:bidi="ar-SA"/>
        </w:rPr>
        <w:t>湖南湘阴县金龙新区工业区位于县金龙镇，由北部、中部和南部三个工业区块组成。整个工业区以金龙镇中部连接长沙和湘阴县、贯穿金龙镇江南北的芙蓉路为工业区东部的基本分界线，工业区北部抵金龙镇香山村二、三组，文星村七组，北部和中部工业区交界处为香山村五、六组；工业区西临湘阴县静河乡水山村、金龙镇香山村七组；中部工业区和南部工业区交界处为新塘村骆家坝组、上青山组；工业区南接长沙市望城区茶亭镇。</w:t>
      </w:r>
      <w:bookmarkStart w:id="1100" w:name="_Toc420928166"/>
      <w:bookmarkEnd w:id="1100"/>
      <w:bookmarkStart w:id="1101" w:name="_Toc420928165"/>
      <w:bookmarkEnd w:id="1101"/>
      <w:r>
        <w:rPr>
          <w:rFonts w:ascii="Times New Roman" w:hAnsi="Times New Roman" w:eastAsia="宋体" w:cs="宋体"/>
          <w:kern w:val="2"/>
          <w:sz w:val="24"/>
          <w:szCs w:val="24"/>
          <w:lang w:val="en-US" w:eastAsia="zh-CN" w:bidi="ar-SA"/>
        </w:rPr>
        <w:t>工业区规划面积共516.21公顷，占金龙新区建设用地比例为31.44%，主要分布在芙蓉北路以西，分为三个工业区，自北往南依次为北部工业区、中部工业区和南部工业区，其中一类工业用地338.41公顷，主要分布在北部工业区和中部工业区；二类工业用地177.8公顷，主要分布在南部工业区。</w:t>
      </w:r>
      <w:bookmarkStart w:id="1102" w:name="_Toc6065"/>
      <w:bookmarkEnd w:id="1102"/>
    </w:p>
    <w:p>
      <w:pPr>
        <w:widowControl w:val="0"/>
        <w:bidi w:val="0"/>
        <w:spacing w:line="360" w:lineRule="auto"/>
        <w:ind w:firstLine="480" w:firstLineChars="200"/>
        <w:jc w:val="left"/>
        <w:rPr>
          <w:rFonts w:hint="eastAsia" w:ascii="Times New Roman" w:hAnsi="Times New Roman" w:eastAsia="宋体" w:cs="宋体"/>
          <w:color w:val="auto"/>
          <w:kern w:val="2"/>
          <w:sz w:val="24"/>
          <w:szCs w:val="24"/>
          <w:highlight w:val="none"/>
          <w:lang w:val="en-US" w:eastAsia="zh-CN" w:bidi="ar-SA"/>
        </w:rPr>
      </w:pPr>
      <w:r>
        <w:rPr>
          <w:rFonts w:hint="eastAsia" w:ascii="Times New Roman" w:hAnsi="Times New Roman" w:eastAsia="宋体" w:cs="宋体"/>
          <w:kern w:val="2"/>
          <w:sz w:val="24"/>
          <w:szCs w:val="24"/>
          <w:lang w:val="en-US" w:eastAsia="zh-CN" w:bidi="ar-SA"/>
        </w:rPr>
        <w:t>项目拟建地属于金龙工业园二类工业用地之中，金龙工业园规划环境影响评价报告书于2</w:t>
      </w:r>
      <w:r>
        <w:rPr>
          <w:rFonts w:ascii="Times New Roman" w:hAnsi="Times New Roman" w:eastAsia="宋体" w:cs="宋体"/>
          <w:kern w:val="2"/>
          <w:sz w:val="24"/>
          <w:szCs w:val="24"/>
          <w:lang w:val="en-US" w:eastAsia="zh-CN" w:bidi="ar-SA"/>
        </w:rPr>
        <w:t>017</w:t>
      </w:r>
      <w:r>
        <w:rPr>
          <w:rFonts w:hint="eastAsia" w:ascii="Times New Roman" w:hAnsi="Times New Roman" w:eastAsia="宋体" w:cs="宋体"/>
          <w:kern w:val="2"/>
          <w:sz w:val="24"/>
          <w:szCs w:val="24"/>
          <w:lang w:val="en-US" w:eastAsia="zh-CN" w:bidi="ar-SA"/>
        </w:rPr>
        <w:t>年5月2</w:t>
      </w:r>
      <w:r>
        <w:rPr>
          <w:rFonts w:ascii="Times New Roman" w:hAnsi="Times New Roman" w:eastAsia="宋体" w:cs="宋体"/>
          <w:kern w:val="2"/>
          <w:sz w:val="24"/>
          <w:szCs w:val="24"/>
          <w:lang w:val="en-US" w:eastAsia="zh-CN" w:bidi="ar-SA"/>
        </w:rPr>
        <w:t>6</w:t>
      </w:r>
      <w:r>
        <w:rPr>
          <w:rFonts w:hint="eastAsia" w:ascii="Times New Roman" w:hAnsi="Times New Roman" w:eastAsia="宋体" w:cs="宋体"/>
          <w:kern w:val="2"/>
          <w:sz w:val="24"/>
          <w:szCs w:val="24"/>
          <w:lang w:val="en-US" w:eastAsia="zh-CN" w:bidi="ar-SA"/>
        </w:rPr>
        <w:t>日取得岳阳市生态环境局审查意见，金龙工业</w:t>
      </w:r>
      <w:r>
        <w:rPr>
          <w:rFonts w:hint="eastAsia" w:ascii="Times New Roman" w:hAnsi="Times New Roman" w:eastAsia="宋体" w:cs="宋体"/>
          <w:color w:val="auto"/>
          <w:kern w:val="2"/>
          <w:sz w:val="24"/>
          <w:szCs w:val="24"/>
          <w:highlight w:val="none"/>
          <w:lang w:val="en-US" w:eastAsia="zh-CN" w:bidi="ar-SA"/>
        </w:rPr>
        <w:t>园区内已取得环境影响评价的企业位置分布图见附图3，排污情况见</w:t>
      </w:r>
      <w:r>
        <w:rPr>
          <w:rFonts w:hint="eastAsia" w:ascii="Times New Roman" w:hAnsi="Times New Roman" w:eastAsia="宋体" w:cs="宋体"/>
          <w:color w:val="auto"/>
          <w:kern w:val="2"/>
          <w:sz w:val="24"/>
          <w:szCs w:val="24"/>
          <w:highlight w:val="none"/>
          <w:lang w:val="en-US" w:eastAsia="zh-CN" w:bidi="ar-SA"/>
        </w:rPr>
        <w:fldChar w:fldCharType="begin"/>
      </w:r>
      <w:r>
        <w:rPr>
          <w:rFonts w:hint="eastAsia" w:ascii="Times New Roman" w:hAnsi="Times New Roman" w:eastAsia="宋体" w:cs="宋体"/>
          <w:color w:val="auto"/>
          <w:kern w:val="2"/>
          <w:sz w:val="24"/>
          <w:szCs w:val="24"/>
          <w:highlight w:val="none"/>
          <w:lang w:val="en-US" w:eastAsia="zh-CN" w:bidi="ar-SA"/>
        </w:rPr>
        <w:instrText xml:space="preserve"> REF _Ref23228 \h </w:instrText>
      </w:r>
      <w:r>
        <w:rPr>
          <w:rFonts w:hint="eastAsia" w:ascii="Times New Roman" w:hAnsi="Times New Roman" w:eastAsia="宋体" w:cs="宋体"/>
          <w:color w:val="auto"/>
          <w:kern w:val="2"/>
          <w:sz w:val="24"/>
          <w:szCs w:val="24"/>
          <w:highlight w:val="none"/>
          <w:lang w:val="en-US" w:eastAsia="zh-CN" w:bidi="ar-SA"/>
        </w:rPr>
        <w:fldChar w:fldCharType="separate"/>
      </w:r>
      <w:r>
        <w:rPr>
          <w:rFonts w:ascii="Times New Roman" w:hAnsi="Times New Roman" w:eastAsia="宋体" w:cs="宋体"/>
          <w:color w:val="auto"/>
          <w:kern w:val="2"/>
          <w:sz w:val="24"/>
          <w:szCs w:val="24"/>
          <w:highlight w:val="none"/>
          <w:lang w:val="en-US" w:eastAsia="zh-CN" w:bidi="ar-SA"/>
        </w:rPr>
        <w:t xml:space="preserve">表 </w:t>
      </w:r>
      <w:r>
        <w:rPr>
          <w:rFonts w:ascii="Times New Roman" w:hAnsi="Times New Roman" w:eastAsia="宋体" w:cs="宋体"/>
          <w:color w:val="auto"/>
          <w:kern w:val="2"/>
          <w:sz w:val="24"/>
          <w:szCs w:val="24"/>
          <w:highlight w:val="none"/>
          <w:lang w:val="en-US" w:eastAsia="zh-CN" w:bidi="ar-SA"/>
        </w:rPr>
        <w:fldChar w:fldCharType="begin"/>
      </w:r>
      <w:r>
        <w:rPr>
          <w:rFonts w:ascii="Times New Roman" w:hAnsi="Times New Roman" w:eastAsia="宋体" w:cs="宋体"/>
          <w:color w:val="auto"/>
          <w:kern w:val="2"/>
          <w:sz w:val="24"/>
          <w:szCs w:val="24"/>
          <w:highlight w:val="none"/>
          <w:lang w:val="en-US" w:eastAsia="zh-CN" w:bidi="ar-SA"/>
        </w:rPr>
        <w:instrText xml:space="preserve"> STYLEREF 1 \s </w:instrText>
      </w:r>
      <w:r>
        <w:rPr>
          <w:rFonts w:ascii="Times New Roman" w:hAnsi="Times New Roman" w:eastAsia="宋体" w:cs="宋体"/>
          <w:color w:val="auto"/>
          <w:kern w:val="2"/>
          <w:sz w:val="24"/>
          <w:szCs w:val="24"/>
          <w:highlight w:val="none"/>
          <w:lang w:val="en-US" w:eastAsia="zh-CN" w:bidi="ar-SA"/>
        </w:rPr>
        <w:fldChar w:fldCharType="separate"/>
      </w:r>
      <w:r>
        <w:rPr>
          <w:rFonts w:ascii="Times New Roman" w:hAnsi="Times New Roman" w:eastAsia="宋体" w:cs="宋体"/>
          <w:color w:val="auto"/>
          <w:kern w:val="2"/>
          <w:sz w:val="24"/>
          <w:szCs w:val="24"/>
          <w:highlight w:val="none"/>
          <w:lang w:val="en-US" w:eastAsia="zh-CN" w:bidi="ar-SA"/>
        </w:rPr>
        <w:t>5</w:t>
      </w:r>
      <w:r>
        <w:rPr>
          <w:rFonts w:ascii="Times New Roman" w:hAnsi="Times New Roman" w:eastAsia="宋体" w:cs="宋体"/>
          <w:color w:val="auto"/>
          <w:kern w:val="2"/>
          <w:sz w:val="24"/>
          <w:szCs w:val="24"/>
          <w:highlight w:val="none"/>
          <w:lang w:val="en-US" w:eastAsia="zh-CN" w:bidi="ar-SA"/>
        </w:rPr>
        <w:fldChar w:fldCharType="end"/>
      </w:r>
      <w:r>
        <w:rPr>
          <w:rFonts w:hint="eastAsia" w:ascii="Times New Roman" w:hAnsi="Times New Roman" w:eastAsia="宋体" w:cs="宋体"/>
          <w:color w:val="auto"/>
          <w:kern w:val="2"/>
          <w:sz w:val="24"/>
          <w:szCs w:val="24"/>
          <w:highlight w:val="none"/>
          <w:lang w:val="en-US" w:eastAsia="zh-CN" w:bidi="ar-SA"/>
        </w:rPr>
        <w:t>-</w:t>
      </w:r>
      <w:r>
        <w:rPr>
          <w:rFonts w:ascii="Times New Roman" w:hAnsi="Times New Roman" w:eastAsia="宋体" w:cs="宋体"/>
          <w:color w:val="auto"/>
          <w:kern w:val="2"/>
          <w:sz w:val="24"/>
          <w:szCs w:val="24"/>
          <w:highlight w:val="none"/>
          <w:lang w:val="en-US" w:eastAsia="zh-CN" w:bidi="ar-SA"/>
        </w:rPr>
        <w:t>1</w:t>
      </w:r>
      <w:r>
        <w:rPr>
          <w:rFonts w:hint="eastAsia" w:ascii="Times New Roman" w:hAnsi="Times New Roman" w:eastAsia="宋体" w:cs="宋体"/>
          <w:color w:val="auto"/>
          <w:kern w:val="2"/>
          <w:sz w:val="24"/>
          <w:szCs w:val="24"/>
          <w:highlight w:val="none"/>
          <w:lang w:val="en-US" w:eastAsia="zh-CN" w:bidi="ar-SA"/>
        </w:rPr>
        <w:t>3</w:t>
      </w:r>
      <w:r>
        <w:rPr>
          <w:rFonts w:hint="eastAsia" w:ascii="Times New Roman" w:hAnsi="Times New Roman" w:eastAsia="宋体" w:cs="宋体"/>
          <w:color w:val="auto"/>
          <w:kern w:val="2"/>
          <w:sz w:val="24"/>
          <w:szCs w:val="24"/>
          <w:highlight w:val="none"/>
          <w:lang w:val="en-US" w:eastAsia="zh-CN" w:bidi="ar-SA"/>
        </w:rPr>
        <w:fldChar w:fldCharType="end"/>
      </w:r>
      <w:r>
        <w:rPr>
          <w:rFonts w:hint="eastAsia" w:ascii="Times New Roman" w:hAnsi="Times New Roman" w:eastAsia="宋体" w:cs="宋体"/>
          <w:color w:val="auto"/>
          <w:kern w:val="2"/>
          <w:sz w:val="24"/>
          <w:szCs w:val="24"/>
          <w:highlight w:val="none"/>
          <w:lang w:val="en-US" w:eastAsia="zh-CN" w:bidi="ar-SA"/>
        </w:rPr>
        <w:t>。</w:t>
      </w:r>
    </w:p>
    <w:p>
      <w:pPr>
        <w:widowControl w:val="0"/>
        <w:bidi w:val="0"/>
        <w:spacing w:line="360" w:lineRule="auto"/>
        <w:jc w:val="center"/>
        <w:rPr>
          <w:rFonts w:ascii="Times New Roman" w:hAnsi="Times New Roman" w:eastAsia="宋体" w:cs="Times New Roman"/>
          <w:b/>
          <w:kern w:val="2"/>
          <w:sz w:val="21"/>
          <w:szCs w:val="21"/>
          <w:lang w:val="en-US" w:eastAsia="zh-CN" w:bidi="ar-SA"/>
        </w:rPr>
        <w:sectPr>
          <w:pgSz w:w="11906" w:h="16838"/>
          <w:pgMar w:top="1417" w:right="1417" w:bottom="1134" w:left="1701" w:header="851" w:footer="992" w:gutter="0"/>
          <w:pgBorders>
            <w:top w:val="none" w:sz="0" w:space="0"/>
            <w:left w:val="none" w:sz="0" w:space="0"/>
            <w:bottom w:val="none" w:sz="0" w:space="0"/>
            <w:right w:val="none" w:sz="0" w:space="0"/>
          </w:pgBorders>
          <w:pgNumType w:fmt="decimal"/>
          <w:cols w:space="0" w:num="1"/>
          <w:rtlGutter w:val="0"/>
          <w:docGrid w:linePitch="312" w:charSpace="0"/>
        </w:sectPr>
      </w:pPr>
      <w:bookmarkStart w:id="1103" w:name="_Ref23228"/>
    </w:p>
    <w:p>
      <w:pPr>
        <w:widowControl w:val="0"/>
        <w:bidi w:val="0"/>
        <w:spacing w:line="360" w:lineRule="auto"/>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5</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13</w:t>
      </w:r>
      <w:r>
        <w:rPr>
          <w:rFonts w:ascii="Times New Roman" w:hAnsi="Times New Roman" w:eastAsia="宋体" w:cs="Times New Roman"/>
          <w:b/>
          <w:kern w:val="2"/>
          <w:sz w:val="21"/>
          <w:szCs w:val="21"/>
          <w:lang w:val="en-US" w:eastAsia="zh-CN" w:bidi="ar-SA"/>
        </w:rPr>
        <w:fldChar w:fldCharType="end"/>
      </w:r>
      <w:bookmarkEnd w:id="1103"/>
      <w:r>
        <w:rPr>
          <w:rFonts w:hint="eastAsia" w:ascii="Times New Roman" w:hAnsi="Times New Roman" w:eastAsia="宋体" w:cs="Times New Roman"/>
          <w:b/>
          <w:kern w:val="2"/>
          <w:sz w:val="21"/>
          <w:szCs w:val="21"/>
          <w:lang w:val="en-US" w:eastAsia="zh-CN" w:bidi="ar-SA"/>
        </w:rPr>
        <w:t>湘阴卓达金谷创业园周边主要排污单位情况表</w:t>
      </w:r>
    </w:p>
    <w:tbl>
      <w:tblPr>
        <w:tblStyle w:val="22"/>
        <w:tblW w:w="998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8"/>
        <w:gridCol w:w="967"/>
        <w:gridCol w:w="1016"/>
        <w:gridCol w:w="2209"/>
        <w:gridCol w:w="3066"/>
        <w:gridCol w:w="19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tblHeader/>
          <w:jc w:val="center"/>
        </w:trPr>
        <w:tc>
          <w:tcPr>
            <w:tcW w:w="81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bookmarkStart w:id="1104" w:name="_Toc16725"/>
            <w:bookmarkStart w:id="1105" w:name="_Toc12162_WPSOffice_Level2"/>
            <w:bookmarkStart w:id="1106" w:name="_Toc30285"/>
            <w:r>
              <w:rPr>
                <w:rFonts w:hint="eastAsia" w:ascii="Times New Roman" w:hAnsi="Times New Roman" w:eastAsia="宋体" w:cs="Times New Roman"/>
                <w:kern w:val="2"/>
                <w:sz w:val="24"/>
                <w:szCs w:val="24"/>
                <w:lang w:val="en-US" w:eastAsia="zh-CN" w:bidi="ar-SA"/>
              </w:rPr>
              <w:t>序号</w:t>
            </w:r>
          </w:p>
        </w:tc>
        <w:tc>
          <w:tcPr>
            <w:tcW w:w="96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相对聚特方位</w:t>
            </w:r>
          </w:p>
        </w:tc>
        <w:tc>
          <w:tcPr>
            <w:tcW w:w="101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聚特距离（m）</w:t>
            </w:r>
          </w:p>
        </w:tc>
        <w:tc>
          <w:tcPr>
            <w:tcW w:w="22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企业名称</w:t>
            </w:r>
          </w:p>
        </w:tc>
        <w:tc>
          <w:tcPr>
            <w:tcW w:w="306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主要生产产品</w:t>
            </w:r>
          </w:p>
        </w:tc>
        <w:tc>
          <w:tcPr>
            <w:tcW w:w="19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主要排污情况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1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96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w:t>
            </w:r>
          </w:p>
        </w:tc>
        <w:tc>
          <w:tcPr>
            <w:tcW w:w="101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400</w:t>
            </w:r>
          </w:p>
        </w:tc>
        <w:tc>
          <w:tcPr>
            <w:tcW w:w="22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湖南铂固标准件</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制造公司</w:t>
            </w:r>
          </w:p>
        </w:tc>
        <w:tc>
          <w:tcPr>
            <w:tcW w:w="3066"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标准件、钢铁型材</w:t>
            </w:r>
          </w:p>
        </w:tc>
        <w:tc>
          <w:tcPr>
            <w:tcW w:w="190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81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p>
        </w:tc>
        <w:tc>
          <w:tcPr>
            <w:tcW w:w="96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w:t>
            </w:r>
          </w:p>
        </w:tc>
        <w:tc>
          <w:tcPr>
            <w:tcW w:w="101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750</w:t>
            </w:r>
          </w:p>
        </w:tc>
        <w:tc>
          <w:tcPr>
            <w:tcW w:w="22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湖南恒冰科技</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发展有限公司</w:t>
            </w:r>
          </w:p>
        </w:tc>
        <w:tc>
          <w:tcPr>
            <w:tcW w:w="306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冷藏车干货车车厢、玻璃钢复合板材、金属复合板材及铁瓦楞板车厢</w:t>
            </w:r>
          </w:p>
        </w:tc>
        <w:tc>
          <w:tcPr>
            <w:tcW w:w="19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切割粉尘、喷漆废气、生活污水、危险废物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1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w:t>
            </w:r>
          </w:p>
        </w:tc>
        <w:tc>
          <w:tcPr>
            <w:tcW w:w="96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w:t>
            </w:r>
          </w:p>
        </w:tc>
        <w:tc>
          <w:tcPr>
            <w:tcW w:w="101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750</w:t>
            </w:r>
          </w:p>
        </w:tc>
        <w:tc>
          <w:tcPr>
            <w:tcW w:w="22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湖南众钧科技</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有限公司</w:t>
            </w:r>
          </w:p>
        </w:tc>
        <w:tc>
          <w:tcPr>
            <w:tcW w:w="306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主要生产橡胶设备</w:t>
            </w:r>
          </w:p>
        </w:tc>
        <w:tc>
          <w:tcPr>
            <w:tcW w:w="19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喷漆废气、危险废物、生活污水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1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w:t>
            </w:r>
          </w:p>
        </w:tc>
        <w:tc>
          <w:tcPr>
            <w:tcW w:w="967"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WS</w:t>
            </w:r>
          </w:p>
        </w:tc>
        <w:tc>
          <w:tcPr>
            <w:tcW w:w="101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800</w:t>
            </w:r>
          </w:p>
        </w:tc>
        <w:tc>
          <w:tcPr>
            <w:tcW w:w="22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湖南俊杰晟</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自动化设备公司</w:t>
            </w:r>
          </w:p>
        </w:tc>
        <w:tc>
          <w:tcPr>
            <w:tcW w:w="306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经营工业自动控制系统装置、电子工业专用设备</w:t>
            </w:r>
          </w:p>
        </w:tc>
        <w:tc>
          <w:tcPr>
            <w:tcW w:w="19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81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w:t>
            </w:r>
          </w:p>
        </w:tc>
        <w:tc>
          <w:tcPr>
            <w:tcW w:w="967"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WS</w:t>
            </w:r>
          </w:p>
        </w:tc>
        <w:tc>
          <w:tcPr>
            <w:tcW w:w="101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500</w:t>
            </w:r>
          </w:p>
        </w:tc>
        <w:tc>
          <w:tcPr>
            <w:tcW w:w="22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湖南地生工业</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设备公司</w:t>
            </w:r>
          </w:p>
        </w:tc>
        <w:tc>
          <w:tcPr>
            <w:tcW w:w="3066"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垂直升降类、平面移动类、巷道堆垛类、升降横移类停车设备</w:t>
            </w:r>
          </w:p>
        </w:tc>
        <w:tc>
          <w:tcPr>
            <w:tcW w:w="190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81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w:t>
            </w:r>
          </w:p>
        </w:tc>
        <w:tc>
          <w:tcPr>
            <w:tcW w:w="96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S</w:t>
            </w:r>
          </w:p>
        </w:tc>
        <w:tc>
          <w:tcPr>
            <w:tcW w:w="101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250</w:t>
            </w:r>
          </w:p>
        </w:tc>
        <w:tc>
          <w:tcPr>
            <w:tcW w:w="22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湖南西姆西</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科技有限公司</w:t>
            </w:r>
          </w:p>
        </w:tc>
        <w:tc>
          <w:tcPr>
            <w:tcW w:w="306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电焊条</w:t>
            </w:r>
          </w:p>
        </w:tc>
        <w:tc>
          <w:tcPr>
            <w:tcW w:w="19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COD</w:t>
            </w:r>
            <w:r>
              <w:rPr>
                <w:rFonts w:ascii="Times New Roman" w:hAnsi="Times New Roman" w:eastAsia="宋体" w:cs="Times New Roman"/>
                <w:kern w:val="2"/>
                <w:sz w:val="24"/>
                <w:szCs w:val="24"/>
                <w:vertAlign w:val="subscript"/>
                <w:lang w:val="en-US" w:eastAsia="zh-CN" w:bidi="ar-SA"/>
              </w:rPr>
              <w:t>Cr</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0.76t/a</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NH</w:t>
            </w:r>
            <w:r>
              <w:rPr>
                <w:rFonts w:ascii="Times New Roman" w:hAnsi="Times New Roman" w:eastAsia="宋体" w:cs="Times New Roman"/>
                <w:kern w:val="2"/>
                <w:sz w:val="24"/>
                <w:szCs w:val="24"/>
                <w:vertAlign w:val="subscript"/>
                <w:lang w:val="en-US" w:eastAsia="zh-CN" w:bidi="ar-SA"/>
              </w:rPr>
              <w:t>3</w:t>
            </w:r>
            <w:r>
              <w:rPr>
                <w:rFonts w:ascii="Times New Roman" w:hAnsi="Times New Roman" w:eastAsia="宋体" w:cs="Times New Roman"/>
                <w:kern w:val="2"/>
                <w:sz w:val="24"/>
                <w:szCs w:val="24"/>
                <w:lang w:val="en-US" w:eastAsia="zh-CN" w:bidi="ar-SA"/>
              </w:rPr>
              <w:t>-N</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0.05t/a VOCs:0.0587t/a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81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w:t>
            </w:r>
          </w:p>
        </w:tc>
        <w:tc>
          <w:tcPr>
            <w:tcW w:w="967"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S</w:t>
            </w:r>
          </w:p>
        </w:tc>
        <w:tc>
          <w:tcPr>
            <w:tcW w:w="101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300</w:t>
            </w:r>
          </w:p>
        </w:tc>
        <w:tc>
          <w:tcPr>
            <w:tcW w:w="220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西姆西焊接材料厂</w:t>
            </w:r>
          </w:p>
        </w:tc>
        <w:tc>
          <w:tcPr>
            <w:tcW w:w="306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碳钢及低合金实芯和药芯焊丝、不锈钢实芯和药芯焊丝、不锈钢焊条，铸铁焊条、各类钎料和焊剂</w:t>
            </w:r>
          </w:p>
        </w:tc>
        <w:tc>
          <w:tcPr>
            <w:tcW w:w="19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1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8</w:t>
            </w:r>
          </w:p>
        </w:tc>
        <w:tc>
          <w:tcPr>
            <w:tcW w:w="96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S</w:t>
            </w:r>
          </w:p>
        </w:tc>
        <w:tc>
          <w:tcPr>
            <w:tcW w:w="101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80</w:t>
            </w:r>
          </w:p>
        </w:tc>
        <w:tc>
          <w:tcPr>
            <w:tcW w:w="22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湖南夏威夷科技</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洗涤有限公司</w:t>
            </w:r>
          </w:p>
        </w:tc>
        <w:tc>
          <w:tcPr>
            <w:tcW w:w="306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酒店布草洗涤</w:t>
            </w:r>
          </w:p>
        </w:tc>
        <w:tc>
          <w:tcPr>
            <w:tcW w:w="19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洗涤废水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1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9</w:t>
            </w:r>
          </w:p>
        </w:tc>
        <w:tc>
          <w:tcPr>
            <w:tcW w:w="96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S</w:t>
            </w:r>
          </w:p>
        </w:tc>
        <w:tc>
          <w:tcPr>
            <w:tcW w:w="101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750</w:t>
            </w:r>
          </w:p>
        </w:tc>
        <w:tc>
          <w:tcPr>
            <w:tcW w:w="22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湖南金高电力</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器材公司</w:t>
            </w:r>
          </w:p>
        </w:tc>
        <w:tc>
          <w:tcPr>
            <w:tcW w:w="3066"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经营电力铁塔、通信铁塔</w:t>
            </w:r>
          </w:p>
        </w:tc>
        <w:tc>
          <w:tcPr>
            <w:tcW w:w="190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81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10</w:t>
            </w:r>
          </w:p>
        </w:tc>
        <w:tc>
          <w:tcPr>
            <w:tcW w:w="96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S</w:t>
            </w:r>
          </w:p>
        </w:tc>
        <w:tc>
          <w:tcPr>
            <w:tcW w:w="101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600</w:t>
            </w:r>
          </w:p>
        </w:tc>
        <w:tc>
          <w:tcPr>
            <w:tcW w:w="22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湖南威旭科技</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发展公司</w:t>
            </w:r>
          </w:p>
        </w:tc>
        <w:tc>
          <w:tcPr>
            <w:tcW w:w="3066"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经营材料科学研究、技术开发，导向标识设计，导向标识制作</w:t>
            </w:r>
          </w:p>
        </w:tc>
        <w:tc>
          <w:tcPr>
            <w:tcW w:w="190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81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11</w:t>
            </w:r>
          </w:p>
        </w:tc>
        <w:tc>
          <w:tcPr>
            <w:tcW w:w="96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S</w:t>
            </w:r>
          </w:p>
        </w:tc>
        <w:tc>
          <w:tcPr>
            <w:tcW w:w="101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700</w:t>
            </w:r>
          </w:p>
        </w:tc>
        <w:tc>
          <w:tcPr>
            <w:tcW w:w="22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湖南奇思环保设备制造有限公司</w:t>
            </w:r>
          </w:p>
        </w:tc>
        <w:tc>
          <w:tcPr>
            <w:tcW w:w="306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环卫产品</w:t>
            </w:r>
          </w:p>
        </w:tc>
        <w:tc>
          <w:tcPr>
            <w:tcW w:w="19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打磨粉尘、焊接烟尘废气、喷漆房废气、危险废物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818"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12</w:t>
            </w:r>
          </w:p>
        </w:tc>
        <w:tc>
          <w:tcPr>
            <w:tcW w:w="96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S</w:t>
            </w:r>
          </w:p>
        </w:tc>
        <w:tc>
          <w:tcPr>
            <w:tcW w:w="101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800</w:t>
            </w:r>
          </w:p>
        </w:tc>
        <w:tc>
          <w:tcPr>
            <w:tcW w:w="22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湘龙电器</w:t>
            </w:r>
          </w:p>
        </w:tc>
        <w:tc>
          <w:tcPr>
            <w:tcW w:w="3066"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生产经营断路器、豪华地面插座、照明配电箱、低压成套设备</w:t>
            </w:r>
          </w:p>
        </w:tc>
        <w:tc>
          <w:tcPr>
            <w:tcW w:w="190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818"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13</w:t>
            </w:r>
          </w:p>
        </w:tc>
        <w:tc>
          <w:tcPr>
            <w:tcW w:w="96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S</w:t>
            </w:r>
          </w:p>
        </w:tc>
        <w:tc>
          <w:tcPr>
            <w:tcW w:w="101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1100</w:t>
            </w:r>
          </w:p>
        </w:tc>
        <w:tc>
          <w:tcPr>
            <w:tcW w:w="22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可孚智能医疗</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产业园</w:t>
            </w:r>
          </w:p>
        </w:tc>
        <w:tc>
          <w:tcPr>
            <w:tcW w:w="306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电动轮椅等医疗器械生产</w:t>
            </w:r>
          </w:p>
        </w:tc>
        <w:tc>
          <w:tcPr>
            <w:tcW w:w="190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COD</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0.082t/a</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NH</w:t>
            </w:r>
            <w:r>
              <w:rPr>
                <w:rFonts w:ascii="Times New Roman" w:hAnsi="Times New Roman" w:eastAsia="宋体" w:cs="Times New Roman"/>
                <w:kern w:val="2"/>
                <w:sz w:val="24"/>
                <w:szCs w:val="24"/>
                <w:vertAlign w:val="subscript"/>
                <w:lang w:val="en-US" w:eastAsia="zh-CN" w:bidi="ar-SA"/>
              </w:rPr>
              <w:t>3</w:t>
            </w:r>
            <w:r>
              <w:rPr>
                <w:rFonts w:ascii="Times New Roman" w:hAnsi="Times New Roman" w:eastAsia="宋体" w:cs="Times New Roman"/>
                <w:kern w:val="2"/>
                <w:sz w:val="24"/>
                <w:szCs w:val="24"/>
                <w:lang w:val="en-US" w:eastAsia="zh-CN" w:bidi="ar-SA"/>
              </w:rPr>
              <w:t>-N</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0.013t/a</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SO</w:t>
            </w:r>
            <w:r>
              <w:rPr>
                <w:rFonts w:ascii="Times New Roman" w:hAnsi="Times New Roman" w:eastAsia="宋体" w:cs="Times New Roman"/>
                <w:kern w:val="2"/>
                <w:sz w:val="24"/>
                <w:szCs w:val="24"/>
                <w:vertAlign w:val="subscript"/>
                <w:lang w:val="en-US" w:eastAsia="zh-CN" w:bidi="ar-SA"/>
              </w:rPr>
              <w:t>2</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0.009t/a</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NO</w:t>
            </w:r>
            <w:r>
              <w:rPr>
                <w:rFonts w:hint="eastAsia" w:ascii="Times New Roman" w:hAnsi="Times New Roman" w:eastAsia="宋体" w:cs="Times New Roman"/>
                <w:kern w:val="2"/>
                <w:sz w:val="24"/>
                <w:szCs w:val="24"/>
                <w:vertAlign w:val="subscript"/>
                <w:lang w:val="en-US" w:eastAsia="zh-CN" w:bidi="ar-SA"/>
              </w:rPr>
              <w:t>X</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0.075t/a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18"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14</w:t>
            </w:r>
          </w:p>
        </w:tc>
        <w:tc>
          <w:tcPr>
            <w:tcW w:w="967"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ES</w:t>
            </w:r>
          </w:p>
        </w:tc>
        <w:tc>
          <w:tcPr>
            <w:tcW w:w="101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500</w:t>
            </w:r>
          </w:p>
        </w:tc>
        <w:tc>
          <w:tcPr>
            <w:tcW w:w="22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鑫众源大酒店</w:t>
            </w:r>
          </w:p>
        </w:tc>
        <w:tc>
          <w:tcPr>
            <w:tcW w:w="306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酒店业3</w:t>
            </w:r>
          </w:p>
        </w:tc>
        <w:tc>
          <w:tcPr>
            <w:tcW w:w="190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818"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15</w:t>
            </w:r>
          </w:p>
        </w:tc>
        <w:tc>
          <w:tcPr>
            <w:tcW w:w="967"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ES</w:t>
            </w:r>
          </w:p>
        </w:tc>
        <w:tc>
          <w:tcPr>
            <w:tcW w:w="101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700</w:t>
            </w:r>
          </w:p>
        </w:tc>
        <w:tc>
          <w:tcPr>
            <w:tcW w:w="22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湖南卓达置业</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有限公司</w:t>
            </w:r>
          </w:p>
        </w:tc>
        <w:tc>
          <w:tcPr>
            <w:tcW w:w="306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标准厂房</w:t>
            </w:r>
          </w:p>
        </w:tc>
        <w:tc>
          <w:tcPr>
            <w:tcW w:w="19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COD</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0.174t/a</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NH</w:t>
            </w:r>
            <w:r>
              <w:rPr>
                <w:rFonts w:ascii="Times New Roman" w:hAnsi="Times New Roman" w:eastAsia="宋体" w:cs="Times New Roman"/>
                <w:kern w:val="2"/>
                <w:sz w:val="24"/>
                <w:szCs w:val="24"/>
                <w:vertAlign w:val="subscript"/>
                <w:lang w:val="en-US" w:eastAsia="zh-CN" w:bidi="ar-SA"/>
              </w:rPr>
              <w:t>3</w:t>
            </w:r>
            <w:r>
              <w:rPr>
                <w:rFonts w:ascii="Times New Roman" w:hAnsi="Times New Roman" w:eastAsia="宋体" w:cs="Times New Roman"/>
                <w:kern w:val="2"/>
                <w:sz w:val="24"/>
                <w:szCs w:val="24"/>
                <w:lang w:val="en-US" w:eastAsia="zh-CN" w:bidi="ar-SA"/>
              </w:rPr>
              <w:t>-N</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0.0261t/a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18"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16</w:t>
            </w:r>
          </w:p>
        </w:tc>
        <w:tc>
          <w:tcPr>
            <w:tcW w:w="96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E</w:t>
            </w:r>
          </w:p>
        </w:tc>
        <w:tc>
          <w:tcPr>
            <w:tcW w:w="101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600</w:t>
            </w:r>
          </w:p>
        </w:tc>
        <w:tc>
          <w:tcPr>
            <w:tcW w:w="22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金龙新区安置小区</w:t>
            </w:r>
          </w:p>
        </w:tc>
        <w:tc>
          <w:tcPr>
            <w:tcW w:w="306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金龙新区拆迁居民安置</w:t>
            </w:r>
          </w:p>
        </w:tc>
        <w:tc>
          <w:tcPr>
            <w:tcW w:w="190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18"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17</w:t>
            </w:r>
          </w:p>
        </w:tc>
        <w:tc>
          <w:tcPr>
            <w:tcW w:w="96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E</w:t>
            </w:r>
          </w:p>
        </w:tc>
        <w:tc>
          <w:tcPr>
            <w:tcW w:w="101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800</w:t>
            </w:r>
          </w:p>
        </w:tc>
        <w:tc>
          <w:tcPr>
            <w:tcW w:w="22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恒大溪上桃花源</w:t>
            </w:r>
          </w:p>
        </w:tc>
        <w:tc>
          <w:tcPr>
            <w:tcW w:w="306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房地产开发</w:t>
            </w:r>
          </w:p>
        </w:tc>
        <w:tc>
          <w:tcPr>
            <w:tcW w:w="190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818"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18</w:t>
            </w:r>
          </w:p>
        </w:tc>
        <w:tc>
          <w:tcPr>
            <w:tcW w:w="96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E</w:t>
            </w:r>
          </w:p>
        </w:tc>
        <w:tc>
          <w:tcPr>
            <w:tcW w:w="101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100</w:t>
            </w:r>
          </w:p>
        </w:tc>
        <w:tc>
          <w:tcPr>
            <w:tcW w:w="22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湖南大科激光公司</w:t>
            </w:r>
          </w:p>
        </w:tc>
        <w:tc>
          <w:tcPr>
            <w:tcW w:w="3066"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高功率光纤器件、激光切割机、激光焊接设备，激光3D打印设备</w:t>
            </w:r>
          </w:p>
        </w:tc>
        <w:tc>
          <w:tcPr>
            <w:tcW w:w="190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bl>
    <w:p>
      <w:pPr>
        <w:rPr>
          <w:rFonts w:hint="eastAsia"/>
        </w:rPr>
      </w:pPr>
      <w:r>
        <w:rPr>
          <w:rFonts w:hint="eastAsia"/>
        </w:rPr>
        <w:br w:type="page"/>
      </w:r>
    </w:p>
    <w:p>
      <w:pPr>
        <w:pStyle w:val="3"/>
        <w:bidi w:val="0"/>
        <w:rPr>
          <w:lang w:val="en-US" w:eastAsia="zh-CN"/>
        </w:rPr>
      </w:pPr>
      <w:bookmarkStart w:id="1107" w:name="_Toc5884"/>
      <w:bookmarkStart w:id="1108" w:name="_Toc26199"/>
      <w:r>
        <w:rPr>
          <w:lang w:val="en-US" w:eastAsia="zh-CN"/>
        </w:rPr>
        <w:t>环境影响预测与评价</w:t>
      </w:r>
      <w:bookmarkEnd w:id="1003"/>
      <w:bookmarkEnd w:id="1004"/>
      <w:bookmarkEnd w:id="1104"/>
      <w:bookmarkEnd w:id="1105"/>
      <w:bookmarkEnd w:id="1106"/>
      <w:bookmarkEnd w:id="1107"/>
      <w:bookmarkEnd w:id="1108"/>
    </w:p>
    <w:p>
      <w:pPr>
        <w:pStyle w:val="2"/>
        <w:bidi w:val="0"/>
        <w:rPr>
          <w:lang w:val="en-US" w:eastAsia="zh-CN"/>
        </w:rPr>
      </w:pPr>
      <w:bookmarkStart w:id="1109" w:name="_Toc1203"/>
      <w:bookmarkStart w:id="1110" w:name="_Toc372124953"/>
      <w:bookmarkStart w:id="1111" w:name="_Toc8443"/>
      <w:bookmarkStart w:id="1112" w:name="_Toc6781"/>
      <w:bookmarkStart w:id="1113" w:name="_Toc7697"/>
      <w:bookmarkStart w:id="1114" w:name="_Toc10129"/>
      <w:bookmarkStart w:id="1115" w:name="_Toc9001"/>
      <w:bookmarkStart w:id="1116" w:name="_Toc31513"/>
      <w:r>
        <w:rPr>
          <w:lang w:val="en-US" w:eastAsia="zh-CN"/>
        </w:rPr>
        <w:t>施工期环境影响分析</w:t>
      </w:r>
      <w:bookmarkEnd w:id="1109"/>
      <w:bookmarkEnd w:id="1110"/>
      <w:bookmarkEnd w:id="1111"/>
      <w:bookmarkEnd w:id="1112"/>
      <w:bookmarkEnd w:id="1113"/>
      <w:bookmarkEnd w:id="1114"/>
      <w:bookmarkEnd w:id="1115"/>
      <w:bookmarkEnd w:id="1116"/>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1117" w:name="_Toc372124954"/>
      <w:bookmarkStart w:id="1118" w:name="_Toc11222"/>
      <w:bookmarkStart w:id="1119" w:name="_Toc23660"/>
      <w:bookmarkStart w:id="1120" w:name="_Toc1915"/>
      <w:bookmarkStart w:id="1121" w:name="_Toc3816"/>
      <w:r>
        <w:rPr>
          <w:rFonts w:ascii="Times New Roman" w:hAnsi="Times New Roman" w:eastAsia="宋体" w:cs="宋体"/>
          <w:kern w:val="2"/>
          <w:sz w:val="24"/>
          <w:szCs w:val="24"/>
          <w:lang w:val="en-US" w:eastAsia="zh-CN" w:bidi="ar-SA"/>
        </w:rPr>
        <w:t>本项目选址于</w:t>
      </w:r>
      <w:r>
        <w:rPr>
          <w:rFonts w:hint="eastAsia" w:ascii="Times New Roman" w:hAnsi="Times New Roman" w:eastAsia="宋体" w:cs="宋体"/>
          <w:kern w:val="2"/>
          <w:sz w:val="24"/>
          <w:szCs w:val="24"/>
          <w:lang w:val="en-US" w:eastAsia="zh-CN" w:bidi="ar-SA"/>
        </w:rPr>
        <w:t>湖南湘阴县金龙新区工业区卓达金谷创业园8栋</w:t>
      </w:r>
      <w:r>
        <w:rPr>
          <w:rFonts w:ascii="Times New Roman" w:hAnsi="Times New Roman" w:eastAsia="宋体" w:cs="宋体"/>
          <w:kern w:val="2"/>
          <w:sz w:val="24"/>
          <w:szCs w:val="24"/>
          <w:lang w:val="en-US" w:eastAsia="zh-CN" w:bidi="ar-SA"/>
        </w:rPr>
        <w:t>。根据现场勘查，本项目不新建厂房，主要</w:t>
      </w:r>
      <w:r>
        <w:rPr>
          <w:rFonts w:hint="eastAsia" w:ascii="Times New Roman" w:hAnsi="Times New Roman" w:eastAsia="宋体" w:cs="宋体"/>
          <w:kern w:val="2"/>
          <w:sz w:val="24"/>
          <w:szCs w:val="24"/>
          <w:lang w:val="en-US" w:eastAsia="zh-CN" w:bidi="ar-SA"/>
        </w:rPr>
        <w:t>购置标准厂房</w:t>
      </w:r>
      <w:r>
        <w:rPr>
          <w:rFonts w:ascii="Times New Roman" w:hAnsi="Times New Roman" w:eastAsia="宋体" w:cs="宋体"/>
          <w:kern w:val="2"/>
          <w:sz w:val="24"/>
          <w:szCs w:val="24"/>
          <w:lang w:val="en-US" w:eastAsia="zh-CN" w:bidi="ar-SA"/>
        </w:rPr>
        <w:t>进行生产，厂区内厂房等配套基础设施较完善。</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本项目施工期主要包括室内装修和设备安装，主要污染有施工人员生活污水、装修废气、车辆运输扬尘、施工噪声、装修垃圾和施工人员生活垃圾等。</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①施工人员生活污水</w:t>
      </w:r>
      <w:r>
        <w:rPr>
          <w:rFonts w:hint="eastAsia" w:cs="宋体"/>
          <w:kern w:val="2"/>
          <w:sz w:val="24"/>
          <w:szCs w:val="24"/>
          <w:lang w:val="en-US" w:eastAsia="zh-CN" w:bidi="ar-SA"/>
        </w:rPr>
        <w:t>经园区化粪池处理后达到《污水综合排放标准》（GB8978-1996）三级后</w:t>
      </w:r>
      <w:r>
        <w:rPr>
          <w:rFonts w:hint="eastAsia" w:ascii="Times New Roman" w:hAnsi="Times New Roman" w:eastAsia="宋体" w:cs="宋体"/>
          <w:kern w:val="2"/>
          <w:sz w:val="24"/>
          <w:szCs w:val="24"/>
          <w:lang w:val="en-US" w:eastAsia="zh-CN" w:bidi="ar-SA"/>
        </w:rPr>
        <w:t>进入卓达金谷创业园污水处理站</w:t>
      </w:r>
      <w:r>
        <w:rPr>
          <w:rFonts w:ascii="Times New Roman" w:hAnsi="Times New Roman" w:eastAsia="宋体" w:cs="宋体"/>
          <w:kern w:val="2"/>
          <w:sz w:val="24"/>
          <w:szCs w:val="24"/>
          <w:lang w:val="en-US" w:eastAsia="zh-CN" w:bidi="ar-SA"/>
        </w:rPr>
        <w:t>，对环境影响不大。</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②本项目施工期短，建设内容单一，采取适当的措施减少装修废气和扬尘污染后，施工废气对大气环境影响较小。</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③施工期噪声主要是车辆运输噪声和施工机械噪声。施工机械产生的噪声都较大，本环评要求建设方合理安排车辆运输作业、夜间禁止施工。施工期短，噪声随着施工的结束而结束，本项目施工期噪声不会对周边声环境保护目标产生不利影响。</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④根据厂房规模，产生装修垃圾约</w:t>
      </w:r>
      <w:r>
        <w:rPr>
          <w:rFonts w:hint="eastAsia" w:ascii="Times New Roman" w:hAnsi="Times New Roman" w:eastAsia="宋体" w:cs="宋体"/>
          <w:kern w:val="2"/>
          <w:sz w:val="24"/>
          <w:szCs w:val="24"/>
          <w:highlight w:val="none"/>
          <w:lang w:val="en-US" w:eastAsia="zh-CN" w:bidi="ar-SA"/>
        </w:rPr>
        <w:t>0.25</w:t>
      </w:r>
      <w:r>
        <w:rPr>
          <w:rFonts w:ascii="Times New Roman" w:hAnsi="Times New Roman" w:eastAsia="宋体" w:cs="宋体"/>
          <w:kern w:val="2"/>
          <w:sz w:val="24"/>
          <w:szCs w:val="24"/>
          <w:highlight w:val="none"/>
          <w:lang w:val="en-US" w:eastAsia="zh-CN" w:bidi="ar-SA"/>
        </w:rPr>
        <w:t>t</w:t>
      </w:r>
      <w:r>
        <w:rPr>
          <w:rFonts w:ascii="Times New Roman" w:hAnsi="Times New Roman" w:eastAsia="宋体" w:cs="宋体"/>
          <w:kern w:val="2"/>
          <w:sz w:val="24"/>
          <w:szCs w:val="24"/>
          <w:lang w:val="en-US" w:eastAsia="zh-CN" w:bidi="ar-SA"/>
        </w:rPr>
        <w:t>，应尽量将装修垃圾进行综合利用；其余装修垃圾拟运往指定地点消纳处理；施工人员生活垃圾定点收集，交由当地环卫部门统一清运处理，对环境影响不大。</w:t>
      </w:r>
    </w:p>
    <w:p>
      <w:pPr>
        <w:pStyle w:val="2"/>
        <w:bidi w:val="0"/>
        <w:rPr>
          <w:lang w:val="en-US" w:eastAsia="zh-CN"/>
        </w:rPr>
      </w:pPr>
      <w:bookmarkStart w:id="1122" w:name="_Toc25280"/>
      <w:bookmarkStart w:id="1123" w:name="_Toc27414"/>
      <w:bookmarkStart w:id="1124" w:name="_Toc1957"/>
      <w:r>
        <w:rPr>
          <w:rFonts w:hint="eastAsia"/>
          <w:lang w:val="en-US" w:eastAsia="zh-CN"/>
        </w:rPr>
        <w:t>运营期</w:t>
      </w:r>
      <w:r>
        <w:rPr>
          <w:lang w:val="en-US" w:eastAsia="zh-CN"/>
        </w:rPr>
        <w:t>环境影响分析</w:t>
      </w:r>
      <w:bookmarkEnd w:id="1117"/>
      <w:bookmarkEnd w:id="1118"/>
      <w:bookmarkEnd w:id="1119"/>
      <w:bookmarkEnd w:id="1120"/>
      <w:bookmarkEnd w:id="1121"/>
      <w:bookmarkEnd w:id="1122"/>
      <w:bookmarkEnd w:id="1123"/>
      <w:bookmarkEnd w:id="1124"/>
    </w:p>
    <w:p>
      <w:pPr>
        <w:pStyle w:val="4"/>
        <w:bidi w:val="0"/>
        <w:rPr>
          <w:lang w:val="en-US" w:eastAsia="zh-CN"/>
        </w:rPr>
      </w:pPr>
      <w:bookmarkStart w:id="1125" w:name="_Toc5491"/>
      <w:bookmarkStart w:id="1126" w:name="_Toc12577"/>
      <w:bookmarkStart w:id="1127" w:name="_Toc6572"/>
      <w:bookmarkStart w:id="1128" w:name="_Toc10697"/>
      <w:bookmarkStart w:id="1129" w:name="_Toc12595"/>
      <w:bookmarkStart w:id="1130" w:name="_Toc21760"/>
      <w:bookmarkStart w:id="1131" w:name="_Toc1963"/>
      <w:bookmarkStart w:id="1132" w:name="_Toc24135"/>
      <w:bookmarkStart w:id="1133" w:name="_Toc21755"/>
      <w:bookmarkStart w:id="1134" w:name="_Toc16688"/>
      <w:bookmarkStart w:id="1135" w:name="_Toc29577"/>
      <w:bookmarkStart w:id="1136" w:name="_Toc6330"/>
      <w:bookmarkStart w:id="1137" w:name="_Toc30317"/>
      <w:bookmarkStart w:id="1138" w:name="_Toc28912"/>
      <w:bookmarkStart w:id="1139" w:name="_Toc27153"/>
      <w:bookmarkStart w:id="1140" w:name="_Toc14087"/>
      <w:r>
        <w:rPr>
          <w:lang w:val="en-US" w:eastAsia="zh-CN"/>
        </w:rPr>
        <w:t>大气环境影响</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r>
        <w:rPr>
          <w:rFonts w:hint="eastAsia"/>
          <w:lang w:val="en-US" w:eastAsia="zh-CN"/>
        </w:rPr>
        <w:t>分析</w:t>
      </w:r>
      <w:bookmarkEnd w:id="1139"/>
      <w:bookmarkEnd w:id="1140"/>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highlight w:val="none"/>
          <w:u w:val="single"/>
          <w:lang w:val="en-US" w:eastAsia="zh-CN" w:bidi="ar-SA"/>
        </w:rPr>
        <w:t>项目生产车间生产运营时，仅进、出料和加热搅拌过程中产生有机废气</w:t>
      </w:r>
      <w:r>
        <w:rPr>
          <w:rFonts w:hint="eastAsia" w:cs="宋体"/>
          <w:kern w:val="2"/>
          <w:sz w:val="24"/>
          <w:szCs w:val="24"/>
          <w:highlight w:val="none"/>
          <w:u w:val="single"/>
          <w:lang w:val="en-US" w:eastAsia="zh-CN" w:bidi="ar-SA"/>
        </w:rPr>
        <w:t>，</w:t>
      </w:r>
      <w:r>
        <w:rPr>
          <w:rFonts w:hint="eastAsia" w:ascii="Times New Roman" w:hAnsi="Times New Roman" w:eastAsia="宋体" w:cs="宋体"/>
          <w:kern w:val="2"/>
          <w:sz w:val="24"/>
          <w:szCs w:val="24"/>
          <w:highlight w:val="none"/>
          <w:u w:val="single"/>
          <w:lang w:val="en-US" w:eastAsia="zh-CN" w:bidi="ar-SA"/>
        </w:rPr>
        <w:t>废气主要成分为</w:t>
      </w:r>
      <w:r>
        <w:rPr>
          <w:rFonts w:hint="eastAsia" w:cs="宋体"/>
          <w:kern w:val="2"/>
          <w:sz w:val="24"/>
          <w:szCs w:val="24"/>
          <w:highlight w:val="none"/>
          <w:u w:val="single"/>
          <w:lang w:val="en-US" w:eastAsia="zh-CN" w:bidi="ar-SA"/>
        </w:rPr>
        <w:t>VOCs。</w:t>
      </w:r>
      <w:r>
        <w:rPr>
          <w:rFonts w:hint="eastAsia" w:ascii="Times New Roman" w:hAnsi="Times New Roman" w:eastAsia="宋体" w:cs="宋体"/>
          <w:kern w:val="2"/>
          <w:sz w:val="24"/>
          <w:szCs w:val="24"/>
          <w:highlight w:val="none"/>
          <w:u w:val="single"/>
          <w:lang w:val="en-US" w:eastAsia="zh-CN" w:bidi="ar-SA"/>
        </w:rPr>
        <w:t>本项目</w:t>
      </w:r>
      <w:r>
        <w:rPr>
          <w:rFonts w:hint="eastAsia" w:cs="宋体"/>
          <w:kern w:val="2"/>
          <w:sz w:val="24"/>
          <w:szCs w:val="24"/>
          <w:highlight w:val="none"/>
          <w:u w:val="single"/>
          <w:lang w:val="en-US" w:eastAsia="zh-CN" w:bidi="ar-SA"/>
        </w:rPr>
        <w:t>只对原料进行混合、分装，在生产过程中</w:t>
      </w:r>
      <w:r>
        <w:rPr>
          <w:rFonts w:hint="eastAsia" w:ascii="Times New Roman" w:hAnsi="Times New Roman" w:eastAsia="宋体" w:cs="宋体"/>
          <w:kern w:val="2"/>
          <w:sz w:val="24"/>
          <w:szCs w:val="24"/>
          <w:highlight w:val="none"/>
          <w:u w:val="single"/>
          <w:lang w:val="en-US" w:eastAsia="zh-CN" w:bidi="ar-SA"/>
        </w:rPr>
        <w:t>，</w:t>
      </w:r>
      <w:r>
        <w:rPr>
          <w:rFonts w:hint="eastAsia" w:cs="宋体"/>
          <w:kern w:val="2"/>
          <w:sz w:val="24"/>
          <w:szCs w:val="24"/>
          <w:highlight w:val="none"/>
          <w:u w:val="single"/>
          <w:lang w:val="en-US" w:eastAsia="zh-CN" w:bidi="ar-SA"/>
        </w:rPr>
        <w:t>不发生化学反应。</w:t>
      </w:r>
      <w:r>
        <w:rPr>
          <w:rFonts w:hint="eastAsia" w:cs="宋体"/>
          <w:kern w:val="2"/>
          <w:sz w:val="24"/>
          <w:szCs w:val="24"/>
          <w:highlight w:val="none"/>
          <w:lang w:val="en-US" w:eastAsia="zh-CN" w:bidi="ar-SA"/>
        </w:rPr>
        <w:t>6种原辅材料</w:t>
      </w:r>
      <w:r>
        <w:rPr>
          <w:rFonts w:hint="eastAsia" w:ascii="Times New Roman" w:hAnsi="Times New Roman" w:eastAsia="宋体" w:cs="宋体"/>
          <w:kern w:val="2"/>
          <w:sz w:val="24"/>
          <w:szCs w:val="24"/>
          <w:lang w:val="en-US" w:eastAsia="zh-CN" w:bidi="ar-SA"/>
        </w:rPr>
        <w:t>沸点大于200℃，在80℃下难以挥发，产生的有机废气少，且罐体密闭，废气产生量小，</w:t>
      </w:r>
      <w:r>
        <w:rPr>
          <w:rFonts w:hint="eastAsia" w:cs="宋体"/>
          <w:kern w:val="2"/>
          <w:sz w:val="24"/>
          <w:szCs w:val="24"/>
          <w:lang w:val="en-US" w:eastAsia="zh-CN" w:bidi="ar-SA"/>
        </w:rPr>
        <w:t>VOCs</w:t>
      </w:r>
      <w:r>
        <w:rPr>
          <w:rFonts w:hint="eastAsia" w:ascii="Times New Roman" w:hAnsi="Times New Roman" w:eastAsia="宋体" w:cs="宋体"/>
          <w:kern w:val="2"/>
          <w:sz w:val="24"/>
          <w:szCs w:val="24"/>
          <w:lang w:val="en-US" w:eastAsia="zh-CN" w:bidi="ar-SA"/>
        </w:rPr>
        <w:t>主要来源于进、出料</w:t>
      </w:r>
      <w:r>
        <w:rPr>
          <w:rFonts w:hint="eastAsia" w:cs="宋体"/>
          <w:kern w:val="2"/>
          <w:sz w:val="24"/>
          <w:szCs w:val="24"/>
          <w:lang w:val="en-US" w:eastAsia="zh-CN" w:bidi="ar-SA"/>
        </w:rPr>
        <w:t>和加热搅拌</w:t>
      </w:r>
      <w:r>
        <w:rPr>
          <w:rFonts w:hint="eastAsia" w:ascii="Times New Roman" w:hAnsi="Times New Roman" w:eastAsia="宋体" w:cs="宋体"/>
          <w:kern w:val="2"/>
          <w:sz w:val="24"/>
          <w:szCs w:val="24"/>
          <w:lang w:val="en-US" w:eastAsia="zh-CN" w:bidi="ar-SA"/>
        </w:rPr>
        <w:t>过程，进出料过程中物料挥发产生的废气极少。</w:t>
      </w:r>
    </w:p>
    <w:p>
      <w:pPr>
        <w:pStyle w:val="25"/>
        <w:bidi w:val="0"/>
        <w:rPr>
          <w:rFonts w:hint="eastAsia"/>
          <w:lang w:val="en-US" w:eastAsia="zh-CN"/>
        </w:rPr>
      </w:pPr>
      <w:r>
        <w:rPr>
          <w:rFonts w:hint="eastAsia"/>
          <w:u w:val="single"/>
          <w:lang w:val="en-US" w:eastAsia="zh-CN"/>
        </w:rPr>
        <w:t>类比《山东云华新材料有限公司年产6000吨聚氨酯泡沫塑料建设项目环境影响报告书》现有工程污染源VOCs排放情况，预测本项目VOCs最大排放量为0.31t/a，有组织废气VOCs最大排放量为0.11t/a，最大排放浓度为5.38mg/m</w:t>
      </w:r>
      <w:r>
        <w:rPr>
          <w:rFonts w:hint="eastAsia"/>
          <w:u w:val="single"/>
          <w:vertAlign w:val="superscript"/>
          <w:lang w:val="en-US" w:eastAsia="zh-CN"/>
        </w:rPr>
        <w:t>3</w:t>
      </w:r>
      <w:r>
        <w:rPr>
          <w:rFonts w:hint="eastAsia"/>
          <w:u w:val="single"/>
          <w:vertAlign w:val="baseline"/>
          <w:lang w:val="en-US" w:eastAsia="zh-CN"/>
        </w:rPr>
        <w:t>，最大排放速率为0.053</w:t>
      </w:r>
      <w:r>
        <w:rPr>
          <w:rFonts w:hint="eastAsia"/>
          <w:u w:val="single"/>
          <w:lang w:val="en-US" w:eastAsia="zh-CN"/>
        </w:rPr>
        <w:t>kg/h；无组织废气VOCs最大排放量为0.20t/a，</w:t>
      </w:r>
      <w:r>
        <w:rPr>
          <w:rFonts w:hint="eastAsia"/>
          <w:u w:val="single"/>
          <w:vertAlign w:val="baseline"/>
          <w:lang w:val="en-US" w:eastAsia="zh-CN"/>
        </w:rPr>
        <w:t>最大排放速率为0.096</w:t>
      </w:r>
      <w:r>
        <w:rPr>
          <w:rFonts w:hint="eastAsia"/>
          <w:u w:val="single"/>
          <w:lang w:val="en-US" w:eastAsia="zh-CN"/>
        </w:rPr>
        <w:t>kg/h。</w:t>
      </w:r>
    </w:p>
    <w:p>
      <w:pPr>
        <w:widowControl w:val="0"/>
        <w:bidi w:val="0"/>
        <w:spacing w:line="360" w:lineRule="auto"/>
        <w:ind w:firstLine="480" w:firstLineChars="200"/>
        <w:jc w:val="left"/>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本项目生产过程废气产生及排放情况见</w:t>
      </w:r>
      <w:r>
        <w:rPr>
          <w:rFonts w:hint="eastAsia" w:ascii="Times New Roman" w:hAnsi="Times New Roman" w:eastAsia="宋体" w:cs="Times New Roman"/>
          <w:color w:val="auto"/>
          <w:kern w:val="2"/>
          <w:sz w:val="24"/>
          <w:szCs w:val="24"/>
          <w:lang w:val="en-US" w:eastAsia="zh-CN" w:bidi="ar-SA"/>
        </w:rPr>
        <w:fldChar w:fldCharType="begin"/>
      </w:r>
      <w:r>
        <w:rPr>
          <w:rFonts w:hint="eastAsia" w:ascii="Times New Roman" w:hAnsi="Times New Roman" w:eastAsia="宋体" w:cs="Times New Roman"/>
          <w:color w:val="auto"/>
          <w:kern w:val="2"/>
          <w:sz w:val="24"/>
          <w:szCs w:val="24"/>
          <w:lang w:val="en-US" w:eastAsia="zh-CN" w:bidi="ar-SA"/>
        </w:rPr>
        <w:instrText xml:space="preserve"> REF _Ref12390 \h </w:instrText>
      </w:r>
      <w:r>
        <w:rPr>
          <w:rFonts w:hint="eastAsia" w:ascii="Times New Roman" w:hAnsi="Times New Roman" w:eastAsia="宋体" w:cs="Times New Roman"/>
          <w:color w:val="auto"/>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6</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fldChar w:fldCharType="end"/>
      </w:r>
      <w:r>
        <w:rPr>
          <w:rFonts w:hint="eastAsia" w:ascii="Times New Roman" w:hAnsi="Times New Roman" w:eastAsia="宋体" w:cs="Times New Roman"/>
          <w:color w:val="auto"/>
          <w:kern w:val="2"/>
          <w:sz w:val="24"/>
          <w:szCs w:val="24"/>
          <w:lang w:val="en-US" w:eastAsia="zh-CN" w:bidi="ar-SA"/>
        </w:rPr>
        <w:t>。</w:t>
      </w:r>
    </w:p>
    <w:p>
      <w:pPr>
        <w:keepNext w:val="0"/>
        <w:keepLines w:val="0"/>
        <w:pageBreakBefore w:val="0"/>
        <w:widowControl w:val="0"/>
        <w:kinsoku/>
        <w:wordWrap/>
        <w:overflowPunct/>
        <w:topLinePunct w:val="0"/>
        <w:bidi w:val="0"/>
        <w:snapToGrid/>
        <w:spacing w:line="480" w:lineRule="exact"/>
        <w:jc w:val="center"/>
        <w:textAlignment w:val="auto"/>
        <w:rPr>
          <w:rFonts w:hint="eastAsia" w:ascii="Times New Roman" w:hAnsi="Times New Roman" w:eastAsia="宋体" w:cs="Times New Roman"/>
          <w:b/>
          <w:bCs/>
          <w:kern w:val="2"/>
          <w:sz w:val="21"/>
          <w:szCs w:val="21"/>
          <w:lang w:val="en-US" w:eastAsia="zh-CN" w:bidi="ar-SA"/>
        </w:rPr>
      </w:pPr>
      <w:bookmarkStart w:id="1141" w:name="_Ref12390"/>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6</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bookmarkEnd w:id="1141"/>
      <w:r>
        <w:rPr>
          <w:rFonts w:hint="eastAsia" w:ascii="Times New Roman" w:hAnsi="Times New Roman" w:eastAsia="宋体" w:cs="Times New Roman"/>
          <w:b/>
          <w:bCs/>
          <w:kern w:val="2"/>
          <w:sz w:val="21"/>
          <w:szCs w:val="21"/>
          <w:lang w:val="en-US" w:eastAsia="zh-CN" w:bidi="ar-SA"/>
        </w:rPr>
        <w:t>本项目废气产生及排放情况一览表</w:t>
      </w:r>
    </w:p>
    <w:tbl>
      <w:tblPr>
        <w:tblStyle w:val="23"/>
        <w:tblW w:w="460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001"/>
        <w:gridCol w:w="1587"/>
        <w:gridCol w:w="1020"/>
        <w:gridCol w:w="1005"/>
        <w:gridCol w:w="1260"/>
        <w:gridCol w:w="12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1" w:type="dxa"/>
            <w:gridSpan w:val="2"/>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污染物</w:t>
            </w:r>
          </w:p>
        </w:tc>
        <w:tc>
          <w:tcPr>
            <w:tcW w:w="1587"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产生情况</w:t>
            </w:r>
          </w:p>
        </w:tc>
        <w:tc>
          <w:tcPr>
            <w:tcW w:w="3285" w:type="dxa"/>
            <w:gridSpan w:val="3"/>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排放情况</w:t>
            </w:r>
          </w:p>
        </w:tc>
        <w:tc>
          <w:tcPr>
            <w:tcW w:w="127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1" w:type="dxa"/>
            <w:gridSpan w:val="2"/>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1587"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产生量</w:t>
            </w:r>
          </w:p>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（t/a）</w:t>
            </w:r>
          </w:p>
        </w:tc>
        <w:tc>
          <w:tcPr>
            <w:tcW w:w="102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排放</w:t>
            </w:r>
            <w:r>
              <w:rPr>
                <w:rFonts w:hint="default" w:ascii="Times New Roman" w:hAnsi="Times New Roman" w:eastAsia="宋体" w:cs="Times New Roman"/>
                <w:kern w:val="2"/>
                <w:sz w:val="24"/>
                <w:szCs w:val="24"/>
                <w:lang w:val="en-US" w:eastAsia="zh-CN" w:bidi="ar-SA"/>
              </w:rPr>
              <w:t>量（t/a）</w:t>
            </w:r>
          </w:p>
        </w:tc>
        <w:tc>
          <w:tcPr>
            <w:tcW w:w="100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速率（kg/h）</w:t>
            </w:r>
          </w:p>
        </w:tc>
        <w:tc>
          <w:tcPr>
            <w:tcW w:w="126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浓度（mg/m</w:t>
            </w:r>
            <w:r>
              <w:rPr>
                <w:rFonts w:hint="default" w:ascii="Times New Roman" w:hAnsi="Times New Roman" w:eastAsia="宋体" w:cs="Times New Roman"/>
                <w:kern w:val="2"/>
                <w:sz w:val="24"/>
                <w:szCs w:val="24"/>
                <w:vertAlign w:val="superscript"/>
                <w:lang w:val="en-US" w:eastAsia="zh-CN" w:bidi="ar-SA"/>
              </w:rPr>
              <w:t>3</w:t>
            </w:r>
            <w:r>
              <w:rPr>
                <w:rFonts w:hint="default" w:ascii="Times New Roman" w:hAnsi="Times New Roman" w:eastAsia="宋体" w:cs="Times New Roman"/>
                <w:kern w:val="2"/>
                <w:sz w:val="24"/>
                <w:szCs w:val="24"/>
                <w:lang w:val="en-US" w:eastAsia="zh-CN" w:bidi="ar-SA"/>
              </w:rPr>
              <w:t>）</w:t>
            </w:r>
          </w:p>
        </w:tc>
        <w:tc>
          <w:tcPr>
            <w:tcW w:w="127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浓度（mg/m</w:t>
            </w:r>
            <w:r>
              <w:rPr>
                <w:rFonts w:hint="default" w:ascii="Times New Roman" w:hAnsi="Times New Roman" w:eastAsia="宋体" w:cs="Times New Roman"/>
                <w:kern w:val="2"/>
                <w:sz w:val="24"/>
                <w:szCs w:val="24"/>
                <w:vertAlign w:val="superscript"/>
                <w:lang w:val="en-US" w:eastAsia="zh-CN" w:bidi="ar-SA"/>
              </w:rPr>
              <w:t>3</w:t>
            </w:r>
            <w:r>
              <w:rPr>
                <w:rFonts w:hint="default" w:ascii="Times New Roman" w:hAnsi="Times New Roman" w:eastAsia="宋体" w:cs="Times New Roman"/>
                <w:kern w:val="2"/>
                <w:sz w:val="24"/>
                <w:szCs w:val="24"/>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0"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VOCs</w:t>
            </w:r>
          </w:p>
        </w:tc>
        <w:tc>
          <w:tcPr>
            <w:tcW w:w="1001"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有组织</w:t>
            </w:r>
          </w:p>
        </w:tc>
        <w:tc>
          <w:tcPr>
            <w:tcW w:w="1587"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1.83</w:t>
            </w:r>
          </w:p>
        </w:tc>
        <w:tc>
          <w:tcPr>
            <w:tcW w:w="102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0.11</w:t>
            </w:r>
          </w:p>
        </w:tc>
        <w:tc>
          <w:tcPr>
            <w:tcW w:w="100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0.053</w:t>
            </w:r>
          </w:p>
        </w:tc>
        <w:tc>
          <w:tcPr>
            <w:tcW w:w="126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5.38</w:t>
            </w:r>
          </w:p>
        </w:tc>
        <w:tc>
          <w:tcPr>
            <w:tcW w:w="127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u w:val="single"/>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0" w:type="dxa"/>
            <w:vMerge w:val="continue"/>
            <w:tcBorders>
              <w:tl2br w:val="nil"/>
              <w:tr2bl w:val="nil"/>
            </w:tcBorders>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001"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无组织</w:t>
            </w:r>
          </w:p>
        </w:tc>
        <w:tc>
          <w:tcPr>
            <w:tcW w:w="1587"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0.20</w:t>
            </w:r>
          </w:p>
        </w:tc>
        <w:tc>
          <w:tcPr>
            <w:tcW w:w="102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0.20</w:t>
            </w:r>
          </w:p>
        </w:tc>
        <w:tc>
          <w:tcPr>
            <w:tcW w:w="100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0.096</w:t>
            </w:r>
          </w:p>
        </w:tc>
        <w:tc>
          <w:tcPr>
            <w:tcW w:w="126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c>
          <w:tcPr>
            <w:tcW w:w="127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r>
    </w:tbl>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该项目</w:t>
      </w:r>
      <w:r>
        <w:rPr>
          <w:rFonts w:hint="eastAsia" w:cs="宋体"/>
          <w:kern w:val="2"/>
          <w:sz w:val="24"/>
          <w:szCs w:val="24"/>
          <w:lang w:val="en-US" w:eastAsia="zh-CN" w:bidi="ar-SA"/>
        </w:rPr>
        <w:t>VOCs</w:t>
      </w:r>
      <w:r>
        <w:rPr>
          <w:rFonts w:hint="eastAsia" w:ascii="Times New Roman" w:hAnsi="Times New Roman" w:eastAsia="宋体" w:cs="宋体"/>
          <w:kern w:val="2"/>
          <w:sz w:val="24"/>
          <w:szCs w:val="24"/>
          <w:lang w:val="en-US" w:eastAsia="zh-CN" w:bidi="ar-SA"/>
        </w:rPr>
        <w:t>排放浓度满</w:t>
      </w:r>
      <w:r>
        <w:rPr>
          <w:rFonts w:hint="eastAsia" w:ascii="Times New Roman" w:hAnsi="Times New Roman" w:eastAsia="宋体" w:cs="宋体"/>
          <w:kern w:val="2"/>
          <w:sz w:val="24"/>
          <w:szCs w:val="24"/>
          <w:highlight w:val="none"/>
          <w:lang w:val="en-US" w:eastAsia="zh-CN" w:bidi="ar-SA"/>
        </w:rPr>
        <w:t>足</w:t>
      </w:r>
      <w:r>
        <w:rPr>
          <w:rFonts w:hint="eastAsia"/>
          <w:color w:val="000000"/>
        </w:rPr>
        <w:t>天津市《工业企业挥发性有机物排放控制标准》（DB12/524-2014）表2新建企业排气筒污染物排放限值</w:t>
      </w:r>
      <w:r>
        <w:rPr>
          <w:rFonts w:hint="eastAsia" w:ascii="Times New Roman" w:hAnsi="Times New Roman" w:eastAsia="宋体" w:cs="宋体"/>
          <w:kern w:val="2"/>
          <w:sz w:val="24"/>
          <w:szCs w:val="24"/>
          <w:highlight w:val="none"/>
          <w:lang w:val="en-US" w:eastAsia="zh-CN" w:bidi="ar-SA"/>
        </w:rPr>
        <w:t>要求</w:t>
      </w:r>
      <w:r>
        <w:rPr>
          <w:rFonts w:hint="eastAsia" w:ascii="Times New Roman" w:hAnsi="Times New Roman" w:eastAsia="宋体" w:cs="宋体"/>
          <w:kern w:val="2"/>
          <w:sz w:val="24"/>
          <w:szCs w:val="24"/>
          <w:lang w:val="en-US" w:eastAsia="zh-CN" w:bidi="ar-SA"/>
        </w:rPr>
        <w:t>，对环境影响较小。</w:t>
      </w:r>
    </w:p>
    <w:p>
      <w:pPr>
        <w:pStyle w:val="5"/>
        <w:bidi w:val="0"/>
        <w:rPr>
          <w:rFonts w:hint="default"/>
          <w:lang w:val="en-US" w:eastAsia="zh-CN"/>
        </w:rPr>
      </w:pPr>
      <w:bookmarkStart w:id="1142" w:name="_Toc12550"/>
      <w:r>
        <w:rPr>
          <w:rFonts w:hint="eastAsia"/>
          <w:lang w:val="en-US" w:eastAsia="zh-CN"/>
        </w:rPr>
        <w:t>大气评价等级和评价范围的确定</w:t>
      </w:r>
      <w:bookmarkEnd w:id="1142"/>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选择《环境影响评价技术导则</w:t>
      </w:r>
      <w:r>
        <w:rPr>
          <w:rFonts w:hint="eastAsia" w:ascii="Times New Roman" w:hAnsi="Times New Roman" w:eastAsia="宋体" w:cs="宋体"/>
          <w:kern w:val="2"/>
          <w:sz w:val="24"/>
          <w:szCs w:val="24"/>
          <w:lang w:val="en-US" w:eastAsia="zh-CN" w:bidi="ar-SA"/>
        </w:rPr>
        <w:t xml:space="preserve"> </w:t>
      </w:r>
      <w:r>
        <w:rPr>
          <w:rFonts w:hint="default" w:ascii="Times New Roman" w:hAnsi="Times New Roman" w:eastAsia="宋体" w:cs="宋体"/>
          <w:kern w:val="2"/>
          <w:sz w:val="24"/>
          <w:szCs w:val="24"/>
          <w:lang w:val="en-US" w:eastAsia="zh-CN" w:bidi="ar-SA"/>
        </w:rPr>
        <w:t>大气环境》（HJ2.2-2018）附录A推荐模型中估算模型AERSCREEN计算，根据导则评价判断依据（见</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_Ref13670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6</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2</w:t>
      </w:r>
      <w:r>
        <w:rPr>
          <w:rFonts w:hint="default" w:ascii="Times New Roman" w:hAnsi="Times New Roman" w:eastAsia="宋体" w:cs="宋体"/>
          <w:kern w:val="2"/>
          <w:sz w:val="24"/>
          <w:szCs w:val="24"/>
          <w:lang w:val="en-US" w:eastAsia="zh-CN" w:bidi="ar-SA"/>
        </w:rPr>
        <w:fldChar w:fldCharType="end"/>
      </w:r>
      <w:r>
        <w:rPr>
          <w:rFonts w:hint="default" w:ascii="Times New Roman" w:hAnsi="Times New Roman" w:eastAsia="宋体" w:cs="宋体"/>
          <w:kern w:val="2"/>
          <w:sz w:val="24"/>
          <w:szCs w:val="24"/>
          <w:lang w:val="en-US" w:eastAsia="zh-CN" w:bidi="ar-SA"/>
        </w:rPr>
        <w:t>）判定大气评价等级。</w:t>
      </w:r>
    </w:p>
    <w:p>
      <w:pPr>
        <w:keepNext w:val="0"/>
        <w:keepLines w:val="0"/>
        <w:pageBreakBefore w:val="0"/>
        <w:widowControl w:val="0"/>
        <w:kinsoku/>
        <w:wordWrap/>
        <w:overflowPunct/>
        <w:topLinePunct w:val="0"/>
        <w:bidi w:val="0"/>
        <w:snapToGrid/>
        <w:spacing w:line="480" w:lineRule="exact"/>
        <w:jc w:val="center"/>
        <w:textAlignment w:val="auto"/>
        <w:rPr>
          <w:rFonts w:hint="default" w:ascii="Times New Roman" w:hAnsi="Times New Roman" w:eastAsia="宋体" w:cs="Times New Roman"/>
          <w:b/>
          <w:bCs/>
          <w:kern w:val="2"/>
          <w:sz w:val="21"/>
          <w:szCs w:val="21"/>
          <w:lang w:val="en-US" w:eastAsia="zh-CN" w:bidi="ar-SA"/>
        </w:rPr>
      </w:pPr>
      <w:bookmarkStart w:id="1143" w:name="_Ref13670"/>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6</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fldChar w:fldCharType="end"/>
      </w:r>
      <w:bookmarkEnd w:id="1143"/>
      <w:r>
        <w:rPr>
          <w:rFonts w:hint="default" w:ascii="Times New Roman" w:hAnsi="Times New Roman" w:eastAsia="宋体" w:cs="Times New Roman"/>
          <w:b/>
          <w:bCs/>
          <w:kern w:val="2"/>
          <w:sz w:val="21"/>
          <w:szCs w:val="21"/>
          <w:lang w:val="en-US" w:eastAsia="zh-CN" w:bidi="ar-SA"/>
        </w:rPr>
        <w:t>评价工作等级判据</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10"/>
        <w:gridCol w:w="67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8"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评价工作等级</w:t>
            </w:r>
          </w:p>
        </w:tc>
        <w:tc>
          <w:tcPr>
            <w:tcW w:w="679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评价工作分级判据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8"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一级评价</w:t>
            </w:r>
          </w:p>
        </w:tc>
        <w:tc>
          <w:tcPr>
            <w:tcW w:w="679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P</w:t>
            </w:r>
            <w:r>
              <w:rPr>
                <w:rFonts w:hint="default" w:ascii="Times New Roman" w:hAnsi="Times New Roman" w:eastAsia="宋体" w:cs="Times New Roman"/>
                <w:kern w:val="2"/>
                <w:sz w:val="24"/>
                <w:szCs w:val="24"/>
                <w:vertAlign w:val="subscript"/>
                <w:lang w:val="en-US" w:eastAsia="zh-CN" w:bidi="ar-SA"/>
              </w:rPr>
              <w:t>max</w:t>
            </w:r>
            <w:r>
              <w:rPr>
                <w:rFonts w:hint="default" w:ascii="Times New Roman" w:hAnsi="Times New Roman" w:eastAsia="宋体" w:cs="Times New Roman"/>
                <w:kern w:val="2"/>
                <w:sz w:val="24"/>
                <w:szCs w:val="24"/>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8"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二级评价</w:t>
            </w:r>
          </w:p>
        </w:tc>
        <w:tc>
          <w:tcPr>
            <w:tcW w:w="679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1%≤P</w:t>
            </w:r>
            <w:r>
              <w:rPr>
                <w:rFonts w:hint="default" w:ascii="Times New Roman" w:hAnsi="Times New Roman" w:eastAsia="宋体" w:cs="Times New Roman"/>
                <w:kern w:val="2"/>
                <w:sz w:val="24"/>
                <w:szCs w:val="24"/>
                <w:vertAlign w:val="subscript"/>
                <w:lang w:val="en-US" w:eastAsia="zh-CN" w:bidi="ar-SA"/>
              </w:rPr>
              <w:t>max</w:t>
            </w:r>
            <w:r>
              <w:rPr>
                <w:rFonts w:hint="default" w:ascii="Times New Roman" w:hAnsi="Times New Roman" w:eastAsia="宋体" w:cs="Times New Roman"/>
                <w:kern w:val="2"/>
                <w:sz w:val="24"/>
                <w:szCs w:val="24"/>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8"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三级评价</w:t>
            </w:r>
          </w:p>
        </w:tc>
        <w:tc>
          <w:tcPr>
            <w:tcW w:w="679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P</w:t>
            </w:r>
            <w:r>
              <w:rPr>
                <w:rFonts w:hint="default" w:ascii="Times New Roman" w:hAnsi="Times New Roman" w:eastAsia="宋体" w:cs="Times New Roman"/>
                <w:kern w:val="2"/>
                <w:sz w:val="24"/>
                <w:szCs w:val="24"/>
                <w:vertAlign w:val="subscript"/>
                <w:lang w:val="en-US" w:eastAsia="zh-CN" w:bidi="ar-SA"/>
              </w:rPr>
              <w:t>max</w:t>
            </w:r>
            <w:r>
              <w:rPr>
                <w:rFonts w:hint="default" w:ascii="Times New Roman" w:hAnsi="Times New Roman" w:eastAsia="宋体" w:cs="Times New Roman"/>
                <w:kern w:val="2"/>
                <w:sz w:val="24"/>
                <w:szCs w:val="24"/>
                <w:lang w:val="en-US" w:eastAsia="zh-CN" w:bidi="ar-SA"/>
              </w:rPr>
              <w:t>＜1%</w:t>
            </w:r>
          </w:p>
        </w:tc>
      </w:tr>
    </w:tbl>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污染物最大地面浓度占标率计算公式如下：</w:t>
      </w:r>
    </w:p>
    <w:p>
      <w:pPr>
        <w:widowControl w:val="0"/>
        <w:bidi w:val="0"/>
        <w:spacing w:line="360" w:lineRule="auto"/>
        <w:ind w:firstLine="480" w:firstLineChars="200"/>
        <w:jc w:val="center"/>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P</w:t>
      </w:r>
      <w:r>
        <w:rPr>
          <w:rFonts w:hint="default" w:ascii="Times New Roman" w:hAnsi="Times New Roman" w:eastAsia="宋体" w:cs="宋体"/>
          <w:kern w:val="2"/>
          <w:sz w:val="24"/>
          <w:szCs w:val="24"/>
          <w:vertAlign w:val="subscript"/>
          <w:lang w:val="en-US" w:eastAsia="zh-CN" w:bidi="ar-SA"/>
        </w:rPr>
        <w:t>i</w:t>
      </w:r>
      <w:r>
        <w:rPr>
          <w:rFonts w:hint="default" w:ascii="Times New Roman" w:hAnsi="Times New Roman" w:eastAsia="宋体" w:cs="宋体"/>
          <w:kern w:val="2"/>
          <w:sz w:val="24"/>
          <w:szCs w:val="24"/>
          <w:lang w:val="en-US" w:eastAsia="zh-CN" w:bidi="ar-SA"/>
        </w:rPr>
        <w:t>=C</w:t>
      </w:r>
      <w:r>
        <w:rPr>
          <w:rFonts w:hint="default" w:ascii="Times New Roman" w:hAnsi="Times New Roman" w:eastAsia="宋体" w:cs="宋体"/>
          <w:kern w:val="2"/>
          <w:sz w:val="24"/>
          <w:szCs w:val="24"/>
          <w:vertAlign w:val="subscript"/>
          <w:lang w:val="en-US" w:eastAsia="zh-CN" w:bidi="ar-SA"/>
        </w:rPr>
        <w:t>i</w:t>
      </w:r>
      <w:r>
        <w:rPr>
          <w:rFonts w:hint="default" w:ascii="Times New Roman" w:hAnsi="Times New Roman" w:eastAsia="宋体" w:cs="宋体"/>
          <w:kern w:val="2"/>
          <w:sz w:val="24"/>
          <w:szCs w:val="24"/>
          <w:lang w:val="en-US" w:eastAsia="zh-CN" w:bidi="ar-SA"/>
        </w:rPr>
        <w:t>/C</w:t>
      </w:r>
      <w:r>
        <w:rPr>
          <w:rFonts w:hint="default" w:ascii="Times New Roman" w:hAnsi="Times New Roman" w:eastAsia="宋体" w:cs="宋体"/>
          <w:kern w:val="2"/>
          <w:sz w:val="24"/>
          <w:szCs w:val="24"/>
          <w:vertAlign w:val="subscript"/>
          <w:lang w:val="en-US" w:eastAsia="zh-CN" w:bidi="ar-SA"/>
        </w:rPr>
        <w:t>0i</w:t>
      </w:r>
      <w:r>
        <w:rPr>
          <w:rFonts w:hint="default" w:ascii="Times New Roman" w:hAnsi="Times New Roman" w:eastAsia="宋体" w:cs="宋体"/>
          <w:kern w:val="2"/>
          <w:sz w:val="24"/>
          <w:szCs w:val="24"/>
          <w:lang w:val="en-US" w:eastAsia="zh-CN" w:bidi="ar-SA"/>
        </w:rPr>
        <w:t>×100%</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按照上式计算各污染因子的P</w:t>
      </w:r>
      <w:r>
        <w:rPr>
          <w:rFonts w:hint="default" w:ascii="Times New Roman" w:hAnsi="Times New Roman" w:eastAsia="宋体" w:cs="宋体"/>
          <w:kern w:val="2"/>
          <w:sz w:val="24"/>
          <w:szCs w:val="24"/>
          <w:vertAlign w:val="subscript"/>
          <w:lang w:val="en-US" w:eastAsia="zh-CN" w:bidi="ar-SA"/>
        </w:rPr>
        <w:t>i</w:t>
      </w:r>
      <w:r>
        <w:rPr>
          <w:rFonts w:hint="default" w:ascii="Times New Roman" w:hAnsi="Times New Roman" w:eastAsia="宋体" w:cs="宋体"/>
          <w:kern w:val="2"/>
          <w:sz w:val="24"/>
          <w:szCs w:val="24"/>
          <w:lang w:val="en-US" w:eastAsia="zh-CN" w:bidi="ar-SA"/>
        </w:rPr>
        <w:t>值，确定评价等级，并取评价级别最高者作为本项目的评价等级。</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①评价因子和评价标准表见</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_Ref24515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highlight w:val="none"/>
          <w:lang w:val="en-US" w:eastAsia="zh-CN" w:bidi="ar-SA"/>
        </w:rPr>
        <w:t xml:space="preserve">表 </w:t>
      </w:r>
      <w:r>
        <w:rPr>
          <w:rFonts w:ascii="Times New Roman" w:hAnsi="Times New Roman" w:eastAsia="宋体" w:cs="宋体"/>
          <w:kern w:val="2"/>
          <w:sz w:val="24"/>
          <w:szCs w:val="24"/>
          <w:highlight w:val="none"/>
          <w:lang w:val="en-US" w:eastAsia="zh-CN" w:bidi="ar-SA"/>
        </w:rPr>
        <w:fldChar w:fldCharType="begin"/>
      </w:r>
      <w:r>
        <w:rPr>
          <w:rFonts w:ascii="Times New Roman" w:hAnsi="Times New Roman" w:eastAsia="宋体" w:cs="宋体"/>
          <w:kern w:val="2"/>
          <w:sz w:val="24"/>
          <w:szCs w:val="24"/>
          <w:highlight w:val="none"/>
          <w:lang w:val="en-US" w:eastAsia="zh-CN" w:bidi="ar-SA"/>
        </w:rPr>
        <w:instrText xml:space="preserve"> STYLEREF 1 \s </w:instrText>
      </w:r>
      <w:r>
        <w:rPr>
          <w:rFonts w:ascii="Times New Roman" w:hAnsi="Times New Roman" w:eastAsia="宋体" w:cs="宋体"/>
          <w:kern w:val="2"/>
          <w:sz w:val="24"/>
          <w:szCs w:val="24"/>
          <w:highlight w:val="none"/>
          <w:lang w:val="en-US" w:eastAsia="zh-CN" w:bidi="ar-SA"/>
        </w:rPr>
        <w:fldChar w:fldCharType="separate"/>
      </w:r>
      <w:r>
        <w:rPr>
          <w:rFonts w:ascii="Times New Roman" w:hAnsi="Times New Roman" w:eastAsia="宋体" w:cs="宋体"/>
          <w:kern w:val="2"/>
          <w:sz w:val="24"/>
          <w:szCs w:val="24"/>
          <w:highlight w:val="none"/>
          <w:lang w:val="en-US" w:eastAsia="zh-CN" w:bidi="ar-SA"/>
        </w:rPr>
        <w:t>6</w:t>
      </w:r>
      <w:r>
        <w:rPr>
          <w:rFonts w:ascii="Times New Roman" w:hAnsi="Times New Roman" w:eastAsia="宋体" w:cs="宋体"/>
          <w:kern w:val="2"/>
          <w:sz w:val="24"/>
          <w:szCs w:val="24"/>
          <w:highlight w:val="none"/>
          <w:lang w:val="en-US" w:eastAsia="zh-CN" w:bidi="ar-SA"/>
        </w:rPr>
        <w:fldChar w:fldCharType="end"/>
      </w:r>
      <w:r>
        <w:rPr>
          <w:rFonts w:hint="eastAsia" w:ascii="Times New Roman" w:hAnsi="Times New Roman" w:eastAsia="宋体" w:cs="宋体"/>
          <w:kern w:val="2"/>
          <w:sz w:val="24"/>
          <w:szCs w:val="24"/>
          <w:highlight w:val="none"/>
          <w:lang w:val="en-US" w:eastAsia="zh-CN" w:bidi="ar-SA"/>
        </w:rPr>
        <w:t>-3</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kern w:val="2"/>
          <w:sz w:val="21"/>
          <w:szCs w:val="21"/>
          <w:highlight w:val="none"/>
          <w:lang w:val="en-US" w:eastAsia="zh-CN" w:bidi="ar-SA"/>
        </w:rPr>
      </w:pPr>
      <w:bookmarkStart w:id="1144" w:name="_Ref24515"/>
      <w:r>
        <w:rPr>
          <w:rFonts w:ascii="Times New Roman" w:hAnsi="Times New Roman" w:eastAsia="宋体" w:cs="Times New Roman"/>
          <w:b/>
          <w:kern w:val="2"/>
          <w:sz w:val="21"/>
          <w:szCs w:val="21"/>
          <w:highlight w:val="none"/>
          <w:lang w:val="en-US" w:eastAsia="zh-CN" w:bidi="ar-SA"/>
        </w:rPr>
        <w:t xml:space="preserve">表 </w:t>
      </w:r>
      <w:r>
        <w:rPr>
          <w:rFonts w:ascii="Times New Roman" w:hAnsi="Times New Roman" w:eastAsia="宋体" w:cs="Times New Roman"/>
          <w:b/>
          <w:kern w:val="2"/>
          <w:sz w:val="21"/>
          <w:szCs w:val="21"/>
          <w:highlight w:val="none"/>
          <w:lang w:val="en-US" w:eastAsia="zh-CN" w:bidi="ar-SA"/>
        </w:rPr>
        <w:fldChar w:fldCharType="begin"/>
      </w:r>
      <w:r>
        <w:rPr>
          <w:rFonts w:ascii="Times New Roman" w:hAnsi="Times New Roman" w:eastAsia="宋体" w:cs="Times New Roman"/>
          <w:b/>
          <w:kern w:val="2"/>
          <w:sz w:val="21"/>
          <w:szCs w:val="21"/>
          <w:highlight w:val="none"/>
          <w:lang w:val="en-US" w:eastAsia="zh-CN" w:bidi="ar-SA"/>
        </w:rPr>
        <w:instrText xml:space="preserve"> STYLEREF 1 \s </w:instrText>
      </w:r>
      <w:r>
        <w:rPr>
          <w:rFonts w:ascii="Times New Roman" w:hAnsi="Times New Roman" w:eastAsia="宋体" w:cs="Times New Roman"/>
          <w:b/>
          <w:kern w:val="2"/>
          <w:sz w:val="21"/>
          <w:szCs w:val="21"/>
          <w:highlight w:val="none"/>
          <w:lang w:val="en-US" w:eastAsia="zh-CN" w:bidi="ar-SA"/>
        </w:rPr>
        <w:fldChar w:fldCharType="separate"/>
      </w:r>
      <w:r>
        <w:rPr>
          <w:rFonts w:ascii="Times New Roman" w:hAnsi="Times New Roman" w:eastAsia="宋体" w:cs="Times New Roman"/>
          <w:b/>
          <w:kern w:val="2"/>
          <w:sz w:val="21"/>
          <w:szCs w:val="21"/>
          <w:highlight w:val="none"/>
          <w:lang w:val="en-US" w:eastAsia="zh-CN" w:bidi="ar-SA"/>
        </w:rPr>
        <w:t>6</w:t>
      </w:r>
      <w:r>
        <w:rPr>
          <w:rFonts w:ascii="Times New Roman" w:hAnsi="Times New Roman" w:eastAsia="宋体" w:cs="Times New Roman"/>
          <w:b/>
          <w:kern w:val="2"/>
          <w:sz w:val="21"/>
          <w:szCs w:val="21"/>
          <w:highlight w:val="none"/>
          <w:lang w:val="en-US" w:eastAsia="zh-CN" w:bidi="ar-SA"/>
        </w:rPr>
        <w:fldChar w:fldCharType="end"/>
      </w:r>
      <w:r>
        <w:rPr>
          <w:rFonts w:hint="eastAsia" w:ascii="Times New Roman" w:hAnsi="Times New Roman" w:eastAsia="宋体" w:cs="Times New Roman"/>
          <w:b/>
          <w:kern w:val="2"/>
          <w:sz w:val="21"/>
          <w:szCs w:val="21"/>
          <w:highlight w:val="none"/>
          <w:lang w:val="en-US" w:eastAsia="zh-CN" w:bidi="ar-SA"/>
        </w:rPr>
        <w:t>-</w:t>
      </w:r>
      <w:r>
        <w:rPr>
          <w:rFonts w:ascii="Times New Roman" w:hAnsi="Times New Roman" w:eastAsia="宋体" w:cs="Times New Roman"/>
          <w:b/>
          <w:kern w:val="2"/>
          <w:sz w:val="21"/>
          <w:szCs w:val="21"/>
          <w:highlight w:val="none"/>
          <w:lang w:val="en-US" w:eastAsia="zh-CN" w:bidi="ar-SA"/>
        </w:rPr>
        <w:fldChar w:fldCharType="begin"/>
      </w:r>
      <w:r>
        <w:rPr>
          <w:rFonts w:ascii="Times New Roman" w:hAnsi="Times New Roman" w:eastAsia="宋体" w:cs="Times New Roman"/>
          <w:b/>
          <w:kern w:val="2"/>
          <w:sz w:val="21"/>
          <w:szCs w:val="21"/>
          <w:highlight w:val="none"/>
          <w:lang w:val="en-US" w:eastAsia="zh-CN" w:bidi="ar-SA"/>
        </w:rPr>
        <w:instrText xml:space="preserve"> SEQ 表 \* ARABIC \s 1 </w:instrText>
      </w:r>
      <w:r>
        <w:rPr>
          <w:rFonts w:ascii="Times New Roman" w:hAnsi="Times New Roman" w:eastAsia="宋体" w:cs="Times New Roman"/>
          <w:b/>
          <w:kern w:val="2"/>
          <w:sz w:val="21"/>
          <w:szCs w:val="21"/>
          <w:highlight w:val="none"/>
          <w:lang w:val="en-US" w:eastAsia="zh-CN" w:bidi="ar-SA"/>
        </w:rPr>
        <w:fldChar w:fldCharType="separate"/>
      </w:r>
      <w:r>
        <w:rPr>
          <w:rFonts w:ascii="Times New Roman" w:hAnsi="Times New Roman" w:eastAsia="宋体" w:cs="Times New Roman"/>
          <w:b/>
          <w:kern w:val="2"/>
          <w:sz w:val="21"/>
          <w:szCs w:val="21"/>
          <w:highlight w:val="none"/>
          <w:lang w:val="en-US" w:eastAsia="zh-CN" w:bidi="ar-SA"/>
        </w:rPr>
        <w:t>3</w:t>
      </w:r>
      <w:r>
        <w:rPr>
          <w:rFonts w:ascii="Times New Roman" w:hAnsi="Times New Roman" w:eastAsia="宋体" w:cs="Times New Roman"/>
          <w:b/>
          <w:kern w:val="2"/>
          <w:sz w:val="21"/>
          <w:szCs w:val="21"/>
          <w:highlight w:val="none"/>
          <w:lang w:val="en-US" w:eastAsia="zh-CN" w:bidi="ar-SA"/>
        </w:rPr>
        <w:fldChar w:fldCharType="end"/>
      </w:r>
      <w:bookmarkEnd w:id="1144"/>
      <w:r>
        <w:rPr>
          <w:rFonts w:hint="eastAsia" w:ascii="Times New Roman" w:hAnsi="Times New Roman" w:eastAsia="宋体" w:cs="Times New Roman"/>
          <w:b/>
          <w:kern w:val="2"/>
          <w:sz w:val="21"/>
          <w:szCs w:val="21"/>
          <w:highlight w:val="none"/>
          <w:lang w:val="en-US" w:eastAsia="zh-CN" w:bidi="ar-SA"/>
        </w:rPr>
        <w:t>评价因子和评价标准表</w:t>
      </w:r>
    </w:p>
    <w:tbl>
      <w:tblPr>
        <w:tblStyle w:val="22"/>
        <w:tblW w:w="0" w:type="auto"/>
        <w:tblInd w:w="-16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69"/>
        <w:gridCol w:w="1277"/>
        <w:gridCol w:w="1294"/>
        <w:gridCol w:w="1480"/>
        <w:gridCol w:w="34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156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污染物名称</w:t>
            </w:r>
          </w:p>
        </w:tc>
        <w:tc>
          <w:tcPr>
            <w:tcW w:w="127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功能区</w:t>
            </w:r>
          </w:p>
        </w:tc>
        <w:tc>
          <w:tcPr>
            <w:tcW w:w="129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取值时间</w:t>
            </w:r>
          </w:p>
        </w:tc>
        <w:tc>
          <w:tcPr>
            <w:tcW w:w="1480"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bookmarkStart w:id="1145" w:name="OLE_LINK4"/>
            <w:bookmarkStart w:id="1146" w:name="OLE_LINK5"/>
            <w:r>
              <w:rPr>
                <w:rFonts w:ascii="Times New Roman" w:hAnsi="Times New Roman" w:eastAsia="宋体" w:cs="Times New Roman"/>
                <w:kern w:val="2"/>
                <w:sz w:val="24"/>
                <w:szCs w:val="24"/>
                <w:lang w:val="en-US" w:eastAsia="zh-CN" w:bidi="ar-SA"/>
              </w:rPr>
              <w:t>标准值</w:t>
            </w:r>
            <w:bookmarkEnd w:id="1145"/>
            <w:bookmarkEnd w:id="1146"/>
            <w:bookmarkStart w:id="1147" w:name="OLE_LINK15"/>
            <w:bookmarkStart w:id="1148" w:name="OLE_LINK14"/>
            <w:r>
              <w:rPr>
                <w:rFonts w:ascii="Times New Roman" w:hAnsi="Times New Roman" w:eastAsia="宋体" w:cs="Times New Roman"/>
                <w:kern w:val="2"/>
                <w:sz w:val="24"/>
                <w:szCs w:val="24"/>
                <w:lang w:val="en-US" w:eastAsia="zh-CN" w:bidi="ar-SA"/>
              </w:rPr>
              <w:t>(</w:t>
            </w:r>
            <w:r>
              <w:rPr>
                <w:rFonts w:hint="eastAsia" w:ascii="Calibri" w:hAnsi="Calibri" w:eastAsia="宋体" w:cs="Calibri"/>
                <w:kern w:val="2"/>
                <w:sz w:val="24"/>
                <w:szCs w:val="24"/>
                <w:lang w:val="en-US" w:eastAsia="zh-CN" w:bidi="ar-SA"/>
              </w:rPr>
              <w:t>m</w:t>
            </w:r>
            <w:r>
              <w:rPr>
                <w:rFonts w:ascii="Times New Roman" w:hAnsi="Times New Roman" w:eastAsia="宋体" w:cs="Times New Roman"/>
                <w:kern w:val="2"/>
                <w:sz w:val="24"/>
                <w:szCs w:val="24"/>
                <w:lang w:val="en-US" w:eastAsia="zh-CN" w:bidi="ar-SA"/>
              </w:rPr>
              <w:t>g/m</w:t>
            </w:r>
            <w:r>
              <w:rPr>
                <w:rFonts w:ascii="Times New Roman" w:hAnsi="Times New Roman" w:eastAsia="宋体" w:cs="Times New Roman"/>
                <w:kern w:val="2"/>
                <w:sz w:val="24"/>
                <w:szCs w:val="24"/>
                <w:vertAlign w:val="superscript"/>
                <w:lang w:val="en-US" w:eastAsia="zh-CN" w:bidi="ar-SA"/>
              </w:rPr>
              <w:t>3</w:t>
            </w:r>
            <w:r>
              <w:rPr>
                <w:rFonts w:ascii="Times New Roman" w:hAnsi="Times New Roman" w:eastAsia="宋体" w:cs="Times New Roman"/>
                <w:kern w:val="2"/>
                <w:sz w:val="24"/>
                <w:szCs w:val="24"/>
                <w:lang w:val="en-US" w:eastAsia="zh-CN" w:bidi="ar-SA"/>
              </w:rPr>
              <w:t>)</w:t>
            </w:r>
            <w:bookmarkEnd w:id="1147"/>
            <w:bookmarkEnd w:id="1148"/>
          </w:p>
        </w:tc>
        <w:tc>
          <w:tcPr>
            <w:tcW w:w="342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0" w:hRule="atLeast"/>
        </w:trPr>
        <w:tc>
          <w:tcPr>
            <w:tcW w:w="156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VOCs</w:t>
            </w:r>
          </w:p>
        </w:tc>
        <w:tc>
          <w:tcPr>
            <w:tcW w:w="127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二类区</w:t>
            </w:r>
          </w:p>
        </w:tc>
        <w:tc>
          <w:tcPr>
            <w:tcW w:w="129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8</w:t>
            </w:r>
            <w:r>
              <w:rPr>
                <w:rFonts w:ascii="Times New Roman" w:hAnsi="Times New Roman" w:eastAsia="宋体" w:cs="Times New Roman"/>
                <w:kern w:val="2"/>
                <w:sz w:val="24"/>
                <w:szCs w:val="24"/>
                <w:lang w:val="en-US" w:eastAsia="zh-CN" w:bidi="ar-SA"/>
              </w:rPr>
              <w:t>小时</w:t>
            </w:r>
          </w:p>
        </w:tc>
        <w:tc>
          <w:tcPr>
            <w:tcW w:w="1480"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0.6</w:t>
            </w:r>
          </w:p>
        </w:tc>
        <w:tc>
          <w:tcPr>
            <w:tcW w:w="3425"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宋体"/>
                <w:kern w:val="2"/>
                <w:sz w:val="24"/>
                <w:szCs w:val="24"/>
                <w:lang w:val="en-US" w:eastAsia="zh-CN" w:bidi="ar-SA"/>
              </w:rPr>
              <w:t>《环境影响评价技术导则</w:t>
            </w:r>
            <w:r>
              <w:rPr>
                <w:rFonts w:hint="eastAsia" w:ascii="Times New Roman" w:hAnsi="Times New Roman" w:eastAsia="宋体" w:cs="宋体"/>
                <w:kern w:val="2"/>
                <w:sz w:val="24"/>
                <w:szCs w:val="24"/>
                <w:lang w:val="en-US" w:eastAsia="zh-CN" w:bidi="ar-SA"/>
              </w:rPr>
              <w:t xml:space="preserve"> </w:t>
            </w:r>
            <w:r>
              <w:rPr>
                <w:rFonts w:hint="default" w:ascii="Times New Roman" w:hAnsi="Times New Roman" w:eastAsia="宋体" w:cs="宋体"/>
                <w:kern w:val="2"/>
                <w:sz w:val="24"/>
                <w:szCs w:val="24"/>
                <w:lang w:val="en-US" w:eastAsia="zh-CN" w:bidi="ar-SA"/>
              </w:rPr>
              <w:t>大气环境》（HJ2.2-2018）附录</w:t>
            </w:r>
            <w:r>
              <w:rPr>
                <w:rFonts w:hint="eastAsia" w:ascii="Times New Roman" w:hAnsi="Times New Roman" w:cs="宋体"/>
                <w:kern w:val="2"/>
                <w:sz w:val="24"/>
                <w:szCs w:val="24"/>
                <w:lang w:val="en-US" w:eastAsia="zh-CN" w:bidi="ar-SA"/>
              </w:rPr>
              <w:t>D</w:t>
            </w:r>
          </w:p>
        </w:tc>
      </w:tr>
    </w:tbl>
    <w:p>
      <w:pPr>
        <w:rPr>
          <w:rFonts w:hint="eastAsia"/>
        </w:rPr>
      </w:pPr>
    </w:p>
    <w:p>
      <w:r>
        <w:rPr>
          <w:rFonts w:hint="eastAsia"/>
        </w:rPr>
        <w:t>②估算模型参数表见</w:t>
      </w:r>
      <w:r>
        <w:rPr>
          <w:rFonts w:hint="eastAsia" w:eastAsia="宋体"/>
          <w:lang w:eastAsia="zh-CN"/>
        </w:rPr>
        <w:fldChar w:fldCharType="begin"/>
      </w:r>
      <w:r>
        <w:rPr>
          <w:rFonts w:hint="eastAsia" w:eastAsia="宋体"/>
          <w:lang w:eastAsia="zh-CN"/>
        </w:rPr>
        <w:instrText xml:space="preserve"> REF _Ref24829 \h </w:instrText>
      </w:r>
      <w:r>
        <w:rPr>
          <w:rFonts w:hint="eastAsia" w:eastAsia="宋体"/>
          <w:lang w:eastAsia="zh-CN"/>
        </w:rPr>
        <w:fldChar w:fldCharType="separate"/>
      </w:r>
      <w:r>
        <w:t xml:space="preserve">表 </w:t>
      </w:r>
      <w:r>
        <w:fldChar w:fldCharType="begin"/>
      </w:r>
      <w:r>
        <w:instrText xml:space="preserve"> STYLEREF 1 \s </w:instrText>
      </w:r>
      <w:r>
        <w:fldChar w:fldCharType="separate"/>
      </w:r>
      <w:r>
        <w:t>6</w:t>
      </w:r>
      <w:r>
        <w:fldChar w:fldCharType="end"/>
      </w:r>
      <w:r>
        <w:rPr>
          <w:rFonts w:hint="eastAsia" w:eastAsia="宋体"/>
          <w:lang w:eastAsia="zh-CN"/>
        </w:rPr>
        <w:t>-</w:t>
      </w:r>
      <w:r>
        <w:rPr>
          <w:rFonts w:hint="eastAsia" w:ascii="Times New Roman" w:eastAsia="宋体"/>
          <w:lang w:val="en-US" w:eastAsia="zh-CN"/>
        </w:rPr>
        <w:t>4</w:t>
      </w:r>
      <w:r>
        <w:rPr>
          <w:rFonts w:hint="eastAsia" w:eastAsia="宋体"/>
          <w:lang w:eastAsia="zh-CN"/>
        </w:rPr>
        <w:fldChar w:fldCharType="end"/>
      </w:r>
      <w:r>
        <w:rPr>
          <w:rFonts w:hint="eastAsia"/>
        </w:rPr>
        <w:t>。</w:t>
      </w:r>
    </w:p>
    <w:p>
      <w:pPr>
        <w:sectPr>
          <w:pgSz w:w="11906" w:h="16838"/>
          <w:pgMar w:top="1417" w:right="1417" w:bottom="1134" w:left="1701" w:header="851" w:footer="992" w:gutter="0"/>
          <w:pgBorders>
            <w:top w:val="none" w:sz="0" w:space="0"/>
            <w:left w:val="none" w:sz="0" w:space="0"/>
            <w:bottom w:val="none" w:sz="0" w:space="0"/>
            <w:right w:val="none" w:sz="0" w:space="0"/>
          </w:pgBorders>
          <w:pgNumType w:fmt="decimal"/>
          <w:cols w:space="0" w:num="1"/>
          <w:rtlGutter w:val="0"/>
          <w:docGrid w:linePitch="312" w:charSpace="0"/>
        </w:sectPr>
      </w:pPr>
      <w:bookmarkStart w:id="1149" w:name="_Ref24829"/>
    </w:p>
    <w:p>
      <w:pPr>
        <w:widowControl w:val="0"/>
        <w:spacing w:line="360" w:lineRule="auto"/>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6</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bookmarkEnd w:id="1149"/>
      <w:r>
        <w:rPr>
          <w:rFonts w:hint="eastAsia" w:ascii="Times New Roman" w:hAnsi="Times New Roman" w:eastAsia="宋体" w:cs="Times New Roman"/>
          <w:b/>
          <w:kern w:val="2"/>
          <w:sz w:val="21"/>
          <w:szCs w:val="21"/>
          <w:lang w:val="en-US" w:eastAsia="zh-CN" w:bidi="ar-SA"/>
        </w:rPr>
        <w:t>估算模型参数表</w:t>
      </w:r>
    </w:p>
    <w:tbl>
      <w:tblPr>
        <w:tblStyle w:val="22"/>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842"/>
        <w:gridCol w:w="4243"/>
        <w:gridCol w:w="241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blHeader/>
          <w:jc w:val="center"/>
        </w:trPr>
        <w:tc>
          <w:tcPr>
            <w:tcW w:w="6085" w:type="dxa"/>
            <w:gridSpan w:val="2"/>
            <w:tcBorders>
              <w:top w:val="single" w:color="000000" w:sz="12" w:space="0"/>
              <w:left w:val="single" w:color="000000" w:sz="12" w:space="0"/>
              <w:bottom w:val="single" w:color="000000" w:sz="6" w:space="0"/>
              <w:right w:val="single" w:color="000000" w:sz="6" w:space="0"/>
            </w:tcBorders>
            <w:shd w:val="clear" w:color="auto" w:fill="FFFFFF"/>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参数</w:t>
            </w:r>
          </w:p>
        </w:tc>
        <w:tc>
          <w:tcPr>
            <w:tcW w:w="2419" w:type="dxa"/>
            <w:tcBorders>
              <w:top w:val="single" w:color="000000" w:sz="12" w:space="0"/>
              <w:left w:val="single" w:color="000000" w:sz="6" w:space="0"/>
              <w:bottom w:val="single" w:color="000000" w:sz="6" w:space="0"/>
              <w:right w:val="single" w:color="000000" w:sz="12" w:space="0"/>
            </w:tcBorders>
            <w:shd w:val="clear" w:color="auto" w:fill="FFFFFF"/>
            <w:noWrap/>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取值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842" w:type="dxa"/>
            <w:vMerge w:val="restart"/>
            <w:tcBorders>
              <w:top w:val="single" w:color="000000" w:sz="6" w:space="0"/>
              <w:left w:val="single" w:color="000000" w:sz="12" w:space="0"/>
              <w:bottom w:val="single" w:color="000000" w:sz="6" w:space="0"/>
              <w:right w:val="single" w:color="000000" w:sz="6" w:space="0"/>
            </w:tcBorders>
            <w:shd w:val="clear" w:color="auto" w:fill="FFFFFF"/>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城市</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农村选项</w:t>
            </w:r>
          </w:p>
        </w:tc>
        <w:tc>
          <w:tcPr>
            <w:tcW w:w="4243" w:type="dxa"/>
            <w:tcBorders>
              <w:top w:val="single" w:color="000000" w:sz="6" w:space="0"/>
              <w:left w:val="single" w:color="000000" w:sz="6" w:space="0"/>
              <w:bottom w:val="single" w:color="000000" w:sz="6" w:space="0"/>
              <w:right w:val="single" w:color="000000" w:sz="6" w:space="0"/>
            </w:tcBorders>
            <w:shd w:val="clear" w:color="auto" w:fill="FFFFFF"/>
            <w:noWrap/>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城市</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农村</w:t>
            </w:r>
          </w:p>
        </w:tc>
        <w:tc>
          <w:tcPr>
            <w:tcW w:w="2419" w:type="dxa"/>
            <w:tcBorders>
              <w:top w:val="single" w:color="000000" w:sz="6" w:space="0"/>
              <w:left w:val="single" w:color="000000" w:sz="6" w:space="0"/>
              <w:bottom w:val="single" w:color="000000" w:sz="6" w:space="0"/>
              <w:right w:val="single" w:color="000000" w:sz="12" w:space="0"/>
            </w:tcBorders>
            <w:shd w:val="clear" w:color="auto" w:fill="FFFFFF"/>
            <w:noWrap/>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农村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842" w:type="dxa"/>
            <w:vMerge w:val="continue"/>
            <w:tcBorders>
              <w:top w:val="single" w:color="000000" w:sz="6" w:space="0"/>
              <w:left w:val="single" w:color="000000" w:sz="12" w:space="0"/>
              <w:bottom w:val="single" w:color="000000" w:sz="6" w:space="0"/>
              <w:right w:val="single" w:color="000000" w:sz="6" w:space="0"/>
            </w:tcBorders>
            <w:shd w:val="clear" w:color="auto" w:fill="auto"/>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4243" w:type="dxa"/>
            <w:tcBorders>
              <w:top w:val="single" w:color="000000" w:sz="6" w:space="0"/>
              <w:left w:val="single" w:color="000000" w:sz="6" w:space="0"/>
              <w:bottom w:val="single" w:color="000000" w:sz="6" w:space="0"/>
              <w:right w:val="single" w:color="000000" w:sz="6" w:space="0"/>
            </w:tcBorders>
            <w:shd w:val="clear" w:color="auto" w:fill="FFFFFF"/>
            <w:noWrap/>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人口数（城市选项时）</w:t>
            </w:r>
          </w:p>
        </w:tc>
        <w:tc>
          <w:tcPr>
            <w:tcW w:w="2419" w:type="dxa"/>
            <w:tcBorders>
              <w:top w:val="single" w:color="000000" w:sz="6" w:space="0"/>
              <w:left w:val="single" w:color="000000" w:sz="6" w:space="0"/>
              <w:bottom w:val="single" w:color="000000" w:sz="6" w:space="0"/>
              <w:right w:val="single" w:color="000000" w:sz="12" w:space="0"/>
            </w:tcBorders>
            <w:shd w:val="clear" w:color="auto" w:fill="FFFFFF"/>
            <w:noWrap/>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085" w:type="dxa"/>
            <w:gridSpan w:val="2"/>
            <w:tcBorders>
              <w:top w:val="single" w:color="000000" w:sz="6" w:space="0"/>
              <w:left w:val="single" w:color="000000" w:sz="12" w:space="0"/>
              <w:bottom w:val="single" w:color="000000" w:sz="6" w:space="0"/>
              <w:right w:val="single" w:color="000000" w:sz="6" w:space="0"/>
            </w:tcBorders>
            <w:shd w:val="clear" w:color="auto" w:fill="FFFFFF"/>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最高环境温度</w:t>
            </w:r>
            <w:r>
              <w:rPr>
                <w:rFonts w:ascii="Times New Roman" w:hAnsi="Times New Roman" w:eastAsia="宋体" w:cs="Times New Roman"/>
                <w:kern w:val="2"/>
                <w:sz w:val="24"/>
                <w:szCs w:val="24"/>
                <w:lang w:val="en-US" w:eastAsia="zh-CN" w:bidi="ar-SA"/>
              </w:rPr>
              <w:t>/ ℃</w:t>
            </w:r>
          </w:p>
        </w:tc>
        <w:tc>
          <w:tcPr>
            <w:tcW w:w="2419" w:type="dxa"/>
            <w:tcBorders>
              <w:top w:val="single" w:color="000000" w:sz="6" w:space="0"/>
              <w:left w:val="single" w:color="000000" w:sz="6" w:space="0"/>
              <w:bottom w:val="single" w:color="000000" w:sz="6" w:space="0"/>
              <w:right w:val="single" w:color="000000" w:sz="12" w:space="0"/>
            </w:tcBorders>
            <w:shd w:val="clear" w:color="auto" w:fill="FFFFFF"/>
            <w:noWrap/>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38.4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085" w:type="dxa"/>
            <w:gridSpan w:val="2"/>
            <w:tcBorders>
              <w:top w:val="single" w:color="000000" w:sz="6" w:space="0"/>
              <w:left w:val="single" w:color="000000" w:sz="12" w:space="0"/>
              <w:bottom w:val="single" w:color="000000" w:sz="6" w:space="0"/>
              <w:right w:val="single" w:color="000000" w:sz="6" w:space="0"/>
            </w:tcBorders>
            <w:shd w:val="clear" w:color="auto" w:fill="FFFFFF"/>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最低环境温度</w:t>
            </w:r>
            <w:r>
              <w:rPr>
                <w:rFonts w:ascii="Times New Roman" w:hAnsi="Times New Roman" w:eastAsia="宋体" w:cs="Times New Roman"/>
                <w:kern w:val="2"/>
                <w:sz w:val="24"/>
                <w:szCs w:val="24"/>
                <w:lang w:val="en-US" w:eastAsia="zh-CN" w:bidi="ar-SA"/>
              </w:rPr>
              <w:t>/ ℃</w:t>
            </w:r>
          </w:p>
        </w:tc>
        <w:tc>
          <w:tcPr>
            <w:tcW w:w="2419" w:type="dxa"/>
            <w:tcBorders>
              <w:top w:val="single" w:color="000000" w:sz="6" w:space="0"/>
              <w:left w:val="single" w:color="000000" w:sz="6" w:space="0"/>
              <w:bottom w:val="single" w:color="000000" w:sz="6" w:space="0"/>
              <w:right w:val="single" w:color="000000" w:sz="12" w:space="0"/>
            </w:tcBorders>
            <w:shd w:val="clear" w:color="auto" w:fill="FFFFFF"/>
            <w:noWrap/>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085" w:type="dxa"/>
            <w:gridSpan w:val="2"/>
            <w:tcBorders>
              <w:top w:val="single" w:color="000000" w:sz="6" w:space="0"/>
              <w:left w:val="single" w:color="000000" w:sz="12" w:space="0"/>
              <w:bottom w:val="single" w:color="000000" w:sz="6" w:space="0"/>
              <w:right w:val="single" w:color="000000" w:sz="6" w:space="0"/>
            </w:tcBorders>
            <w:shd w:val="clear" w:color="auto" w:fill="FFFFFF"/>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土地利用类型</w:t>
            </w:r>
          </w:p>
        </w:tc>
        <w:tc>
          <w:tcPr>
            <w:tcW w:w="2419" w:type="dxa"/>
            <w:tcBorders>
              <w:top w:val="single" w:color="000000" w:sz="6" w:space="0"/>
              <w:left w:val="single" w:color="000000" w:sz="6" w:space="0"/>
              <w:bottom w:val="single" w:color="000000" w:sz="6" w:space="0"/>
              <w:right w:val="single" w:color="000000" w:sz="12" w:space="0"/>
            </w:tcBorders>
            <w:shd w:val="clear" w:color="auto" w:fill="FFFFFF"/>
            <w:noWrap/>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工业用地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085" w:type="dxa"/>
            <w:gridSpan w:val="2"/>
            <w:tcBorders>
              <w:top w:val="single" w:color="000000" w:sz="6" w:space="0"/>
              <w:left w:val="single" w:color="000000" w:sz="12" w:space="0"/>
              <w:bottom w:val="single" w:color="000000" w:sz="6" w:space="0"/>
              <w:right w:val="single" w:color="000000" w:sz="6" w:space="0"/>
            </w:tcBorders>
            <w:shd w:val="clear" w:color="auto" w:fill="FFFFFF"/>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区域湿度条件</w:t>
            </w:r>
          </w:p>
        </w:tc>
        <w:tc>
          <w:tcPr>
            <w:tcW w:w="2419" w:type="dxa"/>
            <w:tcBorders>
              <w:top w:val="single" w:color="000000" w:sz="6" w:space="0"/>
              <w:left w:val="single" w:color="000000" w:sz="6" w:space="0"/>
              <w:bottom w:val="single" w:color="000000" w:sz="6" w:space="0"/>
              <w:right w:val="single" w:color="000000" w:sz="12" w:space="0"/>
            </w:tcBorders>
            <w:shd w:val="clear" w:color="auto" w:fill="FFFFFF"/>
            <w:noWrap/>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湿润气候</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842" w:type="dxa"/>
            <w:vMerge w:val="restart"/>
            <w:tcBorders>
              <w:top w:val="single" w:color="000000" w:sz="6" w:space="0"/>
              <w:left w:val="single" w:color="000000" w:sz="12" w:space="0"/>
              <w:bottom w:val="single" w:color="000000" w:sz="6" w:space="0"/>
              <w:right w:val="single" w:color="000000" w:sz="6" w:space="0"/>
            </w:tcBorders>
            <w:shd w:val="clear" w:color="auto" w:fill="FFFFFF"/>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是否考虑地形</w:t>
            </w:r>
          </w:p>
        </w:tc>
        <w:tc>
          <w:tcPr>
            <w:tcW w:w="4243" w:type="dxa"/>
            <w:tcBorders>
              <w:top w:val="single" w:color="000000" w:sz="6" w:space="0"/>
              <w:left w:val="single" w:color="000000" w:sz="6" w:space="0"/>
              <w:bottom w:val="single" w:color="000000" w:sz="6" w:space="0"/>
              <w:right w:val="single" w:color="000000" w:sz="6" w:space="0"/>
            </w:tcBorders>
            <w:shd w:val="clear" w:color="auto" w:fill="FFFFFF"/>
            <w:noWrap/>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考虑地形</w:t>
            </w:r>
          </w:p>
        </w:tc>
        <w:tc>
          <w:tcPr>
            <w:tcW w:w="2419" w:type="dxa"/>
            <w:tcBorders>
              <w:top w:val="single" w:color="000000" w:sz="6" w:space="0"/>
              <w:left w:val="single" w:color="000000" w:sz="6" w:space="0"/>
              <w:bottom w:val="single" w:color="000000" w:sz="6" w:space="0"/>
              <w:right w:val="single" w:color="000000" w:sz="12" w:space="0"/>
            </w:tcBorders>
            <w:shd w:val="clear" w:color="auto" w:fill="FFFFFF"/>
            <w:noWrap/>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lang w:eastAsia="zh-CN"/>
              </w:rPr>
              <w:t>□</w:t>
            </w:r>
            <w:r>
              <w:rPr>
                <w:rFonts w:hint="eastAsia"/>
                <w:lang w:val="en-US" w:eastAsia="zh-CN"/>
              </w:rPr>
              <w:t xml:space="preserve"> </w:t>
            </w:r>
            <w:r>
              <w:rPr>
                <w:rFonts w:hint="eastAsia" w:ascii="Times New Roman" w:hAnsi="Times New Roman" w:eastAsia="宋体" w:cs="Times New Roman"/>
                <w:kern w:val="2"/>
                <w:sz w:val="24"/>
                <w:szCs w:val="24"/>
                <w:lang w:val="en-US" w:eastAsia="zh-CN" w:bidi="ar-SA"/>
              </w:rPr>
              <w:t>是</w:t>
            </w:r>
            <w:r>
              <w:rPr>
                <w:rFonts w:ascii="Times New Roman" w:hAnsi="Times New Roman" w:eastAsia="宋体" w:cs="Times New Roman"/>
                <w:kern w:val="2"/>
                <w:sz w:val="24"/>
                <w:szCs w:val="24"/>
                <w:lang w:val="en-US" w:eastAsia="zh-CN" w:bidi="ar-SA"/>
              </w:rPr>
              <w:t xml:space="preserve">  </w:t>
            </w:r>
            <w:r>
              <w:rPr>
                <w:rFonts w:hint="eastAsia"/>
                <w:lang w:eastAsia="zh-CN"/>
              </w:rPr>
              <w:t>☑</w:t>
            </w:r>
            <w:r>
              <w:rPr>
                <w:rFonts w:hint="eastAsia"/>
                <w:lang w:val="en-US" w:eastAsia="zh-CN"/>
              </w:rPr>
              <w:t xml:space="preserve"> </w:t>
            </w:r>
            <w:r>
              <w:rPr>
                <w:rFonts w:hint="eastAsia" w:ascii="Times New Roman" w:hAnsi="Times New Roman" w:eastAsia="宋体" w:cs="Times New Roman"/>
                <w:kern w:val="2"/>
                <w:sz w:val="24"/>
                <w:szCs w:val="24"/>
                <w:lang w:val="en-US" w:eastAsia="zh-CN" w:bidi="ar-SA"/>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842" w:type="dxa"/>
            <w:vMerge w:val="continue"/>
            <w:tcBorders>
              <w:top w:val="single" w:color="000000" w:sz="6" w:space="0"/>
              <w:left w:val="single" w:color="000000" w:sz="12" w:space="0"/>
              <w:bottom w:val="single" w:color="000000" w:sz="6" w:space="0"/>
              <w:right w:val="single" w:color="000000" w:sz="6" w:space="0"/>
            </w:tcBorders>
            <w:shd w:val="clear" w:color="auto" w:fill="auto"/>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4243" w:type="dxa"/>
            <w:tcBorders>
              <w:top w:val="single" w:color="000000" w:sz="6" w:space="0"/>
              <w:left w:val="single" w:color="000000" w:sz="6" w:space="0"/>
              <w:bottom w:val="single" w:color="000000" w:sz="6" w:space="0"/>
              <w:right w:val="single" w:color="000000" w:sz="6" w:space="0"/>
            </w:tcBorders>
            <w:shd w:val="clear" w:color="auto" w:fill="FFFFFF"/>
            <w:noWrap/>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地形数据分辨率</w:t>
            </w:r>
            <w:r>
              <w:rPr>
                <w:rFonts w:ascii="Times New Roman" w:hAnsi="Times New Roman" w:eastAsia="宋体" w:cs="Times New Roman"/>
                <w:kern w:val="2"/>
                <w:sz w:val="24"/>
                <w:szCs w:val="24"/>
                <w:lang w:val="en-US" w:eastAsia="zh-CN" w:bidi="ar-SA"/>
              </w:rPr>
              <w:t xml:space="preserve"> / m</w:t>
            </w:r>
          </w:p>
        </w:tc>
        <w:tc>
          <w:tcPr>
            <w:tcW w:w="2419" w:type="dxa"/>
            <w:tcBorders>
              <w:top w:val="single" w:color="000000" w:sz="6" w:space="0"/>
              <w:left w:val="single" w:color="000000" w:sz="6" w:space="0"/>
              <w:bottom w:val="single" w:color="000000" w:sz="6" w:space="0"/>
              <w:right w:val="single" w:color="000000" w:sz="12" w:space="0"/>
            </w:tcBorders>
            <w:shd w:val="clear" w:color="auto" w:fill="FFFFFF"/>
            <w:noWrap/>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842" w:type="dxa"/>
            <w:vMerge w:val="restart"/>
            <w:tcBorders>
              <w:top w:val="single" w:color="000000" w:sz="6" w:space="0"/>
              <w:left w:val="single" w:color="000000" w:sz="12" w:space="0"/>
              <w:bottom w:val="single" w:color="000000" w:sz="12" w:space="0"/>
              <w:right w:val="single" w:color="000000" w:sz="6" w:space="0"/>
            </w:tcBorders>
            <w:shd w:val="clear" w:color="auto" w:fill="FFFFFF"/>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是否考</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虑岸线熏烟</w:t>
            </w:r>
          </w:p>
        </w:tc>
        <w:tc>
          <w:tcPr>
            <w:tcW w:w="4243" w:type="dxa"/>
            <w:tcBorders>
              <w:top w:val="single" w:color="000000" w:sz="6" w:space="0"/>
              <w:left w:val="single" w:color="000000" w:sz="6" w:space="0"/>
              <w:bottom w:val="single" w:color="000000" w:sz="6" w:space="0"/>
              <w:right w:val="single" w:color="000000" w:sz="6" w:space="0"/>
            </w:tcBorders>
            <w:shd w:val="clear" w:color="auto" w:fill="FFFFFF"/>
            <w:noWrap/>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考虑岸线熏烟</w:t>
            </w:r>
          </w:p>
        </w:tc>
        <w:tc>
          <w:tcPr>
            <w:tcW w:w="2419" w:type="dxa"/>
            <w:tcBorders>
              <w:top w:val="single" w:color="000000" w:sz="6" w:space="0"/>
              <w:left w:val="single" w:color="000000" w:sz="6" w:space="0"/>
              <w:bottom w:val="single" w:color="000000" w:sz="6" w:space="0"/>
              <w:right w:val="single" w:color="000000" w:sz="12" w:space="0"/>
            </w:tcBorders>
            <w:shd w:val="clear" w:color="auto" w:fill="FFFFFF"/>
            <w:noWrap/>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lang w:eastAsia="zh-CN"/>
              </w:rPr>
              <w:t>□</w:t>
            </w:r>
            <w:r>
              <w:rPr>
                <w:rFonts w:hint="eastAsia"/>
                <w:lang w:val="en-US" w:eastAsia="zh-CN"/>
              </w:rPr>
              <w:t xml:space="preserve"> </w:t>
            </w:r>
            <w:r>
              <w:rPr>
                <w:rFonts w:hint="eastAsia" w:ascii="Times New Roman" w:hAnsi="Times New Roman" w:eastAsia="宋体" w:cs="Times New Roman"/>
                <w:kern w:val="2"/>
                <w:sz w:val="24"/>
                <w:szCs w:val="24"/>
                <w:lang w:val="en-US" w:eastAsia="zh-CN" w:bidi="ar-SA"/>
              </w:rPr>
              <w:t>是</w:t>
            </w:r>
            <w:r>
              <w:rPr>
                <w:rFonts w:ascii="Times New Roman" w:hAnsi="Times New Roman" w:eastAsia="宋体" w:cs="Times New Roman"/>
                <w:kern w:val="2"/>
                <w:sz w:val="24"/>
                <w:szCs w:val="24"/>
                <w:lang w:val="en-US" w:eastAsia="zh-CN" w:bidi="ar-SA"/>
              </w:rPr>
              <w:t xml:space="preserve">  </w:t>
            </w:r>
            <w:r>
              <w:rPr>
                <w:rFonts w:hint="eastAsia"/>
                <w:lang w:eastAsia="zh-CN"/>
              </w:rPr>
              <w:t>□</w:t>
            </w:r>
            <w:r>
              <w:rPr>
                <w:rFonts w:hint="eastAsia"/>
                <w:lang w:val="en-US" w:eastAsia="zh-CN"/>
              </w:rPr>
              <w:t xml:space="preserve"> </w:t>
            </w:r>
            <w:r>
              <w:rPr>
                <w:rFonts w:hint="eastAsia" w:ascii="Times New Roman" w:hAnsi="Times New Roman" w:eastAsia="宋体" w:cs="Times New Roman"/>
                <w:kern w:val="2"/>
                <w:sz w:val="24"/>
                <w:szCs w:val="24"/>
                <w:lang w:val="en-US" w:eastAsia="zh-CN" w:bidi="ar-SA"/>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842" w:type="dxa"/>
            <w:vMerge w:val="continue"/>
            <w:tcBorders>
              <w:top w:val="single" w:color="000000" w:sz="6" w:space="0"/>
              <w:left w:val="single" w:color="000000" w:sz="12" w:space="0"/>
              <w:bottom w:val="single" w:color="000000" w:sz="12" w:space="0"/>
              <w:right w:val="single" w:color="000000" w:sz="6" w:space="0"/>
            </w:tcBorders>
            <w:shd w:val="clear" w:color="auto" w:fill="auto"/>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4243" w:type="dxa"/>
            <w:tcBorders>
              <w:top w:val="single" w:color="000000" w:sz="6" w:space="0"/>
              <w:left w:val="single" w:color="000000" w:sz="6" w:space="0"/>
              <w:bottom w:val="single" w:color="000000" w:sz="6" w:space="0"/>
              <w:right w:val="single" w:color="000000" w:sz="6" w:space="0"/>
            </w:tcBorders>
            <w:shd w:val="clear" w:color="auto" w:fill="FFFFFF"/>
            <w:noWrap/>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岸线距离</w:t>
            </w:r>
            <w:r>
              <w:rPr>
                <w:rFonts w:ascii="Times New Roman" w:hAnsi="Times New Roman" w:eastAsia="宋体" w:cs="Times New Roman"/>
                <w:kern w:val="2"/>
                <w:sz w:val="24"/>
                <w:szCs w:val="24"/>
                <w:lang w:val="en-US" w:eastAsia="zh-CN" w:bidi="ar-SA"/>
              </w:rPr>
              <w:t>/ km</w:t>
            </w:r>
          </w:p>
        </w:tc>
        <w:tc>
          <w:tcPr>
            <w:tcW w:w="2419" w:type="dxa"/>
            <w:tcBorders>
              <w:top w:val="single" w:color="000000" w:sz="6" w:space="0"/>
              <w:left w:val="single" w:color="000000" w:sz="6" w:space="0"/>
              <w:bottom w:val="single" w:color="000000" w:sz="6" w:space="0"/>
              <w:right w:val="single" w:color="000000" w:sz="12" w:space="0"/>
            </w:tcBorders>
            <w:shd w:val="clear" w:color="auto" w:fill="FFFFFF"/>
            <w:noWrap/>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842" w:type="dxa"/>
            <w:vMerge w:val="continue"/>
            <w:tcBorders>
              <w:top w:val="single" w:color="000000" w:sz="6" w:space="0"/>
              <w:left w:val="single" w:color="000000" w:sz="12" w:space="0"/>
              <w:bottom w:val="single" w:color="000000" w:sz="12" w:space="0"/>
              <w:right w:val="single" w:color="000000" w:sz="6" w:space="0"/>
            </w:tcBorders>
            <w:shd w:val="clear" w:color="auto" w:fill="auto"/>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4243" w:type="dxa"/>
            <w:tcBorders>
              <w:top w:val="single" w:color="000000" w:sz="6" w:space="0"/>
              <w:left w:val="single" w:color="000000" w:sz="6" w:space="0"/>
              <w:bottom w:val="single" w:color="000000" w:sz="12" w:space="0"/>
              <w:right w:val="single" w:color="000000" w:sz="6" w:space="0"/>
            </w:tcBorders>
            <w:shd w:val="clear" w:color="auto" w:fill="FFFFFF"/>
            <w:noWrap/>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岸线方向</w:t>
            </w:r>
            <w:r>
              <w:rPr>
                <w:rFonts w:ascii="Times New Roman" w:hAnsi="Times New Roman" w:eastAsia="宋体" w:cs="Times New Roman"/>
                <w:kern w:val="2"/>
                <w:sz w:val="24"/>
                <w:szCs w:val="24"/>
                <w:lang w:val="en-US" w:eastAsia="zh-CN" w:bidi="ar-SA"/>
              </w:rPr>
              <w:t>/ °</w:t>
            </w:r>
          </w:p>
        </w:tc>
        <w:tc>
          <w:tcPr>
            <w:tcW w:w="2419" w:type="dxa"/>
            <w:tcBorders>
              <w:top w:val="single" w:color="000000" w:sz="6" w:space="0"/>
              <w:left w:val="single" w:color="000000" w:sz="6" w:space="0"/>
              <w:bottom w:val="single" w:color="000000" w:sz="12" w:space="0"/>
              <w:right w:val="single" w:color="000000" w:sz="12" w:space="0"/>
            </w:tcBorders>
            <w:shd w:val="clear" w:color="auto" w:fill="FFFFFF"/>
            <w:noWrap/>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r>
    </w:tbl>
    <w:p>
      <w:pPr>
        <w:rPr>
          <w:rFonts w:hint="eastAsia"/>
        </w:r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③污染源参数见</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_Ref25031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6</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-5</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_Ref25034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6</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-6</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p>
    <w:p>
      <w:pPr>
        <w:widowControl w:val="0"/>
        <w:spacing w:line="360" w:lineRule="auto"/>
        <w:jc w:val="center"/>
        <w:rPr>
          <w:rFonts w:hint="eastAsia" w:ascii="Times New Roman" w:hAnsi="Times New Roman" w:eastAsia="宋体" w:cs="Times New Roman"/>
          <w:b/>
          <w:kern w:val="2"/>
          <w:sz w:val="21"/>
          <w:szCs w:val="21"/>
          <w:lang w:val="en-US" w:eastAsia="zh-CN" w:bidi="ar-SA"/>
        </w:rPr>
      </w:pPr>
      <w:bookmarkStart w:id="1150" w:name="_Ref25031"/>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6</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5</w:t>
      </w:r>
      <w:r>
        <w:rPr>
          <w:rFonts w:ascii="Times New Roman" w:hAnsi="Times New Roman" w:eastAsia="宋体" w:cs="Times New Roman"/>
          <w:b/>
          <w:kern w:val="2"/>
          <w:sz w:val="21"/>
          <w:szCs w:val="21"/>
          <w:lang w:val="en-US" w:eastAsia="zh-CN" w:bidi="ar-SA"/>
        </w:rPr>
        <w:fldChar w:fldCharType="end"/>
      </w:r>
      <w:bookmarkEnd w:id="1150"/>
      <w:r>
        <w:rPr>
          <w:rFonts w:hint="eastAsia" w:ascii="Times New Roman" w:hAnsi="Times New Roman" w:eastAsia="宋体" w:cs="Times New Roman"/>
          <w:b/>
          <w:kern w:val="2"/>
          <w:sz w:val="21"/>
          <w:szCs w:val="21"/>
          <w:lang w:val="en-US" w:eastAsia="zh-CN" w:bidi="ar-SA"/>
        </w:rPr>
        <w:t>点源参数表</w:t>
      </w:r>
    </w:p>
    <w:tbl>
      <w:tblPr>
        <w:tblStyle w:val="23"/>
        <w:tblW w:w="520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0"/>
        <w:gridCol w:w="780"/>
        <w:gridCol w:w="828"/>
        <w:gridCol w:w="737"/>
        <w:gridCol w:w="737"/>
        <w:gridCol w:w="737"/>
        <w:gridCol w:w="794"/>
        <w:gridCol w:w="737"/>
        <w:gridCol w:w="737"/>
        <w:gridCol w:w="744"/>
        <w:gridCol w:w="15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28" w:type="pct"/>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bookmarkStart w:id="1151" w:name="_Ref502778711"/>
            <w:r>
              <w:rPr>
                <w:rFonts w:hint="default" w:ascii="Times New Roman" w:hAnsi="Times New Roman" w:eastAsia="宋体" w:cs="Times New Roman"/>
                <w:kern w:val="2"/>
                <w:sz w:val="24"/>
                <w:szCs w:val="24"/>
                <w:lang w:val="en-US" w:eastAsia="zh-CN" w:bidi="ar-SA"/>
              </w:rPr>
              <w:t>名称</w:t>
            </w:r>
          </w:p>
        </w:tc>
        <w:tc>
          <w:tcPr>
            <w:tcW w:w="858" w:type="pct"/>
            <w:gridSpan w:val="2"/>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排气筒底部中心坐标/m</w:t>
            </w:r>
          </w:p>
        </w:tc>
        <w:tc>
          <w:tcPr>
            <w:tcW w:w="393" w:type="pct"/>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排气筒底部海拔高度/m</w:t>
            </w:r>
          </w:p>
        </w:tc>
        <w:tc>
          <w:tcPr>
            <w:tcW w:w="393" w:type="pct"/>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排气筒高度/m</w:t>
            </w:r>
          </w:p>
        </w:tc>
        <w:tc>
          <w:tcPr>
            <w:tcW w:w="393" w:type="pct"/>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排气筒出口内径/m</w:t>
            </w:r>
          </w:p>
        </w:tc>
        <w:tc>
          <w:tcPr>
            <w:tcW w:w="423" w:type="pct"/>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烟气流速/（m/s）</w:t>
            </w:r>
          </w:p>
        </w:tc>
        <w:tc>
          <w:tcPr>
            <w:tcW w:w="393" w:type="pct"/>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烟气温度/℃</w:t>
            </w:r>
          </w:p>
        </w:tc>
        <w:tc>
          <w:tcPr>
            <w:tcW w:w="393" w:type="pct"/>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年排放小时数/h</w:t>
            </w:r>
          </w:p>
        </w:tc>
        <w:tc>
          <w:tcPr>
            <w:tcW w:w="397" w:type="pct"/>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排放工况</w:t>
            </w:r>
          </w:p>
        </w:tc>
        <w:tc>
          <w:tcPr>
            <w:tcW w:w="826"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污染物排放速率/（kg/h）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28" w:type="pct"/>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416"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X</w:t>
            </w:r>
          </w:p>
        </w:tc>
        <w:tc>
          <w:tcPr>
            <w:tcW w:w="441"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Y</w:t>
            </w:r>
          </w:p>
        </w:tc>
        <w:tc>
          <w:tcPr>
            <w:tcW w:w="393" w:type="pct"/>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393" w:type="pct"/>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393" w:type="pct"/>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423" w:type="pct"/>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393" w:type="pct"/>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393" w:type="pct"/>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397" w:type="pct"/>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826"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VOCs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28"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排气筒</w:t>
            </w:r>
          </w:p>
        </w:tc>
        <w:tc>
          <w:tcPr>
            <w:tcW w:w="416"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688599.91</w:t>
            </w:r>
          </w:p>
        </w:tc>
        <w:tc>
          <w:tcPr>
            <w:tcW w:w="441"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315</w:t>
            </w:r>
            <w:r>
              <w:rPr>
                <w:rFonts w:hint="eastAsia" w:ascii="Times New Roman" w:hAnsi="Times New Roman" w:eastAsia="宋体" w:cs="Times New Roman"/>
                <w:kern w:val="2"/>
                <w:sz w:val="24"/>
                <w:szCs w:val="24"/>
                <w:lang w:val="en-US" w:eastAsia="zh-CN" w:bidi="ar-SA"/>
              </w:rPr>
              <w:t>7486.42</w:t>
            </w:r>
          </w:p>
        </w:tc>
        <w:tc>
          <w:tcPr>
            <w:tcW w:w="393"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28</w:t>
            </w:r>
          </w:p>
        </w:tc>
        <w:tc>
          <w:tcPr>
            <w:tcW w:w="393"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21</w:t>
            </w:r>
          </w:p>
        </w:tc>
        <w:tc>
          <w:tcPr>
            <w:tcW w:w="393"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0.6</w:t>
            </w:r>
          </w:p>
        </w:tc>
        <w:tc>
          <w:tcPr>
            <w:tcW w:w="423"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highlight w:val="none"/>
                <w:lang w:val="en-US" w:eastAsia="zh-CN" w:bidi="ar-SA"/>
              </w:rPr>
              <w:t>9.3</w:t>
            </w:r>
          </w:p>
        </w:tc>
        <w:tc>
          <w:tcPr>
            <w:tcW w:w="393"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50</w:t>
            </w:r>
          </w:p>
        </w:tc>
        <w:tc>
          <w:tcPr>
            <w:tcW w:w="393"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2080</w:t>
            </w:r>
          </w:p>
        </w:tc>
        <w:tc>
          <w:tcPr>
            <w:tcW w:w="397"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连续</w:t>
            </w:r>
          </w:p>
        </w:tc>
        <w:tc>
          <w:tcPr>
            <w:tcW w:w="826"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eastAsia" w:cs="Times New Roman"/>
                <w:kern w:val="2"/>
                <w:sz w:val="24"/>
                <w:szCs w:val="24"/>
                <w:highlight w:val="none"/>
                <w:lang w:val="en-US" w:eastAsia="zh-CN" w:bidi="ar-SA"/>
              </w:rPr>
              <w:t>0.053</w:t>
            </w:r>
          </w:p>
        </w:tc>
      </w:tr>
      <w:bookmarkEnd w:id="1151"/>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1152" w:name="_Ref25034"/>
    </w:p>
    <w:p>
      <w:pPr>
        <w:widowControl w:val="0"/>
        <w:spacing w:line="360" w:lineRule="auto"/>
        <w:jc w:val="center"/>
        <w:rPr>
          <w:rFonts w:hint="eastAsia"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6</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6</w:t>
      </w:r>
      <w:r>
        <w:rPr>
          <w:rFonts w:ascii="Times New Roman" w:hAnsi="Times New Roman" w:eastAsia="宋体" w:cs="Times New Roman"/>
          <w:b/>
          <w:kern w:val="2"/>
          <w:sz w:val="21"/>
          <w:szCs w:val="21"/>
          <w:lang w:val="en-US" w:eastAsia="zh-CN" w:bidi="ar-SA"/>
        </w:rPr>
        <w:fldChar w:fldCharType="end"/>
      </w:r>
      <w:bookmarkEnd w:id="1152"/>
      <w:r>
        <w:rPr>
          <w:rFonts w:hint="eastAsia" w:ascii="Times New Roman" w:hAnsi="Times New Roman" w:eastAsia="宋体" w:cs="Times New Roman"/>
          <w:b/>
          <w:kern w:val="2"/>
          <w:sz w:val="21"/>
          <w:szCs w:val="21"/>
          <w:lang w:val="en-US" w:eastAsia="zh-CN" w:bidi="ar-SA"/>
        </w:rPr>
        <w:t>矩形面源参数表</w:t>
      </w:r>
    </w:p>
    <w:tbl>
      <w:tblPr>
        <w:tblStyle w:val="23"/>
        <w:tblW w:w="543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5"/>
        <w:gridCol w:w="885"/>
        <w:gridCol w:w="856"/>
        <w:gridCol w:w="760"/>
        <w:gridCol w:w="777"/>
        <w:gridCol w:w="777"/>
        <w:gridCol w:w="800"/>
        <w:gridCol w:w="863"/>
        <w:gridCol w:w="726"/>
        <w:gridCol w:w="897"/>
        <w:gridCol w:w="16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90" w:type="pct"/>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名称</w:t>
            </w:r>
          </w:p>
        </w:tc>
        <w:tc>
          <w:tcPr>
            <w:tcW w:w="889" w:type="pct"/>
            <w:gridSpan w:val="2"/>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面源起点</w:t>
            </w:r>
          </w:p>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坐标/m</w:t>
            </w:r>
          </w:p>
        </w:tc>
        <w:tc>
          <w:tcPr>
            <w:tcW w:w="388" w:type="pct"/>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面源海拔高度/m</w:t>
            </w:r>
          </w:p>
        </w:tc>
        <w:tc>
          <w:tcPr>
            <w:tcW w:w="396" w:type="pct"/>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面源长度/m</w:t>
            </w:r>
          </w:p>
        </w:tc>
        <w:tc>
          <w:tcPr>
            <w:tcW w:w="396" w:type="pct"/>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面源宽度/m</w:t>
            </w:r>
          </w:p>
        </w:tc>
        <w:tc>
          <w:tcPr>
            <w:tcW w:w="408" w:type="pct"/>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与正北向夹角/°</w:t>
            </w:r>
          </w:p>
        </w:tc>
        <w:tc>
          <w:tcPr>
            <w:tcW w:w="440" w:type="pct"/>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面源有效排放高度/m</w:t>
            </w:r>
          </w:p>
        </w:tc>
        <w:tc>
          <w:tcPr>
            <w:tcW w:w="370" w:type="pct"/>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年排放小时数/h</w:t>
            </w:r>
          </w:p>
        </w:tc>
        <w:tc>
          <w:tcPr>
            <w:tcW w:w="458" w:type="pct"/>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排放工况</w:t>
            </w:r>
          </w:p>
        </w:tc>
        <w:tc>
          <w:tcPr>
            <w:tcW w:w="859"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污染物排放速率/（kg/h）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90" w:type="pct"/>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452"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X</w:t>
            </w:r>
          </w:p>
        </w:tc>
        <w:tc>
          <w:tcPr>
            <w:tcW w:w="437"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Y</w:t>
            </w:r>
          </w:p>
        </w:tc>
        <w:tc>
          <w:tcPr>
            <w:tcW w:w="388" w:type="pct"/>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396" w:type="pct"/>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396" w:type="pct"/>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408" w:type="pct"/>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440" w:type="pct"/>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370" w:type="pct"/>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458" w:type="pct"/>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859"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VOCs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90"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生产车间</w:t>
            </w:r>
          </w:p>
        </w:tc>
        <w:tc>
          <w:tcPr>
            <w:tcW w:w="452"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688649.38</w:t>
            </w:r>
          </w:p>
        </w:tc>
        <w:tc>
          <w:tcPr>
            <w:tcW w:w="437"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315</w:t>
            </w:r>
            <w:r>
              <w:rPr>
                <w:rFonts w:hint="eastAsia" w:ascii="Times New Roman" w:hAnsi="Times New Roman" w:eastAsia="宋体" w:cs="Times New Roman"/>
                <w:kern w:val="2"/>
                <w:sz w:val="24"/>
                <w:szCs w:val="24"/>
                <w:lang w:val="en-US" w:eastAsia="zh-CN" w:bidi="ar-SA"/>
              </w:rPr>
              <w:t>7453.97</w:t>
            </w:r>
          </w:p>
        </w:tc>
        <w:tc>
          <w:tcPr>
            <w:tcW w:w="388"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28</w:t>
            </w:r>
          </w:p>
        </w:tc>
        <w:tc>
          <w:tcPr>
            <w:tcW w:w="396"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80.32</w:t>
            </w:r>
          </w:p>
        </w:tc>
        <w:tc>
          <w:tcPr>
            <w:tcW w:w="396"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78.39</w:t>
            </w:r>
          </w:p>
        </w:tc>
        <w:tc>
          <w:tcPr>
            <w:tcW w:w="408"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20.63</w:t>
            </w:r>
          </w:p>
        </w:tc>
        <w:tc>
          <w:tcPr>
            <w:tcW w:w="440"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8</w:t>
            </w:r>
          </w:p>
        </w:tc>
        <w:tc>
          <w:tcPr>
            <w:tcW w:w="370"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2080</w:t>
            </w:r>
          </w:p>
        </w:tc>
        <w:tc>
          <w:tcPr>
            <w:tcW w:w="458"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连续</w:t>
            </w:r>
          </w:p>
        </w:tc>
        <w:tc>
          <w:tcPr>
            <w:tcW w:w="859" w:type="pc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highlight w:val="none"/>
                <w:lang w:val="en-US" w:eastAsia="zh-CN" w:bidi="ar-SA"/>
              </w:rPr>
            </w:pPr>
            <w:r>
              <w:rPr>
                <w:rFonts w:hint="eastAsia" w:cs="Times New Roman"/>
                <w:kern w:val="2"/>
                <w:sz w:val="24"/>
                <w:szCs w:val="24"/>
                <w:highlight w:val="none"/>
                <w:lang w:val="en-US" w:eastAsia="zh-CN" w:bidi="ar-SA"/>
              </w:rPr>
              <w:t>0.053</w:t>
            </w:r>
          </w:p>
        </w:tc>
      </w:tr>
    </w:tbl>
    <w:p>
      <w:pPr>
        <w:rPr>
          <w:rFonts w:hint="eastAsia"/>
        </w:rPr>
      </w:pP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根据《环境影响评价技术导则 大气环境》（HJ2.2-2018），采用推荐模式AERSCREEN进行估算，计算结果见</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_Ref27480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6</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7</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p>
    <w:p>
      <w:pPr>
        <w:keepNext w:val="0"/>
        <w:keepLines w:val="0"/>
        <w:pageBreakBefore w:val="0"/>
        <w:widowControl w:val="0"/>
        <w:kinsoku/>
        <w:wordWrap/>
        <w:overflowPunct/>
        <w:topLinePunct w:val="0"/>
        <w:bidi w:val="0"/>
        <w:snapToGrid/>
        <w:spacing w:line="480" w:lineRule="exact"/>
        <w:jc w:val="center"/>
        <w:textAlignment w:val="auto"/>
        <w:rPr>
          <w:rFonts w:hint="default" w:ascii="Times New Roman" w:hAnsi="Times New Roman" w:eastAsia="宋体" w:cs="Times New Roman"/>
          <w:b/>
          <w:bCs/>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6</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7</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bCs/>
          <w:kern w:val="2"/>
          <w:sz w:val="21"/>
          <w:szCs w:val="21"/>
          <w:lang w:val="en-US" w:eastAsia="zh-CN" w:bidi="ar-SA"/>
        </w:rPr>
        <w:t>正常工况估算模式预测结果表</w:t>
      </w:r>
    </w:p>
    <w:tbl>
      <w:tblPr>
        <w:tblStyle w:val="23"/>
        <w:tblW w:w="483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695"/>
        <w:gridCol w:w="1361"/>
        <w:gridCol w:w="1417"/>
        <w:gridCol w:w="1479"/>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56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污染物</w:t>
            </w:r>
          </w:p>
        </w:tc>
        <w:tc>
          <w:tcPr>
            <w:tcW w:w="169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污染源</w:t>
            </w:r>
          </w:p>
        </w:tc>
        <w:tc>
          <w:tcPr>
            <w:tcW w:w="136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最大落地</w:t>
            </w:r>
          </w:p>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浓度C</w:t>
            </w:r>
          </w:p>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w:t>
            </w:r>
            <w:r>
              <w:rPr>
                <w:rFonts w:hint="default" w:ascii="Calibri" w:hAnsi="Calibri" w:eastAsia="宋体" w:cs="Calibri"/>
                <w:kern w:val="2"/>
                <w:sz w:val="24"/>
                <w:szCs w:val="24"/>
                <w:lang w:val="en-US" w:eastAsia="zh-CN" w:bidi="ar-SA"/>
              </w:rPr>
              <w:t>μ</w:t>
            </w:r>
            <w:r>
              <w:rPr>
                <w:rFonts w:hint="default" w:ascii="Times New Roman" w:hAnsi="Times New Roman" w:eastAsia="宋体" w:cs="Times New Roman"/>
                <w:kern w:val="2"/>
                <w:sz w:val="24"/>
                <w:szCs w:val="24"/>
                <w:lang w:val="en-US" w:eastAsia="zh-CN" w:bidi="ar-SA"/>
              </w:rPr>
              <w:t>g/m</w:t>
            </w:r>
            <w:r>
              <w:rPr>
                <w:rFonts w:hint="default" w:ascii="Times New Roman" w:hAnsi="Times New Roman" w:eastAsia="宋体" w:cs="Times New Roman"/>
                <w:kern w:val="2"/>
                <w:sz w:val="24"/>
                <w:szCs w:val="24"/>
                <w:vertAlign w:val="superscript"/>
                <w:lang w:val="en-US" w:eastAsia="zh-CN" w:bidi="ar-SA"/>
              </w:rPr>
              <w:t>3</w:t>
            </w:r>
            <w:r>
              <w:rPr>
                <w:rFonts w:hint="default" w:ascii="Times New Roman" w:hAnsi="Times New Roman" w:eastAsia="宋体" w:cs="Times New Roman"/>
                <w:kern w:val="2"/>
                <w:sz w:val="24"/>
                <w:szCs w:val="24"/>
                <w:lang w:val="en-US" w:eastAsia="zh-CN" w:bidi="ar-SA"/>
              </w:rPr>
              <w:t>）</w:t>
            </w:r>
          </w:p>
        </w:tc>
        <w:tc>
          <w:tcPr>
            <w:tcW w:w="1417"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占标率P</w:t>
            </w:r>
            <w:r>
              <w:rPr>
                <w:rFonts w:hint="default" w:ascii="Times New Roman" w:hAnsi="Times New Roman" w:eastAsia="宋体" w:cs="Times New Roman"/>
                <w:kern w:val="2"/>
                <w:sz w:val="24"/>
                <w:szCs w:val="24"/>
                <w:vertAlign w:val="subscript"/>
                <w:lang w:val="en-US" w:eastAsia="zh-CN" w:bidi="ar-SA"/>
              </w:rPr>
              <w:t>max</w:t>
            </w:r>
          </w:p>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w:t>
            </w:r>
          </w:p>
        </w:tc>
        <w:tc>
          <w:tcPr>
            <w:tcW w:w="1479"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最大落地浓度出现距离（m）</w:t>
            </w:r>
          </w:p>
        </w:tc>
        <w:tc>
          <w:tcPr>
            <w:tcW w:w="120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评价等级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60" w:type="dxa"/>
            <w:tcBorders>
              <w:tl2br w:val="nil"/>
              <w:tr2bl w:val="nil"/>
            </w:tcBorders>
            <w:noWrap w:val="0"/>
            <w:vAlign w:val="center"/>
          </w:tcPr>
          <w:p>
            <w:pPr>
              <w:widowControl w:val="0"/>
              <w:bidi w:val="0"/>
              <w:adjustRightInd w:val="0"/>
              <w:snapToGrid w:val="0"/>
              <w:spacing w:line="240" w:lineRule="auto"/>
              <w:jc w:val="center"/>
              <w:rPr>
                <w:rFonts w:hint="eastAsia" w:cs="Times New Roman"/>
                <w:kern w:val="2"/>
                <w:sz w:val="24"/>
                <w:szCs w:val="24"/>
                <w:lang w:val="en-US" w:eastAsia="zh-CN" w:bidi="ar-SA"/>
              </w:rPr>
            </w:pPr>
            <w:r>
              <w:rPr>
                <w:rFonts w:hint="eastAsia" w:cs="Times New Roman"/>
                <w:kern w:val="2"/>
                <w:sz w:val="24"/>
                <w:szCs w:val="24"/>
                <w:lang w:val="en-US" w:eastAsia="zh-CN" w:bidi="ar-SA"/>
              </w:rPr>
              <w:t>VOCs</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（有组织）</w:t>
            </w:r>
          </w:p>
        </w:tc>
        <w:tc>
          <w:tcPr>
            <w:tcW w:w="169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进、出料</w:t>
            </w:r>
            <w:r>
              <w:rPr>
                <w:rFonts w:hint="eastAsia" w:cs="Times New Roman"/>
                <w:kern w:val="2"/>
                <w:sz w:val="24"/>
                <w:szCs w:val="24"/>
                <w:lang w:val="en-US" w:eastAsia="zh-CN" w:bidi="ar-SA"/>
              </w:rPr>
              <w:t>和加热搅拌</w:t>
            </w:r>
            <w:r>
              <w:rPr>
                <w:rFonts w:hint="eastAsia" w:ascii="Times New Roman" w:hAnsi="Times New Roman" w:eastAsia="宋体" w:cs="Times New Roman"/>
                <w:kern w:val="2"/>
                <w:sz w:val="24"/>
                <w:szCs w:val="24"/>
                <w:lang w:val="en-US" w:eastAsia="zh-CN" w:bidi="ar-SA"/>
              </w:rPr>
              <w:t>过程</w:t>
            </w:r>
          </w:p>
        </w:tc>
        <w:tc>
          <w:tcPr>
            <w:tcW w:w="136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highlight w:val="none"/>
                <w:lang w:val="en-US" w:eastAsia="zh-CN" w:bidi="ar-SA"/>
              </w:rPr>
              <w:t>1.38</w:t>
            </w:r>
          </w:p>
        </w:tc>
        <w:tc>
          <w:tcPr>
            <w:tcW w:w="1417"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0.23</w:t>
            </w:r>
          </w:p>
        </w:tc>
        <w:tc>
          <w:tcPr>
            <w:tcW w:w="1479"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389</w:t>
            </w:r>
          </w:p>
        </w:tc>
        <w:tc>
          <w:tcPr>
            <w:tcW w:w="120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三</w:t>
            </w:r>
            <w:r>
              <w:rPr>
                <w:rFonts w:hint="default" w:ascii="Times New Roman" w:hAnsi="Times New Roman" w:eastAsia="宋体" w:cs="Times New Roman"/>
                <w:kern w:val="2"/>
                <w:sz w:val="24"/>
                <w:szCs w:val="24"/>
                <w:lang w:val="en-US" w:eastAsia="zh-CN" w:bidi="ar-SA"/>
              </w:rPr>
              <w:t>级</w:t>
            </w:r>
          </w:p>
        </w:tc>
      </w:tr>
    </w:tbl>
    <w:p>
      <w:pPr>
        <w:widowControl w:val="0"/>
        <w:bidi w:val="0"/>
        <w:spacing w:line="360" w:lineRule="auto"/>
        <w:ind w:firstLine="480" w:firstLineChars="200"/>
        <w:jc w:val="left"/>
        <w:rPr>
          <w:rFonts w:hint="eastAsia" w:ascii="Times New Roman" w:hAnsi="Times New Roman" w:eastAsia="宋体" w:cs="宋体"/>
          <w:kern w:val="2"/>
          <w:sz w:val="24"/>
          <w:szCs w:val="24"/>
          <w:highlight w:val="none"/>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highlight w:val="none"/>
          <w:lang w:val="en-US" w:eastAsia="zh-CN" w:bidi="ar-SA"/>
        </w:rPr>
      </w:pPr>
      <w:r>
        <w:rPr>
          <w:rFonts w:hint="eastAsia" w:ascii="Times New Roman" w:hAnsi="Times New Roman" w:eastAsia="宋体" w:cs="宋体"/>
          <w:kern w:val="2"/>
          <w:sz w:val="24"/>
          <w:szCs w:val="24"/>
          <w:highlight w:val="none"/>
          <w:lang w:val="en-US" w:eastAsia="zh-CN" w:bidi="ar-SA"/>
        </w:rPr>
        <w:t>从估算结果可知，</w:t>
      </w:r>
      <w:r>
        <w:rPr>
          <w:rFonts w:hint="eastAsia" w:cs="宋体"/>
          <w:kern w:val="2"/>
          <w:sz w:val="24"/>
          <w:szCs w:val="24"/>
          <w:highlight w:val="none"/>
          <w:lang w:val="en-US" w:eastAsia="zh-CN" w:bidi="ar-SA"/>
        </w:rPr>
        <w:t>VOCs</w:t>
      </w:r>
      <w:r>
        <w:rPr>
          <w:rFonts w:hint="eastAsia" w:ascii="Times New Roman" w:hAnsi="Times New Roman" w:eastAsia="宋体" w:cs="宋体"/>
          <w:kern w:val="2"/>
          <w:sz w:val="24"/>
          <w:szCs w:val="24"/>
          <w:highlight w:val="none"/>
          <w:lang w:val="en-US" w:eastAsia="zh-CN" w:bidi="ar-SA"/>
        </w:rPr>
        <w:t>有组织排放的最大落地浓度为1.3</w:t>
      </w:r>
      <w:r>
        <w:rPr>
          <w:rFonts w:hint="eastAsia" w:cs="宋体"/>
          <w:kern w:val="2"/>
          <w:sz w:val="24"/>
          <w:szCs w:val="24"/>
          <w:highlight w:val="none"/>
          <w:lang w:val="en-US" w:eastAsia="zh-CN" w:bidi="ar-SA"/>
        </w:rPr>
        <w:t>8</w:t>
      </w:r>
      <w:r>
        <w:rPr>
          <w:rFonts w:hint="default" w:ascii="Calibri" w:hAnsi="Calibri" w:eastAsia="宋体" w:cs="Calibri"/>
          <w:kern w:val="2"/>
          <w:sz w:val="24"/>
          <w:szCs w:val="24"/>
          <w:highlight w:val="none"/>
          <w:lang w:val="en-US" w:eastAsia="zh-CN" w:bidi="ar-SA"/>
        </w:rPr>
        <w:t>μ</w:t>
      </w:r>
      <w:r>
        <w:rPr>
          <w:rFonts w:hint="eastAsia" w:ascii="Times New Roman" w:hAnsi="Times New Roman" w:eastAsia="宋体" w:cs="宋体"/>
          <w:kern w:val="2"/>
          <w:sz w:val="24"/>
          <w:szCs w:val="24"/>
          <w:highlight w:val="none"/>
          <w:lang w:val="en-US" w:eastAsia="zh-CN" w:bidi="ar-SA"/>
        </w:rPr>
        <w:t>g/m</w:t>
      </w:r>
      <w:r>
        <w:rPr>
          <w:rFonts w:hint="eastAsia" w:ascii="Times New Roman" w:hAnsi="Times New Roman" w:eastAsia="宋体" w:cs="宋体"/>
          <w:kern w:val="2"/>
          <w:sz w:val="24"/>
          <w:szCs w:val="24"/>
          <w:highlight w:val="none"/>
          <w:vertAlign w:val="superscript"/>
          <w:lang w:val="en-US" w:eastAsia="zh-CN" w:bidi="ar-SA"/>
        </w:rPr>
        <w:t>3</w:t>
      </w:r>
      <w:r>
        <w:rPr>
          <w:rFonts w:hint="eastAsia" w:ascii="Times New Roman" w:hAnsi="Times New Roman" w:eastAsia="宋体" w:cs="宋体"/>
          <w:kern w:val="2"/>
          <w:sz w:val="24"/>
          <w:szCs w:val="24"/>
          <w:highlight w:val="none"/>
          <w:lang w:val="en-US" w:eastAsia="zh-CN" w:bidi="ar-SA"/>
        </w:rPr>
        <w:t>，最大落地浓度占标率为</w:t>
      </w:r>
      <w:r>
        <w:rPr>
          <w:rFonts w:hint="eastAsia" w:cs="宋体"/>
          <w:kern w:val="2"/>
          <w:sz w:val="24"/>
          <w:szCs w:val="24"/>
          <w:highlight w:val="none"/>
          <w:lang w:val="en-US" w:eastAsia="zh-CN" w:bidi="ar-SA"/>
        </w:rPr>
        <w:t>0.23</w:t>
      </w:r>
      <w:r>
        <w:rPr>
          <w:rFonts w:hint="eastAsia" w:ascii="Times New Roman" w:hAnsi="Times New Roman" w:eastAsia="宋体" w:cs="宋体"/>
          <w:kern w:val="2"/>
          <w:sz w:val="24"/>
          <w:szCs w:val="24"/>
          <w:highlight w:val="none"/>
          <w:lang w:val="en-US" w:eastAsia="zh-CN" w:bidi="ar-SA"/>
        </w:rPr>
        <w:t>%。根据《环境影响评价技术导则 大气环境》（</w:t>
      </w:r>
      <w:r>
        <w:rPr>
          <w:rFonts w:ascii="Times New Roman" w:hAnsi="Times New Roman" w:eastAsia="宋体" w:cs="宋体"/>
          <w:kern w:val="2"/>
          <w:sz w:val="24"/>
          <w:szCs w:val="24"/>
          <w:highlight w:val="none"/>
          <w:lang w:val="en-US" w:eastAsia="zh-CN" w:bidi="ar-SA"/>
        </w:rPr>
        <w:t>HJ2.2-2018</w:t>
      </w:r>
      <w:r>
        <w:rPr>
          <w:rFonts w:hint="eastAsia" w:ascii="Times New Roman" w:hAnsi="Times New Roman" w:eastAsia="宋体" w:cs="宋体"/>
          <w:kern w:val="2"/>
          <w:sz w:val="24"/>
          <w:szCs w:val="24"/>
          <w:highlight w:val="none"/>
          <w:lang w:val="en-US" w:eastAsia="zh-CN" w:bidi="ar-SA"/>
        </w:rPr>
        <w:t>）分级判据，</w:t>
      </w:r>
      <w:r>
        <w:rPr>
          <w:rFonts w:hint="default" w:ascii="Times New Roman" w:hAnsi="Times New Roman" w:eastAsia="宋体" w:cs="宋体"/>
          <w:kern w:val="2"/>
          <w:sz w:val="24"/>
          <w:szCs w:val="24"/>
          <w:lang w:val="en-US" w:eastAsia="zh-CN" w:bidi="ar-SA"/>
        </w:rPr>
        <w:t>P</w:t>
      </w:r>
      <w:r>
        <w:rPr>
          <w:rFonts w:hint="default" w:ascii="Times New Roman" w:hAnsi="Times New Roman" w:eastAsia="宋体" w:cs="宋体"/>
          <w:kern w:val="2"/>
          <w:sz w:val="24"/>
          <w:szCs w:val="24"/>
          <w:vertAlign w:val="subscript"/>
          <w:lang w:val="en-US" w:eastAsia="zh-CN" w:bidi="ar-SA"/>
        </w:rPr>
        <w:t>max</w:t>
      </w:r>
      <w:r>
        <w:rPr>
          <w:rFonts w:hint="default" w:ascii="Times New Roman" w:hAnsi="Times New Roman" w:eastAsia="宋体" w:cs="宋体"/>
          <w:kern w:val="2"/>
          <w:sz w:val="24"/>
          <w:szCs w:val="24"/>
          <w:lang w:val="en-US" w:eastAsia="zh-CN" w:bidi="ar-SA"/>
        </w:rPr>
        <w:t>＜1%</w:t>
      </w:r>
      <w:r>
        <w:rPr>
          <w:rFonts w:hint="eastAsia"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highlight w:val="none"/>
          <w:lang w:val="en-US" w:eastAsia="zh-CN" w:bidi="ar-SA"/>
        </w:rPr>
        <w:t>确定本项目大气环境影响评价工作等级为三级，不进行进一步预测和分析，只对污染物排放量进行核算，</w:t>
      </w:r>
      <w:r>
        <w:rPr>
          <w:rFonts w:ascii="Times New Roman" w:hAnsi="Times New Roman" w:eastAsia="宋体" w:cs="宋体"/>
          <w:kern w:val="2"/>
          <w:sz w:val="24"/>
          <w:szCs w:val="24"/>
          <w:highlight w:val="none"/>
          <w:lang w:val="en-US" w:eastAsia="zh-CN" w:bidi="ar-SA"/>
        </w:rPr>
        <w:t>可不设大气环境防护距离</w:t>
      </w:r>
      <w:r>
        <w:rPr>
          <w:rFonts w:hint="eastAsia" w:ascii="Times New Roman" w:hAnsi="Times New Roman" w:eastAsia="宋体" w:cs="宋体"/>
          <w:kern w:val="2"/>
          <w:sz w:val="24"/>
          <w:szCs w:val="24"/>
          <w:highlight w:val="none"/>
          <w:lang w:val="en-US" w:eastAsia="zh-CN" w:bidi="ar-SA"/>
        </w:rPr>
        <w:t>。</w:t>
      </w:r>
    </w:p>
    <w:p>
      <w:pPr>
        <w:pStyle w:val="5"/>
        <w:bidi w:val="0"/>
        <w:rPr>
          <w:rFonts w:hint="eastAsia"/>
          <w:lang w:val="en-US" w:eastAsia="zh-CN"/>
        </w:rPr>
      </w:pPr>
      <w:bookmarkStart w:id="1153" w:name="_Toc28395"/>
      <w:r>
        <w:rPr>
          <w:rFonts w:hint="eastAsia"/>
          <w:lang w:val="en-US" w:eastAsia="zh-CN"/>
        </w:rPr>
        <w:t>污染物排放量核算</w:t>
      </w:r>
      <w:bookmarkEnd w:id="1153"/>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项目大气污染物有组织排放、无组织排放及年排放量见</w:t>
      </w:r>
      <w:r>
        <w:rPr>
          <w:rFonts w:hint="default" w:ascii="Times New Roman" w:hAnsi="Times New Roman" w:eastAsia="宋体" w:cs="宋体"/>
          <w:kern w:val="2"/>
          <w:sz w:val="24"/>
          <w:szCs w:val="24"/>
          <w:highlight w:val="cyan"/>
          <w:lang w:val="en-US" w:eastAsia="zh-CN" w:bidi="ar-SA"/>
        </w:rPr>
        <w:fldChar w:fldCharType="begin"/>
      </w:r>
      <w:r>
        <w:rPr>
          <w:rFonts w:hint="default" w:ascii="Times New Roman" w:hAnsi="Times New Roman" w:eastAsia="宋体" w:cs="宋体"/>
          <w:kern w:val="2"/>
          <w:sz w:val="24"/>
          <w:szCs w:val="24"/>
          <w:highlight w:val="cyan"/>
          <w:lang w:val="en-US" w:eastAsia="zh-CN" w:bidi="ar-SA"/>
        </w:rPr>
        <w:instrText xml:space="preserve"> REF _Ref29525 \h </w:instrText>
      </w:r>
      <w:r>
        <w:rPr>
          <w:rFonts w:hint="default" w:ascii="Times New Roman" w:hAnsi="Times New Roman" w:eastAsia="宋体" w:cs="宋体"/>
          <w:kern w:val="2"/>
          <w:sz w:val="24"/>
          <w:szCs w:val="24"/>
          <w:highlight w:val="cyan"/>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6</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8</w:t>
      </w:r>
      <w:r>
        <w:rPr>
          <w:rFonts w:hint="default" w:ascii="Times New Roman" w:hAnsi="Times New Roman" w:eastAsia="宋体" w:cs="宋体"/>
          <w:kern w:val="2"/>
          <w:sz w:val="24"/>
          <w:szCs w:val="24"/>
          <w:highlight w:val="cyan"/>
          <w:lang w:val="en-US" w:eastAsia="zh-CN" w:bidi="ar-SA"/>
        </w:rPr>
        <w:fldChar w:fldCharType="end"/>
      </w:r>
      <w:r>
        <w:rPr>
          <w:rFonts w:hint="eastAsia" w:ascii="Times New Roman" w:hAnsi="Times New Roman" w:eastAsia="宋体" w:cs="宋体"/>
          <w:kern w:val="2"/>
          <w:sz w:val="24"/>
          <w:szCs w:val="24"/>
          <w:highlight w:val="none"/>
          <w:lang w:val="en-US" w:eastAsia="zh-CN" w:bidi="ar-SA"/>
        </w:rPr>
        <w:t>、</w:t>
      </w:r>
      <w:r>
        <w:rPr>
          <w:rFonts w:hint="default" w:ascii="Times New Roman" w:hAnsi="Times New Roman" w:eastAsia="宋体" w:cs="宋体"/>
          <w:kern w:val="2"/>
          <w:sz w:val="24"/>
          <w:szCs w:val="24"/>
          <w:highlight w:val="cyan"/>
          <w:lang w:val="en-US" w:eastAsia="zh-CN" w:bidi="ar-SA"/>
        </w:rPr>
        <w:fldChar w:fldCharType="begin"/>
      </w:r>
      <w:r>
        <w:rPr>
          <w:rFonts w:hint="default" w:ascii="Times New Roman" w:hAnsi="Times New Roman" w:eastAsia="宋体" w:cs="宋体"/>
          <w:kern w:val="2"/>
          <w:sz w:val="24"/>
          <w:szCs w:val="24"/>
          <w:highlight w:val="cyan"/>
          <w:lang w:val="en-US" w:eastAsia="zh-CN" w:bidi="ar-SA"/>
        </w:rPr>
        <w:instrText xml:space="preserve"> REF _Ref29532 \h </w:instrText>
      </w:r>
      <w:r>
        <w:rPr>
          <w:rFonts w:hint="default" w:ascii="Times New Roman" w:hAnsi="Times New Roman" w:eastAsia="宋体" w:cs="宋体"/>
          <w:kern w:val="2"/>
          <w:sz w:val="24"/>
          <w:szCs w:val="24"/>
          <w:highlight w:val="cyan"/>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6</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9</w:t>
      </w:r>
      <w:r>
        <w:rPr>
          <w:rFonts w:hint="default" w:ascii="Times New Roman" w:hAnsi="Times New Roman" w:eastAsia="宋体" w:cs="宋体"/>
          <w:kern w:val="2"/>
          <w:sz w:val="24"/>
          <w:szCs w:val="24"/>
          <w:highlight w:val="cyan"/>
          <w:lang w:val="en-US" w:eastAsia="zh-CN" w:bidi="ar-SA"/>
        </w:rPr>
        <w:fldChar w:fldCharType="end"/>
      </w:r>
      <w:r>
        <w:rPr>
          <w:rFonts w:hint="default" w:ascii="Times New Roman" w:hAnsi="Times New Roman" w:eastAsia="宋体" w:cs="宋体"/>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kern w:val="2"/>
          <w:sz w:val="21"/>
          <w:szCs w:val="21"/>
          <w:lang w:val="en-US" w:eastAsia="zh-CN" w:bidi="ar-SA"/>
        </w:rPr>
      </w:pPr>
      <w:bookmarkStart w:id="1154" w:name="_Ref29525"/>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6</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8</w:t>
      </w:r>
      <w:r>
        <w:rPr>
          <w:rFonts w:ascii="Times New Roman" w:hAnsi="Times New Roman" w:eastAsia="宋体" w:cs="Times New Roman"/>
          <w:b/>
          <w:kern w:val="2"/>
          <w:sz w:val="21"/>
          <w:szCs w:val="21"/>
          <w:lang w:val="en-US" w:eastAsia="zh-CN" w:bidi="ar-SA"/>
        </w:rPr>
        <w:fldChar w:fldCharType="end"/>
      </w:r>
      <w:bookmarkEnd w:id="1154"/>
      <w:r>
        <w:rPr>
          <w:rFonts w:hint="eastAsia" w:ascii="Times New Roman" w:hAnsi="Times New Roman" w:eastAsia="宋体" w:cs="Times New Roman"/>
          <w:b/>
          <w:kern w:val="2"/>
          <w:sz w:val="21"/>
          <w:szCs w:val="21"/>
          <w:lang w:val="en-US" w:eastAsia="zh-CN" w:bidi="ar-SA"/>
        </w:rPr>
        <w:t>大气</w:t>
      </w:r>
      <w:r>
        <w:rPr>
          <w:rFonts w:hint="default" w:ascii="Times New Roman" w:hAnsi="Times New Roman" w:eastAsia="宋体" w:cs="Times New Roman"/>
          <w:b/>
          <w:kern w:val="2"/>
          <w:sz w:val="21"/>
          <w:szCs w:val="21"/>
          <w:lang w:val="en-US" w:eastAsia="zh-CN" w:bidi="ar-SA"/>
        </w:rPr>
        <w:t>污染物</w:t>
      </w:r>
      <w:r>
        <w:rPr>
          <w:rFonts w:hint="eastAsia" w:ascii="Times New Roman" w:hAnsi="Times New Roman" w:eastAsia="宋体" w:cs="Times New Roman"/>
          <w:b/>
          <w:kern w:val="2"/>
          <w:sz w:val="21"/>
          <w:szCs w:val="21"/>
          <w:lang w:val="en-US" w:eastAsia="zh-CN" w:bidi="ar-SA"/>
        </w:rPr>
        <w:t>有组织</w:t>
      </w:r>
      <w:r>
        <w:rPr>
          <w:rFonts w:hint="default" w:ascii="Times New Roman" w:hAnsi="Times New Roman" w:eastAsia="宋体" w:cs="Times New Roman"/>
          <w:b/>
          <w:kern w:val="2"/>
          <w:sz w:val="21"/>
          <w:szCs w:val="21"/>
          <w:lang w:val="en-US" w:eastAsia="zh-CN" w:bidi="ar-SA"/>
        </w:rPr>
        <w:t>排放量核算</w:t>
      </w:r>
    </w:p>
    <w:tbl>
      <w:tblPr>
        <w:tblStyle w:val="23"/>
        <w:tblW w:w="378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722"/>
        <w:gridCol w:w="1709"/>
        <w:gridCol w:w="16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01" w:type="dxa"/>
            <w:tcBorders>
              <w:tl2br w:val="nil"/>
              <w:tr2bl w:val="nil"/>
            </w:tcBorders>
            <w:noWrap w:val="0"/>
            <w:vAlign w:val="center"/>
          </w:tcPr>
          <w:p>
            <w:pPr>
              <w:pStyle w:val="26"/>
              <w:bidi w:val="0"/>
              <w:rPr>
                <w:rFonts w:hint="default"/>
                <w:lang w:val="en-US" w:eastAsia="zh-CN"/>
              </w:rPr>
            </w:pPr>
            <w:r>
              <w:rPr>
                <w:rFonts w:hint="default"/>
                <w:lang w:val="en-US" w:eastAsia="zh-CN"/>
              </w:rPr>
              <w:t>污染物</w:t>
            </w:r>
          </w:p>
        </w:tc>
        <w:tc>
          <w:tcPr>
            <w:tcW w:w="1723" w:type="dxa"/>
            <w:tcBorders>
              <w:tl2br w:val="nil"/>
              <w:tr2bl w:val="nil"/>
            </w:tcBorders>
            <w:noWrap w:val="0"/>
            <w:vAlign w:val="center"/>
          </w:tcPr>
          <w:p>
            <w:pPr>
              <w:pStyle w:val="26"/>
              <w:bidi w:val="0"/>
              <w:rPr>
                <w:rFonts w:hint="default"/>
                <w:lang w:val="en-US" w:eastAsia="zh-CN"/>
              </w:rPr>
            </w:pPr>
            <w:r>
              <w:rPr>
                <w:rFonts w:hint="default"/>
                <w:lang w:val="en-US" w:eastAsia="zh-CN"/>
              </w:rPr>
              <w:t>核算排放浓度（mg/m</w:t>
            </w:r>
            <w:r>
              <w:rPr>
                <w:rFonts w:hint="default"/>
                <w:vertAlign w:val="superscript"/>
                <w:lang w:val="en-US" w:eastAsia="zh-CN"/>
              </w:rPr>
              <w:t>3</w:t>
            </w:r>
            <w:r>
              <w:rPr>
                <w:rFonts w:hint="default"/>
                <w:lang w:val="en-US" w:eastAsia="zh-CN"/>
              </w:rPr>
              <w:t>）</w:t>
            </w:r>
          </w:p>
        </w:tc>
        <w:tc>
          <w:tcPr>
            <w:tcW w:w="1710" w:type="dxa"/>
            <w:tcBorders>
              <w:tl2br w:val="nil"/>
              <w:tr2bl w:val="nil"/>
            </w:tcBorders>
            <w:noWrap w:val="0"/>
            <w:vAlign w:val="center"/>
          </w:tcPr>
          <w:p>
            <w:pPr>
              <w:pStyle w:val="26"/>
              <w:bidi w:val="0"/>
              <w:rPr>
                <w:rFonts w:hint="default"/>
                <w:lang w:val="en-US" w:eastAsia="zh-CN"/>
              </w:rPr>
            </w:pPr>
            <w:r>
              <w:rPr>
                <w:rFonts w:hint="default"/>
                <w:lang w:val="en-US" w:eastAsia="zh-CN"/>
              </w:rPr>
              <w:t>核算排放速率</w:t>
            </w:r>
          </w:p>
          <w:p>
            <w:pPr>
              <w:pStyle w:val="26"/>
              <w:bidi w:val="0"/>
              <w:rPr>
                <w:rFonts w:hint="default"/>
                <w:lang w:val="en-US" w:eastAsia="zh-CN"/>
              </w:rPr>
            </w:pPr>
            <w:r>
              <w:rPr>
                <w:rFonts w:hint="default"/>
                <w:lang w:val="en-US" w:eastAsia="zh-CN"/>
              </w:rPr>
              <w:t>（kg/h）</w:t>
            </w:r>
          </w:p>
        </w:tc>
        <w:tc>
          <w:tcPr>
            <w:tcW w:w="1689" w:type="dxa"/>
            <w:tcBorders>
              <w:tl2br w:val="nil"/>
              <w:tr2bl w:val="nil"/>
            </w:tcBorders>
            <w:noWrap w:val="0"/>
            <w:vAlign w:val="center"/>
          </w:tcPr>
          <w:p>
            <w:pPr>
              <w:pStyle w:val="26"/>
              <w:bidi w:val="0"/>
              <w:rPr>
                <w:rFonts w:hint="default"/>
                <w:lang w:val="en-US" w:eastAsia="zh-CN"/>
              </w:rPr>
            </w:pPr>
            <w:r>
              <w:rPr>
                <w:rFonts w:hint="default"/>
                <w:lang w:val="en-US" w:eastAsia="zh-CN"/>
              </w:rPr>
              <w:t>核算年排放量</w:t>
            </w:r>
          </w:p>
          <w:p>
            <w:pPr>
              <w:pStyle w:val="26"/>
              <w:bidi w:val="0"/>
              <w:rPr>
                <w:rFonts w:hint="default"/>
                <w:lang w:val="en-US" w:eastAsia="zh-CN"/>
              </w:rPr>
            </w:pPr>
            <w:r>
              <w:rPr>
                <w:rFonts w:hint="default"/>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tcBorders>
              <w:tl2br w:val="nil"/>
              <w:tr2bl w:val="nil"/>
            </w:tcBorders>
            <w:noWrap w:val="0"/>
            <w:vAlign w:val="center"/>
          </w:tcPr>
          <w:p>
            <w:pPr>
              <w:pStyle w:val="26"/>
              <w:bidi w:val="0"/>
              <w:rPr>
                <w:rFonts w:hint="default"/>
                <w:lang w:val="en-US" w:eastAsia="zh-CN"/>
              </w:rPr>
            </w:pPr>
            <w:r>
              <w:rPr>
                <w:rFonts w:hint="eastAsia"/>
                <w:lang w:val="en-US" w:eastAsia="zh-CN"/>
              </w:rPr>
              <w:t>VOCs</w:t>
            </w:r>
          </w:p>
        </w:tc>
        <w:tc>
          <w:tcPr>
            <w:tcW w:w="1723" w:type="dxa"/>
            <w:tcBorders>
              <w:tl2br w:val="nil"/>
              <w:tr2bl w:val="nil"/>
            </w:tcBorders>
            <w:noWrap w:val="0"/>
            <w:vAlign w:val="center"/>
          </w:tcPr>
          <w:p>
            <w:pPr>
              <w:pStyle w:val="26"/>
              <w:bidi w:val="0"/>
              <w:rPr>
                <w:rFonts w:hint="default"/>
                <w:lang w:val="en-US" w:eastAsia="zh-CN"/>
              </w:rPr>
            </w:pPr>
            <w:r>
              <w:rPr>
                <w:rFonts w:hint="eastAsia"/>
                <w:lang w:val="en-US" w:eastAsia="zh-CN"/>
              </w:rPr>
              <w:t>5.38</w:t>
            </w:r>
          </w:p>
        </w:tc>
        <w:tc>
          <w:tcPr>
            <w:tcW w:w="1710" w:type="dxa"/>
            <w:tcBorders>
              <w:tl2br w:val="nil"/>
              <w:tr2bl w:val="nil"/>
            </w:tcBorders>
            <w:noWrap w:val="0"/>
            <w:vAlign w:val="center"/>
          </w:tcPr>
          <w:p>
            <w:pPr>
              <w:pStyle w:val="26"/>
              <w:bidi w:val="0"/>
              <w:rPr>
                <w:rFonts w:hint="default"/>
                <w:lang w:val="en-US" w:eastAsia="zh-CN"/>
              </w:rPr>
            </w:pPr>
            <w:r>
              <w:rPr>
                <w:rFonts w:hint="eastAsia"/>
                <w:lang w:val="en-US" w:eastAsia="zh-CN"/>
              </w:rPr>
              <w:t>0.053</w:t>
            </w:r>
          </w:p>
        </w:tc>
        <w:tc>
          <w:tcPr>
            <w:tcW w:w="1689" w:type="dxa"/>
            <w:tcBorders>
              <w:tl2br w:val="nil"/>
              <w:tr2bl w:val="nil"/>
            </w:tcBorders>
            <w:noWrap w:val="0"/>
            <w:vAlign w:val="center"/>
          </w:tcPr>
          <w:p>
            <w:pPr>
              <w:pStyle w:val="26"/>
              <w:bidi w:val="0"/>
              <w:rPr>
                <w:rFonts w:hint="default"/>
                <w:lang w:val="en-US" w:eastAsia="zh-CN"/>
              </w:rPr>
            </w:pPr>
            <w:r>
              <w:rPr>
                <w:rFonts w:hint="eastAsia"/>
                <w:lang w:val="en-US" w:eastAsia="zh-CN"/>
              </w:rPr>
              <w:t>0.11</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kern w:val="2"/>
          <w:sz w:val="21"/>
          <w:szCs w:val="21"/>
          <w:lang w:val="en-US" w:eastAsia="zh-CN" w:bidi="ar-SA"/>
        </w:rPr>
      </w:pPr>
      <w:bookmarkStart w:id="1155" w:name="_Ref29532"/>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6</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9</w:t>
      </w:r>
      <w:r>
        <w:rPr>
          <w:rFonts w:ascii="Times New Roman" w:hAnsi="Times New Roman" w:eastAsia="宋体" w:cs="Times New Roman"/>
          <w:b/>
          <w:kern w:val="2"/>
          <w:sz w:val="21"/>
          <w:szCs w:val="21"/>
          <w:lang w:val="en-US" w:eastAsia="zh-CN" w:bidi="ar-SA"/>
        </w:rPr>
        <w:fldChar w:fldCharType="end"/>
      </w:r>
      <w:bookmarkEnd w:id="1155"/>
      <w:r>
        <w:rPr>
          <w:rFonts w:hint="eastAsia" w:ascii="Times New Roman" w:hAnsi="Times New Roman" w:eastAsia="宋体" w:cs="Times New Roman"/>
          <w:b/>
          <w:kern w:val="2"/>
          <w:sz w:val="21"/>
          <w:szCs w:val="21"/>
          <w:lang w:val="en-US" w:eastAsia="zh-CN" w:bidi="ar-SA"/>
        </w:rPr>
        <w:t>大气</w:t>
      </w:r>
      <w:r>
        <w:rPr>
          <w:rFonts w:hint="default" w:ascii="Times New Roman" w:hAnsi="Times New Roman" w:eastAsia="宋体" w:cs="Times New Roman"/>
          <w:b/>
          <w:kern w:val="2"/>
          <w:sz w:val="21"/>
          <w:szCs w:val="21"/>
          <w:lang w:val="en-US" w:eastAsia="zh-CN" w:bidi="ar-SA"/>
        </w:rPr>
        <w:t>污染物</w:t>
      </w:r>
      <w:r>
        <w:rPr>
          <w:rFonts w:hint="eastAsia" w:ascii="Times New Roman" w:hAnsi="Times New Roman" w:eastAsia="宋体" w:cs="Times New Roman"/>
          <w:b/>
          <w:kern w:val="2"/>
          <w:sz w:val="21"/>
          <w:szCs w:val="21"/>
          <w:lang w:val="en-US" w:eastAsia="zh-CN" w:bidi="ar-SA"/>
        </w:rPr>
        <w:t>无组织</w:t>
      </w:r>
      <w:r>
        <w:rPr>
          <w:rFonts w:hint="default" w:ascii="Times New Roman" w:hAnsi="Times New Roman" w:eastAsia="宋体" w:cs="Times New Roman"/>
          <w:b/>
          <w:kern w:val="2"/>
          <w:sz w:val="21"/>
          <w:szCs w:val="21"/>
          <w:lang w:val="en-US" w:eastAsia="zh-CN" w:bidi="ar-SA"/>
        </w:rPr>
        <w:t>排放量核算</w:t>
      </w:r>
    </w:p>
    <w:tbl>
      <w:tblPr>
        <w:tblStyle w:val="23"/>
        <w:tblW w:w="378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722"/>
        <w:gridCol w:w="1709"/>
        <w:gridCol w:w="16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01" w:type="dxa"/>
            <w:tcBorders>
              <w:tl2br w:val="nil"/>
              <w:tr2bl w:val="nil"/>
            </w:tcBorders>
            <w:noWrap w:val="0"/>
            <w:vAlign w:val="center"/>
          </w:tcPr>
          <w:p>
            <w:pPr>
              <w:pStyle w:val="26"/>
              <w:bidi w:val="0"/>
              <w:rPr>
                <w:rFonts w:hint="default"/>
                <w:lang w:val="en-US" w:eastAsia="zh-CN"/>
              </w:rPr>
            </w:pPr>
            <w:r>
              <w:rPr>
                <w:rFonts w:hint="default"/>
                <w:lang w:val="en-US" w:eastAsia="zh-CN"/>
              </w:rPr>
              <w:t>污染物</w:t>
            </w:r>
          </w:p>
        </w:tc>
        <w:tc>
          <w:tcPr>
            <w:tcW w:w="1723" w:type="dxa"/>
            <w:tcBorders>
              <w:tl2br w:val="nil"/>
              <w:tr2bl w:val="nil"/>
            </w:tcBorders>
            <w:noWrap w:val="0"/>
            <w:vAlign w:val="center"/>
          </w:tcPr>
          <w:p>
            <w:pPr>
              <w:pStyle w:val="26"/>
              <w:bidi w:val="0"/>
              <w:rPr>
                <w:rFonts w:hint="default"/>
                <w:lang w:val="en-US" w:eastAsia="zh-CN"/>
              </w:rPr>
            </w:pPr>
            <w:r>
              <w:rPr>
                <w:rFonts w:hint="default"/>
                <w:lang w:val="en-US" w:eastAsia="zh-CN"/>
              </w:rPr>
              <w:t>核算排放浓度（mg/m</w:t>
            </w:r>
            <w:r>
              <w:rPr>
                <w:rFonts w:hint="default"/>
                <w:vertAlign w:val="superscript"/>
                <w:lang w:val="en-US" w:eastAsia="zh-CN"/>
              </w:rPr>
              <w:t>3</w:t>
            </w:r>
            <w:r>
              <w:rPr>
                <w:rFonts w:hint="default"/>
                <w:lang w:val="en-US" w:eastAsia="zh-CN"/>
              </w:rPr>
              <w:t>）</w:t>
            </w:r>
          </w:p>
        </w:tc>
        <w:tc>
          <w:tcPr>
            <w:tcW w:w="1710" w:type="dxa"/>
            <w:tcBorders>
              <w:tl2br w:val="nil"/>
              <w:tr2bl w:val="nil"/>
            </w:tcBorders>
            <w:noWrap w:val="0"/>
            <w:vAlign w:val="center"/>
          </w:tcPr>
          <w:p>
            <w:pPr>
              <w:pStyle w:val="26"/>
              <w:bidi w:val="0"/>
              <w:rPr>
                <w:rFonts w:hint="default"/>
                <w:lang w:val="en-US" w:eastAsia="zh-CN"/>
              </w:rPr>
            </w:pPr>
            <w:r>
              <w:rPr>
                <w:rFonts w:hint="default"/>
                <w:lang w:val="en-US" w:eastAsia="zh-CN"/>
              </w:rPr>
              <w:t>核算排放速率</w:t>
            </w:r>
          </w:p>
          <w:p>
            <w:pPr>
              <w:pStyle w:val="26"/>
              <w:bidi w:val="0"/>
              <w:rPr>
                <w:rFonts w:hint="default"/>
                <w:lang w:val="en-US" w:eastAsia="zh-CN"/>
              </w:rPr>
            </w:pPr>
            <w:r>
              <w:rPr>
                <w:rFonts w:hint="default"/>
                <w:lang w:val="en-US" w:eastAsia="zh-CN"/>
              </w:rPr>
              <w:t>（kg/h）</w:t>
            </w:r>
          </w:p>
        </w:tc>
        <w:tc>
          <w:tcPr>
            <w:tcW w:w="1689" w:type="dxa"/>
            <w:tcBorders>
              <w:tl2br w:val="nil"/>
              <w:tr2bl w:val="nil"/>
            </w:tcBorders>
            <w:noWrap w:val="0"/>
            <w:vAlign w:val="center"/>
          </w:tcPr>
          <w:p>
            <w:pPr>
              <w:pStyle w:val="26"/>
              <w:bidi w:val="0"/>
              <w:rPr>
                <w:rFonts w:hint="default"/>
                <w:lang w:val="en-US" w:eastAsia="zh-CN"/>
              </w:rPr>
            </w:pPr>
            <w:r>
              <w:rPr>
                <w:rFonts w:hint="default"/>
                <w:lang w:val="en-US" w:eastAsia="zh-CN"/>
              </w:rPr>
              <w:t>核算年排放量</w:t>
            </w:r>
          </w:p>
          <w:p>
            <w:pPr>
              <w:pStyle w:val="26"/>
              <w:bidi w:val="0"/>
              <w:rPr>
                <w:rFonts w:hint="default"/>
                <w:lang w:val="en-US" w:eastAsia="zh-CN"/>
              </w:rPr>
            </w:pPr>
            <w:r>
              <w:rPr>
                <w:rFonts w:hint="default"/>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1" w:type="dxa"/>
            <w:tcBorders>
              <w:tl2br w:val="nil"/>
              <w:tr2bl w:val="nil"/>
            </w:tcBorders>
            <w:noWrap w:val="0"/>
            <w:vAlign w:val="center"/>
          </w:tcPr>
          <w:p>
            <w:pPr>
              <w:pStyle w:val="26"/>
              <w:bidi w:val="0"/>
              <w:rPr>
                <w:rFonts w:hint="default"/>
                <w:lang w:val="en-US" w:eastAsia="zh-CN"/>
              </w:rPr>
            </w:pPr>
            <w:r>
              <w:rPr>
                <w:rFonts w:hint="eastAsia"/>
                <w:lang w:val="en-US" w:eastAsia="zh-CN"/>
              </w:rPr>
              <w:t>VOCs</w:t>
            </w:r>
          </w:p>
        </w:tc>
        <w:tc>
          <w:tcPr>
            <w:tcW w:w="1723" w:type="dxa"/>
            <w:tcBorders>
              <w:tl2br w:val="nil"/>
              <w:tr2bl w:val="nil"/>
            </w:tcBorders>
            <w:noWrap w:val="0"/>
            <w:vAlign w:val="center"/>
          </w:tcPr>
          <w:p>
            <w:pPr>
              <w:pStyle w:val="26"/>
              <w:bidi w:val="0"/>
              <w:rPr>
                <w:rFonts w:hint="default"/>
                <w:lang w:val="en-US" w:eastAsia="zh-CN"/>
              </w:rPr>
            </w:pPr>
            <w:r>
              <w:rPr>
                <w:rFonts w:hint="eastAsia"/>
                <w:lang w:val="en-US" w:eastAsia="zh-CN"/>
              </w:rPr>
              <w:t>/</w:t>
            </w:r>
          </w:p>
        </w:tc>
        <w:tc>
          <w:tcPr>
            <w:tcW w:w="1710" w:type="dxa"/>
            <w:tcBorders>
              <w:tl2br w:val="nil"/>
              <w:tr2bl w:val="nil"/>
            </w:tcBorders>
            <w:noWrap w:val="0"/>
            <w:vAlign w:val="center"/>
          </w:tcPr>
          <w:p>
            <w:pPr>
              <w:pStyle w:val="26"/>
              <w:bidi w:val="0"/>
              <w:rPr>
                <w:rFonts w:hint="default"/>
                <w:lang w:val="en-US" w:eastAsia="zh-CN"/>
              </w:rPr>
            </w:pPr>
            <w:r>
              <w:rPr>
                <w:rFonts w:hint="eastAsia"/>
                <w:lang w:val="en-US" w:eastAsia="zh-CN"/>
              </w:rPr>
              <w:t>0.096</w:t>
            </w:r>
          </w:p>
        </w:tc>
        <w:tc>
          <w:tcPr>
            <w:tcW w:w="1689" w:type="dxa"/>
            <w:tcBorders>
              <w:tl2br w:val="nil"/>
              <w:tr2bl w:val="nil"/>
            </w:tcBorders>
            <w:noWrap w:val="0"/>
            <w:vAlign w:val="center"/>
          </w:tcPr>
          <w:p>
            <w:pPr>
              <w:pStyle w:val="26"/>
              <w:bidi w:val="0"/>
              <w:rPr>
                <w:rFonts w:hint="default"/>
                <w:lang w:val="en-US" w:eastAsia="zh-CN"/>
              </w:rPr>
            </w:pPr>
            <w:r>
              <w:rPr>
                <w:rFonts w:hint="eastAsia"/>
                <w:lang w:val="en-US" w:eastAsia="zh-CN"/>
              </w:rPr>
              <w:t>0.20</w:t>
            </w:r>
          </w:p>
        </w:tc>
      </w:tr>
    </w:tbl>
    <w:p>
      <w:pPr>
        <w:rPr>
          <w:rFonts w:hint="eastAsia"/>
        </w:rPr>
      </w:pPr>
    </w:p>
    <w:p>
      <w:pPr>
        <w:pStyle w:val="5"/>
        <w:bidi w:val="0"/>
        <w:rPr>
          <w:lang w:val="en-US" w:eastAsia="zh-CN"/>
        </w:rPr>
      </w:pPr>
      <w:bookmarkStart w:id="1156" w:name="_Toc9370"/>
      <w:r>
        <w:rPr>
          <w:lang w:val="en-US" w:eastAsia="zh-CN"/>
        </w:rPr>
        <w:t>防护距离分析</w:t>
      </w:r>
      <w:bookmarkEnd w:id="1156"/>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根据《环境影响评价技术导则 大气环境》（HJ2.2-2018），对于项目厂界浓度满足大气污染物厂界浓度限值，但厂界外大气污染物短期贡献浓度超过环境质量浓度限值的，可以自厂界外设置一定范围的大气环境防护区域，以确保大气环境防护区域外的污染物贡献浓度满足环境质量标准。根据估算模式的预测结果，本项目有组织排放及无组织排放下风向最大落地浓度占标率均小于</w:t>
      </w:r>
      <w:r>
        <w:rPr>
          <w:rFonts w:ascii="Times New Roman" w:hAnsi="Times New Roman" w:eastAsia="宋体" w:cs="宋体"/>
          <w:kern w:val="2"/>
          <w:sz w:val="24"/>
          <w:szCs w:val="24"/>
          <w:lang w:val="en-US" w:eastAsia="zh-CN" w:bidi="ar-SA"/>
        </w:rPr>
        <w:t>1%</w:t>
      </w:r>
      <w:r>
        <w:rPr>
          <w:rFonts w:hint="eastAsia" w:ascii="Times New Roman" w:hAnsi="Times New Roman" w:eastAsia="宋体" w:cs="宋体"/>
          <w:kern w:val="2"/>
          <w:sz w:val="24"/>
          <w:szCs w:val="24"/>
          <w:lang w:val="en-US" w:eastAsia="zh-CN" w:bidi="ar-SA"/>
        </w:rPr>
        <w:t>，厂界外不存在短期贡献浓度超标点。因此，本项目无需设置大气防护距离。</w:t>
      </w:r>
    </w:p>
    <w:p>
      <w:pPr>
        <w:pStyle w:val="5"/>
        <w:bidi w:val="0"/>
        <w:rPr>
          <w:lang w:val="en-US" w:eastAsia="zh-CN"/>
        </w:rPr>
      </w:pPr>
      <w:bookmarkStart w:id="1157" w:name="_Toc32357"/>
      <w:r>
        <w:rPr>
          <w:lang w:val="en-US" w:eastAsia="zh-CN"/>
        </w:rPr>
        <w:t>排气筒高度</w:t>
      </w:r>
      <w:r>
        <w:rPr>
          <w:rFonts w:hint="eastAsia"/>
          <w:lang w:val="en-US" w:eastAsia="zh-CN"/>
        </w:rPr>
        <w:t>的</w:t>
      </w:r>
      <w:r>
        <w:rPr>
          <w:lang w:val="en-US" w:eastAsia="zh-CN"/>
        </w:rPr>
        <w:t>可行性、合理性分析</w:t>
      </w:r>
      <w:bookmarkEnd w:id="1157"/>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highlight w:val="none"/>
          <w:lang w:val="en-US" w:eastAsia="zh-CN" w:bidi="ar-SA"/>
        </w:rPr>
        <w:t>本项目有一套有机废气处理设施，</w:t>
      </w:r>
      <w:r>
        <w:rPr>
          <w:rFonts w:ascii="Times New Roman" w:hAnsi="Times New Roman" w:eastAsia="宋体" w:cs="宋体"/>
          <w:kern w:val="2"/>
          <w:sz w:val="24"/>
          <w:szCs w:val="24"/>
          <w:lang w:val="en-US" w:eastAsia="zh-CN" w:bidi="ar-SA"/>
        </w:rPr>
        <w:t>根据</w:t>
      </w:r>
      <w:r>
        <w:rPr>
          <w:rFonts w:hint="eastAsia" w:ascii="Times New Roman" w:hAnsi="Times New Roman" w:eastAsia="宋体" w:cs="宋体"/>
          <w:kern w:val="2"/>
          <w:sz w:val="24"/>
          <w:szCs w:val="24"/>
          <w:lang w:val="en-US" w:eastAsia="zh-CN" w:bidi="ar-SA"/>
        </w:rPr>
        <w:t>《大气污染物综合排放标准》（GB16297-1996），新污染源的排气筒一般不应低于15m</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聚特公司厂房为四层楼，一层高度约</w:t>
      </w:r>
      <w:r>
        <w:rPr>
          <w:rFonts w:hint="eastAsia" w:cs="宋体"/>
          <w:kern w:val="2"/>
          <w:sz w:val="24"/>
          <w:szCs w:val="24"/>
          <w:lang w:val="en-US" w:eastAsia="zh-CN" w:bidi="ar-SA"/>
        </w:rPr>
        <w:t>6</w:t>
      </w:r>
      <w:r>
        <w:rPr>
          <w:rFonts w:hint="eastAsia" w:ascii="Times New Roman" w:hAnsi="Times New Roman" w:eastAsia="宋体" w:cs="宋体"/>
          <w:kern w:val="2"/>
          <w:sz w:val="24"/>
          <w:szCs w:val="24"/>
          <w:lang w:val="en-US" w:eastAsia="zh-CN" w:bidi="ar-SA"/>
        </w:rPr>
        <w:t>m，其余三层每层</w:t>
      </w:r>
      <w:r>
        <w:rPr>
          <w:rFonts w:hint="eastAsia" w:cs="宋体"/>
          <w:kern w:val="2"/>
          <w:sz w:val="24"/>
          <w:szCs w:val="24"/>
          <w:lang w:val="en-US" w:eastAsia="zh-CN" w:bidi="ar-SA"/>
        </w:rPr>
        <w:t>4</w:t>
      </w:r>
      <w:r>
        <w:rPr>
          <w:rFonts w:hint="eastAsia" w:ascii="Times New Roman" w:hAnsi="Times New Roman" w:eastAsia="宋体" w:cs="宋体"/>
          <w:kern w:val="2"/>
          <w:sz w:val="24"/>
          <w:szCs w:val="24"/>
          <w:lang w:val="en-US" w:eastAsia="zh-CN" w:bidi="ar-SA"/>
        </w:rPr>
        <w:t>m，总高度约1</w:t>
      </w:r>
      <w:r>
        <w:rPr>
          <w:rFonts w:hint="eastAsia" w:cs="宋体"/>
          <w:kern w:val="2"/>
          <w:sz w:val="24"/>
          <w:szCs w:val="24"/>
          <w:lang w:val="en-US" w:eastAsia="zh-CN" w:bidi="ar-SA"/>
        </w:rPr>
        <w:t>8</w:t>
      </w:r>
      <w:r>
        <w:rPr>
          <w:rFonts w:hint="eastAsia" w:ascii="Times New Roman" w:hAnsi="Times New Roman" w:eastAsia="宋体" w:cs="宋体"/>
          <w:kern w:val="2"/>
          <w:sz w:val="24"/>
          <w:szCs w:val="24"/>
          <w:lang w:val="en-US" w:eastAsia="zh-CN" w:bidi="ar-SA"/>
        </w:rPr>
        <w:t>m。排气筒高度需要高于建筑物3m，排气筒总高度约</w:t>
      </w:r>
      <w:r>
        <w:rPr>
          <w:rFonts w:hint="eastAsia" w:cs="宋体"/>
          <w:kern w:val="2"/>
          <w:sz w:val="24"/>
          <w:szCs w:val="24"/>
          <w:lang w:val="en-US" w:eastAsia="zh-CN" w:bidi="ar-SA"/>
        </w:rPr>
        <w:t>21m</w:t>
      </w:r>
      <w:r>
        <w:rPr>
          <w:rFonts w:hint="eastAsia"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ascii="Times New Roman" w:hAnsi="Times New Roman" w:eastAsia="宋体" w:cs="宋体"/>
          <w:kern w:val="2"/>
          <w:sz w:val="24"/>
          <w:szCs w:val="24"/>
          <w:highlight w:val="none"/>
          <w:lang w:val="en-US" w:eastAsia="zh-CN" w:bidi="ar-SA"/>
        </w:rPr>
      </w:pPr>
      <w:r>
        <w:rPr>
          <w:rFonts w:hint="eastAsia" w:ascii="Times New Roman" w:hAnsi="Times New Roman" w:eastAsia="宋体" w:cs="宋体"/>
          <w:kern w:val="2"/>
          <w:sz w:val="24"/>
          <w:szCs w:val="24"/>
          <w:lang w:val="en-US" w:eastAsia="zh-CN" w:bidi="ar-SA"/>
        </w:rPr>
        <w:t>根据天津市《工业企业挥发性有机物排放控制标准》（DB12/524-2014）表2新建企业排气筒污染物排放限值，</w:t>
      </w:r>
      <w:r>
        <w:rPr>
          <w:rFonts w:hint="eastAsia" w:cs="宋体"/>
          <w:kern w:val="2"/>
          <w:sz w:val="24"/>
          <w:szCs w:val="24"/>
          <w:lang w:val="en-US" w:eastAsia="zh-CN" w:bidi="ar-SA"/>
        </w:rPr>
        <w:t>VOCs</w:t>
      </w:r>
      <w:r>
        <w:rPr>
          <w:rFonts w:hint="eastAsia" w:ascii="Times New Roman" w:hAnsi="Times New Roman" w:eastAsia="宋体" w:cs="宋体"/>
          <w:kern w:val="2"/>
          <w:sz w:val="24"/>
          <w:szCs w:val="24"/>
          <w:lang w:val="en-US" w:eastAsia="zh-CN" w:bidi="ar-SA"/>
        </w:rPr>
        <w:t>排气筒高度为</w:t>
      </w:r>
      <w:r>
        <w:rPr>
          <w:rFonts w:hint="eastAsia" w:cs="宋体"/>
          <w:kern w:val="2"/>
          <w:sz w:val="24"/>
          <w:szCs w:val="24"/>
          <w:lang w:val="en-US" w:eastAsia="zh-CN" w:bidi="ar-SA"/>
        </w:rPr>
        <w:t>21m</w:t>
      </w:r>
      <w:r>
        <w:rPr>
          <w:rFonts w:hint="eastAsia" w:ascii="Times New Roman" w:hAnsi="Times New Roman" w:eastAsia="宋体" w:cs="宋体"/>
          <w:kern w:val="2"/>
          <w:sz w:val="24"/>
          <w:szCs w:val="24"/>
          <w:lang w:val="en-US" w:eastAsia="zh-CN" w:bidi="ar-SA"/>
        </w:rPr>
        <w:t>时最高允许排放速率为</w:t>
      </w:r>
      <w:r>
        <w:rPr>
          <w:rFonts w:hint="eastAsia" w:cs="宋体"/>
          <w:kern w:val="2"/>
          <w:sz w:val="24"/>
          <w:szCs w:val="24"/>
          <w:lang w:val="en-US" w:eastAsia="zh-CN" w:bidi="ar-SA"/>
        </w:rPr>
        <w:t>4.2</w:t>
      </w:r>
      <w:r>
        <w:rPr>
          <w:rFonts w:hint="eastAsia" w:ascii="Times New Roman" w:hAnsi="Times New Roman" w:eastAsia="宋体" w:cs="宋体"/>
          <w:kern w:val="2"/>
          <w:sz w:val="24"/>
          <w:szCs w:val="24"/>
          <w:lang w:val="en-US" w:eastAsia="zh-CN" w:bidi="ar-SA"/>
        </w:rPr>
        <w:t>kg/h。根据环评工程分析，项目</w:t>
      </w:r>
      <w:r>
        <w:rPr>
          <w:rFonts w:hint="eastAsia" w:cs="宋体"/>
          <w:kern w:val="2"/>
          <w:sz w:val="24"/>
          <w:szCs w:val="24"/>
          <w:lang w:val="en-US" w:eastAsia="zh-CN" w:bidi="ar-SA"/>
        </w:rPr>
        <w:t>VOCs</w:t>
      </w:r>
      <w:r>
        <w:rPr>
          <w:rFonts w:hint="eastAsia" w:ascii="Times New Roman" w:hAnsi="Times New Roman" w:eastAsia="宋体" w:cs="宋体"/>
          <w:kern w:val="2"/>
          <w:sz w:val="24"/>
          <w:szCs w:val="24"/>
          <w:lang w:val="en-US" w:eastAsia="zh-CN" w:bidi="ar-SA"/>
        </w:rPr>
        <w:t>排放速率为</w:t>
      </w:r>
      <w:r>
        <w:rPr>
          <w:rFonts w:hint="eastAsia" w:cs="宋体"/>
          <w:kern w:val="2"/>
          <w:sz w:val="24"/>
          <w:szCs w:val="24"/>
          <w:lang w:val="en-US" w:eastAsia="zh-CN" w:bidi="ar-SA"/>
        </w:rPr>
        <w:t>0.053</w:t>
      </w:r>
      <w:r>
        <w:rPr>
          <w:rFonts w:hint="eastAsia" w:ascii="Times New Roman" w:hAnsi="Times New Roman" w:eastAsia="宋体" w:cs="宋体"/>
          <w:kern w:val="2"/>
          <w:sz w:val="24"/>
          <w:szCs w:val="24"/>
          <w:lang w:val="en-US" w:eastAsia="zh-CN" w:bidi="ar-SA"/>
        </w:rPr>
        <w:t>kg/h，远小于排气筒高度规定的排放速率，</w:t>
      </w:r>
      <w:r>
        <w:rPr>
          <w:rFonts w:hint="eastAsia" w:ascii="Times New Roman" w:hAnsi="Times New Roman" w:eastAsia="宋体" w:cs="宋体"/>
          <w:kern w:val="2"/>
          <w:sz w:val="24"/>
          <w:szCs w:val="24"/>
          <w:highlight w:val="none"/>
          <w:lang w:val="en-US" w:eastAsia="zh-CN" w:bidi="ar-SA"/>
        </w:rPr>
        <w:t>故本项目设置排气筒高度为</w:t>
      </w:r>
      <w:r>
        <w:rPr>
          <w:rFonts w:hint="eastAsia" w:cs="宋体"/>
          <w:kern w:val="2"/>
          <w:sz w:val="24"/>
          <w:szCs w:val="24"/>
          <w:highlight w:val="none"/>
          <w:lang w:val="en-US" w:eastAsia="zh-CN" w:bidi="ar-SA"/>
        </w:rPr>
        <w:t>21米</w:t>
      </w:r>
      <w:r>
        <w:rPr>
          <w:rFonts w:hint="eastAsia" w:ascii="Times New Roman" w:hAnsi="Times New Roman" w:eastAsia="宋体" w:cs="宋体"/>
          <w:kern w:val="2"/>
          <w:sz w:val="24"/>
          <w:szCs w:val="24"/>
          <w:highlight w:val="none"/>
          <w:lang w:val="en-US" w:eastAsia="zh-CN" w:bidi="ar-SA"/>
        </w:rPr>
        <w:t>合理</w:t>
      </w:r>
      <w:r>
        <w:rPr>
          <w:rFonts w:ascii="Times New Roman" w:hAnsi="Times New Roman" w:eastAsia="宋体" w:cs="宋体"/>
          <w:kern w:val="2"/>
          <w:sz w:val="24"/>
          <w:szCs w:val="24"/>
          <w:highlight w:val="none"/>
          <w:lang w:val="en-US" w:eastAsia="zh-CN" w:bidi="ar-SA"/>
        </w:rPr>
        <w:t>。</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bookmarkStart w:id="1158" w:name="_Toc20119"/>
      <w:bookmarkStart w:id="1159" w:name="_Toc4146"/>
      <w:bookmarkStart w:id="1160" w:name="_Toc6647"/>
      <w:bookmarkStart w:id="1161" w:name="_Toc15293"/>
      <w:bookmarkStart w:id="1162" w:name="_Toc14824"/>
      <w:bookmarkStart w:id="1163" w:name="_Toc12869"/>
      <w:bookmarkStart w:id="1164" w:name="_Toc10080"/>
      <w:bookmarkStart w:id="1165" w:name="_Toc2673"/>
      <w:bookmarkStart w:id="1166" w:name="_Toc17318"/>
      <w:bookmarkStart w:id="1167" w:name="_Toc24866"/>
      <w:r>
        <w:rPr>
          <w:rFonts w:hint="eastAsia" w:ascii="Times New Roman" w:hAnsi="Times New Roman" w:eastAsia="宋体" w:cs="宋体"/>
          <w:kern w:val="2"/>
          <w:sz w:val="24"/>
          <w:szCs w:val="24"/>
          <w:lang w:val="en-US" w:eastAsia="zh-CN" w:bidi="ar-SA"/>
        </w:rPr>
        <w:t>因此，本项目排气筒设置合理可行。</w:t>
      </w:r>
    </w:p>
    <w:p>
      <w:pPr>
        <w:pStyle w:val="5"/>
        <w:bidi w:val="0"/>
        <w:rPr>
          <w:rFonts w:hint="eastAsia"/>
          <w:lang w:val="en-US" w:eastAsia="zh-CN"/>
        </w:rPr>
      </w:pPr>
      <w:bookmarkStart w:id="1168" w:name="_Toc26029"/>
      <w:r>
        <w:rPr>
          <w:rFonts w:hint="eastAsia"/>
          <w:lang w:val="en-US" w:eastAsia="zh-CN"/>
        </w:rPr>
        <w:t>大气影响评价结论与建议</w:t>
      </w:r>
      <w:bookmarkEnd w:id="1168"/>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（1）大气环境影响评价结论</w:t>
      </w:r>
    </w:p>
    <w:p>
      <w:pPr>
        <w:widowControl w:val="0"/>
        <w:bidi w:val="0"/>
        <w:spacing w:line="360" w:lineRule="auto"/>
        <w:ind w:firstLine="480" w:firstLineChars="200"/>
        <w:jc w:val="left"/>
        <w:rPr>
          <w:rFonts w:hint="eastAsia" w:ascii="Times New Roman" w:hAnsi="Times New Roman" w:eastAsia="宋体" w:cs="宋体"/>
          <w:kern w:val="2"/>
          <w:sz w:val="24"/>
          <w:szCs w:val="24"/>
          <w:highlight w:val="none"/>
          <w:lang w:val="en-US" w:eastAsia="zh-CN" w:bidi="ar-SA"/>
        </w:rPr>
      </w:pPr>
      <w:r>
        <w:rPr>
          <w:rFonts w:hint="eastAsia" w:ascii="Times New Roman" w:hAnsi="Times New Roman" w:eastAsia="宋体" w:cs="宋体"/>
          <w:kern w:val="2"/>
          <w:sz w:val="24"/>
          <w:szCs w:val="24"/>
          <w:lang w:val="en-US" w:eastAsia="zh-CN" w:bidi="ar-SA"/>
        </w:rPr>
        <w:t>项目大气环境影响评价等级为</w:t>
      </w:r>
      <w:r>
        <w:rPr>
          <w:rFonts w:hint="eastAsia" w:ascii="Times New Roman" w:hAnsi="Times New Roman" w:eastAsia="宋体" w:cs="宋体"/>
          <w:kern w:val="2"/>
          <w:sz w:val="24"/>
          <w:szCs w:val="24"/>
          <w:highlight w:val="none"/>
          <w:lang w:val="en-US" w:eastAsia="zh-CN" w:bidi="ar-SA"/>
        </w:rPr>
        <w:t>三级</w:t>
      </w:r>
      <w:r>
        <w:rPr>
          <w:rFonts w:hint="eastAsia" w:ascii="Times New Roman" w:hAnsi="Times New Roman" w:eastAsia="宋体" w:cs="宋体"/>
          <w:kern w:val="2"/>
          <w:sz w:val="24"/>
          <w:szCs w:val="24"/>
          <w:lang w:val="en-US" w:eastAsia="zh-CN" w:bidi="ar-SA"/>
        </w:rPr>
        <w:t>，根据工程分析以及上述估算结果可知，</w:t>
      </w:r>
      <w:r>
        <w:rPr>
          <w:rFonts w:hint="eastAsia" w:ascii="Times New Roman" w:hAnsi="Times New Roman" w:eastAsia="宋体" w:cs="宋体"/>
          <w:kern w:val="2"/>
          <w:sz w:val="24"/>
          <w:szCs w:val="24"/>
          <w:highlight w:val="none"/>
          <w:lang w:val="en-US" w:eastAsia="zh-CN" w:bidi="ar-SA"/>
        </w:rPr>
        <w:t>项目</w:t>
      </w:r>
      <w:r>
        <w:rPr>
          <w:rFonts w:hint="eastAsia" w:cs="宋体"/>
          <w:kern w:val="2"/>
          <w:sz w:val="24"/>
          <w:szCs w:val="24"/>
          <w:highlight w:val="none"/>
          <w:lang w:val="en-US" w:eastAsia="zh-CN" w:bidi="ar-SA"/>
        </w:rPr>
        <w:t>VOCs</w:t>
      </w:r>
      <w:r>
        <w:rPr>
          <w:rFonts w:hint="eastAsia" w:ascii="Times New Roman" w:hAnsi="Times New Roman" w:eastAsia="宋体" w:cs="宋体"/>
          <w:kern w:val="2"/>
          <w:sz w:val="24"/>
          <w:szCs w:val="24"/>
          <w:highlight w:val="none"/>
          <w:lang w:val="en-US" w:eastAsia="zh-CN" w:bidi="ar-SA"/>
        </w:rPr>
        <w:t>有组织排放满足</w:t>
      </w:r>
      <w:r>
        <w:rPr>
          <w:rFonts w:hint="eastAsia" w:ascii="Times New Roman" w:hAnsi="Times New Roman" w:eastAsia="宋体" w:cs="宋体"/>
          <w:kern w:val="2"/>
          <w:sz w:val="24"/>
          <w:szCs w:val="24"/>
          <w:lang w:val="en-US" w:eastAsia="zh-CN" w:bidi="ar-SA"/>
        </w:rPr>
        <w:t>天津市《工业企业挥发性有机物排放控制标准》（DB12/524-2014）表2中塑料制品制造业标准限值及表5厂界浓度限值</w:t>
      </w:r>
      <w:r>
        <w:rPr>
          <w:rFonts w:hint="eastAsia" w:ascii="Times New Roman" w:hAnsi="Times New Roman" w:eastAsia="宋体" w:cs="宋体"/>
          <w:kern w:val="2"/>
          <w:sz w:val="24"/>
          <w:szCs w:val="24"/>
          <w:highlight w:val="none"/>
          <w:lang w:val="en-US" w:eastAsia="zh-CN" w:bidi="ar-SA"/>
        </w:rPr>
        <w:t>。</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综上分析，项目大气环境影响可接受。</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（2）大气污染控制措施可行性</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1）有组织排放</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本工</w:t>
      </w:r>
      <w:r>
        <w:rPr>
          <w:rFonts w:hint="eastAsia" w:ascii="Times New Roman" w:hAnsi="Times New Roman" w:eastAsia="宋体" w:cs="宋体"/>
          <w:kern w:val="2"/>
          <w:sz w:val="24"/>
          <w:szCs w:val="24"/>
          <w:highlight w:val="none"/>
          <w:lang w:val="en-US" w:eastAsia="zh-CN" w:bidi="ar-SA"/>
        </w:rPr>
        <w:t>程有机废气采取的治理措施工艺流程</w:t>
      </w:r>
      <w:r>
        <w:rPr>
          <w:rFonts w:hint="eastAsia" w:ascii="Times New Roman" w:hAnsi="Times New Roman" w:eastAsia="宋体" w:cs="宋体"/>
          <w:kern w:val="2"/>
          <w:sz w:val="24"/>
          <w:szCs w:val="24"/>
          <w:lang w:val="en-US" w:eastAsia="zh-CN" w:bidi="ar-SA"/>
        </w:rPr>
        <w:t>如下图所示。</w:t>
      </w:r>
    </w:p>
    <w:p>
      <w:pPr>
        <w:pStyle w:val="27"/>
        <w:bidi w:val="0"/>
        <w:rPr>
          <w:rFonts w:hint="eastAsia"/>
          <w:lang w:val="en-US" w:eastAsia="zh-CN"/>
        </w:rPr>
      </w:pPr>
      <w:r>
        <w:drawing>
          <wp:inline distT="0" distB="0" distL="114300" distR="114300">
            <wp:extent cx="5574665" cy="492125"/>
            <wp:effectExtent l="0" t="0" r="6985" b="317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31"/>
                    <a:stretch>
                      <a:fillRect/>
                    </a:stretch>
                  </pic:blipFill>
                  <pic:spPr>
                    <a:xfrm>
                      <a:off x="0" y="0"/>
                      <a:ext cx="5574665" cy="492125"/>
                    </a:xfrm>
                    <a:prstGeom prst="rect">
                      <a:avLst/>
                    </a:prstGeom>
                    <a:noFill/>
                    <a:ln>
                      <a:noFill/>
                    </a:ln>
                  </pic:spPr>
                </pic:pic>
              </a:graphicData>
            </a:graphic>
          </wp:inline>
        </w:drawing>
      </w:r>
    </w:p>
    <w:p>
      <w:pPr>
        <w:widowControl w:val="0"/>
        <w:bidi w:val="0"/>
        <w:spacing w:line="360" w:lineRule="auto"/>
        <w:jc w:val="center"/>
        <w:rPr>
          <w:rFonts w:hint="eastAsia"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图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6</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图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有机废气处理工艺流程</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工艺流程说明：</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废气收集：混合搅拌罐上方设置集气罩，位置尽量靠近搅拌设备，确保收集效率达到90%以上，则10%未被收集有机废气在车间内无组织排放。</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废气处理：</w:t>
      </w:r>
      <w:r>
        <w:rPr>
          <w:rFonts w:hint="eastAsia" w:ascii="Times New Roman" w:hAnsi="Times New Roman" w:eastAsia="宋体" w:cs="宋体"/>
          <w:kern w:val="2"/>
          <w:sz w:val="24"/>
          <w:szCs w:val="24"/>
          <w:highlight w:val="none"/>
          <w:lang w:val="en-US" w:eastAsia="zh-CN" w:bidi="ar-SA"/>
        </w:rPr>
        <w:t>采用集气罩装置+</w:t>
      </w:r>
      <w:r>
        <w:rPr>
          <w:rFonts w:hint="eastAsia" w:cs="宋体"/>
          <w:kern w:val="2"/>
          <w:sz w:val="24"/>
          <w:szCs w:val="24"/>
          <w:highlight w:val="none"/>
          <w:lang w:val="en-US" w:eastAsia="zh-CN" w:bidi="ar-SA"/>
        </w:rPr>
        <w:t>UV光解净化器+</w:t>
      </w:r>
      <w:r>
        <w:rPr>
          <w:rFonts w:hint="eastAsia" w:ascii="Times New Roman" w:hAnsi="Times New Roman" w:eastAsia="宋体" w:cs="宋体"/>
          <w:kern w:val="2"/>
          <w:sz w:val="24"/>
          <w:szCs w:val="24"/>
          <w:highlight w:val="none"/>
          <w:lang w:val="en-US" w:eastAsia="zh-CN" w:bidi="ar-SA"/>
        </w:rPr>
        <w:t>活性炭吸附装置处理有机废气，处理效率不低于90%，处理后经1根</w:t>
      </w:r>
      <w:r>
        <w:rPr>
          <w:rFonts w:hint="eastAsia" w:cs="宋体"/>
          <w:kern w:val="2"/>
          <w:sz w:val="24"/>
          <w:szCs w:val="24"/>
          <w:highlight w:val="none"/>
          <w:lang w:val="en-US" w:eastAsia="zh-CN" w:bidi="ar-SA"/>
        </w:rPr>
        <w:t>21m排气筒</w:t>
      </w:r>
      <w:r>
        <w:rPr>
          <w:rFonts w:hint="eastAsia" w:ascii="Times New Roman" w:hAnsi="Times New Roman" w:eastAsia="宋体" w:cs="宋体"/>
          <w:kern w:val="2"/>
          <w:sz w:val="24"/>
          <w:szCs w:val="24"/>
          <w:highlight w:val="none"/>
          <w:lang w:val="en-US" w:eastAsia="zh-CN" w:bidi="ar-SA"/>
        </w:rPr>
        <w:t>高空排放</w:t>
      </w:r>
      <w:r>
        <w:rPr>
          <w:rFonts w:hint="eastAsia"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经预测，</w:t>
      </w:r>
      <w:r>
        <w:rPr>
          <w:rFonts w:hint="eastAsia" w:cs="宋体"/>
          <w:kern w:val="2"/>
          <w:sz w:val="24"/>
          <w:szCs w:val="24"/>
          <w:lang w:val="en-US" w:eastAsia="zh-CN" w:bidi="ar-SA"/>
        </w:rPr>
        <w:t>VOCs</w:t>
      </w:r>
      <w:r>
        <w:rPr>
          <w:rFonts w:hint="eastAsia" w:ascii="Times New Roman" w:hAnsi="Times New Roman" w:eastAsia="宋体" w:cs="宋体"/>
          <w:kern w:val="2"/>
          <w:sz w:val="24"/>
          <w:szCs w:val="24"/>
          <w:lang w:val="en-US" w:eastAsia="zh-CN" w:bidi="ar-SA"/>
        </w:rPr>
        <w:t>有组织排放浓度满足大气污染物排放限值要求，对环境影响较小。</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2）无组织</w:t>
      </w:r>
      <w:r>
        <w:rPr>
          <w:rFonts w:hint="eastAsia" w:ascii="Times New Roman" w:hAnsi="Times New Roman" w:eastAsia="宋体" w:cs="宋体"/>
          <w:kern w:val="2"/>
          <w:sz w:val="24"/>
          <w:szCs w:val="24"/>
          <w:highlight w:val="none"/>
          <w:lang w:val="en-US" w:eastAsia="zh-CN" w:bidi="ar-SA"/>
        </w:rPr>
        <w:t>排放</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建设单位应采取如下措施，以减少项目无组织废气产生量：</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①从源头上控制大气污染物的无组织排放。建设单位在生产过程中最大可能的实现封闭式作业，杜绝敞开式作业，避免生产过程中无组织排放量增大，大气污染物过度无组织排放。</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②加强设备的维护，定期对生产装置进行检查检验，减少装置的跑、冒、滴、漏。</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③加强对操作工的培训和管理，以减少人为造成的废气无组织排放。</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④合理布置车间，将产生无组织废气的工序布置在远离厂界的地方，以减少无组织废气对厂界周围环境的影响。</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实例证明，采用上述措施后，可减少本项目的无组织废气的排放，使污染物无组织排放量降低到较低的水平。</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（3）大气环境影响评价自查</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大气环境影响评价自查表见</w:t>
      </w:r>
      <w:r>
        <w:rPr>
          <w:rFonts w:hint="eastAsia" w:ascii="Times New Roman" w:hAnsi="Times New Roman" w:eastAsia="宋体" w:cs="宋体"/>
          <w:kern w:val="2"/>
          <w:sz w:val="24"/>
          <w:szCs w:val="24"/>
          <w:highlight w:val="none"/>
          <w:lang w:val="en-US" w:eastAsia="zh-CN" w:bidi="ar-SA"/>
        </w:rPr>
        <w:t>附表2</w:t>
      </w:r>
      <w:r>
        <w:rPr>
          <w:rFonts w:hint="eastAsia" w:ascii="Times New Roman" w:hAnsi="Times New Roman" w:eastAsia="宋体" w:cs="宋体"/>
          <w:kern w:val="2"/>
          <w:sz w:val="24"/>
          <w:szCs w:val="24"/>
          <w:lang w:val="en-US" w:eastAsia="zh-CN" w:bidi="ar-SA"/>
        </w:rPr>
        <w:t>。</w:t>
      </w:r>
    </w:p>
    <w:p>
      <w:pPr>
        <w:pStyle w:val="4"/>
        <w:bidi w:val="0"/>
        <w:rPr>
          <w:lang w:val="en-US" w:eastAsia="zh-CN"/>
        </w:rPr>
      </w:pPr>
      <w:bookmarkStart w:id="1169" w:name="_Toc27526"/>
      <w:bookmarkStart w:id="1170" w:name="_Toc27865"/>
      <w:bookmarkStart w:id="1171" w:name="_Toc25160"/>
      <w:bookmarkStart w:id="1172" w:name="_Toc14123"/>
      <w:bookmarkStart w:id="1173" w:name="_Toc2864"/>
      <w:bookmarkStart w:id="1174" w:name="_Toc28874"/>
      <w:r>
        <w:rPr>
          <w:lang w:val="en-US" w:eastAsia="zh-CN"/>
        </w:rPr>
        <w:t>地表水环境影响分析</w:t>
      </w:r>
      <w:bookmarkEnd w:id="1158"/>
      <w:bookmarkEnd w:id="1159"/>
      <w:bookmarkEnd w:id="1160"/>
      <w:bookmarkEnd w:id="1161"/>
      <w:bookmarkEnd w:id="1162"/>
      <w:bookmarkEnd w:id="1163"/>
      <w:bookmarkEnd w:id="1164"/>
      <w:bookmarkEnd w:id="1165"/>
      <w:bookmarkEnd w:id="1166"/>
      <w:bookmarkEnd w:id="1167"/>
      <w:bookmarkEnd w:id="1169"/>
      <w:bookmarkEnd w:id="1170"/>
      <w:bookmarkEnd w:id="1171"/>
      <w:bookmarkEnd w:id="1172"/>
      <w:bookmarkEnd w:id="1173"/>
      <w:bookmarkEnd w:id="1174"/>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根据前述工程分析，本项目外排废水主要为生活污水。</w:t>
      </w:r>
      <w:r>
        <w:rPr>
          <w:rFonts w:ascii="Times New Roman" w:hAnsi="Times New Roman" w:eastAsia="宋体" w:cs="宋体"/>
          <w:kern w:val="2"/>
          <w:sz w:val="24"/>
          <w:szCs w:val="24"/>
          <w:lang w:val="en-US" w:eastAsia="zh-CN" w:bidi="ar-SA"/>
        </w:rPr>
        <w:t>生活污水排放量约为</w:t>
      </w:r>
      <w:r>
        <w:rPr>
          <w:rFonts w:hint="eastAsia" w:ascii="Times New Roman" w:hAnsi="Times New Roman" w:eastAsia="宋体" w:cs="宋体"/>
          <w:kern w:val="2"/>
          <w:sz w:val="24"/>
          <w:szCs w:val="24"/>
          <w:lang w:val="en-US" w:eastAsia="zh-CN" w:bidi="ar-SA"/>
        </w:rPr>
        <w:t>0.16</w:t>
      </w:r>
      <w:r>
        <w:rPr>
          <w:rFonts w:ascii="Times New Roman" w:hAnsi="Times New Roman" w:eastAsia="宋体" w:cs="宋体"/>
          <w:kern w:val="2"/>
          <w:sz w:val="24"/>
          <w:szCs w:val="24"/>
          <w:lang w:val="en-US" w:eastAsia="zh-CN" w:bidi="ar-SA"/>
        </w:rPr>
        <w:t>m</w:t>
      </w:r>
      <w:r>
        <w:rPr>
          <w:rFonts w:ascii="Times New Roman" w:hAnsi="Times New Roman" w:eastAsia="宋体" w:cs="宋体"/>
          <w:kern w:val="2"/>
          <w:sz w:val="24"/>
          <w:szCs w:val="24"/>
          <w:vertAlign w:val="superscript"/>
          <w:lang w:val="en-US" w:eastAsia="zh-CN" w:bidi="ar-SA"/>
        </w:rPr>
        <w:t>3</w:t>
      </w:r>
      <w:r>
        <w:rPr>
          <w:rFonts w:ascii="Times New Roman" w:hAnsi="Times New Roman" w:eastAsia="宋体" w:cs="宋体"/>
          <w:kern w:val="2"/>
          <w:sz w:val="24"/>
          <w:szCs w:val="24"/>
          <w:lang w:val="en-US" w:eastAsia="zh-CN" w:bidi="ar-SA"/>
        </w:rPr>
        <w:t>/d（</w:t>
      </w:r>
      <w:r>
        <w:rPr>
          <w:rFonts w:hint="eastAsia" w:ascii="Times New Roman" w:hAnsi="Times New Roman" w:eastAsia="宋体" w:cs="宋体"/>
          <w:kern w:val="2"/>
          <w:sz w:val="24"/>
          <w:szCs w:val="24"/>
          <w:lang w:val="en-US" w:eastAsia="zh-CN" w:bidi="ar-SA"/>
        </w:rPr>
        <w:t>42</w:t>
      </w:r>
      <w:r>
        <w:rPr>
          <w:rFonts w:ascii="Times New Roman" w:hAnsi="Times New Roman" w:eastAsia="宋体" w:cs="宋体"/>
          <w:kern w:val="2"/>
          <w:sz w:val="24"/>
          <w:szCs w:val="24"/>
          <w:lang w:val="en-US" w:eastAsia="zh-CN" w:bidi="ar-SA"/>
        </w:rPr>
        <w:t>m</w:t>
      </w:r>
      <w:r>
        <w:rPr>
          <w:rFonts w:ascii="Times New Roman" w:hAnsi="Times New Roman" w:eastAsia="宋体" w:cs="宋体"/>
          <w:kern w:val="2"/>
          <w:sz w:val="24"/>
          <w:szCs w:val="24"/>
          <w:vertAlign w:val="superscript"/>
          <w:lang w:val="en-US" w:eastAsia="zh-CN" w:bidi="ar-SA"/>
        </w:rPr>
        <w:t>3</w:t>
      </w:r>
      <w:r>
        <w:rPr>
          <w:rFonts w:ascii="Times New Roman" w:hAnsi="Times New Roman" w:eastAsia="宋体" w:cs="宋体"/>
          <w:kern w:val="2"/>
          <w:sz w:val="24"/>
          <w:szCs w:val="24"/>
          <w:lang w:val="en-US" w:eastAsia="zh-CN" w:bidi="ar-SA"/>
        </w:rPr>
        <w:t>/a）。</w:t>
      </w:r>
      <w:r>
        <w:rPr>
          <w:rFonts w:hint="eastAsia" w:ascii="Times New Roman" w:hAnsi="Times New Roman" w:eastAsia="宋体" w:cs="宋体"/>
          <w:kern w:val="2"/>
          <w:sz w:val="24"/>
          <w:szCs w:val="24"/>
          <w:lang w:val="en-US" w:eastAsia="zh-CN" w:bidi="ar-SA"/>
        </w:rPr>
        <w:t>生活污水</w:t>
      </w:r>
      <w:r>
        <w:rPr>
          <w:rFonts w:hint="eastAsia" w:cs="宋体"/>
          <w:kern w:val="2"/>
          <w:sz w:val="24"/>
          <w:szCs w:val="24"/>
          <w:lang w:val="en-US" w:eastAsia="zh-CN" w:bidi="ar-SA"/>
        </w:rPr>
        <w:t>经园区化粪池处理后达到《污水综合排放标准》（GB8978-1996）三级后</w:t>
      </w:r>
      <w:r>
        <w:rPr>
          <w:rFonts w:hint="eastAsia" w:ascii="Times New Roman" w:hAnsi="Times New Roman" w:eastAsia="宋体" w:cs="宋体"/>
          <w:kern w:val="2"/>
          <w:sz w:val="24"/>
          <w:szCs w:val="24"/>
          <w:lang w:val="en-US" w:eastAsia="zh-CN" w:bidi="ar-SA"/>
        </w:rPr>
        <w:t>排入卓达金谷创业园污水处理站，</w:t>
      </w:r>
      <w:r>
        <w:rPr>
          <w:rFonts w:hint="eastAsia" w:cs="宋体"/>
          <w:kern w:val="2"/>
          <w:sz w:val="24"/>
          <w:szCs w:val="24"/>
          <w:lang w:val="en-US" w:eastAsia="zh-CN" w:bidi="ar-SA"/>
        </w:rPr>
        <w:t>达到《城镇污水处理厂污染物排放标准》（GB18918-2002）一级A类标准</w:t>
      </w:r>
      <w:r>
        <w:rPr>
          <w:rFonts w:hint="eastAsia" w:ascii="Times New Roman" w:hAnsi="Times New Roman" w:eastAsia="宋体" w:cs="宋体"/>
          <w:kern w:val="2"/>
          <w:sz w:val="24"/>
          <w:szCs w:val="24"/>
          <w:lang w:val="en-US" w:eastAsia="zh-CN" w:bidi="ar-SA"/>
        </w:rPr>
        <w:t>后排入洋沙河至洋沙湖，最终受纳水体为湘江。</w:t>
      </w:r>
    </w:p>
    <w:p>
      <w:pPr>
        <w:pStyle w:val="5"/>
        <w:bidi w:val="0"/>
        <w:rPr>
          <w:rFonts w:hint="eastAsia"/>
          <w:lang w:val="en-US" w:eastAsia="zh-CN"/>
        </w:rPr>
      </w:pPr>
      <w:bookmarkStart w:id="1175" w:name="_Toc25548"/>
      <w:bookmarkStart w:id="1176" w:name="_Toc7802"/>
      <w:bookmarkStart w:id="1177" w:name="_Toc10238"/>
      <w:bookmarkStart w:id="1178" w:name="_Toc15725"/>
      <w:bookmarkStart w:id="1179" w:name="_Toc6349"/>
      <w:bookmarkStart w:id="1180" w:name="_Toc6728"/>
      <w:bookmarkStart w:id="1181" w:name="_Toc1136"/>
      <w:bookmarkStart w:id="1182" w:name="_Toc29171"/>
      <w:bookmarkStart w:id="1183" w:name="_Toc27767"/>
      <w:bookmarkStart w:id="1184" w:name="_Toc10543"/>
      <w:bookmarkStart w:id="1185" w:name="_Toc25787"/>
      <w:r>
        <w:rPr>
          <w:rFonts w:hint="eastAsia"/>
          <w:lang w:val="en-US" w:eastAsia="zh-CN"/>
        </w:rPr>
        <w:t>地表水评价等级确定</w:t>
      </w:r>
      <w:bookmarkEnd w:id="1175"/>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根据《环境影响评价技术导则 地表水环境》（HJ2.3-2018），水污染影响型建设项目根据排放方式和废水排放量划分评价等级，具体见</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_Ref7595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6</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10</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p>
    <w:p>
      <w:pPr>
        <w:widowControl w:val="0"/>
        <w:bidi w:val="0"/>
        <w:spacing w:line="360" w:lineRule="auto"/>
        <w:jc w:val="center"/>
        <w:rPr>
          <w:rFonts w:hint="eastAsia" w:ascii="Times New Roman" w:hAnsi="Times New Roman" w:eastAsia="宋体" w:cs="Times New Roman"/>
          <w:b/>
          <w:kern w:val="2"/>
          <w:sz w:val="21"/>
          <w:szCs w:val="21"/>
          <w:lang w:val="en-US" w:eastAsia="zh-CN" w:bidi="ar-SA"/>
        </w:rPr>
      </w:pPr>
      <w:bookmarkStart w:id="1186" w:name="_Ref7595"/>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6</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10</w:t>
      </w:r>
      <w:r>
        <w:rPr>
          <w:rFonts w:ascii="Times New Roman" w:hAnsi="Times New Roman" w:eastAsia="宋体" w:cs="Times New Roman"/>
          <w:b/>
          <w:kern w:val="2"/>
          <w:sz w:val="21"/>
          <w:szCs w:val="21"/>
          <w:lang w:val="en-US" w:eastAsia="zh-CN" w:bidi="ar-SA"/>
        </w:rPr>
        <w:fldChar w:fldCharType="end"/>
      </w:r>
      <w:bookmarkEnd w:id="1186"/>
      <w:r>
        <w:rPr>
          <w:rFonts w:hint="eastAsia" w:ascii="Times New Roman" w:hAnsi="Times New Roman" w:eastAsia="宋体" w:cs="Times New Roman"/>
          <w:b/>
          <w:kern w:val="2"/>
          <w:sz w:val="21"/>
          <w:szCs w:val="21"/>
          <w:lang w:val="en-US" w:eastAsia="zh-CN" w:bidi="ar-SA"/>
        </w:rPr>
        <w:t>地表水环境影响评价等级判定表</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1816"/>
        <w:gridCol w:w="57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9"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评价等级</w:t>
            </w:r>
          </w:p>
        </w:tc>
        <w:tc>
          <w:tcPr>
            <w:tcW w:w="7529" w:type="dxa"/>
            <w:gridSpan w:val="2"/>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判定依据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9"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1809"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排放方式</w:t>
            </w:r>
          </w:p>
        </w:tc>
        <w:tc>
          <w:tcPr>
            <w:tcW w:w="572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废水排放量Q/（m</w:t>
            </w:r>
            <w:r>
              <w:rPr>
                <w:rFonts w:hint="eastAsia"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/d）；水污染物当量数W/（无量纲）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9"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一级</w:t>
            </w:r>
          </w:p>
        </w:tc>
        <w:tc>
          <w:tcPr>
            <w:tcW w:w="1809"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直接排放</w:t>
            </w:r>
          </w:p>
        </w:tc>
        <w:tc>
          <w:tcPr>
            <w:tcW w:w="572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Q≥200000或W≥600000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9"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二级</w:t>
            </w:r>
          </w:p>
        </w:tc>
        <w:tc>
          <w:tcPr>
            <w:tcW w:w="1809"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直接排放</w:t>
            </w:r>
          </w:p>
        </w:tc>
        <w:tc>
          <w:tcPr>
            <w:tcW w:w="572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9"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三级A</w:t>
            </w:r>
          </w:p>
        </w:tc>
        <w:tc>
          <w:tcPr>
            <w:tcW w:w="1809"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直接排放</w:t>
            </w:r>
          </w:p>
        </w:tc>
        <w:tc>
          <w:tcPr>
            <w:tcW w:w="572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Q &lt;200且W &lt;6000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9"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三级B</w:t>
            </w:r>
          </w:p>
        </w:tc>
        <w:tc>
          <w:tcPr>
            <w:tcW w:w="1809"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间接排放</w:t>
            </w:r>
          </w:p>
        </w:tc>
        <w:tc>
          <w:tcPr>
            <w:tcW w:w="572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r>
    </w:tbl>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本项目建成后，运营期污水总排放量平均为0.16m</w:t>
      </w:r>
      <w:r>
        <w:rPr>
          <w:rFonts w:hint="eastAsia" w:ascii="Times New Roman" w:hAnsi="Times New Roman" w:eastAsia="宋体" w:cs="宋体"/>
          <w:kern w:val="2"/>
          <w:sz w:val="24"/>
          <w:szCs w:val="24"/>
          <w:vertAlign w:val="superscript"/>
          <w:lang w:val="en-US" w:eastAsia="zh-CN" w:bidi="ar-SA"/>
        </w:rPr>
        <w:t>3</w:t>
      </w:r>
      <w:r>
        <w:rPr>
          <w:rFonts w:hint="eastAsia" w:ascii="Times New Roman" w:hAnsi="Times New Roman" w:eastAsia="宋体" w:cs="宋体"/>
          <w:kern w:val="2"/>
          <w:sz w:val="24"/>
          <w:szCs w:val="24"/>
          <w:lang w:val="en-US" w:eastAsia="zh-CN" w:bidi="ar-SA"/>
        </w:rPr>
        <w:t>/d，当中主要污染物为COD</w:t>
      </w:r>
      <w:r>
        <w:rPr>
          <w:rFonts w:hint="eastAsia" w:ascii="Times New Roman" w:hAnsi="Times New Roman" w:eastAsia="宋体" w:cs="宋体"/>
          <w:kern w:val="2"/>
          <w:sz w:val="24"/>
          <w:szCs w:val="24"/>
          <w:vertAlign w:val="subscript"/>
          <w:lang w:val="en-US" w:eastAsia="zh-CN" w:bidi="ar-SA"/>
        </w:rPr>
        <w:t>Cr</w:t>
      </w:r>
      <w:r>
        <w:rPr>
          <w:rFonts w:hint="eastAsia" w:ascii="Times New Roman" w:hAnsi="Times New Roman" w:eastAsia="宋体" w:cs="宋体"/>
          <w:kern w:val="2"/>
          <w:sz w:val="24"/>
          <w:szCs w:val="24"/>
          <w:lang w:val="en-US" w:eastAsia="zh-CN" w:bidi="ar-SA"/>
        </w:rPr>
        <w:t>、SS、NH</w:t>
      </w:r>
      <w:r>
        <w:rPr>
          <w:rFonts w:hint="eastAsia" w:ascii="Times New Roman" w:hAnsi="Times New Roman" w:eastAsia="宋体" w:cs="宋体"/>
          <w:kern w:val="2"/>
          <w:sz w:val="24"/>
          <w:szCs w:val="24"/>
          <w:vertAlign w:val="subscript"/>
          <w:lang w:val="en-US" w:eastAsia="zh-CN" w:bidi="ar-SA"/>
        </w:rPr>
        <w:t>3</w:t>
      </w:r>
      <w:r>
        <w:rPr>
          <w:rFonts w:hint="eastAsia" w:ascii="Times New Roman" w:hAnsi="Times New Roman" w:eastAsia="宋体" w:cs="宋体"/>
          <w:kern w:val="2"/>
          <w:sz w:val="24"/>
          <w:szCs w:val="24"/>
          <w:lang w:val="en-US" w:eastAsia="zh-CN" w:bidi="ar-SA"/>
        </w:rPr>
        <w:t>-N等，生活污水通过园区化粪池处理达到《污水综合排放标准》（GB8978-1996）三级标准后，送至污水处理站进一步处理，尾水经洋沙河流入洋沙湖。本项目废水经处理后水质复杂程度较简单，纳污水体洋沙湖水质功能要求为Ⅳ类。因此本项目地表水评价等级为三级B。</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评价内容主要包括水污染控制和水环境影响措施有效性评价和依托污水处理设施的环境可行性评价，不进行水环境影响预测。</w:t>
      </w:r>
    </w:p>
    <w:p>
      <w:pPr>
        <w:pStyle w:val="5"/>
        <w:bidi w:val="0"/>
        <w:rPr>
          <w:rFonts w:hint="eastAsia"/>
          <w:lang w:val="en-US" w:eastAsia="zh-CN"/>
        </w:rPr>
      </w:pPr>
      <w:bookmarkStart w:id="1187" w:name="_Toc3381"/>
      <w:r>
        <w:rPr>
          <w:rFonts w:hint="eastAsia"/>
          <w:lang w:val="en-US" w:eastAsia="zh-CN"/>
        </w:rPr>
        <w:t>水污染控制和水环境影响减缓措施有效性分析</w:t>
      </w:r>
      <w:bookmarkEnd w:id="1187"/>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由工程分析可得，本项目采用雨污分流制，本项目生活污水总量为42m</w:t>
      </w:r>
      <w:r>
        <w:rPr>
          <w:rFonts w:hint="eastAsia" w:ascii="Times New Roman" w:hAnsi="Times New Roman" w:eastAsia="宋体" w:cs="宋体"/>
          <w:kern w:val="2"/>
          <w:sz w:val="24"/>
          <w:szCs w:val="24"/>
          <w:vertAlign w:val="superscript"/>
          <w:lang w:val="en-US" w:eastAsia="zh-CN" w:bidi="ar-SA"/>
        </w:rPr>
        <w:t>3</w:t>
      </w:r>
      <w:r>
        <w:rPr>
          <w:rFonts w:hint="eastAsia" w:ascii="Times New Roman" w:hAnsi="Times New Roman" w:eastAsia="宋体" w:cs="宋体"/>
          <w:kern w:val="2"/>
          <w:sz w:val="24"/>
          <w:szCs w:val="24"/>
          <w:lang w:val="en-US" w:eastAsia="zh-CN" w:bidi="ar-SA"/>
        </w:rPr>
        <w:t>/a，主要污染因子为CODcr、SS和NH</w:t>
      </w:r>
      <w:r>
        <w:rPr>
          <w:rFonts w:hint="eastAsia" w:ascii="Times New Roman" w:hAnsi="Times New Roman" w:eastAsia="宋体" w:cs="宋体"/>
          <w:kern w:val="2"/>
          <w:sz w:val="24"/>
          <w:szCs w:val="24"/>
          <w:vertAlign w:val="subscript"/>
          <w:lang w:val="en-US" w:eastAsia="zh-CN" w:bidi="ar-SA"/>
        </w:rPr>
        <w:t>3</w:t>
      </w:r>
      <w:r>
        <w:rPr>
          <w:rFonts w:hint="eastAsia" w:ascii="Times New Roman" w:hAnsi="Times New Roman" w:eastAsia="宋体" w:cs="宋体"/>
          <w:kern w:val="2"/>
          <w:sz w:val="24"/>
          <w:szCs w:val="24"/>
          <w:lang w:val="en-US" w:eastAsia="zh-CN" w:bidi="ar-SA"/>
        </w:rPr>
        <w:t>-N等。</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本项目生活污水中粪便废水经园区化粪池预处理后达到《污水综合排放标准》（GB8978-1996）三级标准后经园区专用废水排水管道排入卓达金谷创业园污水处理站处理达标后排入洋沙湖，对地表水环境影响可接受。</w:t>
      </w:r>
    </w:p>
    <w:p>
      <w:pPr>
        <w:pStyle w:val="5"/>
        <w:bidi w:val="0"/>
        <w:rPr>
          <w:rFonts w:hint="eastAsia"/>
          <w:lang w:val="en-US" w:eastAsia="zh-CN"/>
        </w:rPr>
      </w:pPr>
      <w:bookmarkStart w:id="1188" w:name="_Toc2896"/>
      <w:r>
        <w:rPr>
          <w:rFonts w:hint="eastAsia"/>
          <w:lang w:val="en-US" w:eastAsia="zh-CN"/>
        </w:rPr>
        <w:t>废水进入污水处理站的可行性</w:t>
      </w:r>
      <w:bookmarkEnd w:id="1188"/>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卓达金谷创业园污水处理站位于燎原水库大坝西侧900m、污水处理站出水排入北侧150m的洋沙河</w:t>
      </w:r>
      <w:r>
        <w:rPr>
          <w:rFonts w:hint="eastAsia" w:cs="宋体"/>
          <w:kern w:val="2"/>
          <w:sz w:val="24"/>
          <w:szCs w:val="24"/>
          <w:lang w:val="en-US" w:eastAsia="zh-CN" w:bidi="ar-SA"/>
        </w:rPr>
        <w:t>。</w:t>
      </w:r>
      <w:r>
        <w:rPr>
          <w:rFonts w:hint="eastAsia" w:ascii="Times New Roman" w:hAnsi="Times New Roman" w:eastAsia="宋体" w:cs="宋体"/>
          <w:kern w:val="2"/>
          <w:sz w:val="24"/>
          <w:szCs w:val="24"/>
          <w:u w:val="single"/>
          <w:lang w:val="en-US" w:eastAsia="zh-CN" w:bidi="ar-SA"/>
        </w:rPr>
        <w:t>污水处理站由湖南卓达置业有限公司于2018年9月下旬动工建设，2019年4月中旬竣工，占地面积为1156.6平方米，总投资800万元左右。设计处理卓达金谷创业园产生的食品、洗涤工业污水及生活污水，处理量为1500/d。污水站设计进水水质为《污水综合排放标准》(GB8978-1996)中三级排放标准，出水水质达到《城镇污水处理厂污染物排放标准》(GB18918-2002)中一级A标准。</w:t>
      </w:r>
      <w:r>
        <w:rPr>
          <w:rFonts w:hint="eastAsia" w:ascii="Times New Roman" w:hAnsi="Times New Roman" w:eastAsia="宋体" w:cs="宋体"/>
          <w:kern w:val="2"/>
          <w:sz w:val="24"/>
          <w:szCs w:val="24"/>
          <w:lang w:val="en-US" w:eastAsia="zh-CN" w:bidi="ar-SA"/>
        </w:rPr>
        <w:t>污水处理主要工艺为：污水收集——预处理——生化处理——生物过滤——物化处理——过滤——消毒——达标排放。</w:t>
      </w:r>
    </w:p>
    <w:p>
      <w:pPr>
        <w:widowControl w:val="0"/>
        <w:bidi w:val="0"/>
        <w:spacing w:line="360" w:lineRule="auto"/>
        <w:ind w:firstLine="480" w:firstLineChars="200"/>
        <w:jc w:val="left"/>
        <w:rPr>
          <w:rFonts w:hint="eastAsia" w:cs="宋体"/>
          <w:kern w:val="2"/>
          <w:sz w:val="24"/>
          <w:szCs w:val="24"/>
          <w:lang w:val="en-US" w:eastAsia="zh-CN" w:bidi="ar-SA"/>
        </w:rPr>
      </w:pPr>
      <w:r>
        <w:rPr>
          <w:rFonts w:hint="eastAsia" w:ascii="Times New Roman" w:hAnsi="Times New Roman" w:eastAsia="宋体" w:cs="宋体"/>
          <w:kern w:val="2"/>
          <w:sz w:val="24"/>
          <w:szCs w:val="24"/>
          <w:u w:val="single"/>
          <w:lang w:val="en-US" w:eastAsia="zh-CN" w:bidi="ar-SA"/>
        </w:rPr>
        <w:t>目前，该污水处理站已正式运行，出水达标，设备运行正常，污水处理站当前接纳废水量约占处理能力的60%</w:t>
      </w:r>
      <w:r>
        <w:rPr>
          <w:rFonts w:hint="eastAsia" w:cs="宋体"/>
          <w:kern w:val="2"/>
          <w:sz w:val="24"/>
          <w:szCs w:val="24"/>
          <w:u w:val="single"/>
          <w:lang w:val="en-US" w:eastAsia="zh-CN" w:bidi="ar-SA"/>
        </w:rPr>
        <w:t>，主要工艺流程见图 6-1。</w:t>
      </w:r>
    </w:p>
    <w:p>
      <w:pPr>
        <w:widowControl w:val="0"/>
        <w:bidi w:val="0"/>
        <w:spacing w:line="360" w:lineRule="auto"/>
        <w:ind w:firstLine="480" w:firstLineChars="200"/>
        <w:jc w:val="left"/>
        <w:rPr>
          <w:rFonts w:hint="eastAsia" w:ascii="Times New Roman" w:hAnsi="Times New Roman" w:eastAsia="宋体" w:cs="宋体"/>
          <w:kern w:val="2"/>
          <w:sz w:val="24"/>
          <w:szCs w:val="24"/>
          <w:u w:val="none"/>
          <w:lang w:val="zh-CN" w:eastAsia="zh-CN" w:bidi="ar-SA"/>
        </w:rPr>
      </w:pPr>
      <w:r>
        <w:rPr>
          <w:rFonts w:hint="eastAsia" w:ascii="Times New Roman" w:hAnsi="Times New Roman" w:eastAsia="宋体" w:cs="宋体"/>
          <w:kern w:val="2"/>
          <w:sz w:val="24"/>
          <w:szCs w:val="24"/>
          <w:u w:val="none"/>
          <w:lang w:val="en-US" w:eastAsia="zh-CN" w:bidi="ar-SA"/>
        </w:rPr>
        <w:t>本项目的废水处理符合</w:t>
      </w:r>
      <w:r>
        <w:rPr>
          <w:rFonts w:hint="eastAsia" w:ascii="Times New Roman" w:hAnsi="Times New Roman" w:eastAsia="宋体" w:cs="宋体"/>
          <w:kern w:val="2"/>
          <w:sz w:val="24"/>
          <w:szCs w:val="24"/>
          <w:u w:val="none"/>
          <w:lang w:val="zh-CN" w:eastAsia="zh-CN" w:bidi="ar-SA"/>
        </w:rPr>
        <w:t>污水处理站的纳污范围及污染物种类，污水处理站有足够的富余容量，园区专用废水排水管道已铺设至创业园污水处理站</w:t>
      </w:r>
      <w:r>
        <w:rPr>
          <w:rFonts w:hint="eastAsia" w:ascii="Times New Roman" w:hAnsi="Times New Roman" w:eastAsia="宋体" w:cs="宋体"/>
          <w:kern w:val="2"/>
          <w:sz w:val="24"/>
          <w:szCs w:val="24"/>
          <w:u w:val="none"/>
          <w:lang w:val="en-US" w:eastAsia="zh-CN" w:bidi="ar-SA"/>
        </w:rPr>
        <w:t>。聚特项目生活污水经化粪池处理后出水满足</w:t>
      </w:r>
      <w:r>
        <w:rPr>
          <w:rFonts w:hint="eastAsia" w:ascii="Times New Roman" w:hAnsi="Times New Roman" w:eastAsia="宋体" w:cs="宋体"/>
          <w:kern w:val="2"/>
          <w:sz w:val="24"/>
          <w:szCs w:val="24"/>
          <w:u w:val="none"/>
          <w:lang w:val="zh-CN" w:eastAsia="zh-CN" w:bidi="ar-SA"/>
        </w:rPr>
        <w:t>《污水综合排放标准》</w:t>
      </w:r>
      <w:r>
        <w:rPr>
          <w:rFonts w:hint="eastAsia" w:ascii="Times New Roman" w:hAnsi="Times New Roman" w:eastAsia="宋体" w:cs="宋体"/>
          <w:kern w:val="2"/>
          <w:sz w:val="24"/>
          <w:szCs w:val="24"/>
          <w:u w:val="none"/>
          <w:lang w:val="en-US" w:eastAsia="en-US" w:bidi="ar-SA"/>
        </w:rPr>
        <w:t>(GB</w:t>
      </w:r>
      <w:r>
        <w:rPr>
          <w:rFonts w:hint="eastAsia" w:ascii="Times New Roman" w:hAnsi="Times New Roman" w:eastAsia="宋体" w:cs="宋体"/>
          <w:kern w:val="2"/>
          <w:sz w:val="24"/>
          <w:szCs w:val="24"/>
          <w:u w:val="none"/>
          <w:lang w:val="en-US" w:eastAsia="zh-CN" w:bidi="ar-SA"/>
        </w:rPr>
        <w:t>8978</w:t>
      </w:r>
      <w:r>
        <w:rPr>
          <w:rFonts w:hint="eastAsia" w:ascii="Times New Roman" w:hAnsi="Times New Roman" w:eastAsia="宋体" w:cs="宋体"/>
          <w:kern w:val="2"/>
          <w:sz w:val="24"/>
          <w:szCs w:val="24"/>
          <w:u w:val="none"/>
          <w:lang w:val="en-US" w:eastAsia="en-US" w:bidi="ar-SA"/>
        </w:rPr>
        <w:t>-1996)</w:t>
      </w:r>
      <w:r>
        <w:rPr>
          <w:rFonts w:hint="eastAsia" w:ascii="Times New Roman" w:hAnsi="Times New Roman" w:eastAsia="宋体" w:cs="宋体"/>
          <w:kern w:val="2"/>
          <w:sz w:val="24"/>
          <w:szCs w:val="24"/>
          <w:u w:val="none"/>
          <w:lang w:val="zh-CN" w:eastAsia="zh-CN" w:bidi="ar-SA"/>
        </w:rPr>
        <w:t>表4中三级标准要求。</w:t>
      </w:r>
    </w:p>
    <w:p>
      <w:pPr>
        <w:pStyle w:val="27"/>
        <w:bidi w:val="0"/>
        <w:rPr>
          <w:rFonts w:hint="default"/>
          <w:u w:val="single"/>
          <w:lang w:val="en-US" w:eastAsia="zh-CN"/>
        </w:rPr>
      </w:pPr>
      <w:r>
        <w:rPr>
          <w:rFonts w:hint="eastAsia" w:ascii="Times New Roman" w:hAnsi="Times New Roman" w:eastAsia="宋体" w:cs="宋体"/>
          <w:kern w:val="2"/>
          <w:sz w:val="24"/>
          <w:szCs w:val="24"/>
          <w:u w:val="none"/>
          <w:lang w:val="en-US" w:eastAsia="zh-CN" w:bidi="ar-SA"/>
        </w:rPr>
        <w:drawing>
          <wp:anchor distT="0" distB="0" distL="114300" distR="114300" simplePos="0" relativeHeight="1338293248" behindDoc="0" locked="0" layoutInCell="1" allowOverlap="1">
            <wp:simplePos x="0" y="0"/>
            <wp:positionH relativeFrom="column">
              <wp:posOffset>523240</wp:posOffset>
            </wp:positionH>
            <wp:positionV relativeFrom="paragraph">
              <wp:posOffset>45085</wp:posOffset>
            </wp:positionV>
            <wp:extent cx="4716145" cy="2339975"/>
            <wp:effectExtent l="0" t="0" r="8255" b="3175"/>
            <wp:wrapTopAndBottom/>
            <wp:docPr id="44" name="图片 44" descr="1b876727e4024fd87db1c01ef1fa6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b876727e4024fd87db1c01ef1fa61b"/>
                    <pic:cNvPicPr>
                      <a:picLocks noChangeAspect="1"/>
                    </pic:cNvPicPr>
                  </pic:nvPicPr>
                  <pic:blipFill>
                    <a:blip r:embed="rId32"/>
                    <a:stretch>
                      <a:fillRect/>
                    </a:stretch>
                  </pic:blipFill>
                  <pic:spPr>
                    <a:xfrm>
                      <a:off x="0" y="0"/>
                      <a:ext cx="4716145" cy="2339975"/>
                    </a:xfrm>
                    <a:prstGeom prst="rect">
                      <a:avLst/>
                    </a:prstGeom>
                  </pic:spPr>
                </pic:pic>
              </a:graphicData>
            </a:graphic>
          </wp:anchor>
        </w:drawing>
      </w:r>
      <w:r>
        <w:rPr>
          <w:rFonts w:hint="eastAsia"/>
          <w:u w:val="single"/>
          <w:lang w:val="en-US" w:eastAsia="zh-CN"/>
        </w:rPr>
        <w:t>图 6-1卓达金谷创业园污水处理站工艺流程图</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综上，项目水污染控制和水环境影响减缓措施有效，项目废水进入创业园污水处理站进行深度处理措施可行。</w:t>
      </w:r>
    </w:p>
    <w:p>
      <w:pPr>
        <w:pStyle w:val="5"/>
        <w:bidi w:val="0"/>
        <w:rPr>
          <w:rFonts w:hint="eastAsia"/>
          <w:lang w:val="en-US" w:eastAsia="zh-CN"/>
        </w:rPr>
      </w:pPr>
      <w:bookmarkStart w:id="1189" w:name="_Toc21868"/>
      <w:r>
        <w:rPr>
          <w:rFonts w:hint="eastAsia"/>
          <w:lang w:val="en-US" w:eastAsia="zh-CN"/>
        </w:rPr>
        <w:t>地表水环境影响评价结论</w:t>
      </w:r>
      <w:bookmarkEnd w:id="1189"/>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（1）地表水环境影响结论</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根据前文分析，项目水污染控制和水环境影响减缓措施有效，且项目废水进入卓达金谷创业园污水处理站可行，项目对地表水环境影响可接受。</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（2）污染源排放量核算</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 1 \* GB3 \* MERGEFORMAT </w:instrText>
      </w:r>
      <w:r>
        <w:rPr>
          <w:rFonts w:hint="eastAsia" w:ascii="Times New Roman" w:hAnsi="Times New Roman" w:eastAsia="宋体" w:cs="宋体"/>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①</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废水类别、污染物及污染治理设施信息、项目废水类别、污染物及污染治理设施信息见</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_Ref14125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6</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w:t>
      </w:r>
      <w:r>
        <w:rPr>
          <w:rFonts w:hint="eastAsia" w:ascii="Times New Roman" w:hAnsi="Times New Roman" w:eastAsia="宋体" w:cs="宋体"/>
          <w:kern w:val="2"/>
          <w:sz w:val="24"/>
          <w:szCs w:val="24"/>
          <w:lang w:val="en-US" w:eastAsia="zh-CN" w:bidi="ar-SA"/>
        </w:rPr>
        <w:t>1</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p>
    <w:p>
      <w:pPr>
        <w:widowControl w:val="0"/>
        <w:bidi w:val="0"/>
        <w:spacing w:line="360" w:lineRule="auto"/>
        <w:jc w:val="center"/>
        <w:rPr>
          <w:rFonts w:hint="eastAsia"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6</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11</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废水类别、污染物及污染治理设施信息表</w:t>
      </w:r>
    </w:p>
    <w:tbl>
      <w:tblPr>
        <w:tblStyle w:val="23"/>
        <w:tblW w:w="533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9"/>
        <w:gridCol w:w="1125"/>
        <w:gridCol w:w="1020"/>
        <w:gridCol w:w="776"/>
        <w:gridCol w:w="1054"/>
        <w:gridCol w:w="990"/>
        <w:gridCol w:w="963"/>
        <w:gridCol w:w="1032"/>
        <w:gridCol w:w="990"/>
        <w:gridCol w:w="8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9"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废水类别</w:t>
            </w:r>
          </w:p>
        </w:tc>
        <w:tc>
          <w:tcPr>
            <w:tcW w:w="1125"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污染物种类</w:t>
            </w:r>
          </w:p>
        </w:tc>
        <w:tc>
          <w:tcPr>
            <w:tcW w:w="1020"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排放去向</w:t>
            </w:r>
          </w:p>
        </w:tc>
        <w:tc>
          <w:tcPr>
            <w:tcW w:w="776"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排放规律</w:t>
            </w:r>
          </w:p>
        </w:tc>
        <w:tc>
          <w:tcPr>
            <w:tcW w:w="3007" w:type="dxa"/>
            <w:gridSpan w:val="3"/>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污染治理设施</w:t>
            </w:r>
          </w:p>
        </w:tc>
        <w:tc>
          <w:tcPr>
            <w:tcW w:w="1032"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排放口编号</w:t>
            </w:r>
          </w:p>
        </w:tc>
        <w:tc>
          <w:tcPr>
            <w:tcW w:w="990"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排放口设置是否符合要求</w:t>
            </w:r>
          </w:p>
        </w:tc>
        <w:tc>
          <w:tcPr>
            <w:tcW w:w="860"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789"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1125"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1020"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776"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105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污染治理设施编号</w:t>
            </w:r>
          </w:p>
        </w:tc>
        <w:tc>
          <w:tcPr>
            <w:tcW w:w="99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污染治理设施名称</w:t>
            </w:r>
          </w:p>
        </w:tc>
        <w:tc>
          <w:tcPr>
            <w:tcW w:w="963"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污染治理设施工艺</w:t>
            </w:r>
          </w:p>
        </w:tc>
        <w:tc>
          <w:tcPr>
            <w:tcW w:w="1032"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90"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860"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789"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生活</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污水</w:t>
            </w:r>
          </w:p>
        </w:tc>
        <w:tc>
          <w:tcPr>
            <w:tcW w:w="112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COD、NH</w:t>
            </w:r>
            <w:r>
              <w:rPr>
                <w:rFonts w:hint="eastAsia" w:ascii="Times New Roman" w:hAnsi="Times New Roman" w:eastAsia="宋体" w:cs="Times New Roman"/>
                <w:kern w:val="2"/>
                <w:sz w:val="24"/>
                <w:szCs w:val="24"/>
                <w:vertAlign w:val="subscript"/>
                <w:lang w:val="en-US" w:eastAsia="zh-CN" w:bidi="ar-SA"/>
              </w:rPr>
              <w:t>3</w:t>
            </w:r>
            <w:r>
              <w:rPr>
                <w:rFonts w:hint="eastAsia" w:ascii="Times New Roman" w:hAnsi="Times New Roman" w:eastAsia="宋体" w:cs="Times New Roman"/>
                <w:kern w:val="2"/>
                <w:sz w:val="24"/>
                <w:szCs w:val="24"/>
                <w:lang w:val="en-US" w:eastAsia="zh-CN" w:bidi="ar-SA"/>
              </w:rPr>
              <w:t>-N、SS</w:t>
            </w:r>
          </w:p>
        </w:tc>
        <w:tc>
          <w:tcPr>
            <w:tcW w:w="102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创业园污水处理站</w:t>
            </w:r>
          </w:p>
        </w:tc>
        <w:tc>
          <w:tcPr>
            <w:tcW w:w="776"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间断</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排放</w:t>
            </w:r>
          </w:p>
        </w:tc>
        <w:tc>
          <w:tcPr>
            <w:tcW w:w="105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TW001</w:t>
            </w:r>
          </w:p>
        </w:tc>
        <w:tc>
          <w:tcPr>
            <w:tcW w:w="99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生活污水处理系统</w:t>
            </w:r>
          </w:p>
        </w:tc>
        <w:tc>
          <w:tcPr>
            <w:tcW w:w="963"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厌氧（化粪池）</w:t>
            </w:r>
          </w:p>
        </w:tc>
        <w:tc>
          <w:tcPr>
            <w:tcW w:w="1032"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DW001</w:t>
            </w:r>
          </w:p>
        </w:tc>
        <w:tc>
          <w:tcPr>
            <w:tcW w:w="99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符合</w:t>
            </w:r>
          </w:p>
        </w:tc>
        <w:tc>
          <w:tcPr>
            <w:tcW w:w="86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企业总排口</w:t>
            </w:r>
          </w:p>
        </w:tc>
      </w:tr>
    </w:tbl>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 2 \* GB3 \* MERGEFORMAT </w:instrText>
      </w:r>
      <w:r>
        <w:rPr>
          <w:rFonts w:hint="eastAsia" w:ascii="Times New Roman" w:hAnsi="Times New Roman" w:eastAsia="宋体" w:cs="宋体"/>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②</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废水间接排放口基本信息见</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_Ref14184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6</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w:t>
      </w:r>
      <w:r>
        <w:rPr>
          <w:rFonts w:hint="eastAsia" w:ascii="Times New Roman" w:hAnsi="Times New Roman" w:eastAsia="宋体" w:cs="宋体"/>
          <w:kern w:val="2"/>
          <w:sz w:val="24"/>
          <w:szCs w:val="24"/>
          <w:lang w:val="en-US" w:eastAsia="zh-CN" w:bidi="ar-SA"/>
        </w:rPr>
        <w:t>2</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p>
    <w:p>
      <w:pPr>
        <w:widowControl w:val="0"/>
        <w:bidi w:val="0"/>
        <w:spacing w:line="360" w:lineRule="auto"/>
        <w:jc w:val="center"/>
        <w:rPr>
          <w:rFonts w:hint="eastAsia" w:ascii="Times New Roman" w:hAnsi="Times New Roman" w:eastAsia="宋体" w:cs="Times New Roman"/>
          <w:b/>
          <w:kern w:val="2"/>
          <w:sz w:val="21"/>
          <w:szCs w:val="21"/>
          <w:lang w:val="en-US" w:eastAsia="zh-CN" w:bidi="ar-SA"/>
        </w:rPr>
      </w:pPr>
      <w:bookmarkStart w:id="1190" w:name="_Ref14184"/>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6</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12</w:t>
      </w:r>
      <w:r>
        <w:rPr>
          <w:rFonts w:ascii="Times New Roman" w:hAnsi="Times New Roman" w:eastAsia="宋体" w:cs="Times New Roman"/>
          <w:b/>
          <w:kern w:val="2"/>
          <w:sz w:val="21"/>
          <w:szCs w:val="21"/>
          <w:lang w:val="en-US" w:eastAsia="zh-CN" w:bidi="ar-SA"/>
        </w:rPr>
        <w:fldChar w:fldCharType="end"/>
      </w:r>
      <w:bookmarkEnd w:id="1190"/>
      <w:r>
        <w:rPr>
          <w:rFonts w:hint="eastAsia" w:ascii="Times New Roman" w:hAnsi="Times New Roman" w:eastAsia="宋体" w:cs="Times New Roman"/>
          <w:b/>
          <w:kern w:val="2"/>
          <w:sz w:val="21"/>
          <w:szCs w:val="21"/>
          <w:lang w:val="en-US" w:eastAsia="zh-CN" w:bidi="ar-SA"/>
        </w:rPr>
        <w:t>废水间接排放口基本信息表</w:t>
      </w:r>
    </w:p>
    <w:tbl>
      <w:tblPr>
        <w:tblStyle w:val="23"/>
        <w:tblW w:w="513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915"/>
        <w:gridCol w:w="960"/>
        <w:gridCol w:w="923"/>
        <w:gridCol w:w="967"/>
        <w:gridCol w:w="610"/>
        <w:gridCol w:w="440"/>
        <w:gridCol w:w="570"/>
        <w:gridCol w:w="1031"/>
        <w:gridCol w:w="18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0"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排放口编号</w:t>
            </w:r>
          </w:p>
        </w:tc>
        <w:tc>
          <w:tcPr>
            <w:tcW w:w="1875" w:type="dxa"/>
            <w:gridSpan w:val="2"/>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排放口地理</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坐标</w:t>
            </w:r>
          </w:p>
        </w:tc>
        <w:tc>
          <w:tcPr>
            <w:tcW w:w="923"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废水排放量（t/a）</w:t>
            </w:r>
          </w:p>
        </w:tc>
        <w:tc>
          <w:tcPr>
            <w:tcW w:w="967"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排放去向</w:t>
            </w:r>
          </w:p>
        </w:tc>
        <w:tc>
          <w:tcPr>
            <w:tcW w:w="610"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排放规律</w:t>
            </w:r>
          </w:p>
        </w:tc>
        <w:tc>
          <w:tcPr>
            <w:tcW w:w="440"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间接排放时段</w:t>
            </w:r>
          </w:p>
        </w:tc>
        <w:tc>
          <w:tcPr>
            <w:tcW w:w="3416" w:type="dxa"/>
            <w:gridSpan w:val="3"/>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收纳污水处理厂信息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0"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1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经度</w:t>
            </w:r>
          </w:p>
        </w:tc>
        <w:tc>
          <w:tcPr>
            <w:tcW w:w="96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纬度</w:t>
            </w:r>
          </w:p>
        </w:tc>
        <w:tc>
          <w:tcPr>
            <w:tcW w:w="923"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67"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610"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440"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57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名称</w:t>
            </w:r>
          </w:p>
        </w:tc>
        <w:tc>
          <w:tcPr>
            <w:tcW w:w="1031"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污染物种类</w:t>
            </w:r>
          </w:p>
        </w:tc>
        <w:tc>
          <w:tcPr>
            <w:tcW w:w="181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《城镇污水处理厂污染物排放标准》(GB18918—2002)一级（mg/L）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0"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DW001</w:t>
            </w:r>
          </w:p>
        </w:tc>
        <w:tc>
          <w:tcPr>
            <w:tcW w:w="915"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112°55'45"</w:t>
            </w:r>
          </w:p>
        </w:tc>
        <w:tc>
          <w:tcPr>
            <w:tcW w:w="960"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28°32'3"</w:t>
            </w:r>
          </w:p>
        </w:tc>
        <w:tc>
          <w:tcPr>
            <w:tcW w:w="923"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42</w:t>
            </w:r>
          </w:p>
        </w:tc>
        <w:tc>
          <w:tcPr>
            <w:tcW w:w="967"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卓达金谷创业园污水处理站</w:t>
            </w:r>
          </w:p>
        </w:tc>
        <w:tc>
          <w:tcPr>
            <w:tcW w:w="610"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间断</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排放</w:t>
            </w:r>
          </w:p>
        </w:tc>
        <w:tc>
          <w:tcPr>
            <w:tcW w:w="440"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全天</w:t>
            </w:r>
          </w:p>
        </w:tc>
        <w:tc>
          <w:tcPr>
            <w:tcW w:w="570"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污水处理站</w:t>
            </w:r>
          </w:p>
        </w:tc>
        <w:tc>
          <w:tcPr>
            <w:tcW w:w="1031"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COD</w:t>
            </w:r>
          </w:p>
        </w:tc>
        <w:tc>
          <w:tcPr>
            <w:tcW w:w="181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0"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15"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60"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23"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67"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610"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440"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570"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1031"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SS</w:t>
            </w:r>
          </w:p>
        </w:tc>
        <w:tc>
          <w:tcPr>
            <w:tcW w:w="181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20"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15"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60"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23"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967"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610"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440"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570"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1031"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NH</w:t>
            </w:r>
            <w:r>
              <w:rPr>
                <w:rFonts w:hint="eastAsia" w:ascii="Times New Roman" w:hAnsi="Times New Roman" w:eastAsia="宋体" w:cs="Times New Roman"/>
                <w:kern w:val="2"/>
                <w:sz w:val="24"/>
                <w:szCs w:val="24"/>
                <w:vertAlign w:val="subscript"/>
                <w:lang w:val="en-US" w:eastAsia="zh-CN" w:bidi="ar-SA"/>
              </w:rPr>
              <w:t>3</w:t>
            </w:r>
            <w:r>
              <w:rPr>
                <w:rFonts w:hint="eastAsia" w:ascii="Times New Roman" w:hAnsi="Times New Roman" w:eastAsia="宋体" w:cs="Times New Roman"/>
                <w:kern w:val="2"/>
                <w:sz w:val="24"/>
                <w:szCs w:val="24"/>
                <w:lang w:val="en-US" w:eastAsia="zh-CN" w:bidi="ar-SA"/>
              </w:rPr>
              <w:t>-N</w:t>
            </w:r>
          </w:p>
        </w:tc>
        <w:tc>
          <w:tcPr>
            <w:tcW w:w="181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5（8）</w:t>
            </w:r>
          </w:p>
        </w:tc>
      </w:tr>
    </w:tbl>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 3 \* GB3 \* MERGEFORMAT </w:instrText>
      </w:r>
      <w:r>
        <w:rPr>
          <w:rFonts w:hint="eastAsia" w:ascii="Times New Roman" w:hAnsi="Times New Roman" w:eastAsia="宋体" w:cs="宋体"/>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③</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项目废水污染物排放标准见</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_Ref19490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6</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w:t>
      </w:r>
      <w:r>
        <w:rPr>
          <w:rFonts w:hint="eastAsia" w:ascii="Times New Roman" w:hAnsi="Times New Roman" w:eastAsia="宋体" w:cs="宋体"/>
          <w:kern w:val="2"/>
          <w:sz w:val="24"/>
          <w:szCs w:val="24"/>
          <w:lang w:val="en-US" w:eastAsia="zh-CN" w:bidi="ar-SA"/>
        </w:rPr>
        <w:t>3</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p>
    <w:p>
      <w:pPr>
        <w:pStyle w:val="25"/>
        <w:bidi w:val="0"/>
        <w:rPr>
          <w:lang w:val="en-US" w:eastAsia="zh-CN"/>
        </w:rPr>
      </w:pPr>
      <w:bookmarkStart w:id="1191" w:name="_Ref19490"/>
    </w:p>
    <w:p>
      <w:pPr>
        <w:widowControl w:val="0"/>
        <w:bidi w:val="0"/>
        <w:spacing w:line="360" w:lineRule="auto"/>
        <w:jc w:val="center"/>
        <w:rPr>
          <w:rFonts w:hint="eastAsia"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6</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13</w:t>
      </w:r>
      <w:r>
        <w:rPr>
          <w:rFonts w:ascii="Times New Roman" w:hAnsi="Times New Roman" w:eastAsia="宋体" w:cs="Times New Roman"/>
          <w:b/>
          <w:kern w:val="2"/>
          <w:sz w:val="21"/>
          <w:szCs w:val="21"/>
          <w:lang w:val="en-US" w:eastAsia="zh-CN" w:bidi="ar-SA"/>
        </w:rPr>
        <w:fldChar w:fldCharType="end"/>
      </w:r>
      <w:bookmarkEnd w:id="1191"/>
      <w:r>
        <w:rPr>
          <w:rFonts w:hint="eastAsia" w:ascii="Times New Roman" w:hAnsi="Times New Roman" w:eastAsia="宋体" w:cs="Times New Roman"/>
          <w:b/>
          <w:kern w:val="2"/>
          <w:sz w:val="21"/>
          <w:szCs w:val="21"/>
          <w:lang w:val="en-US" w:eastAsia="zh-CN" w:bidi="ar-SA"/>
        </w:rPr>
        <w:t>废水污染物排放执行标准</w:t>
      </w:r>
    </w:p>
    <w:tbl>
      <w:tblPr>
        <w:tblStyle w:val="23"/>
        <w:tblW w:w="471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2379"/>
        <w:gridCol w:w="2131"/>
        <w:gridCol w:w="23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3"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排放口编号</w:t>
            </w:r>
          </w:p>
        </w:tc>
        <w:tc>
          <w:tcPr>
            <w:tcW w:w="2379"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污染物种类</w:t>
            </w:r>
          </w:p>
        </w:tc>
        <w:tc>
          <w:tcPr>
            <w:tcW w:w="4501" w:type="dxa"/>
            <w:gridSpan w:val="2"/>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《污水综合排放标准》(GB8978-1996)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13"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2379"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2131"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名称</w:t>
            </w:r>
          </w:p>
        </w:tc>
        <w:tc>
          <w:tcPr>
            <w:tcW w:w="237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浓度限值（mg/L）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DW001</w:t>
            </w:r>
          </w:p>
        </w:tc>
        <w:tc>
          <w:tcPr>
            <w:tcW w:w="2379"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COD</w:t>
            </w:r>
          </w:p>
        </w:tc>
        <w:tc>
          <w:tcPr>
            <w:tcW w:w="2131"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三级标准</w:t>
            </w:r>
          </w:p>
        </w:tc>
        <w:tc>
          <w:tcPr>
            <w:tcW w:w="237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2379"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SS</w:t>
            </w:r>
          </w:p>
        </w:tc>
        <w:tc>
          <w:tcPr>
            <w:tcW w:w="2131"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237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3"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2379"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NH</w:t>
            </w:r>
            <w:r>
              <w:rPr>
                <w:rFonts w:hint="eastAsia" w:ascii="Times New Roman" w:hAnsi="Times New Roman" w:eastAsia="宋体" w:cs="Times New Roman"/>
                <w:kern w:val="2"/>
                <w:sz w:val="24"/>
                <w:szCs w:val="24"/>
                <w:vertAlign w:val="subscript"/>
                <w:lang w:val="en-US" w:eastAsia="zh-CN" w:bidi="ar-SA"/>
              </w:rPr>
              <w:t>3</w:t>
            </w:r>
            <w:r>
              <w:rPr>
                <w:rFonts w:hint="eastAsia" w:ascii="Times New Roman" w:hAnsi="Times New Roman" w:eastAsia="宋体" w:cs="Times New Roman"/>
                <w:kern w:val="2"/>
                <w:sz w:val="24"/>
                <w:szCs w:val="24"/>
                <w:lang w:val="en-US" w:eastAsia="zh-CN" w:bidi="ar-SA"/>
              </w:rPr>
              <w:t>-N</w:t>
            </w:r>
          </w:p>
        </w:tc>
        <w:tc>
          <w:tcPr>
            <w:tcW w:w="2131"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237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r>
    </w:tbl>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 4 \* GB3 \* MERGEFORMAT </w:instrText>
      </w:r>
      <w:r>
        <w:rPr>
          <w:rFonts w:hint="eastAsia" w:ascii="Times New Roman" w:hAnsi="Times New Roman" w:eastAsia="宋体" w:cs="宋体"/>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④</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废水污染物排放情况见</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_Ref19562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6</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w:t>
      </w:r>
      <w:r>
        <w:rPr>
          <w:rFonts w:hint="eastAsia" w:ascii="Times New Roman" w:hAnsi="Times New Roman" w:eastAsia="宋体" w:cs="宋体"/>
          <w:kern w:val="2"/>
          <w:sz w:val="24"/>
          <w:szCs w:val="24"/>
          <w:lang w:val="en-US" w:eastAsia="zh-CN" w:bidi="ar-SA"/>
        </w:rPr>
        <w:t>4</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p>
    <w:p>
      <w:pPr>
        <w:widowControl w:val="0"/>
        <w:bidi w:val="0"/>
        <w:spacing w:line="360" w:lineRule="auto"/>
        <w:jc w:val="center"/>
        <w:rPr>
          <w:rFonts w:hint="eastAsia" w:ascii="Times New Roman" w:hAnsi="Times New Roman" w:eastAsia="宋体" w:cs="Times New Roman"/>
          <w:b/>
          <w:kern w:val="2"/>
          <w:sz w:val="21"/>
          <w:szCs w:val="21"/>
          <w:lang w:val="en-US" w:eastAsia="zh-CN" w:bidi="ar-SA"/>
        </w:rPr>
      </w:pPr>
      <w:bookmarkStart w:id="1192" w:name="_Ref19562"/>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6</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14</w:t>
      </w:r>
      <w:r>
        <w:rPr>
          <w:rFonts w:ascii="Times New Roman" w:hAnsi="Times New Roman" w:eastAsia="宋体" w:cs="Times New Roman"/>
          <w:b/>
          <w:kern w:val="2"/>
          <w:sz w:val="21"/>
          <w:szCs w:val="21"/>
          <w:lang w:val="en-US" w:eastAsia="zh-CN" w:bidi="ar-SA"/>
        </w:rPr>
        <w:fldChar w:fldCharType="end"/>
      </w:r>
      <w:bookmarkEnd w:id="1192"/>
      <w:r>
        <w:rPr>
          <w:rFonts w:hint="eastAsia" w:ascii="Times New Roman" w:hAnsi="Times New Roman" w:eastAsia="宋体" w:cs="Times New Roman"/>
          <w:b/>
          <w:kern w:val="2"/>
          <w:sz w:val="21"/>
          <w:szCs w:val="21"/>
          <w:lang w:val="en-US" w:eastAsia="zh-CN" w:bidi="ar-SA"/>
        </w:rPr>
        <w:t>废水污染物排放信息表</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516"/>
        <w:gridCol w:w="1882"/>
        <w:gridCol w:w="1501"/>
        <w:gridCol w:w="1502"/>
        <w:gridCol w:w="15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97"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序号</w:t>
            </w:r>
          </w:p>
        </w:tc>
        <w:tc>
          <w:tcPr>
            <w:tcW w:w="151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排放口编号</w:t>
            </w:r>
          </w:p>
        </w:tc>
        <w:tc>
          <w:tcPr>
            <w:tcW w:w="187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污染物种类</w:t>
            </w:r>
          </w:p>
        </w:tc>
        <w:tc>
          <w:tcPr>
            <w:tcW w:w="149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排放浓度（mg/L）</w:t>
            </w:r>
          </w:p>
        </w:tc>
        <w:tc>
          <w:tcPr>
            <w:tcW w:w="1496"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日排放量（t/d）</w:t>
            </w:r>
          </w:p>
        </w:tc>
        <w:tc>
          <w:tcPr>
            <w:tcW w:w="1496"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510" w:type="dxa"/>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DW001</w:t>
            </w:r>
          </w:p>
        </w:tc>
        <w:tc>
          <w:tcPr>
            <w:tcW w:w="187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COD</w:t>
            </w:r>
          </w:p>
        </w:tc>
        <w:tc>
          <w:tcPr>
            <w:tcW w:w="149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300</w:t>
            </w:r>
          </w:p>
        </w:tc>
        <w:tc>
          <w:tcPr>
            <w:tcW w:w="1496"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0.0005</w:t>
            </w:r>
          </w:p>
        </w:tc>
        <w:tc>
          <w:tcPr>
            <w:tcW w:w="1496"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0.130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1510"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187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SS</w:t>
            </w:r>
          </w:p>
        </w:tc>
        <w:tc>
          <w:tcPr>
            <w:tcW w:w="149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200</w:t>
            </w:r>
          </w:p>
        </w:tc>
        <w:tc>
          <w:tcPr>
            <w:tcW w:w="1496"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0.00002</w:t>
            </w:r>
          </w:p>
        </w:tc>
        <w:tc>
          <w:tcPr>
            <w:tcW w:w="1496"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7"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1510" w:type="dxa"/>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1874"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NH</w:t>
            </w:r>
            <w:r>
              <w:rPr>
                <w:rFonts w:hint="eastAsia" w:ascii="Times New Roman" w:hAnsi="Times New Roman" w:eastAsia="宋体" w:cs="Times New Roman"/>
                <w:kern w:val="2"/>
                <w:sz w:val="24"/>
                <w:szCs w:val="24"/>
                <w:vertAlign w:val="subscript"/>
                <w:lang w:val="en-US" w:eastAsia="zh-CN" w:bidi="ar-SA"/>
              </w:rPr>
              <w:t>3-</w:t>
            </w:r>
            <w:r>
              <w:rPr>
                <w:rFonts w:hint="eastAsia" w:ascii="Times New Roman" w:hAnsi="Times New Roman" w:eastAsia="宋体" w:cs="Times New Roman"/>
                <w:kern w:val="2"/>
                <w:sz w:val="24"/>
                <w:szCs w:val="24"/>
                <w:lang w:val="en-US" w:eastAsia="zh-CN" w:bidi="ar-SA"/>
              </w:rPr>
              <w:t>N</w:t>
            </w:r>
          </w:p>
        </w:tc>
        <w:tc>
          <w:tcPr>
            <w:tcW w:w="149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30</w:t>
            </w:r>
          </w:p>
        </w:tc>
        <w:tc>
          <w:tcPr>
            <w:tcW w:w="1496"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0.000001</w:t>
            </w:r>
          </w:p>
        </w:tc>
        <w:tc>
          <w:tcPr>
            <w:tcW w:w="1496"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7" w:type="dxa"/>
            <w:gridSpan w:val="2"/>
            <w:vMerge w:val="restart"/>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全厂排放口合计</w:t>
            </w:r>
          </w:p>
        </w:tc>
        <w:tc>
          <w:tcPr>
            <w:tcW w:w="4865" w:type="dxa"/>
            <w:gridSpan w:val="3"/>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COD</w:t>
            </w:r>
          </w:p>
        </w:tc>
        <w:tc>
          <w:tcPr>
            <w:tcW w:w="1496"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0.130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7" w:type="dxa"/>
            <w:gridSpan w:val="2"/>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4865" w:type="dxa"/>
            <w:gridSpan w:val="3"/>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SS</w:t>
            </w:r>
          </w:p>
        </w:tc>
        <w:tc>
          <w:tcPr>
            <w:tcW w:w="1496"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07" w:type="dxa"/>
            <w:gridSpan w:val="2"/>
            <w:vMerge w:val="continue"/>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4865" w:type="dxa"/>
            <w:gridSpan w:val="3"/>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NH</w:t>
            </w:r>
            <w:r>
              <w:rPr>
                <w:rFonts w:hint="eastAsia" w:ascii="Times New Roman" w:hAnsi="Times New Roman" w:eastAsia="宋体" w:cs="Times New Roman"/>
                <w:kern w:val="2"/>
                <w:sz w:val="24"/>
                <w:szCs w:val="24"/>
                <w:vertAlign w:val="subscript"/>
                <w:lang w:val="en-US" w:eastAsia="zh-CN" w:bidi="ar-SA"/>
              </w:rPr>
              <w:t>3</w:t>
            </w:r>
            <w:r>
              <w:rPr>
                <w:rFonts w:hint="eastAsia" w:ascii="Times New Roman" w:hAnsi="Times New Roman" w:eastAsia="宋体" w:cs="Times New Roman"/>
                <w:kern w:val="2"/>
                <w:sz w:val="24"/>
                <w:szCs w:val="24"/>
                <w:lang w:val="en-US" w:eastAsia="zh-CN" w:bidi="ar-SA"/>
              </w:rPr>
              <w:t>-N</w:t>
            </w:r>
          </w:p>
        </w:tc>
        <w:tc>
          <w:tcPr>
            <w:tcW w:w="1496"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0.0007</w:t>
            </w:r>
          </w:p>
        </w:tc>
      </w:tr>
    </w:tbl>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综上</w:t>
      </w:r>
      <w:r>
        <w:rPr>
          <w:rFonts w:ascii="Times New Roman" w:hAnsi="Times New Roman" w:eastAsia="宋体" w:cs="宋体"/>
          <w:kern w:val="2"/>
          <w:sz w:val="24"/>
          <w:szCs w:val="24"/>
          <w:lang w:val="en-US" w:eastAsia="zh-CN" w:bidi="ar-SA"/>
        </w:rPr>
        <w:t>，项目废水经过上述措施处理后，可实现达标排放，同时对周围水体环境影响很小。</w:t>
      </w:r>
    </w:p>
    <w:p>
      <w:pPr>
        <w:widowControl w:val="0"/>
        <w:numPr>
          <w:ilvl w:val="0"/>
          <w:numId w:val="0"/>
        </w:numPr>
        <w:bidi w:val="0"/>
        <w:spacing w:line="360" w:lineRule="auto"/>
        <w:ind w:leftChars="0"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（3）地表水环境影响评价自查表</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地表水环境影响评价自查表见</w:t>
      </w:r>
      <w:r>
        <w:rPr>
          <w:rFonts w:hint="eastAsia" w:ascii="Times New Roman" w:hAnsi="Times New Roman" w:eastAsia="宋体" w:cs="宋体"/>
          <w:kern w:val="2"/>
          <w:sz w:val="24"/>
          <w:szCs w:val="24"/>
          <w:highlight w:val="none"/>
          <w:lang w:val="en-US" w:eastAsia="zh-CN" w:bidi="ar-SA"/>
        </w:rPr>
        <w:t>附表3。</w:t>
      </w:r>
    </w:p>
    <w:p>
      <w:pPr>
        <w:pStyle w:val="4"/>
        <w:bidi w:val="0"/>
        <w:rPr>
          <w:lang w:val="en-US" w:eastAsia="zh-CN"/>
        </w:rPr>
      </w:pPr>
      <w:bookmarkStart w:id="1193" w:name="_Toc30961"/>
      <w:bookmarkStart w:id="1194" w:name="_Toc23970"/>
      <w:bookmarkStart w:id="1195" w:name="_Toc20350"/>
      <w:bookmarkStart w:id="1196" w:name="_Toc31141"/>
      <w:bookmarkStart w:id="1197" w:name="_Toc15761"/>
      <w:bookmarkStart w:id="1198" w:name="_Toc2115"/>
      <w:r>
        <w:rPr>
          <w:lang w:val="en-US" w:eastAsia="zh-CN"/>
        </w:rPr>
        <w:t>地下水环境影响分析</w:t>
      </w:r>
      <w:bookmarkEnd w:id="1176"/>
      <w:bookmarkEnd w:id="1177"/>
      <w:bookmarkEnd w:id="1178"/>
      <w:bookmarkEnd w:id="1179"/>
      <w:bookmarkEnd w:id="1180"/>
      <w:bookmarkEnd w:id="1181"/>
      <w:bookmarkEnd w:id="1182"/>
      <w:bookmarkEnd w:id="1183"/>
      <w:bookmarkEnd w:id="1184"/>
      <w:bookmarkEnd w:id="1185"/>
      <w:bookmarkEnd w:id="1193"/>
      <w:bookmarkEnd w:id="1194"/>
      <w:bookmarkEnd w:id="1195"/>
      <w:bookmarkEnd w:id="1196"/>
      <w:bookmarkEnd w:id="1197"/>
      <w:bookmarkEnd w:id="1198"/>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bookmarkStart w:id="1199" w:name="_Toc26764"/>
      <w:bookmarkStart w:id="1200" w:name="_Toc29604"/>
      <w:bookmarkStart w:id="1201" w:name="_Toc25396"/>
      <w:bookmarkStart w:id="1202" w:name="_Toc29936"/>
      <w:bookmarkStart w:id="1203" w:name="_Toc30780"/>
      <w:bookmarkStart w:id="1204" w:name="_Toc9565"/>
      <w:bookmarkStart w:id="1205" w:name="_Toc24722"/>
      <w:bookmarkStart w:id="1206" w:name="_Toc25417"/>
      <w:bookmarkStart w:id="1207" w:name="_Toc16662"/>
      <w:bookmarkStart w:id="1208" w:name="_Toc24677"/>
      <w:r>
        <w:rPr>
          <w:rFonts w:hint="eastAsia" w:ascii="Times New Roman" w:hAnsi="Times New Roman" w:eastAsia="宋体" w:cs="宋体"/>
          <w:kern w:val="2"/>
          <w:sz w:val="24"/>
          <w:szCs w:val="24"/>
          <w:lang w:val="en-US" w:eastAsia="zh-CN" w:bidi="ar-SA"/>
        </w:rPr>
        <w:t>根据《环境影响评价技术导则 地下水环境》（HJ610-2016）附录A，地下水环境影响评价项目类别为Ⅱ类；项目所在区域无集中式饮用水源等表1中的敏感区、较敏感区，即项目区域地下水环境敏感程度为不敏感。根据《环境影响评价技术导则 地下水环境》，项目地下水环境评价工作等级为三级评价，具体工作等级判断见</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_Ref23989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15</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p>
    <w:p>
      <w:pPr>
        <w:pStyle w:val="5"/>
        <w:bidi w:val="0"/>
        <w:rPr>
          <w:lang w:val="en-US" w:eastAsia="zh-CN"/>
        </w:rPr>
      </w:pPr>
      <w:bookmarkStart w:id="1209" w:name="_Toc9989"/>
      <w:bookmarkStart w:id="1210" w:name="_Toc302936702"/>
      <w:r>
        <w:rPr>
          <w:lang w:val="en-US" w:eastAsia="zh-CN"/>
        </w:rPr>
        <w:t>区域水文地质基本情况</w:t>
      </w:r>
      <w:bookmarkEnd w:id="1209"/>
      <w:bookmarkEnd w:id="1210"/>
    </w:p>
    <w:p>
      <w:pPr>
        <w:rPr>
          <w:rFonts w:hint="eastAsia" w:eastAsia="宋体"/>
          <w:lang w:val="en-US" w:eastAsia="zh-CN"/>
        </w:rPr>
      </w:pPr>
      <w:bookmarkStart w:id="1211" w:name="_Toc30641"/>
      <w:bookmarkStart w:id="1212" w:name="_Toc302936703"/>
      <w:bookmarkStart w:id="1213" w:name="_Toc458169654"/>
      <w:r>
        <w:t>（1）地形地貌特征</w:t>
      </w:r>
      <w:bookmarkEnd w:id="1211"/>
      <w:bookmarkEnd w:id="1212"/>
      <w:bookmarkEnd w:id="1213"/>
      <w:r>
        <w:rPr>
          <w:rFonts w:hint="eastAsia" w:ascii="Times New Roman" w:eastAsia="宋体"/>
          <w:lang w:val="en-US" w:eastAsia="zh-CN"/>
        </w:rPr>
        <w:t xml:space="preserve"> </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1214" w:name="_Toc7865"/>
      <w:bookmarkStart w:id="1215" w:name="_Toc302936704"/>
      <w:bookmarkStart w:id="1216" w:name="_Toc458169655"/>
      <w:r>
        <w:rPr>
          <w:rFonts w:ascii="Times New Roman" w:hAnsi="Times New Roman" w:eastAsia="宋体" w:cs="宋体"/>
          <w:kern w:val="2"/>
          <w:sz w:val="24"/>
          <w:szCs w:val="24"/>
          <w:lang w:val="en-US" w:eastAsia="zh-CN" w:bidi="ar-SA"/>
        </w:rPr>
        <w:t>公司所处地貌为由变质岩组成的低山丘陵区，属洞庭湖盆地边缘。南北为低矮山岗，东西呈横向带状阶梯式变化。本地山地为新构造时期以来地壳运动相对上升，经长期侵蚀、剥蚀所致；现公司所在地地势相对平缓开阔，标高在30~50m之间，地势平坦，其原始地貌已不复存在，仅能从周边的边坡情况有所显示。</w:t>
      </w:r>
    </w:p>
    <w:bookmarkEnd w:id="1214"/>
    <w:bookmarkEnd w:id="1215"/>
    <w:bookmarkEnd w:id="1216"/>
    <w:p>
      <w:bookmarkStart w:id="1217" w:name="_Toc31558"/>
      <w:r>
        <w:t>（</w:t>
      </w:r>
      <w:r>
        <w:rPr>
          <w:rFonts w:hint="eastAsia"/>
        </w:rPr>
        <w:t>2</w:t>
      </w:r>
      <w:r>
        <w:t>）水文特征</w:t>
      </w:r>
      <w:bookmarkEnd w:id="1217"/>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项目周边分布的居民多以自来水作为水源。为了解项目拟建地周边居民供水水井水质情况，本环评除采用湖南中骏高新科技股份有限公司于2019年6月8日对卓达金谷创新园南侧（位于聚特公司南侧1200m处）的范公塘左家水井进行的水质监测数据外，还引用位于本项目西北面900米处的《湘阴县德高建材有限公司年产1000万块空心砖建设项目环境影响报告表》中的地下水监测数据</w:t>
      </w:r>
      <w:r>
        <w:rPr>
          <w:rFonts w:hint="eastAsia" w:cs="宋体"/>
          <w:kern w:val="2"/>
          <w:sz w:val="24"/>
          <w:szCs w:val="24"/>
          <w:lang w:val="en-US" w:eastAsia="zh-CN" w:bidi="ar-SA"/>
        </w:rPr>
        <w:t>和</w:t>
      </w:r>
      <w:r>
        <w:rPr>
          <w:rFonts w:hint="eastAsia" w:ascii="Times New Roman" w:hAnsi="Times New Roman" w:eastAsia="宋体" w:cs="宋体"/>
          <w:kern w:val="2"/>
          <w:sz w:val="24"/>
          <w:szCs w:val="24"/>
          <w:lang w:val="en-US" w:eastAsia="zh-CN" w:bidi="ar-SA"/>
        </w:rPr>
        <w:t>位于本项目北面400米处的《湘阴县雅彩化妆用品有限公司年产化妆刷3000万支、化妆粉扑5000万个项目环境影响报告书》中周边陈家江居民水井地下水监测数据。由监测数据可知，项目区域地下水监测因子均达到</w:t>
      </w:r>
      <w:r>
        <w:rPr>
          <w:rFonts w:ascii="Times New Roman" w:hAnsi="Times New Roman" w:eastAsia="宋体" w:cs="宋体"/>
          <w:kern w:val="2"/>
          <w:sz w:val="24"/>
          <w:szCs w:val="24"/>
          <w:lang w:val="en-US" w:eastAsia="zh-CN" w:bidi="ar-SA"/>
        </w:rPr>
        <w:t>《地下水质量标准》（GB/T14848-2017）中的</w:t>
      </w:r>
      <w:r>
        <w:rPr>
          <w:rFonts w:hint="eastAsia" w:ascii="Times New Roman" w:hAnsi="Times New Roman" w:eastAsia="宋体" w:cs="宋体"/>
          <w:kern w:val="2"/>
          <w:sz w:val="24"/>
          <w:szCs w:val="24"/>
          <w:lang w:val="en-US" w:eastAsia="zh-CN" w:bidi="ar-SA"/>
        </w:rPr>
        <w:t>Ⅲ</w:t>
      </w:r>
      <w:r>
        <w:rPr>
          <w:rFonts w:ascii="Times New Roman" w:hAnsi="Times New Roman" w:eastAsia="宋体" w:cs="宋体"/>
          <w:kern w:val="2"/>
          <w:sz w:val="24"/>
          <w:szCs w:val="24"/>
          <w:lang w:val="en-US" w:eastAsia="zh-CN" w:bidi="ar-SA"/>
        </w:rPr>
        <w:t>类标准</w:t>
      </w:r>
      <w:r>
        <w:rPr>
          <w:rFonts w:hint="eastAsia" w:ascii="Times New Roman" w:hAnsi="Times New Roman" w:eastAsia="宋体" w:cs="宋体"/>
          <w:kern w:val="2"/>
          <w:sz w:val="24"/>
          <w:szCs w:val="24"/>
          <w:lang w:val="en-US" w:eastAsia="zh-CN" w:bidi="ar-SA"/>
        </w:rPr>
        <w:t>，居民生活用水水井水质较好。</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根据调查，项目拟建地区域不属于《环境影响评价技术导则 地下水环境》(HJ610-2016)表1中的敏感区及较敏感区，项目区域地下水环境简单。</w:t>
      </w:r>
    </w:p>
    <w:p>
      <w:pPr>
        <w:pStyle w:val="5"/>
        <w:bidi w:val="0"/>
        <w:rPr>
          <w:rFonts w:hint="eastAsia"/>
          <w:lang w:val="en-US" w:eastAsia="zh-CN"/>
        </w:rPr>
      </w:pPr>
      <w:bookmarkStart w:id="1218" w:name="_Toc8814"/>
      <w:r>
        <w:rPr>
          <w:rFonts w:hint="eastAsia"/>
          <w:lang w:val="en-US" w:eastAsia="zh-CN"/>
        </w:rPr>
        <w:t>污染途径</w:t>
      </w:r>
      <w:bookmarkEnd w:id="1218"/>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污染物从污染源进入地下水所经过路径称为地下水污染途径，地下水污染途径是多种多样的。根据工程所处区域的地质情况，拟建项目可能对下水造成污染的途径主要有：排污管线等污水下渗对地下水造成的污染。</w:t>
      </w:r>
    </w:p>
    <w:p>
      <w:pPr>
        <w:pStyle w:val="5"/>
        <w:bidi w:val="0"/>
        <w:rPr>
          <w:rFonts w:hint="eastAsia"/>
          <w:lang w:val="en-US" w:eastAsia="zh-CN"/>
        </w:rPr>
      </w:pPr>
      <w:bookmarkStart w:id="1219" w:name="_Toc28839"/>
      <w:r>
        <w:rPr>
          <w:rFonts w:hint="eastAsia"/>
          <w:lang w:val="en-US" w:eastAsia="zh-CN"/>
        </w:rPr>
        <w:t>正常情况下地下水环境影响分析</w:t>
      </w:r>
      <w:bookmarkEnd w:id="1219"/>
      <w:r>
        <w:rPr>
          <w:rFonts w:hint="eastAsia"/>
          <w:lang w:val="en-US" w:eastAsia="zh-CN"/>
        </w:rPr>
        <w:t xml:space="preserve"> </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项目废水各类污染物质或有害物质可能会随着雨水或地表水下渗，通过包气带进入地下水中而对其造成不利影响。本项目厂区为水泥地面，厂区生产废水经管网收集后进入污水处理系统，管网、污水处理系统均进行了有效防渗处理，泄露可能性不大，因此通过包气带垂直渗透进入地下水的可能性较小，对地下水影响很小。</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建设后，车间地面均固化处理、仓库、沉淀池等构筑物均采取防渗措施。因此项目对可能产生地下水影响的各项途径均进行有效预防，在确保各项防渗措施得以落实的前提下，可有效控制厂区内的废水污染物下渗现象，避免污染地下水，因此项目不会对区域地下水环境产生明显影响。</w:t>
      </w:r>
    </w:p>
    <w:p>
      <w:pPr>
        <w:pStyle w:val="4"/>
        <w:bidi w:val="0"/>
        <w:rPr>
          <w:lang w:val="en-US" w:eastAsia="zh-CN"/>
        </w:rPr>
      </w:pPr>
      <w:bookmarkStart w:id="1220" w:name="_Toc7893"/>
      <w:bookmarkStart w:id="1221" w:name="_Toc25928"/>
      <w:bookmarkStart w:id="1222" w:name="_Toc29487"/>
      <w:bookmarkStart w:id="1223" w:name="_Toc29739"/>
      <w:bookmarkStart w:id="1224" w:name="_Toc12626"/>
      <w:bookmarkStart w:id="1225" w:name="_Toc5869"/>
      <w:r>
        <w:rPr>
          <w:lang w:val="en-US" w:eastAsia="zh-CN"/>
        </w:rPr>
        <w:t>声环境影响</w:t>
      </w:r>
      <w:bookmarkEnd w:id="1199"/>
      <w:bookmarkEnd w:id="1200"/>
      <w:bookmarkEnd w:id="1201"/>
      <w:bookmarkEnd w:id="1202"/>
      <w:bookmarkEnd w:id="1203"/>
      <w:bookmarkEnd w:id="1204"/>
      <w:bookmarkEnd w:id="1205"/>
      <w:bookmarkEnd w:id="1206"/>
      <w:bookmarkEnd w:id="1207"/>
      <w:bookmarkEnd w:id="1208"/>
      <w:bookmarkEnd w:id="1220"/>
      <w:bookmarkEnd w:id="1221"/>
      <w:bookmarkEnd w:id="1222"/>
      <w:bookmarkEnd w:id="1223"/>
      <w:r>
        <w:rPr>
          <w:rFonts w:hint="eastAsia"/>
          <w:lang w:val="en-US" w:eastAsia="zh-CN"/>
        </w:rPr>
        <w:t>分析</w:t>
      </w:r>
      <w:bookmarkEnd w:id="1224"/>
      <w:bookmarkEnd w:id="1225"/>
    </w:p>
    <w:p>
      <w:pPr>
        <w:pStyle w:val="5"/>
        <w:bidi w:val="0"/>
        <w:rPr>
          <w:lang w:val="en-US" w:eastAsia="zh-CN"/>
        </w:rPr>
      </w:pPr>
      <w:bookmarkStart w:id="1226" w:name="_Toc222808101"/>
      <w:bookmarkStart w:id="1227" w:name="_Toc26432"/>
      <w:bookmarkStart w:id="1228" w:name="_Toc25414_WPSOffice_Level1"/>
      <w:bookmarkStart w:id="1229" w:name="_Toc12493"/>
      <w:bookmarkStart w:id="1230" w:name="_Toc27522"/>
      <w:bookmarkStart w:id="1231" w:name="_Toc13997"/>
      <w:bookmarkStart w:id="1232" w:name="_Toc3711_WPSOffice_Level1"/>
      <w:bookmarkStart w:id="1233" w:name="_Toc32178"/>
      <w:bookmarkStart w:id="1234" w:name="_Toc6062"/>
      <w:bookmarkStart w:id="1235" w:name="_Toc15289"/>
      <w:bookmarkStart w:id="1236" w:name="_Toc15023"/>
      <w:bookmarkStart w:id="1237" w:name="_Toc9864"/>
      <w:bookmarkStart w:id="1238" w:name="_Toc21143_WPSOffice_Level1"/>
      <w:bookmarkStart w:id="1239" w:name="_Toc6921_WPSOffice_Level1"/>
      <w:bookmarkStart w:id="1240" w:name="_Toc31922"/>
      <w:bookmarkStart w:id="1241" w:name="_Toc2635"/>
      <w:r>
        <w:rPr>
          <w:lang w:val="en-US" w:eastAsia="zh-CN"/>
        </w:rPr>
        <w:t>噪声源及其声级值</w:t>
      </w:r>
      <w:bookmarkEnd w:id="1226"/>
      <w:bookmarkEnd w:id="1227"/>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本项目的噪声源主要为</w:t>
      </w:r>
      <w:r>
        <w:rPr>
          <w:rFonts w:hint="eastAsia" w:ascii="Times New Roman" w:hAnsi="Times New Roman" w:eastAsia="宋体" w:cs="宋体"/>
          <w:kern w:val="2"/>
          <w:sz w:val="24"/>
          <w:szCs w:val="24"/>
          <w:lang w:val="en-US" w:eastAsia="zh-CN" w:bidi="ar-SA"/>
        </w:rPr>
        <w:t>加工</w:t>
      </w:r>
      <w:r>
        <w:rPr>
          <w:rFonts w:ascii="Times New Roman" w:hAnsi="Times New Roman" w:eastAsia="宋体" w:cs="宋体"/>
          <w:kern w:val="2"/>
          <w:sz w:val="24"/>
          <w:szCs w:val="24"/>
          <w:lang w:val="en-US" w:eastAsia="zh-CN" w:bidi="ar-SA"/>
        </w:rPr>
        <w:t>设备运转时产生的噪声，噪声源强为</w:t>
      </w:r>
      <w:r>
        <w:rPr>
          <w:rFonts w:hint="eastAsia" w:ascii="Times New Roman" w:hAnsi="Times New Roman" w:eastAsia="宋体" w:cs="宋体"/>
          <w:kern w:val="2"/>
          <w:sz w:val="24"/>
          <w:szCs w:val="24"/>
          <w:lang w:val="en-US" w:eastAsia="zh-CN" w:bidi="ar-SA"/>
        </w:rPr>
        <w:t>70~85</w:t>
      </w:r>
      <w:r>
        <w:rPr>
          <w:rFonts w:ascii="Times New Roman" w:hAnsi="Times New Roman" w:eastAsia="宋体" w:cs="宋体"/>
          <w:kern w:val="2"/>
          <w:sz w:val="24"/>
          <w:szCs w:val="24"/>
          <w:lang w:val="en-US" w:eastAsia="zh-CN" w:bidi="ar-SA"/>
        </w:rPr>
        <w:t>dB。其噪声污染物排放状况见</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_Ref19765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6</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15</w:t>
      </w:r>
      <w:r>
        <w:rPr>
          <w:rFonts w:hint="default"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6</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15</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噪声污染物排放状况</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2711"/>
        <w:gridCol w:w="2249"/>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序号</w:t>
            </w:r>
          </w:p>
        </w:tc>
        <w:tc>
          <w:tcPr>
            <w:tcW w:w="271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名称</w:t>
            </w:r>
          </w:p>
        </w:tc>
        <w:tc>
          <w:tcPr>
            <w:tcW w:w="2249"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数量（台/个）</w:t>
            </w:r>
          </w:p>
        </w:tc>
        <w:tc>
          <w:tcPr>
            <w:tcW w:w="2249"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单机源强dB（A）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28"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1</w:t>
            </w:r>
          </w:p>
        </w:tc>
        <w:tc>
          <w:tcPr>
            <w:tcW w:w="271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混合搅拌罐</w:t>
            </w:r>
          </w:p>
        </w:tc>
        <w:tc>
          <w:tcPr>
            <w:tcW w:w="2249"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w:t>
            </w:r>
          </w:p>
        </w:tc>
        <w:tc>
          <w:tcPr>
            <w:tcW w:w="2249"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75~80</w:t>
            </w:r>
          </w:p>
        </w:tc>
      </w:tr>
    </w:tbl>
    <w:p/>
    <w:p>
      <w:pPr>
        <w:pStyle w:val="5"/>
        <w:bidi w:val="0"/>
        <w:rPr>
          <w:lang w:val="en-US" w:eastAsia="zh-CN"/>
        </w:rPr>
      </w:pPr>
      <w:bookmarkStart w:id="1242" w:name="_Toc12248"/>
      <w:bookmarkStart w:id="1243" w:name="_Toc222808102"/>
      <w:r>
        <w:rPr>
          <w:lang w:val="en-US" w:eastAsia="zh-CN"/>
        </w:rPr>
        <w:t>预测模式选择</w:t>
      </w:r>
      <w:bookmarkEnd w:id="1242"/>
      <w:bookmarkEnd w:id="1243"/>
    </w:p>
    <w:p>
      <w:pPr>
        <w:keepNext w:val="0"/>
        <w:keepLines w:val="0"/>
        <w:pageBreakBefore w:val="0"/>
        <w:widowControl w:val="0"/>
        <w:numPr>
          <w:ilvl w:val="0"/>
          <w:numId w:val="18"/>
        </w:numPr>
        <w:kinsoku/>
        <w:wordWrap/>
        <w:overflowPunct/>
        <w:topLinePunct w:val="0"/>
        <w:autoSpaceDE/>
        <w:autoSpaceDN/>
        <w:bidi w:val="0"/>
        <w:adjustRightInd w:val="0"/>
        <w:snapToGrid w:val="0"/>
        <w:spacing w:line="480" w:lineRule="exact"/>
        <w:ind w:left="425" w:leftChars="0" w:hanging="425" w:firstLineChars="0"/>
        <w:textAlignment w:val="auto"/>
        <w:rPr>
          <w:rFonts w:hint="default" w:ascii="Times New Roman" w:hAnsi="Times New Roman" w:eastAsia="宋体" w:cs="Times New Roman"/>
          <w:kern w:val="0"/>
          <w:sz w:val="24"/>
          <w:szCs w:val="24"/>
          <w:u w:val="none"/>
          <w:lang w:val="en-US" w:eastAsia="zh-CN"/>
        </w:rPr>
      </w:pPr>
      <w:r>
        <w:rPr>
          <w:rFonts w:hint="default" w:ascii="Times New Roman" w:hAnsi="Times New Roman" w:eastAsia="宋体" w:cs="Times New Roman"/>
          <w:kern w:val="0"/>
          <w:sz w:val="24"/>
          <w:szCs w:val="24"/>
          <w:u w:val="none"/>
          <w:lang w:val="en-US" w:eastAsia="zh-CN"/>
        </w:rPr>
        <w:t>整体声源法</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将车间看成整体声源，确定整体声源的声功率级，然后分析对厂界的影响。</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预测采用stueber模式，该方法基本思路是将整个生产区（或车间）看作一个特大声源，成为整体声源，整体声源辐射的声波在距声源中心r的受声点处的声级用一下公式计算：</w:t>
      </w:r>
    </w:p>
    <w:p>
      <w:pPr>
        <w:widowControl w:val="0"/>
        <w:bidi w:val="0"/>
        <w:spacing w:line="360" w:lineRule="auto"/>
        <w:ind w:firstLine="480" w:firstLineChars="200"/>
        <w:jc w:val="center"/>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Lp=Lw—∑Ai</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式中：Lp为受声点的预测声级；dB</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Lw为整体声源的声功率级，dB，可用下式计算：</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Lw=Lpi+10lg(2S)</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式中：Lpi—整体声源四周声级的平均值，dB，可根据车间室内平均声级进行计算。根据《环境噪声学》（浙江大学出版社），公式如下：</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Lpi=L-ΔL</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式中：L—车间室内平均声级，dB</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ΔL—维护机构的隔声量。</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本项目设备均设在室内，隔声量一般在10~20dB(A)间，本项目车间隔声量取20dB(A)，其他阻隔物隔声量取5dB(A)。</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Lw计算见</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_Ref19716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6</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16</w:t>
      </w:r>
      <w:r>
        <w:rPr>
          <w:rFonts w:hint="default" w:ascii="Times New Roman" w:hAnsi="Times New Roman" w:eastAsia="宋体" w:cs="宋体"/>
          <w:kern w:val="2"/>
          <w:sz w:val="24"/>
          <w:szCs w:val="24"/>
          <w:lang w:val="en-US" w:eastAsia="zh-CN" w:bidi="ar-SA"/>
        </w:rPr>
        <w:fldChar w:fldCharType="end"/>
      </w:r>
      <w:r>
        <w:rPr>
          <w:rFonts w:hint="default" w:ascii="Times New Roman" w:hAnsi="Times New Roman" w:eastAsia="宋体" w:cs="宋体"/>
          <w:kern w:val="2"/>
          <w:sz w:val="24"/>
          <w:szCs w:val="24"/>
          <w:lang w:val="en-US" w:eastAsia="zh-CN" w:bidi="ar-SA"/>
        </w:rPr>
        <w:t>：</w:t>
      </w:r>
    </w:p>
    <w:p>
      <w:pPr>
        <w:widowControl w:val="0"/>
        <w:bidi w:val="0"/>
        <w:spacing w:line="360" w:lineRule="auto"/>
        <w:jc w:val="center"/>
        <w:rPr>
          <w:rFonts w:hint="default" w:ascii="Times New Roman" w:hAnsi="Times New Roman" w:eastAsia="宋体" w:cs="Times New Roman"/>
          <w:b/>
          <w:kern w:val="2"/>
          <w:sz w:val="21"/>
          <w:szCs w:val="21"/>
          <w:lang w:val="en-US" w:eastAsia="zh-CN" w:bidi="ar-SA"/>
        </w:rPr>
      </w:pPr>
      <w:bookmarkStart w:id="1244" w:name="_Ref19716"/>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6</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16</w:t>
      </w:r>
      <w:r>
        <w:rPr>
          <w:rFonts w:ascii="Times New Roman" w:hAnsi="Times New Roman" w:eastAsia="宋体" w:cs="Times New Roman"/>
          <w:b/>
          <w:kern w:val="2"/>
          <w:sz w:val="21"/>
          <w:szCs w:val="21"/>
          <w:lang w:val="en-US" w:eastAsia="zh-CN" w:bidi="ar-SA"/>
        </w:rPr>
        <w:fldChar w:fldCharType="end"/>
      </w:r>
      <w:bookmarkEnd w:id="1244"/>
      <w:r>
        <w:rPr>
          <w:rFonts w:hint="eastAsia" w:ascii="Times New Roman" w:hAnsi="Times New Roman" w:eastAsia="宋体" w:cs="Times New Roman"/>
          <w:b/>
          <w:kern w:val="2"/>
          <w:sz w:val="21"/>
          <w:szCs w:val="21"/>
          <w:lang w:val="en-US" w:eastAsia="zh-CN" w:bidi="ar-SA"/>
        </w:rPr>
        <w:t xml:space="preserve"> </w:t>
      </w:r>
      <w:r>
        <w:rPr>
          <w:rFonts w:hint="default" w:ascii="Times New Roman" w:hAnsi="Times New Roman" w:eastAsia="宋体" w:cs="Times New Roman"/>
          <w:b/>
          <w:kern w:val="2"/>
          <w:sz w:val="21"/>
          <w:szCs w:val="21"/>
          <w:lang w:val="en-US" w:eastAsia="zh-CN" w:bidi="ar-SA"/>
        </w:rPr>
        <w:t>Lw计算过程</w:t>
      </w:r>
    </w:p>
    <w:tbl>
      <w:tblPr>
        <w:tblStyle w:val="23"/>
        <w:tblW w:w="48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11"/>
        <w:gridCol w:w="3001"/>
        <w:gridCol w:w="30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1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车间名称</w:t>
            </w:r>
          </w:p>
        </w:tc>
        <w:tc>
          <w:tcPr>
            <w:tcW w:w="6003" w:type="dxa"/>
            <w:gridSpan w:val="2"/>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Lw计算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11"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生产车间</w:t>
            </w:r>
          </w:p>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（占地面积</w:t>
            </w:r>
            <w:r>
              <w:rPr>
                <w:rFonts w:hint="eastAsia" w:ascii="Times New Roman" w:hAnsi="Times New Roman" w:eastAsia="宋体" w:cs="Times New Roman"/>
                <w:kern w:val="2"/>
                <w:sz w:val="24"/>
                <w:szCs w:val="24"/>
                <w:lang w:val="en-US" w:eastAsia="zh-CN" w:bidi="ar-SA"/>
              </w:rPr>
              <w:t>24</w:t>
            </w:r>
            <w:r>
              <w:rPr>
                <w:rFonts w:hint="default" w:ascii="Times New Roman" w:hAnsi="Times New Roman" w:eastAsia="宋体" w:cs="Times New Roman"/>
                <w:kern w:val="2"/>
                <w:sz w:val="24"/>
                <w:szCs w:val="24"/>
                <w:lang w:val="en-US" w:eastAsia="zh-CN" w:bidi="ar-SA"/>
              </w:rPr>
              <w:t>00m</w:t>
            </w:r>
            <w:r>
              <w:rPr>
                <w:rFonts w:hint="default" w:ascii="Times New Roman" w:hAnsi="Times New Roman" w:eastAsia="宋体" w:cs="Times New Roman"/>
                <w:kern w:val="2"/>
                <w:sz w:val="24"/>
                <w:szCs w:val="24"/>
                <w:vertAlign w:val="superscript"/>
                <w:lang w:val="en-US" w:eastAsia="zh-CN" w:bidi="ar-SA"/>
              </w:rPr>
              <w:t>2</w:t>
            </w:r>
            <w:r>
              <w:rPr>
                <w:rFonts w:hint="default" w:ascii="Times New Roman" w:hAnsi="Times New Roman" w:eastAsia="宋体" w:cs="Times New Roman"/>
                <w:kern w:val="2"/>
                <w:sz w:val="24"/>
                <w:szCs w:val="24"/>
                <w:lang w:val="en-US" w:eastAsia="zh-CN" w:bidi="ar-SA"/>
              </w:rPr>
              <w:t>）</w:t>
            </w:r>
          </w:p>
        </w:tc>
        <w:tc>
          <w:tcPr>
            <w:tcW w:w="300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L（dB）</w:t>
            </w:r>
          </w:p>
        </w:tc>
        <w:tc>
          <w:tcPr>
            <w:tcW w:w="3002"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80</w:t>
            </w:r>
            <w:r>
              <w:rPr>
                <w:rFonts w:hint="eastAsia" w:ascii="Times New Roman" w:hAnsi="Times New Roman" w:eastAsia="宋体" w:cs="Times New Roman"/>
                <w:kern w:val="2"/>
                <w:sz w:val="24"/>
                <w:szCs w:val="24"/>
                <w:lang w:val="en-US" w:eastAsia="zh-CN" w:bidi="ar-SA"/>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11"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300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Lpi（dB）</w:t>
            </w:r>
          </w:p>
        </w:tc>
        <w:tc>
          <w:tcPr>
            <w:tcW w:w="3002"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47.07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11"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300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S（m</w:t>
            </w:r>
            <w:r>
              <w:rPr>
                <w:rFonts w:hint="default" w:ascii="Times New Roman" w:hAnsi="Times New Roman" w:eastAsia="宋体" w:cs="Times New Roman"/>
                <w:kern w:val="2"/>
                <w:sz w:val="24"/>
                <w:szCs w:val="24"/>
                <w:vertAlign w:val="superscript"/>
                <w:lang w:val="en-US" w:eastAsia="zh-CN" w:bidi="ar-SA"/>
              </w:rPr>
              <w:t>2</w:t>
            </w:r>
            <w:r>
              <w:rPr>
                <w:rFonts w:hint="default" w:ascii="Times New Roman" w:hAnsi="Times New Roman" w:eastAsia="宋体" w:cs="Times New Roman"/>
                <w:kern w:val="2"/>
                <w:sz w:val="24"/>
                <w:szCs w:val="24"/>
                <w:lang w:val="en-US" w:eastAsia="zh-CN" w:bidi="ar-SA"/>
              </w:rPr>
              <w:t>）</w:t>
            </w:r>
          </w:p>
        </w:tc>
        <w:tc>
          <w:tcPr>
            <w:tcW w:w="3002"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24</w:t>
            </w:r>
            <w:r>
              <w:rPr>
                <w:rFonts w:hint="default" w:ascii="Times New Roman" w:hAnsi="Times New Roman" w:eastAsia="宋体" w:cs="Times New Roman"/>
                <w:kern w:val="2"/>
                <w:sz w:val="24"/>
                <w:szCs w:val="24"/>
                <w:lang w:val="en-US" w:eastAsia="zh-CN" w:bidi="ar-SA"/>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11"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300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Lw（dB）</w:t>
            </w:r>
          </w:p>
        </w:tc>
        <w:tc>
          <w:tcPr>
            <w:tcW w:w="3002"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86.61</w:t>
            </w:r>
          </w:p>
        </w:tc>
      </w:tr>
    </w:tbl>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∑Ai—声波在传播过程中各种因素引起的衰减量之和，dB。对近距离，主要考虑距离衰减，即距离衰减：</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声源中心∑Ai为声传播途径上各种因素引起声能量的总衰减量，Ai为第i种因素造成的衰减量。</w:t>
      </w:r>
    </w:p>
    <w:p>
      <w:pPr>
        <w:widowControl w:val="0"/>
        <w:bidi w:val="0"/>
        <w:spacing w:line="360" w:lineRule="auto"/>
        <w:ind w:firstLine="480" w:firstLineChars="200"/>
        <w:jc w:val="center"/>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A</w:t>
      </w:r>
      <w:r>
        <w:rPr>
          <w:rFonts w:hint="default" w:ascii="Times New Roman" w:hAnsi="Times New Roman" w:eastAsia="宋体" w:cs="宋体"/>
          <w:kern w:val="2"/>
          <w:sz w:val="24"/>
          <w:szCs w:val="24"/>
          <w:vertAlign w:val="subscript"/>
          <w:lang w:val="en-US" w:eastAsia="zh-CN" w:bidi="ar-SA"/>
        </w:rPr>
        <w:t>d</w:t>
      </w:r>
      <w:r>
        <w:rPr>
          <w:rFonts w:hint="default" w:ascii="Times New Roman" w:hAnsi="Times New Roman" w:eastAsia="宋体" w:cs="宋体"/>
          <w:kern w:val="2"/>
          <w:sz w:val="24"/>
          <w:szCs w:val="24"/>
          <w:lang w:val="en-US" w:eastAsia="zh-CN" w:bidi="ar-SA"/>
        </w:rPr>
        <w:t>=10lg(2πr</w:t>
      </w:r>
      <w:r>
        <w:rPr>
          <w:rFonts w:hint="default" w:ascii="Times New Roman" w:hAnsi="Times New Roman" w:eastAsia="宋体" w:cs="宋体"/>
          <w:kern w:val="2"/>
          <w:sz w:val="24"/>
          <w:szCs w:val="24"/>
          <w:vertAlign w:val="superscript"/>
          <w:lang w:val="en-US" w:eastAsia="zh-CN" w:bidi="ar-SA"/>
        </w:rPr>
        <w:t>2</w:t>
      </w:r>
      <w:r>
        <w:rPr>
          <w:rFonts w:hint="default"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式中：r一整体声源中心到受声点的距离，m。</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根据噪声源与预测点相对位置关系可知各噪声源到预测点的距离衰减量。</w:t>
      </w:r>
    </w:p>
    <w:p>
      <w:pPr>
        <w:widowControl w:val="0"/>
        <w:numPr>
          <w:ilvl w:val="0"/>
          <w:numId w:val="18"/>
        </w:numPr>
        <w:bidi w:val="0"/>
        <w:spacing w:line="360" w:lineRule="auto"/>
        <w:ind w:left="425" w:leftChars="0" w:hanging="425" w:firstLineChars="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总等效声级</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由上述计算模式计算结果再叠加本底值进行计算，叠加模式为：</w:t>
      </w:r>
    </w:p>
    <w:p>
      <w:pPr>
        <w:widowControl w:val="0"/>
        <w:bidi w:val="0"/>
        <w:spacing w:line="360" w:lineRule="auto"/>
        <w:ind w:firstLine="480" w:firstLineChars="200"/>
        <w:jc w:val="center"/>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drawing>
          <wp:inline distT="0" distB="0" distL="114300" distR="114300">
            <wp:extent cx="1830705" cy="568960"/>
            <wp:effectExtent l="0" t="0" r="17145" b="254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33"/>
                    <a:stretch>
                      <a:fillRect/>
                    </a:stretch>
                  </pic:blipFill>
                  <pic:spPr>
                    <a:xfrm>
                      <a:off x="0" y="0"/>
                      <a:ext cx="1830705" cy="568960"/>
                    </a:xfrm>
                    <a:prstGeom prst="rect">
                      <a:avLst/>
                    </a:prstGeom>
                    <a:noFill/>
                    <a:ln>
                      <a:noFill/>
                    </a:ln>
                  </pic:spPr>
                </pic:pic>
              </a:graphicData>
            </a:graphic>
          </wp:inline>
        </w:drawing>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式中：L一总声压级，dB；</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Li—各声源在此点的声压级，dB；</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n一点声源数</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③定期维修设备，避免老化引起的噪声，必要时应及时更换。</w:t>
      </w:r>
    </w:p>
    <w:p>
      <w:pPr>
        <w:numPr>
          <w:ilvl w:val="0"/>
          <w:numId w:val="18"/>
        </w:numPr>
        <w:ind w:left="425" w:leftChars="0" w:hanging="425" w:firstLineChars="0"/>
      </w:pPr>
      <w:r>
        <w:t>户外声传播衰减计算</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户外声传播衰减包括几何发散（Adiv）、大气吸收（Aatm）、地面效应（Agr）屏障屏蔽（Abar）、其他多方面效应（Amisc）引起的衰减。</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距声源点r处的A声级按下式计算：</w:t>
      </w:r>
    </w:p>
    <w:p>
      <w:pPr>
        <w:widowControl w:val="0"/>
        <w:bidi w:val="0"/>
        <w:spacing w:line="360" w:lineRule="auto"/>
        <w:ind w:firstLine="480" w:firstLineChars="200"/>
        <w:jc w:val="left"/>
        <w:rPr>
          <w:rFonts w:ascii="Times New Roman" w:hAnsi="Times New Roman" w:eastAsia="宋体" w:cs="宋体"/>
          <w:kern w:val="2"/>
          <w:sz w:val="24"/>
          <w:szCs w:val="24"/>
          <w:lang w:val="pt-BR" w:eastAsia="zh-CN" w:bidi="ar-SA"/>
        </w:rPr>
      </w:pPr>
      <w:bookmarkStart w:id="1245" w:name="_Toc30897_WPSOffice_Level1"/>
      <w:bookmarkStart w:id="1246" w:name="_Toc25718_WPSOffice_Level1"/>
      <w:bookmarkStart w:id="1247" w:name="_Toc27978_WPSOffice_Level1"/>
      <w:bookmarkStart w:id="1248" w:name="_Toc21269_WPSOffice_Level1"/>
      <w:r>
        <w:rPr>
          <w:rFonts w:ascii="Times New Roman" w:hAnsi="Times New Roman" w:eastAsia="宋体" w:cs="宋体"/>
          <w:kern w:val="2"/>
          <w:sz w:val="24"/>
          <w:szCs w:val="24"/>
          <w:lang w:val="pt-BR" w:eastAsia="zh-CN" w:bidi="ar-SA"/>
        </w:rPr>
        <w:t>L</w:t>
      </w:r>
      <w:r>
        <w:rPr>
          <w:rFonts w:ascii="Times New Roman" w:hAnsi="Times New Roman" w:eastAsia="宋体" w:cs="宋体"/>
          <w:kern w:val="2"/>
          <w:sz w:val="24"/>
          <w:szCs w:val="24"/>
          <w:vertAlign w:val="subscript"/>
          <w:lang w:val="pt-BR" w:eastAsia="zh-CN" w:bidi="ar-SA"/>
        </w:rPr>
        <w:t>p</w:t>
      </w:r>
      <w:r>
        <w:rPr>
          <w:rFonts w:ascii="Times New Roman" w:hAnsi="Times New Roman" w:eastAsia="宋体" w:cs="宋体"/>
          <w:kern w:val="2"/>
          <w:sz w:val="24"/>
          <w:szCs w:val="24"/>
          <w:lang w:val="pt-BR" w:eastAsia="zh-CN" w:bidi="ar-SA"/>
        </w:rPr>
        <w:t>（r）=L</w:t>
      </w:r>
      <w:r>
        <w:rPr>
          <w:rFonts w:ascii="Times New Roman" w:hAnsi="Times New Roman" w:eastAsia="宋体" w:cs="宋体"/>
          <w:kern w:val="2"/>
          <w:sz w:val="24"/>
          <w:szCs w:val="24"/>
          <w:vertAlign w:val="subscript"/>
          <w:lang w:val="pt-BR" w:eastAsia="zh-CN" w:bidi="ar-SA"/>
        </w:rPr>
        <w:t>p</w:t>
      </w:r>
      <w:r>
        <w:rPr>
          <w:rFonts w:ascii="Times New Roman" w:hAnsi="Times New Roman" w:eastAsia="宋体" w:cs="宋体"/>
          <w:kern w:val="2"/>
          <w:sz w:val="24"/>
          <w:szCs w:val="24"/>
          <w:lang w:val="pt-BR" w:eastAsia="zh-CN" w:bidi="ar-SA"/>
        </w:rPr>
        <w:t>（r</w:t>
      </w:r>
      <w:r>
        <w:rPr>
          <w:rFonts w:ascii="Times New Roman" w:hAnsi="Times New Roman" w:eastAsia="宋体" w:cs="宋体"/>
          <w:kern w:val="2"/>
          <w:sz w:val="24"/>
          <w:szCs w:val="24"/>
          <w:vertAlign w:val="subscript"/>
          <w:lang w:val="pt-BR" w:eastAsia="zh-CN" w:bidi="ar-SA"/>
        </w:rPr>
        <w:t>0</w:t>
      </w:r>
      <w:r>
        <w:rPr>
          <w:rFonts w:ascii="Times New Roman" w:hAnsi="Times New Roman" w:eastAsia="宋体" w:cs="宋体"/>
          <w:kern w:val="2"/>
          <w:sz w:val="24"/>
          <w:szCs w:val="24"/>
          <w:lang w:val="pt-BR" w:eastAsia="zh-CN" w:bidi="ar-SA"/>
        </w:rPr>
        <w:t>）</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pt-BR" w:eastAsia="zh-CN" w:bidi="ar-SA"/>
        </w:rPr>
        <w:t>（Adiv+Aatm+Agr+Abar+Amisc）</w:t>
      </w:r>
      <w:bookmarkEnd w:id="1245"/>
      <w:bookmarkEnd w:id="1246"/>
      <w:bookmarkEnd w:id="1247"/>
      <w:bookmarkEnd w:id="1248"/>
    </w:p>
    <w:p>
      <w:pPr>
        <w:pStyle w:val="5"/>
        <w:bidi w:val="0"/>
        <w:rPr>
          <w:rFonts w:hint="default"/>
          <w:lang w:val="en-US" w:eastAsia="zh-CN"/>
        </w:rPr>
      </w:pPr>
      <w:bookmarkStart w:id="1249" w:name="_Toc24662"/>
      <w:r>
        <w:rPr>
          <w:rFonts w:hint="default"/>
          <w:lang w:val="en-US" w:eastAsia="zh-CN"/>
        </w:rPr>
        <w:t>预测内容</w:t>
      </w:r>
      <w:bookmarkEnd w:id="1249"/>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预测分析本项目营运情况下，对四周厂界的影响。</w:t>
      </w:r>
    </w:p>
    <w:p>
      <w:pPr>
        <w:pStyle w:val="5"/>
        <w:bidi w:val="0"/>
        <w:rPr>
          <w:rFonts w:hint="default"/>
          <w:lang w:val="en-US" w:eastAsia="zh-CN"/>
        </w:rPr>
      </w:pPr>
      <w:bookmarkStart w:id="1250" w:name="_Toc5052"/>
      <w:r>
        <w:rPr>
          <w:rFonts w:hint="default"/>
          <w:lang w:val="en-US" w:eastAsia="zh-CN"/>
        </w:rPr>
        <w:t>预测结果</w:t>
      </w:r>
      <w:bookmarkEnd w:id="1250"/>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本项目各厂界噪声预测结果见</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_Ref19853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6</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17</w:t>
      </w:r>
      <w:r>
        <w:rPr>
          <w:rFonts w:hint="default" w:ascii="Times New Roman" w:hAnsi="Times New Roman" w:eastAsia="宋体" w:cs="宋体"/>
          <w:kern w:val="2"/>
          <w:sz w:val="24"/>
          <w:szCs w:val="24"/>
          <w:lang w:val="en-US" w:eastAsia="zh-CN" w:bidi="ar-SA"/>
        </w:rPr>
        <w:fldChar w:fldCharType="end"/>
      </w:r>
      <w:r>
        <w:rPr>
          <w:rFonts w:hint="default" w:ascii="Times New Roman" w:hAnsi="Times New Roman" w:eastAsia="宋体" w:cs="宋体"/>
          <w:kern w:val="2"/>
          <w:sz w:val="24"/>
          <w:szCs w:val="24"/>
          <w:lang w:val="en-US" w:eastAsia="zh-CN" w:bidi="ar-SA"/>
        </w:rPr>
        <w:t>。</w:t>
      </w:r>
    </w:p>
    <w:p>
      <w:pPr>
        <w:widowControl w:val="0"/>
        <w:bidi w:val="0"/>
        <w:spacing w:line="360" w:lineRule="auto"/>
        <w:jc w:val="center"/>
        <w:rPr>
          <w:rFonts w:hint="default" w:ascii="Times New Roman" w:hAnsi="Times New Roman" w:eastAsia="宋体" w:cs="Times New Roman"/>
          <w:b/>
          <w:kern w:val="2"/>
          <w:sz w:val="21"/>
          <w:szCs w:val="21"/>
          <w:lang w:val="en-US" w:eastAsia="zh-CN" w:bidi="ar-SA"/>
        </w:rPr>
      </w:pPr>
      <w:bookmarkStart w:id="1251" w:name="_Ref19853"/>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6</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17</w:t>
      </w:r>
      <w:r>
        <w:rPr>
          <w:rFonts w:ascii="Times New Roman" w:hAnsi="Times New Roman" w:eastAsia="宋体" w:cs="Times New Roman"/>
          <w:b/>
          <w:kern w:val="2"/>
          <w:sz w:val="21"/>
          <w:szCs w:val="21"/>
          <w:lang w:val="en-US" w:eastAsia="zh-CN" w:bidi="ar-SA"/>
        </w:rPr>
        <w:fldChar w:fldCharType="end"/>
      </w:r>
      <w:bookmarkEnd w:id="1251"/>
      <w:r>
        <w:rPr>
          <w:rFonts w:hint="default" w:ascii="Times New Roman" w:hAnsi="Times New Roman" w:eastAsia="宋体" w:cs="Times New Roman"/>
          <w:b/>
          <w:kern w:val="2"/>
          <w:sz w:val="21"/>
          <w:szCs w:val="21"/>
          <w:lang w:val="en-US" w:eastAsia="zh-CN" w:bidi="ar-SA"/>
        </w:rPr>
        <w:t>噪声影响预测结果，dB</w:t>
      </w:r>
      <w:r>
        <w:rPr>
          <w:rFonts w:hint="eastAsia" w:cs="Times New Roman"/>
          <w:b/>
          <w:kern w:val="2"/>
          <w:sz w:val="21"/>
          <w:szCs w:val="21"/>
          <w:lang w:val="en-US" w:eastAsia="zh-CN" w:bidi="ar-SA"/>
        </w:rPr>
        <w:t>（A）</w:t>
      </w:r>
    </w:p>
    <w:tbl>
      <w:tblPr>
        <w:tblStyle w:val="23"/>
        <w:tblW w:w="455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180"/>
        <w:gridCol w:w="1531"/>
        <w:gridCol w:w="1531"/>
        <w:gridCol w:w="1531"/>
        <w:gridCol w:w="15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0" w:type="dxa"/>
            <w:gridSpan w:val="2"/>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预测点位置</w:t>
            </w:r>
          </w:p>
        </w:tc>
        <w:tc>
          <w:tcPr>
            <w:tcW w:w="153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东厂界</w:t>
            </w:r>
          </w:p>
        </w:tc>
        <w:tc>
          <w:tcPr>
            <w:tcW w:w="153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南厂界</w:t>
            </w:r>
          </w:p>
        </w:tc>
        <w:tc>
          <w:tcPr>
            <w:tcW w:w="153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西厂界</w:t>
            </w:r>
          </w:p>
        </w:tc>
        <w:tc>
          <w:tcPr>
            <w:tcW w:w="153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北厂界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昼间</w:t>
            </w:r>
          </w:p>
        </w:tc>
        <w:tc>
          <w:tcPr>
            <w:tcW w:w="118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预测</w:t>
            </w:r>
            <w:r>
              <w:rPr>
                <w:rFonts w:hint="default" w:ascii="Times New Roman" w:hAnsi="Times New Roman" w:eastAsia="宋体" w:cs="Times New Roman"/>
                <w:kern w:val="2"/>
                <w:sz w:val="24"/>
                <w:szCs w:val="24"/>
                <w:lang w:val="en-US" w:eastAsia="zh-CN" w:bidi="ar-SA"/>
              </w:rPr>
              <w:t>值</w:t>
            </w:r>
          </w:p>
        </w:tc>
        <w:tc>
          <w:tcPr>
            <w:tcW w:w="153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58.6</w:t>
            </w:r>
          </w:p>
        </w:tc>
        <w:tc>
          <w:tcPr>
            <w:tcW w:w="153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54.2</w:t>
            </w:r>
          </w:p>
        </w:tc>
        <w:tc>
          <w:tcPr>
            <w:tcW w:w="153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61.3</w:t>
            </w:r>
          </w:p>
        </w:tc>
        <w:tc>
          <w:tcPr>
            <w:tcW w:w="153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1180"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标准值</w:t>
            </w:r>
          </w:p>
        </w:tc>
        <w:tc>
          <w:tcPr>
            <w:tcW w:w="6124" w:type="dxa"/>
            <w:gridSpan w:val="4"/>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vMerge w:val="restart"/>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夜</w:t>
            </w:r>
            <w:r>
              <w:rPr>
                <w:rFonts w:hint="default" w:ascii="Times New Roman" w:hAnsi="Times New Roman" w:eastAsia="宋体" w:cs="Times New Roman"/>
                <w:kern w:val="2"/>
                <w:sz w:val="24"/>
                <w:szCs w:val="24"/>
                <w:lang w:val="en-US" w:eastAsia="zh-CN" w:bidi="ar-SA"/>
              </w:rPr>
              <w:t>间</w:t>
            </w:r>
          </w:p>
        </w:tc>
        <w:tc>
          <w:tcPr>
            <w:tcW w:w="118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预测</w:t>
            </w:r>
            <w:r>
              <w:rPr>
                <w:rFonts w:hint="default" w:ascii="Times New Roman" w:hAnsi="Times New Roman" w:eastAsia="宋体" w:cs="Times New Roman"/>
                <w:kern w:val="2"/>
                <w:sz w:val="24"/>
                <w:szCs w:val="24"/>
                <w:lang w:val="en-US" w:eastAsia="zh-CN" w:bidi="ar-SA"/>
              </w:rPr>
              <w:t>值</w:t>
            </w:r>
          </w:p>
        </w:tc>
        <w:tc>
          <w:tcPr>
            <w:tcW w:w="153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47.5</w:t>
            </w:r>
          </w:p>
        </w:tc>
        <w:tc>
          <w:tcPr>
            <w:tcW w:w="153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45.8</w:t>
            </w:r>
          </w:p>
        </w:tc>
        <w:tc>
          <w:tcPr>
            <w:tcW w:w="153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48.2</w:t>
            </w:r>
          </w:p>
        </w:tc>
        <w:tc>
          <w:tcPr>
            <w:tcW w:w="153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vMerge w:val="continue"/>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c>
          <w:tcPr>
            <w:tcW w:w="1180"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标准值</w:t>
            </w:r>
          </w:p>
        </w:tc>
        <w:tc>
          <w:tcPr>
            <w:tcW w:w="6124" w:type="dxa"/>
            <w:gridSpan w:val="4"/>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80" w:type="dxa"/>
            <w:gridSpan w:val="2"/>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达标</w:t>
            </w:r>
            <w:r>
              <w:rPr>
                <w:rFonts w:hint="eastAsia" w:ascii="Times New Roman" w:hAnsi="Times New Roman" w:eastAsia="宋体" w:cs="Times New Roman"/>
                <w:kern w:val="2"/>
                <w:sz w:val="24"/>
                <w:szCs w:val="24"/>
                <w:lang w:val="en-US" w:eastAsia="zh-CN" w:bidi="ar-SA"/>
              </w:rPr>
              <w:t>可行性</w:t>
            </w:r>
          </w:p>
        </w:tc>
        <w:tc>
          <w:tcPr>
            <w:tcW w:w="153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达标</w:t>
            </w:r>
          </w:p>
        </w:tc>
        <w:tc>
          <w:tcPr>
            <w:tcW w:w="153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达标</w:t>
            </w:r>
          </w:p>
        </w:tc>
        <w:tc>
          <w:tcPr>
            <w:tcW w:w="153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达标</w:t>
            </w:r>
          </w:p>
        </w:tc>
        <w:tc>
          <w:tcPr>
            <w:tcW w:w="153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达标</w:t>
            </w:r>
          </w:p>
        </w:tc>
      </w:tr>
    </w:tbl>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由上表可知，项目建成营运后，本项目厂界昼间噪声贡献值及预测值均能达到《工业企业厂界环境噪声排放标准》（GB12348-2008）中3类昼间标准要求。为确保整个企业在日常生产过程中设备噪声不对周边环境产生不良影响，同时给车间操作人员创造良好的工作环境，要求建设单位做好以下工作。</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具体如下：</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①尽量选用加工精度高、运行噪声低的设备；</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default" w:ascii="Times New Roman" w:hAnsi="Times New Roman" w:eastAsia="宋体" w:cs="宋体"/>
          <w:kern w:val="2"/>
          <w:sz w:val="24"/>
          <w:szCs w:val="24"/>
          <w:lang w:val="en-US" w:eastAsia="zh-CN" w:bidi="ar-SA"/>
        </w:rPr>
        <w:t>②对设备噪声，最好能将高噪声设备尽量不知在车间中部；生产时尽量少开启门窗，采用换气扇进行通风换气。</w:t>
      </w:r>
    </w:p>
    <w:p>
      <w:pPr>
        <w:pStyle w:val="4"/>
        <w:bidi w:val="0"/>
        <w:rPr>
          <w:lang w:val="en-US" w:eastAsia="zh-CN"/>
        </w:rPr>
      </w:pPr>
      <w:bookmarkStart w:id="1252" w:name="_Toc18620"/>
      <w:bookmarkStart w:id="1253" w:name="_Toc939"/>
      <w:bookmarkStart w:id="1254" w:name="_Toc32204"/>
      <w:bookmarkStart w:id="1255" w:name="_Toc21563"/>
      <w:bookmarkStart w:id="1256" w:name="_Toc3138"/>
      <w:bookmarkStart w:id="1257" w:name="_Toc16346"/>
      <w:r>
        <w:rPr>
          <w:lang w:val="en-US" w:eastAsia="zh-CN"/>
        </w:rPr>
        <w:t>固体废物环境影响评价</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52"/>
      <w:bookmarkEnd w:id="1253"/>
      <w:bookmarkEnd w:id="1254"/>
      <w:bookmarkEnd w:id="1255"/>
      <w:bookmarkEnd w:id="1256"/>
      <w:bookmarkEnd w:id="1257"/>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1258" w:name="_Toc23883_WPSOffice_Level1"/>
      <w:bookmarkStart w:id="1259" w:name="_Toc7995_WPSOffice_Level1"/>
      <w:bookmarkStart w:id="1260" w:name="_Toc23109"/>
      <w:bookmarkStart w:id="1261" w:name="_Toc19407"/>
      <w:bookmarkStart w:id="1262" w:name="_Toc26388"/>
      <w:bookmarkStart w:id="1263" w:name="_Toc25642"/>
      <w:bookmarkStart w:id="1264" w:name="_Toc16332"/>
      <w:bookmarkStart w:id="1265" w:name="_Toc7268_WPSOffice_Level1"/>
      <w:bookmarkStart w:id="1266" w:name="_Toc21317_WPSOffice_Level1"/>
      <w:bookmarkStart w:id="1267" w:name="_Toc7828"/>
      <w:bookmarkStart w:id="1268" w:name="_Toc372124956"/>
      <w:r>
        <w:rPr>
          <w:rFonts w:ascii="Times New Roman" w:hAnsi="Times New Roman" w:eastAsia="宋体" w:cs="宋体"/>
          <w:kern w:val="2"/>
          <w:sz w:val="24"/>
          <w:szCs w:val="24"/>
          <w:lang w:val="en-US" w:eastAsia="zh-CN" w:bidi="ar-SA"/>
        </w:rPr>
        <w:t>本项目</w:t>
      </w:r>
      <w:r>
        <w:rPr>
          <w:rFonts w:hint="eastAsia" w:ascii="Times New Roman" w:hAnsi="Times New Roman" w:eastAsia="宋体" w:cs="宋体"/>
          <w:kern w:val="2"/>
          <w:sz w:val="24"/>
          <w:szCs w:val="24"/>
          <w:lang w:val="en-US" w:eastAsia="zh-CN" w:bidi="ar-SA"/>
        </w:rPr>
        <w:t>运营期固体</w:t>
      </w:r>
      <w:r>
        <w:rPr>
          <w:rFonts w:ascii="Times New Roman" w:hAnsi="Times New Roman" w:eastAsia="宋体" w:cs="宋体"/>
          <w:kern w:val="2"/>
          <w:sz w:val="24"/>
          <w:szCs w:val="24"/>
          <w:lang w:val="en-US" w:eastAsia="zh-CN" w:bidi="ar-SA"/>
        </w:rPr>
        <w:t>废物</w:t>
      </w:r>
      <w:r>
        <w:rPr>
          <w:rFonts w:hint="eastAsia" w:ascii="Times New Roman" w:hAnsi="Times New Roman" w:eastAsia="宋体" w:cs="宋体"/>
          <w:kern w:val="2"/>
          <w:sz w:val="24"/>
          <w:szCs w:val="24"/>
          <w:lang w:val="en-US" w:eastAsia="zh-CN" w:bidi="ar-SA"/>
        </w:rPr>
        <w:t>主要为原料桶标签纸、破损包装桶、</w:t>
      </w:r>
      <w:r>
        <w:rPr>
          <w:rFonts w:hint="eastAsia" w:cs="Times New Roman"/>
          <w:kern w:val="2"/>
          <w:sz w:val="24"/>
          <w:szCs w:val="24"/>
          <w:lang w:val="en-US" w:eastAsia="zh-CN" w:bidi="ar-SA"/>
        </w:rPr>
        <w:t>实验室固废、</w:t>
      </w:r>
      <w:r>
        <w:rPr>
          <w:rFonts w:hint="eastAsia" w:ascii="Times New Roman" w:hAnsi="Times New Roman" w:eastAsia="宋体" w:cs="宋体"/>
          <w:kern w:val="2"/>
          <w:sz w:val="24"/>
          <w:szCs w:val="24"/>
          <w:lang w:val="en-US" w:eastAsia="zh-CN" w:bidi="ar-SA"/>
        </w:rPr>
        <w:t>废活性炭</w:t>
      </w:r>
      <w:r>
        <w:rPr>
          <w:rFonts w:hint="eastAsia" w:cs="宋体"/>
          <w:kern w:val="2"/>
          <w:sz w:val="24"/>
          <w:szCs w:val="24"/>
          <w:lang w:val="en-US" w:eastAsia="zh-CN" w:bidi="ar-SA"/>
        </w:rPr>
        <w:t>、电动叉车废弃电瓶</w:t>
      </w:r>
      <w:r>
        <w:rPr>
          <w:rFonts w:hint="eastAsia" w:ascii="Times New Roman" w:hAnsi="Times New Roman" w:eastAsia="宋体" w:cs="宋体"/>
          <w:kern w:val="2"/>
          <w:sz w:val="24"/>
          <w:szCs w:val="24"/>
          <w:lang w:val="en-US" w:eastAsia="zh-CN" w:bidi="ar-SA"/>
        </w:rPr>
        <w:t>和生活垃圾</w:t>
      </w:r>
      <w:r>
        <w:rPr>
          <w:rFonts w:ascii="Times New Roman" w:hAnsi="Times New Roman" w:eastAsia="宋体" w:cs="宋体"/>
          <w:kern w:val="2"/>
          <w:sz w:val="24"/>
          <w:szCs w:val="24"/>
          <w:lang w:val="en-US" w:eastAsia="zh-CN" w:bidi="ar-SA"/>
        </w:rPr>
        <w:t>。</w:t>
      </w:r>
    </w:p>
    <w:p>
      <w:pPr>
        <w:pStyle w:val="5"/>
        <w:bidi w:val="0"/>
        <w:rPr>
          <w:lang w:val="en-US" w:eastAsia="zh-CN"/>
        </w:rPr>
      </w:pPr>
      <w:bookmarkStart w:id="1269" w:name="_Toc9065_WPSOffice_Level1"/>
      <w:bookmarkStart w:id="1270" w:name="_Toc10683_WPSOffice_Level1"/>
      <w:bookmarkStart w:id="1271" w:name="_Toc27075"/>
      <w:bookmarkStart w:id="1272" w:name="_Toc20665_WPSOffice_Level1"/>
      <w:bookmarkStart w:id="1273" w:name="_Toc9880_WPSOffice_Level1"/>
      <w:r>
        <w:rPr>
          <w:lang w:val="en-US" w:eastAsia="zh-CN"/>
        </w:rPr>
        <w:t>固体废物主要污染途径</w:t>
      </w:r>
      <w:bookmarkEnd w:id="1269"/>
      <w:bookmarkEnd w:id="1270"/>
      <w:bookmarkEnd w:id="1271"/>
      <w:bookmarkEnd w:id="1272"/>
      <w:bookmarkEnd w:id="1273"/>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以上各类固废由于收集、贮放、运输、处置等环节的不严格或不妥善，会造成土壤、地下水污染，其主要可能途径有：</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（1）废物产生后，不能完全收集而流失于环境中；</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（2）废物临时堆放地无防雨、防风、防渗设施，雨水洗淋后污染物随渗滤液进入土壤和地表、地下水环境，大风时也可造成风蚀流失；</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（3）因管理不善而造成人为流失继而污染环境；</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（4）废物得不到及时处置，在处置场所因各种因素造成流失；</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（5）废物处置工艺不合理，有毒有害物质被转移而造成二次污染问题；</w:t>
      </w:r>
    </w:p>
    <w:p>
      <w:pPr>
        <w:pStyle w:val="5"/>
        <w:bidi w:val="0"/>
        <w:rPr>
          <w:lang w:val="en-US" w:eastAsia="zh-CN"/>
        </w:rPr>
      </w:pPr>
      <w:bookmarkStart w:id="1274" w:name="_Toc31207_WPSOffice_Level1"/>
      <w:bookmarkStart w:id="1275" w:name="_Toc7596"/>
      <w:bookmarkStart w:id="1276" w:name="_Toc7876_WPSOffice_Level1"/>
      <w:bookmarkStart w:id="1277" w:name="_Toc26294_WPSOffice_Level1"/>
      <w:bookmarkStart w:id="1278" w:name="_Toc17635_WPSOffice_Level1"/>
      <w:r>
        <w:rPr>
          <w:lang w:val="en-US" w:eastAsia="zh-CN"/>
        </w:rPr>
        <w:t>固体废物对环境的污染危害影响</w:t>
      </w:r>
      <w:bookmarkEnd w:id="1274"/>
      <w:bookmarkEnd w:id="1275"/>
      <w:bookmarkEnd w:id="1276"/>
      <w:bookmarkEnd w:id="1277"/>
      <w:bookmarkEnd w:id="1278"/>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本项目污染物排放如不受控制，在上述所列污染途径情况下，可能对环境的污染危害影响主要有</w:t>
      </w:r>
      <w:r>
        <w:rPr>
          <w:rFonts w:hint="eastAsia"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（1）土壤结构和土质受到破坏，土壤中微生物生长受到毒素和抑制，栖息环境恶劣，微生物种群改变和减少；</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（2）生活垃圾的杂乱堆积影响人们居住环境的卫生状况，对人们的健康构成威胁。</w:t>
      </w:r>
    </w:p>
    <w:p>
      <w:pPr>
        <w:pStyle w:val="5"/>
        <w:bidi w:val="0"/>
        <w:rPr>
          <w:lang w:val="en-US" w:eastAsia="zh-CN"/>
        </w:rPr>
      </w:pPr>
      <w:bookmarkStart w:id="1279" w:name="_Toc11577_WPSOffice_Level1"/>
      <w:bookmarkStart w:id="1280" w:name="_Toc30646"/>
      <w:bookmarkStart w:id="1281" w:name="_Toc14345_WPSOffice_Level1"/>
      <w:bookmarkStart w:id="1282" w:name="_Toc24889_WPSOffice_Level1"/>
      <w:bookmarkStart w:id="1283" w:name="_Toc25688_WPSOffice_Level1"/>
      <w:r>
        <w:rPr>
          <w:lang w:val="en-US" w:eastAsia="zh-CN"/>
        </w:rPr>
        <w:t>项目对固体废物采取的措施及影响分析</w:t>
      </w:r>
      <w:bookmarkEnd w:id="1279"/>
      <w:bookmarkEnd w:id="1280"/>
      <w:bookmarkEnd w:id="1281"/>
      <w:bookmarkEnd w:id="1282"/>
      <w:bookmarkEnd w:id="1283"/>
    </w:p>
    <w:p>
      <w:pPr>
        <w:widowControl w:val="0"/>
        <w:bidi w:val="0"/>
        <w:spacing w:line="360" w:lineRule="auto"/>
        <w:ind w:firstLine="480" w:firstLineChars="200"/>
        <w:jc w:val="left"/>
        <w:rPr>
          <w:rFonts w:hint="eastAsia" w:ascii="Times New Roman" w:hAnsi="Times New Roman" w:eastAsia="宋体" w:cs="宋体"/>
          <w:kern w:val="2"/>
          <w:sz w:val="24"/>
          <w:szCs w:val="24"/>
          <w:highlight w:val="cyan"/>
          <w:lang w:val="en-US" w:eastAsia="zh-CN" w:bidi="ar-SA"/>
        </w:rPr>
      </w:pPr>
      <w:r>
        <w:rPr>
          <w:rFonts w:hint="eastAsia" w:ascii="Times New Roman" w:hAnsi="Times New Roman" w:eastAsia="宋体" w:cs="宋体"/>
          <w:kern w:val="2"/>
          <w:sz w:val="24"/>
          <w:szCs w:val="24"/>
          <w:lang w:val="en-US" w:eastAsia="zh-CN" w:bidi="ar-SA"/>
        </w:rPr>
        <w:t>本项目固体废物利用处置方式见</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_Ref19928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6</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18</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22" w:firstLineChars="200"/>
        <w:jc w:val="center"/>
        <w:textAlignment w:val="auto"/>
        <w:rPr>
          <w:rFonts w:hint="default" w:ascii="Times New Roman" w:hAnsi="Times New Roman" w:eastAsia="宋体" w:cs="Times New Roman"/>
          <w:b/>
          <w:kern w:val="2"/>
          <w:sz w:val="21"/>
          <w:szCs w:val="21"/>
          <w:u w:val="none"/>
          <w:vertAlign w:val="baseline"/>
          <w:lang w:val="en-US" w:eastAsia="zh-CN" w:bidi="ar-SA"/>
        </w:rPr>
      </w:pPr>
      <w:bookmarkStart w:id="1284" w:name="_Ref19928"/>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6</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18</w:t>
      </w:r>
      <w:r>
        <w:rPr>
          <w:rFonts w:ascii="Times New Roman" w:hAnsi="Times New Roman" w:eastAsia="宋体" w:cs="Times New Roman"/>
          <w:b/>
          <w:kern w:val="2"/>
          <w:sz w:val="21"/>
          <w:szCs w:val="21"/>
          <w:lang w:val="en-US" w:eastAsia="zh-CN" w:bidi="ar-SA"/>
        </w:rPr>
        <w:fldChar w:fldCharType="end"/>
      </w:r>
      <w:bookmarkEnd w:id="1284"/>
      <w:r>
        <w:rPr>
          <w:rFonts w:hint="default" w:ascii="Times New Roman" w:hAnsi="Times New Roman" w:eastAsia="宋体" w:cs="Times New Roman"/>
          <w:b/>
          <w:kern w:val="2"/>
          <w:sz w:val="21"/>
          <w:szCs w:val="21"/>
          <w:lang w:val="en-US" w:eastAsia="zh-CN" w:bidi="ar-SA"/>
        </w:rPr>
        <w:t>固体废物利用处置方式汇总</w:t>
      </w:r>
    </w:p>
    <w:tbl>
      <w:tblPr>
        <w:tblStyle w:val="23"/>
        <w:tblW w:w="531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682"/>
        <w:gridCol w:w="1273"/>
        <w:gridCol w:w="2041"/>
        <w:gridCol w:w="964"/>
        <w:gridCol w:w="1587"/>
        <w:gridCol w:w="11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r>
              <w:rPr>
                <w:rFonts w:hint="default" w:ascii="Times New Roman" w:hAnsi="Times New Roman" w:eastAsia="宋体" w:cs="Times New Roman"/>
                <w:b w:val="0"/>
                <w:bCs w:val="0"/>
                <w:kern w:val="0"/>
                <w:sz w:val="24"/>
                <w:szCs w:val="24"/>
                <w:u w:val="none"/>
                <w:vertAlign w:val="baseline"/>
                <w:lang w:val="en-US" w:eastAsia="zh-CN"/>
              </w:rPr>
              <w:t>序号</w:t>
            </w:r>
          </w:p>
        </w:tc>
        <w:tc>
          <w:tcPr>
            <w:tcW w:w="16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r>
              <w:rPr>
                <w:rFonts w:hint="default" w:ascii="Times New Roman" w:hAnsi="Times New Roman" w:eastAsia="宋体" w:cs="Times New Roman"/>
                <w:b w:val="0"/>
                <w:bCs w:val="0"/>
                <w:kern w:val="0"/>
                <w:sz w:val="24"/>
                <w:szCs w:val="24"/>
                <w:u w:val="none"/>
                <w:vertAlign w:val="baseline"/>
                <w:lang w:val="en-US" w:eastAsia="zh-CN"/>
              </w:rPr>
              <w:t>废物名称</w:t>
            </w:r>
          </w:p>
        </w:tc>
        <w:tc>
          <w:tcPr>
            <w:tcW w:w="12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r>
              <w:rPr>
                <w:rFonts w:hint="default" w:ascii="Times New Roman" w:hAnsi="Times New Roman" w:eastAsia="宋体" w:cs="Times New Roman"/>
                <w:b w:val="0"/>
                <w:bCs w:val="0"/>
                <w:kern w:val="0"/>
                <w:sz w:val="24"/>
                <w:szCs w:val="24"/>
                <w:u w:val="none"/>
                <w:vertAlign w:val="baseline"/>
                <w:lang w:val="en-US" w:eastAsia="zh-CN"/>
              </w:rPr>
              <w:t>属性</w:t>
            </w:r>
          </w:p>
        </w:tc>
        <w:tc>
          <w:tcPr>
            <w:tcW w:w="20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r>
              <w:rPr>
                <w:rFonts w:hint="default" w:ascii="Times New Roman" w:hAnsi="Times New Roman" w:eastAsia="宋体" w:cs="Times New Roman"/>
                <w:b w:val="0"/>
                <w:bCs w:val="0"/>
                <w:kern w:val="0"/>
                <w:sz w:val="24"/>
                <w:szCs w:val="24"/>
                <w:u w:val="none"/>
                <w:vertAlign w:val="baseline"/>
                <w:lang w:val="en-US" w:eastAsia="zh-CN"/>
              </w:rPr>
              <w:t>废物代码</w:t>
            </w:r>
          </w:p>
        </w:tc>
        <w:tc>
          <w:tcPr>
            <w:tcW w:w="9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r>
              <w:rPr>
                <w:rFonts w:hint="default" w:ascii="Times New Roman" w:hAnsi="Times New Roman" w:eastAsia="宋体" w:cs="Times New Roman"/>
                <w:b w:val="0"/>
                <w:bCs w:val="0"/>
                <w:kern w:val="0"/>
                <w:sz w:val="24"/>
                <w:szCs w:val="24"/>
                <w:u w:val="none"/>
                <w:vertAlign w:val="baseline"/>
                <w:lang w:val="en-US" w:eastAsia="zh-CN"/>
              </w:rPr>
              <w:t>产生量</w:t>
            </w:r>
          </w:p>
        </w:tc>
        <w:tc>
          <w:tcPr>
            <w:tcW w:w="15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r>
              <w:rPr>
                <w:rFonts w:hint="default" w:ascii="Times New Roman" w:hAnsi="Times New Roman" w:eastAsia="宋体" w:cs="Times New Roman"/>
                <w:b w:val="0"/>
                <w:bCs w:val="0"/>
                <w:kern w:val="0"/>
                <w:sz w:val="24"/>
                <w:szCs w:val="24"/>
                <w:u w:val="none"/>
                <w:vertAlign w:val="baseline"/>
                <w:lang w:val="en-US" w:eastAsia="zh-CN"/>
              </w:rPr>
              <w:t>处置方式</w:t>
            </w:r>
          </w:p>
        </w:tc>
        <w:tc>
          <w:tcPr>
            <w:tcW w:w="11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r>
              <w:rPr>
                <w:rFonts w:hint="default" w:ascii="Times New Roman" w:hAnsi="Times New Roman" w:eastAsia="宋体" w:cs="Times New Roman"/>
                <w:b w:val="0"/>
                <w:bCs w:val="0"/>
                <w:kern w:val="0"/>
                <w:sz w:val="24"/>
                <w:szCs w:val="24"/>
                <w:u w:val="none"/>
                <w:vertAlign w:val="baseline"/>
                <w:lang w:val="en-US" w:eastAsia="zh-CN"/>
              </w:rPr>
              <w:t>环保要求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r>
              <w:rPr>
                <w:rFonts w:hint="default" w:ascii="Times New Roman" w:hAnsi="Times New Roman" w:eastAsia="宋体" w:cs="Times New Roman"/>
                <w:b w:val="0"/>
                <w:bCs w:val="0"/>
                <w:kern w:val="0"/>
                <w:sz w:val="24"/>
                <w:szCs w:val="24"/>
                <w:u w:val="none"/>
                <w:vertAlign w:val="baseline"/>
                <w:lang w:val="en-US" w:eastAsia="zh-CN"/>
              </w:rPr>
              <w:t>1</w:t>
            </w:r>
          </w:p>
        </w:tc>
        <w:tc>
          <w:tcPr>
            <w:tcW w:w="16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r>
              <w:rPr>
                <w:rFonts w:hint="default" w:ascii="Times New Roman" w:hAnsi="Times New Roman" w:eastAsia="宋体" w:cs="Times New Roman"/>
                <w:b w:val="0"/>
                <w:bCs w:val="0"/>
                <w:kern w:val="0"/>
                <w:sz w:val="24"/>
                <w:szCs w:val="24"/>
                <w:u w:val="none"/>
                <w:vertAlign w:val="baseline"/>
                <w:lang w:val="en-US" w:eastAsia="zh-CN"/>
              </w:rPr>
              <w:t>生活垃圾</w:t>
            </w:r>
          </w:p>
        </w:tc>
        <w:tc>
          <w:tcPr>
            <w:tcW w:w="127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r>
              <w:rPr>
                <w:rFonts w:hint="default" w:ascii="Times New Roman" w:hAnsi="Times New Roman" w:eastAsia="宋体" w:cs="Times New Roman"/>
                <w:b w:val="0"/>
                <w:bCs w:val="0"/>
                <w:kern w:val="0"/>
                <w:sz w:val="24"/>
                <w:szCs w:val="24"/>
                <w:u w:val="none"/>
                <w:vertAlign w:val="baseline"/>
                <w:lang w:val="en-US" w:eastAsia="zh-CN"/>
              </w:rPr>
              <w:t>一般固废</w:t>
            </w:r>
          </w:p>
        </w:tc>
        <w:tc>
          <w:tcPr>
            <w:tcW w:w="20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r>
              <w:rPr>
                <w:rFonts w:hint="default" w:ascii="Times New Roman" w:hAnsi="Times New Roman" w:eastAsia="宋体" w:cs="Times New Roman"/>
                <w:b w:val="0"/>
                <w:bCs w:val="0"/>
                <w:kern w:val="0"/>
                <w:sz w:val="24"/>
                <w:szCs w:val="24"/>
                <w:u w:val="none"/>
                <w:vertAlign w:val="baseline"/>
                <w:lang w:val="en-US" w:eastAsia="zh-CN"/>
              </w:rPr>
              <w:t>/</w:t>
            </w:r>
          </w:p>
        </w:tc>
        <w:tc>
          <w:tcPr>
            <w:tcW w:w="9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r>
              <w:rPr>
                <w:rFonts w:hint="eastAsia" w:ascii="Times New Roman" w:hAnsi="Times New Roman" w:eastAsia="宋体" w:cs="Times New Roman"/>
                <w:b w:val="0"/>
                <w:bCs w:val="0"/>
                <w:kern w:val="0"/>
                <w:sz w:val="24"/>
                <w:szCs w:val="24"/>
                <w:u w:val="none"/>
                <w:vertAlign w:val="baseline"/>
                <w:lang w:val="en-US" w:eastAsia="zh-CN"/>
              </w:rPr>
              <w:t>1.2</w:t>
            </w:r>
            <w:r>
              <w:rPr>
                <w:rFonts w:hint="default" w:ascii="Times New Roman" w:hAnsi="Times New Roman" w:eastAsia="宋体" w:cs="Times New Roman"/>
                <w:b w:val="0"/>
                <w:bCs w:val="0"/>
                <w:kern w:val="0"/>
                <w:sz w:val="24"/>
                <w:szCs w:val="24"/>
                <w:u w:val="none"/>
                <w:vertAlign w:val="baseline"/>
                <w:lang w:val="en-US" w:eastAsia="zh-CN"/>
              </w:rPr>
              <w:t>t/a</w:t>
            </w:r>
          </w:p>
        </w:tc>
        <w:tc>
          <w:tcPr>
            <w:tcW w:w="15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r>
              <w:rPr>
                <w:rFonts w:hint="default" w:ascii="Times New Roman" w:hAnsi="Times New Roman" w:eastAsia="宋体" w:cs="Times New Roman"/>
                <w:b w:val="0"/>
                <w:bCs w:val="0"/>
                <w:kern w:val="0"/>
                <w:sz w:val="24"/>
                <w:szCs w:val="24"/>
                <w:u w:val="none"/>
                <w:vertAlign w:val="baseline"/>
                <w:lang w:val="en-US" w:eastAsia="zh-CN"/>
              </w:rPr>
              <w:t>委托清运</w:t>
            </w:r>
          </w:p>
        </w:tc>
        <w:tc>
          <w:tcPr>
            <w:tcW w:w="11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r>
              <w:rPr>
                <w:rFonts w:hint="default" w:ascii="Times New Roman" w:hAnsi="Times New Roman" w:eastAsia="宋体" w:cs="Times New Roman"/>
                <w:b w:val="0"/>
                <w:bCs w:val="0"/>
                <w:kern w:val="0"/>
                <w:sz w:val="24"/>
                <w:szCs w:val="24"/>
                <w:u w:val="none"/>
                <w:vertAlign w:val="baseli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r>
              <w:rPr>
                <w:rFonts w:hint="eastAsia" w:cs="Times New Roman"/>
                <w:b w:val="0"/>
                <w:bCs w:val="0"/>
                <w:kern w:val="0"/>
                <w:sz w:val="24"/>
                <w:szCs w:val="24"/>
                <w:u w:val="none"/>
                <w:vertAlign w:val="baseline"/>
                <w:lang w:val="en-US" w:eastAsia="zh-CN"/>
              </w:rPr>
              <w:t>2</w:t>
            </w:r>
          </w:p>
        </w:tc>
        <w:tc>
          <w:tcPr>
            <w:tcW w:w="16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r>
              <w:rPr>
                <w:rFonts w:hint="eastAsia" w:ascii="Times New Roman" w:hAnsi="Times New Roman" w:eastAsia="宋体" w:cs="Times New Roman"/>
                <w:b w:val="0"/>
                <w:bCs w:val="0"/>
                <w:kern w:val="0"/>
                <w:sz w:val="24"/>
                <w:szCs w:val="24"/>
                <w:u w:val="none"/>
                <w:vertAlign w:val="baseline"/>
                <w:lang w:val="en-US" w:eastAsia="zh-CN"/>
              </w:rPr>
              <w:t>原料桶标签纸</w:t>
            </w:r>
          </w:p>
        </w:tc>
        <w:tc>
          <w:tcPr>
            <w:tcW w:w="12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p>
        </w:tc>
        <w:tc>
          <w:tcPr>
            <w:tcW w:w="20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r>
              <w:rPr>
                <w:rFonts w:hint="default" w:ascii="Times New Roman" w:hAnsi="Times New Roman" w:eastAsia="宋体" w:cs="Times New Roman"/>
                <w:b w:val="0"/>
                <w:bCs w:val="0"/>
                <w:kern w:val="0"/>
                <w:sz w:val="24"/>
                <w:szCs w:val="24"/>
                <w:u w:val="none"/>
                <w:vertAlign w:val="baseline"/>
                <w:lang w:val="en-US" w:eastAsia="zh-CN"/>
              </w:rPr>
              <w:t>/</w:t>
            </w:r>
          </w:p>
        </w:tc>
        <w:tc>
          <w:tcPr>
            <w:tcW w:w="9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eastAsia="宋体" w:cs="Times New Roman"/>
                <w:b w:val="0"/>
                <w:bCs w:val="0"/>
                <w:color w:val="000000"/>
                <w:kern w:val="0"/>
                <w:sz w:val="24"/>
                <w:szCs w:val="24"/>
                <w:u w:val="none"/>
                <w:vertAlign w:val="baseline"/>
                <w:lang w:val="en-US" w:eastAsia="zh-CN"/>
              </w:rPr>
            </w:pPr>
            <w:r>
              <w:rPr>
                <w:rFonts w:hint="eastAsia" w:cs="Times New Roman"/>
                <w:b w:val="0"/>
                <w:bCs w:val="0"/>
                <w:color w:val="000000"/>
                <w:sz w:val="24"/>
                <w:szCs w:val="24"/>
                <w:lang w:val="en-US" w:eastAsia="zh-CN"/>
              </w:rPr>
              <w:t>0.3t/a</w:t>
            </w:r>
          </w:p>
        </w:tc>
        <w:tc>
          <w:tcPr>
            <w:tcW w:w="15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p>
        </w:tc>
        <w:tc>
          <w:tcPr>
            <w:tcW w:w="11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r>
              <w:rPr>
                <w:rFonts w:hint="eastAsia" w:cs="Times New Roman"/>
                <w:b w:val="0"/>
                <w:bCs w:val="0"/>
                <w:kern w:val="0"/>
                <w:sz w:val="24"/>
                <w:szCs w:val="24"/>
                <w:u w:val="none"/>
                <w:vertAlign w:val="baseline"/>
                <w:lang w:val="en-US" w:eastAsia="zh-CN"/>
              </w:rPr>
              <w:t>3</w:t>
            </w:r>
          </w:p>
        </w:tc>
        <w:tc>
          <w:tcPr>
            <w:tcW w:w="16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r>
              <w:rPr>
                <w:rFonts w:hint="eastAsia" w:ascii="Times New Roman" w:hAnsi="Times New Roman" w:eastAsia="宋体" w:cs="Times New Roman"/>
                <w:b w:val="0"/>
                <w:bCs w:val="0"/>
                <w:kern w:val="0"/>
                <w:sz w:val="24"/>
                <w:szCs w:val="24"/>
                <w:u w:val="none"/>
                <w:vertAlign w:val="baseline"/>
                <w:lang w:val="en-US" w:eastAsia="zh-CN"/>
              </w:rPr>
              <w:t>破损包装桶</w:t>
            </w:r>
          </w:p>
        </w:tc>
        <w:tc>
          <w:tcPr>
            <w:tcW w:w="12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p>
        </w:tc>
        <w:tc>
          <w:tcPr>
            <w:tcW w:w="20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r>
              <w:rPr>
                <w:rFonts w:hint="eastAsia" w:ascii="Times New Roman" w:hAnsi="Times New Roman" w:eastAsia="宋体" w:cs="Times New Roman"/>
                <w:b w:val="0"/>
                <w:bCs w:val="0"/>
                <w:kern w:val="0"/>
                <w:sz w:val="24"/>
                <w:szCs w:val="24"/>
                <w:u w:val="none"/>
                <w:vertAlign w:val="baseline"/>
                <w:lang w:val="en-US" w:eastAsia="zh-CN"/>
              </w:rPr>
              <w:t>/</w:t>
            </w:r>
          </w:p>
        </w:tc>
        <w:tc>
          <w:tcPr>
            <w:tcW w:w="96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eastAsia="宋体" w:cs="Times New Roman"/>
                <w:b w:val="0"/>
                <w:bCs w:val="0"/>
                <w:color w:val="000000"/>
                <w:kern w:val="0"/>
                <w:sz w:val="24"/>
                <w:szCs w:val="24"/>
                <w:u w:val="none"/>
                <w:vertAlign w:val="baseline"/>
                <w:lang w:val="en-US" w:eastAsia="zh-CN"/>
              </w:rPr>
            </w:pPr>
            <w:r>
              <w:rPr>
                <w:rFonts w:hint="eastAsia" w:ascii="Times New Roman" w:hAnsi="Times New Roman" w:eastAsia="宋体" w:cs="Times New Roman"/>
                <w:b w:val="0"/>
                <w:bCs w:val="0"/>
                <w:color w:val="000000"/>
                <w:sz w:val="24"/>
                <w:szCs w:val="24"/>
                <w:lang w:val="en-US" w:eastAsia="zh-CN"/>
              </w:rPr>
              <w:t>0.6t/a</w:t>
            </w:r>
          </w:p>
        </w:tc>
        <w:tc>
          <w:tcPr>
            <w:tcW w:w="15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p>
        </w:tc>
        <w:tc>
          <w:tcPr>
            <w:tcW w:w="11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cs="Times New Roman"/>
                <w:b w:val="0"/>
                <w:bCs w:val="0"/>
                <w:kern w:val="0"/>
                <w:sz w:val="24"/>
                <w:szCs w:val="24"/>
                <w:u w:val="none"/>
                <w:vertAlign w:val="baseline"/>
                <w:lang w:val="en-US" w:eastAsia="zh-CN"/>
              </w:rPr>
            </w:pPr>
            <w:r>
              <w:rPr>
                <w:rFonts w:hint="eastAsia" w:cs="Times New Roman"/>
                <w:b w:val="0"/>
                <w:bCs w:val="0"/>
                <w:kern w:val="0"/>
                <w:sz w:val="24"/>
                <w:szCs w:val="24"/>
                <w:u w:val="none"/>
                <w:vertAlign w:val="baseline"/>
                <w:lang w:val="en-US" w:eastAsia="zh-CN"/>
              </w:rPr>
              <w:t>4</w:t>
            </w:r>
          </w:p>
        </w:tc>
        <w:tc>
          <w:tcPr>
            <w:tcW w:w="16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eastAsia" w:ascii="Times New Roman" w:hAnsi="Times New Roman" w:eastAsia="宋体" w:cs="Times New Roman"/>
                <w:b w:val="0"/>
                <w:bCs w:val="0"/>
                <w:kern w:val="0"/>
                <w:sz w:val="24"/>
                <w:szCs w:val="24"/>
                <w:u w:val="none"/>
                <w:vertAlign w:val="baseline"/>
                <w:lang w:val="en-US" w:eastAsia="zh-CN"/>
              </w:rPr>
            </w:pPr>
            <w:r>
              <w:rPr>
                <w:rFonts w:hint="eastAsia" w:cs="Times New Roman"/>
                <w:kern w:val="2"/>
                <w:sz w:val="24"/>
                <w:szCs w:val="24"/>
                <w:lang w:val="en-US" w:eastAsia="zh-CN" w:bidi="ar-SA"/>
              </w:rPr>
              <w:t>实验室固废</w:t>
            </w:r>
          </w:p>
        </w:tc>
        <w:tc>
          <w:tcPr>
            <w:tcW w:w="12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p>
        </w:tc>
        <w:tc>
          <w:tcPr>
            <w:tcW w:w="20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r>
              <w:rPr>
                <w:rFonts w:hint="eastAsia" w:cs="Times New Roman"/>
                <w:b w:val="0"/>
                <w:bCs w:val="0"/>
                <w:kern w:val="0"/>
                <w:sz w:val="24"/>
                <w:szCs w:val="24"/>
                <w:u w:val="none"/>
                <w:vertAlign w:val="baseline"/>
                <w:lang w:val="en-US" w:eastAsia="zh-CN"/>
              </w:rPr>
              <w:t>/</w:t>
            </w:r>
          </w:p>
        </w:tc>
        <w:tc>
          <w:tcPr>
            <w:tcW w:w="96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eastAsia="宋体" w:cs="Times New Roman"/>
                <w:b w:val="0"/>
                <w:bCs w:val="0"/>
                <w:color w:val="000000"/>
                <w:sz w:val="24"/>
                <w:szCs w:val="24"/>
                <w:lang w:val="en-US" w:eastAsia="zh-CN"/>
              </w:rPr>
            </w:pPr>
            <w:r>
              <w:rPr>
                <w:rFonts w:hint="eastAsia" w:cs="Times New Roman"/>
                <w:b w:val="0"/>
                <w:bCs w:val="0"/>
                <w:color w:val="000000"/>
                <w:sz w:val="24"/>
                <w:szCs w:val="24"/>
                <w:lang w:val="en-US" w:eastAsia="zh-CN"/>
              </w:rPr>
              <w:t>0.1t/a</w:t>
            </w:r>
          </w:p>
        </w:tc>
        <w:tc>
          <w:tcPr>
            <w:tcW w:w="15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p>
        </w:tc>
        <w:tc>
          <w:tcPr>
            <w:tcW w:w="11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r>
              <w:rPr>
                <w:rFonts w:hint="eastAsia" w:cs="Times New Roman"/>
                <w:b w:val="0"/>
                <w:bCs w:val="0"/>
                <w:kern w:val="0"/>
                <w:sz w:val="24"/>
                <w:szCs w:val="24"/>
                <w:u w:val="none"/>
                <w:vertAlign w:val="baseline"/>
                <w:lang w:val="en-US" w:eastAsia="zh-CN"/>
              </w:rPr>
              <w:t>5</w:t>
            </w:r>
          </w:p>
        </w:tc>
        <w:tc>
          <w:tcPr>
            <w:tcW w:w="16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eastAsia" w:ascii="Times New Roman" w:hAnsi="Times New Roman" w:eastAsia="宋体" w:cs="Times New Roman"/>
                <w:b w:val="0"/>
                <w:bCs w:val="0"/>
                <w:kern w:val="0"/>
                <w:sz w:val="24"/>
                <w:szCs w:val="24"/>
                <w:u w:val="none"/>
                <w:vertAlign w:val="baseline"/>
                <w:lang w:val="en-US" w:eastAsia="zh-CN"/>
              </w:rPr>
            </w:pPr>
            <w:r>
              <w:rPr>
                <w:rFonts w:hint="eastAsia" w:ascii="Times New Roman" w:hAnsi="Times New Roman" w:eastAsia="宋体" w:cs="Times New Roman"/>
                <w:b w:val="0"/>
                <w:bCs w:val="0"/>
                <w:kern w:val="0"/>
                <w:sz w:val="24"/>
                <w:szCs w:val="24"/>
                <w:u w:val="none"/>
                <w:vertAlign w:val="baseline"/>
                <w:lang w:val="en-US" w:eastAsia="zh-CN"/>
              </w:rPr>
              <w:t>废活性炭</w:t>
            </w:r>
          </w:p>
        </w:tc>
        <w:tc>
          <w:tcPr>
            <w:tcW w:w="127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eastAsia" w:cs="Times New Roman"/>
                <w:b w:val="0"/>
                <w:bCs w:val="0"/>
                <w:kern w:val="0"/>
                <w:sz w:val="24"/>
                <w:szCs w:val="24"/>
                <w:u w:val="none"/>
                <w:vertAlign w:val="baseline"/>
                <w:lang w:val="en-US" w:eastAsia="zh-CN"/>
              </w:rPr>
            </w:pPr>
            <w:r>
              <w:rPr>
                <w:rFonts w:hint="eastAsia" w:cs="Times New Roman"/>
                <w:b w:val="0"/>
                <w:bCs w:val="0"/>
                <w:kern w:val="0"/>
                <w:sz w:val="24"/>
                <w:szCs w:val="24"/>
                <w:u w:val="none"/>
                <w:vertAlign w:val="baseline"/>
                <w:lang w:val="en-US" w:eastAsia="zh-CN"/>
              </w:rPr>
              <w:t>危险</w:t>
            </w:r>
            <w:r>
              <w:rPr>
                <w:rFonts w:hint="default" w:ascii="Times New Roman" w:hAnsi="Times New Roman" w:eastAsia="宋体" w:cs="Times New Roman"/>
                <w:b w:val="0"/>
                <w:bCs w:val="0"/>
                <w:kern w:val="0"/>
                <w:sz w:val="24"/>
                <w:szCs w:val="24"/>
                <w:u w:val="none"/>
                <w:vertAlign w:val="baseline"/>
                <w:lang w:val="en-US" w:eastAsia="zh-CN"/>
              </w:rPr>
              <w:t>固废</w:t>
            </w:r>
          </w:p>
        </w:tc>
        <w:tc>
          <w:tcPr>
            <w:tcW w:w="20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eastAsia" w:ascii="Times New Roman" w:hAnsi="Times New Roman" w:eastAsia="宋体" w:cs="Times New Roman"/>
                <w:b w:val="0"/>
                <w:bCs w:val="0"/>
                <w:kern w:val="0"/>
                <w:sz w:val="24"/>
                <w:szCs w:val="24"/>
                <w:u w:val="none"/>
                <w:vertAlign w:val="baseline"/>
                <w:lang w:val="en-US" w:eastAsia="zh-CN"/>
              </w:rPr>
            </w:pPr>
            <w:r>
              <w:rPr>
                <w:rFonts w:hint="eastAsia" w:ascii="Times New Roman" w:hAnsi="Times New Roman" w:eastAsia="宋体" w:cs="Times New Roman"/>
                <w:b w:val="0"/>
                <w:bCs w:val="0"/>
                <w:kern w:val="0"/>
                <w:sz w:val="24"/>
                <w:szCs w:val="24"/>
                <w:u w:val="none"/>
                <w:vertAlign w:val="baseline"/>
                <w:lang w:val="en-US" w:eastAsia="zh-CN"/>
              </w:rPr>
              <w:t>危险废物(HW49，</w:t>
            </w:r>
          </w:p>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eastAsia" w:ascii="Times New Roman" w:hAnsi="Times New Roman" w:eastAsia="宋体" w:cs="Times New Roman"/>
                <w:b w:val="0"/>
                <w:bCs w:val="0"/>
                <w:kern w:val="0"/>
                <w:sz w:val="24"/>
                <w:szCs w:val="24"/>
                <w:u w:val="none"/>
                <w:vertAlign w:val="baseline"/>
                <w:lang w:val="en-US" w:eastAsia="zh-CN"/>
              </w:rPr>
            </w:pPr>
            <w:r>
              <w:rPr>
                <w:rFonts w:hint="eastAsia" w:ascii="Times New Roman" w:hAnsi="Times New Roman" w:eastAsia="宋体" w:cs="Times New Roman"/>
                <w:b w:val="0"/>
                <w:bCs w:val="0"/>
                <w:kern w:val="0"/>
                <w:sz w:val="24"/>
                <w:szCs w:val="24"/>
                <w:u w:val="none"/>
                <w:vertAlign w:val="baseline"/>
                <w:lang w:val="en-US" w:eastAsia="zh-CN"/>
              </w:rPr>
              <w:t>代码900-041-49)</w:t>
            </w:r>
          </w:p>
        </w:tc>
        <w:tc>
          <w:tcPr>
            <w:tcW w:w="9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eastAsia" w:ascii="Times New Roman" w:hAnsi="Times New Roman" w:eastAsia="宋体" w:cs="Times New Roman"/>
                <w:b w:val="0"/>
                <w:bCs w:val="0"/>
                <w:color w:val="000000"/>
                <w:sz w:val="24"/>
                <w:szCs w:val="24"/>
                <w:lang w:val="en-US" w:eastAsia="zh-CN"/>
              </w:rPr>
            </w:pPr>
            <w:r>
              <w:rPr>
                <w:rFonts w:hint="eastAsia" w:cs="Times New Roman"/>
                <w:b w:val="0"/>
                <w:bCs w:val="0"/>
                <w:kern w:val="0"/>
                <w:sz w:val="24"/>
                <w:szCs w:val="24"/>
                <w:u w:val="none"/>
                <w:vertAlign w:val="baseline"/>
                <w:lang w:val="en-US" w:eastAsia="zh-CN"/>
              </w:rPr>
              <w:t>4.6</w:t>
            </w:r>
            <w:r>
              <w:rPr>
                <w:rFonts w:hint="default" w:ascii="Times New Roman" w:hAnsi="Times New Roman" w:eastAsia="宋体" w:cs="Times New Roman"/>
                <w:b w:val="0"/>
                <w:bCs w:val="0"/>
                <w:kern w:val="0"/>
                <w:sz w:val="24"/>
                <w:szCs w:val="24"/>
                <w:u w:val="none"/>
                <w:vertAlign w:val="baseline"/>
                <w:lang w:val="en-US" w:eastAsia="zh-CN"/>
              </w:rPr>
              <w:t>t/a</w:t>
            </w:r>
          </w:p>
        </w:tc>
        <w:tc>
          <w:tcPr>
            <w:tcW w:w="15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eastAsia" w:ascii="Times New Roman" w:hAnsi="Times New Roman" w:eastAsia="宋体" w:cs="Times New Roman"/>
                <w:b w:val="0"/>
                <w:bCs w:val="0"/>
                <w:kern w:val="0"/>
                <w:sz w:val="24"/>
                <w:szCs w:val="24"/>
                <w:u w:val="none"/>
                <w:vertAlign w:val="baseline"/>
                <w:lang w:val="en-US" w:eastAsia="zh-CN"/>
              </w:rPr>
            </w:pPr>
            <w:r>
              <w:rPr>
                <w:rFonts w:hint="eastAsia" w:cs="Times New Roman"/>
                <w:b w:val="0"/>
                <w:bCs w:val="0"/>
                <w:kern w:val="0"/>
                <w:sz w:val="24"/>
                <w:szCs w:val="24"/>
                <w:u w:val="none"/>
                <w:vertAlign w:val="baseline"/>
                <w:lang w:val="en-US" w:eastAsia="zh-CN"/>
              </w:rPr>
              <w:t>委托具备资质单位处理</w:t>
            </w:r>
          </w:p>
        </w:tc>
        <w:tc>
          <w:tcPr>
            <w:tcW w:w="11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cs="Times New Roman"/>
                <w:b w:val="0"/>
                <w:bCs w:val="0"/>
                <w:kern w:val="0"/>
                <w:sz w:val="24"/>
                <w:szCs w:val="24"/>
                <w:u w:val="none"/>
                <w:vertAlign w:val="baseline"/>
                <w:lang w:val="en-US" w:eastAsia="zh-CN"/>
              </w:rPr>
            </w:pPr>
            <w:r>
              <w:rPr>
                <w:rFonts w:hint="eastAsia" w:cs="Times New Roman"/>
                <w:b w:val="0"/>
                <w:bCs w:val="0"/>
                <w:kern w:val="0"/>
                <w:sz w:val="24"/>
                <w:szCs w:val="24"/>
                <w:u w:val="none"/>
                <w:vertAlign w:val="baseline"/>
                <w:lang w:val="en-US" w:eastAsia="zh-CN"/>
              </w:rPr>
              <w:t>6</w:t>
            </w:r>
          </w:p>
        </w:tc>
        <w:tc>
          <w:tcPr>
            <w:tcW w:w="1682" w:type="dxa"/>
            <w:tcBorders>
              <w:tl2br w:val="nil"/>
              <w:tr2bl w:val="nil"/>
            </w:tcBorders>
            <w:noWrap w:val="0"/>
            <w:vAlign w:val="center"/>
          </w:tcPr>
          <w:p>
            <w:pPr>
              <w:pStyle w:val="26"/>
              <w:bidi w:val="0"/>
              <w:rPr>
                <w:rFonts w:hint="eastAsia"/>
                <w:lang w:val="en-US" w:eastAsia="zh-CN"/>
              </w:rPr>
            </w:pPr>
            <w:r>
              <w:rPr>
                <w:rFonts w:hint="eastAsia"/>
                <w:lang w:val="en-US" w:eastAsia="zh-CN"/>
              </w:rPr>
              <w:t>电动叉车</w:t>
            </w:r>
          </w:p>
          <w:p>
            <w:pPr>
              <w:pStyle w:val="26"/>
              <w:bidi w:val="0"/>
              <w:rPr>
                <w:rFonts w:hint="eastAsia" w:ascii="Times New Roman" w:hAnsi="Times New Roman" w:eastAsia="宋体" w:cs="Times New Roman"/>
                <w:b w:val="0"/>
                <w:bCs w:val="0"/>
                <w:kern w:val="0"/>
                <w:szCs w:val="24"/>
                <w:u w:val="none"/>
                <w:vertAlign w:val="baseline"/>
                <w:lang w:val="en-US" w:eastAsia="zh-CN"/>
              </w:rPr>
            </w:pPr>
            <w:r>
              <w:rPr>
                <w:rFonts w:hint="eastAsia"/>
                <w:lang w:val="en-US" w:eastAsia="zh-CN"/>
              </w:rPr>
              <w:t>废弃电瓶</w:t>
            </w:r>
          </w:p>
        </w:tc>
        <w:tc>
          <w:tcPr>
            <w:tcW w:w="12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eastAsia" w:cs="Times New Roman"/>
                <w:b w:val="0"/>
                <w:bCs w:val="0"/>
                <w:kern w:val="0"/>
                <w:sz w:val="24"/>
                <w:szCs w:val="24"/>
                <w:u w:val="none"/>
                <w:vertAlign w:val="baseline"/>
                <w:lang w:val="en-US" w:eastAsia="zh-CN"/>
              </w:rPr>
            </w:pPr>
          </w:p>
        </w:tc>
        <w:tc>
          <w:tcPr>
            <w:tcW w:w="20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eastAsia" w:ascii="Times New Roman" w:hAnsi="Times New Roman" w:eastAsia="宋体" w:cs="Times New Roman"/>
                <w:b w:val="0"/>
                <w:bCs w:val="0"/>
                <w:kern w:val="0"/>
                <w:sz w:val="24"/>
                <w:szCs w:val="24"/>
                <w:u w:val="none"/>
                <w:vertAlign w:val="baseline"/>
                <w:lang w:val="en-US" w:eastAsia="zh-CN"/>
              </w:rPr>
            </w:pPr>
            <w:r>
              <w:rPr>
                <w:rFonts w:hint="eastAsia" w:ascii="Times New Roman" w:hAnsi="Times New Roman" w:eastAsia="宋体" w:cs="Times New Roman"/>
                <w:b w:val="0"/>
                <w:bCs w:val="0"/>
                <w:kern w:val="0"/>
                <w:sz w:val="24"/>
                <w:szCs w:val="24"/>
                <w:u w:val="none"/>
                <w:vertAlign w:val="baseline"/>
                <w:lang w:val="en-US" w:eastAsia="zh-CN"/>
              </w:rPr>
              <w:t>危险废物(HW49，</w:t>
            </w:r>
          </w:p>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r>
              <w:rPr>
                <w:rFonts w:hint="eastAsia" w:ascii="Times New Roman" w:hAnsi="Times New Roman" w:eastAsia="宋体" w:cs="Times New Roman"/>
                <w:b w:val="0"/>
                <w:bCs w:val="0"/>
                <w:kern w:val="0"/>
                <w:sz w:val="24"/>
                <w:szCs w:val="24"/>
                <w:u w:val="none"/>
                <w:vertAlign w:val="baseline"/>
                <w:lang w:val="en-US" w:eastAsia="zh-CN"/>
              </w:rPr>
              <w:t>代码900-041-49)</w:t>
            </w:r>
          </w:p>
        </w:tc>
        <w:tc>
          <w:tcPr>
            <w:tcW w:w="9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r>
              <w:rPr>
                <w:rFonts w:hint="eastAsia" w:cs="Times New Roman"/>
                <w:b w:val="0"/>
                <w:bCs w:val="0"/>
                <w:kern w:val="0"/>
                <w:sz w:val="24"/>
                <w:szCs w:val="24"/>
                <w:u w:val="none"/>
                <w:vertAlign w:val="baseline"/>
                <w:lang w:val="en-US" w:eastAsia="zh-CN"/>
              </w:rPr>
              <w:t>0.1</w:t>
            </w:r>
            <w:r>
              <w:rPr>
                <w:rFonts w:hint="default" w:ascii="Times New Roman" w:hAnsi="Times New Roman" w:eastAsia="宋体" w:cs="Times New Roman"/>
                <w:b w:val="0"/>
                <w:bCs w:val="0"/>
                <w:kern w:val="0"/>
                <w:sz w:val="24"/>
                <w:szCs w:val="24"/>
                <w:u w:val="none"/>
                <w:vertAlign w:val="baseline"/>
                <w:lang w:val="en-US" w:eastAsia="zh-CN"/>
              </w:rPr>
              <w:t>t/a</w:t>
            </w:r>
          </w:p>
        </w:tc>
        <w:tc>
          <w:tcPr>
            <w:tcW w:w="15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eastAsia" w:cs="Times New Roman"/>
                <w:b w:val="0"/>
                <w:bCs w:val="0"/>
                <w:kern w:val="0"/>
                <w:sz w:val="24"/>
                <w:szCs w:val="24"/>
                <w:u w:val="none"/>
                <w:vertAlign w:val="baseline"/>
                <w:lang w:val="en-US" w:eastAsia="zh-CN"/>
              </w:rPr>
            </w:pPr>
          </w:p>
        </w:tc>
        <w:tc>
          <w:tcPr>
            <w:tcW w:w="11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right="0" w:rightChars="0"/>
              <w:jc w:val="center"/>
              <w:textAlignment w:val="auto"/>
              <w:outlineLvl w:val="9"/>
              <w:rPr>
                <w:rFonts w:hint="default" w:ascii="Times New Roman" w:hAnsi="Times New Roman" w:eastAsia="宋体" w:cs="Times New Roman"/>
                <w:b w:val="0"/>
                <w:bCs w:val="0"/>
                <w:kern w:val="0"/>
                <w:sz w:val="24"/>
                <w:szCs w:val="24"/>
                <w:u w:val="none"/>
                <w:vertAlign w:val="baseline"/>
                <w:lang w:val="en-US" w:eastAsia="zh-CN"/>
              </w:rPr>
            </w:pPr>
          </w:p>
        </w:tc>
      </w:tr>
    </w:tbl>
    <w:p>
      <w:pPr>
        <w:widowControl w:val="0"/>
        <w:bidi w:val="0"/>
        <w:spacing w:line="360" w:lineRule="auto"/>
        <w:ind w:firstLine="480" w:firstLineChars="200"/>
        <w:jc w:val="left"/>
        <w:rPr>
          <w:rFonts w:hint="eastAsia" w:ascii="Times New Roman" w:hAnsi="Times New Roman" w:eastAsia="宋体" w:cs="宋体"/>
          <w:kern w:val="2"/>
          <w:sz w:val="24"/>
          <w:szCs w:val="24"/>
          <w:highlight w:val="cyan"/>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建设单位按照《一般工业固体废物贮存、处置场污染控制标准》（GB18599-2001）及其2013年修改单的相关要求建立固体废物临时的堆放场地，不得随处堆放，禁止危险废物及生活垃混入，固废临时贮存场应满足如下要求：</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①</w:t>
      </w:r>
      <w:r>
        <w:rPr>
          <w:rFonts w:ascii="Times New Roman" w:hAnsi="Times New Roman" w:eastAsia="宋体" w:cs="宋体"/>
          <w:kern w:val="2"/>
          <w:sz w:val="24"/>
          <w:szCs w:val="24"/>
          <w:lang w:val="en-US" w:eastAsia="zh-CN" w:bidi="ar-SA"/>
        </w:rPr>
        <w:t>地面应采取硬化措施并满足承载力要求，必要时采取相应措施防止地基下沉。</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②</w:t>
      </w:r>
      <w:r>
        <w:rPr>
          <w:rFonts w:ascii="Times New Roman" w:hAnsi="Times New Roman" w:eastAsia="宋体" w:cs="宋体"/>
          <w:kern w:val="2"/>
          <w:sz w:val="24"/>
          <w:szCs w:val="24"/>
          <w:lang w:val="en-US" w:eastAsia="zh-CN" w:bidi="ar-SA"/>
        </w:rPr>
        <w:t>要求设置必要的防风、防雨、防晒措施，堆放场周边应设置导流渠。</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③</w:t>
      </w:r>
      <w:r>
        <w:rPr>
          <w:rFonts w:ascii="Times New Roman" w:hAnsi="Times New Roman" w:eastAsia="宋体" w:cs="宋体"/>
          <w:kern w:val="2"/>
          <w:sz w:val="24"/>
          <w:szCs w:val="24"/>
          <w:lang w:val="en-US" w:eastAsia="zh-CN" w:bidi="ar-SA"/>
        </w:rPr>
        <w:t>按《环境保护图形标识</w:t>
      </w:r>
      <w:r>
        <w:rPr>
          <w:rFonts w:hint="eastAsia" w:ascii="Times New Roman" w:hAnsi="Times New Roman" w:eastAsia="宋体" w:cs="宋体"/>
          <w:kern w:val="2"/>
          <w:sz w:val="24"/>
          <w:szCs w:val="24"/>
          <w:lang w:val="en-US" w:eastAsia="zh-CN" w:bidi="ar-SA"/>
        </w:rPr>
        <w:t xml:space="preserve"> </w:t>
      </w:r>
      <w:r>
        <w:rPr>
          <w:rFonts w:ascii="Times New Roman" w:hAnsi="Times New Roman" w:eastAsia="宋体" w:cs="宋体"/>
          <w:kern w:val="2"/>
          <w:sz w:val="24"/>
          <w:szCs w:val="24"/>
          <w:lang w:val="en-US" w:eastAsia="zh-CN" w:bidi="ar-SA"/>
        </w:rPr>
        <w:t>固体废物贮存（处置）场》（GB15562.2）要求设置环境保护图形标志。</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w:t>
      </w:r>
      <w:r>
        <w:rPr>
          <w:rFonts w:hint="eastAsia" w:ascii="Times New Roman" w:hAnsi="Times New Roman" w:eastAsia="宋体" w:cs="宋体"/>
          <w:kern w:val="2"/>
          <w:sz w:val="24"/>
          <w:szCs w:val="24"/>
          <w:lang w:val="en-US" w:eastAsia="zh-CN" w:bidi="ar-SA"/>
        </w:rPr>
        <w:t>废活性炭</w:t>
      </w:r>
      <w:r>
        <w:rPr>
          <w:rFonts w:hint="eastAsia" w:cs="宋体"/>
          <w:kern w:val="2"/>
          <w:sz w:val="24"/>
          <w:szCs w:val="24"/>
          <w:lang w:val="en-US" w:eastAsia="zh-CN" w:bidi="ar-SA"/>
        </w:rPr>
        <w:t>和电动叉车废弃电瓶</w:t>
      </w:r>
      <w:r>
        <w:rPr>
          <w:rFonts w:ascii="Times New Roman" w:hAnsi="Times New Roman" w:eastAsia="宋体" w:cs="宋体"/>
          <w:kern w:val="2"/>
          <w:sz w:val="24"/>
          <w:szCs w:val="24"/>
          <w:lang w:val="en-US" w:eastAsia="zh-CN" w:bidi="ar-SA"/>
        </w:rPr>
        <w:t>属于危险废物</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本项目危险废物临时贮存场所的建设必须满足《危险废物贮存污染控制标准》(GB18597-2001)及其2013年修改单的相关要求</w:t>
      </w:r>
      <w:r>
        <w:rPr>
          <w:rFonts w:hint="eastAsia"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对危险废物的收集、暂存和运输按国家标准有如下要求：</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 1 \* GB3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①</w:t>
      </w:r>
      <w:r>
        <w:rPr>
          <w:rFonts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危险废物的收集包装</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a．有符合要求的包装容器、收集人员的个人防护设备。</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b．危险废物的收集容器应在醒目位置贴有危险废物标签，在收集场所醒目的地方设置危险废物警告标识。</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c．危险废物标签应标明以下信息：主要化学成分或危险废物名称、数量、物理形态、危险类别、安全措施以及危险废物产生单位名称、地址、联系人及电话。</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 2 \* GB3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②</w:t>
      </w:r>
      <w:r>
        <w:rPr>
          <w:rFonts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危险废物的暂存要求</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危险废物堆放场所应满足GB18597-2001《危险废物贮存污染控制标准》及其2013年修改单中的有关规定：</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a．按GB15562.2《环境保护图形标识</w:t>
      </w:r>
      <w:r>
        <w:rPr>
          <w:rFonts w:hint="eastAsia" w:ascii="Times New Roman" w:hAnsi="Times New Roman" w:eastAsia="宋体" w:cs="宋体"/>
          <w:kern w:val="2"/>
          <w:sz w:val="24"/>
          <w:szCs w:val="24"/>
          <w:lang w:val="en-US" w:eastAsia="zh-CN" w:bidi="ar-SA"/>
        </w:rPr>
        <w:t xml:space="preserve"> </w:t>
      </w:r>
      <w:r>
        <w:rPr>
          <w:rFonts w:ascii="Times New Roman" w:hAnsi="Times New Roman" w:eastAsia="宋体" w:cs="宋体"/>
          <w:kern w:val="2"/>
          <w:sz w:val="24"/>
          <w:szCs w:val="24"/>
          <w:lang w:val="en-US" w:eastAsia="zh-CN" w:bidi="ar-SA"/>
        </w:rPr>
        <w:t>固体废物贮存（处置）场》设置警示标志。</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b．必须有耐腐蚀的硬化地面和基础防渗层，地面无裂隙；设施底部必须高于地下水最高水位。</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c．要求有必要的防风、防雨、防晒措施。</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d．要有隔离设施或其它防护栅栏。</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e．应配备通讯设备、照明设施、安全防护服装，并设有报警装置和应急防护设施。</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 3 \* GB3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③</w:t>
      </w:r>
      <w:r>
        <w:rPr>
          <w:rFonts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危险废物的运输要求</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危险废物的运输应采取危险废物转移</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五联单</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制度，保证运输安全，防止非法转移和非法处置，保证危险废物的安全监控，防止危险废物污染事故发生。</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生活垃圾：本项目</w:t>
      </w:r>
      <w:r>
        <w:rPr>
          <w:rFonts w:hint="eastAsia" w:ascii="Times New Roman" w:hAnsi="Times New Roman" w:eastAsia="宋体" w:cs="宋体"/>
          <w:kern w:val="2"/>
          <w:sz w:val="24"/>
          <w:szCs w:val="24"/>
          <w:lang w:val="en-US" w:eastAsia="zh-CN" w:bidi="ar-SA"/>
        </w:rPr>
        <w:t>员工</w:t>
      </w:r>
      <w:r>
        <w:rPr>
          <w:rFonts w:ascii="Times New Roman" w:hAnsi="Times New Roman" w:eastAsia="宋体" w:cs="宋体"/>
          <w:kern w:val="2"/>
          <w:sz w:val="24"/>
          <w:szCs w:val="24"/>
          <w:lang w:val="en-US" w:eastAsia="zh-CN" w:bidi="ar-SA"/>
        </w:rPr>
        <w:t>办公、生活产生的垃圾属于生活垃圾，建设单位在厂内设立垃圾收集箱，由环卫部门集中收集处理，对环境的影响很小。</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项目生产过程产生的固体废物经上述措施处理后，不会造成环境污染。</w:t>
      </w:r>
    </w:p>
    <w:p>
      <w:pPr>
        <w:pStyle w:val="4"/>
        <w:bidi w:val="0"/>
        <w:rPr>
          <w:lang w:val="en-US" w:eastAsia="zh-CN"/>
        </w:rPr>
      </w:pPr>
      <w:bookmarkStart w:id="1285" w:name="_Toc15669"/>
      <w:bookmarkStart w:id="1286" w:name="_Toc27183"/>
      <w:bookmarkStart w:id="1287" w:name="_Toc22601"/>
      <w:bookmarkStart w:id="1288" w:name="_Toc9651"/>
      <w:bookmarkStart w:id="1289" w:name="_Toc15131"/>
      <w:bookmarkStart w:id="1290" w:name="_Toc30760"/>
      <w:r>
        <w:rPr>
          <w:lang w:val="en-US" w:eastAsia="zh-CN"/>
        </w:rPr>
        <w:t>生态环境影响分析</w:t>
      </w:r>
      <w:bookmarkEnd w:id="1258"/>
      <w:bookmarkEnd w:id="1259"/>
      <w:bookmarkEnd w:id="1260"/>
      <w:bookmarkEnd w:id="1261"/>
      <w:bookmarkEnd w:id="1262"/>
      <w:bookmarkEnd w:id="1263"/>
      <w:bookmarkEnd w:id="1264"/>
      <w:bookmarkEnd w:id="1265"/>
      <w:bookmarkEnd w:id="1266"/>
      <w:bookmarkEnd w:id="1285"/>
      <w:bookmarkEnd w:id="1286"/>
      <w:bookmarkEnd w:id="1287"/>
      <w:bookmarkEnd w:id="1288"/>
      <w:bookmarkEnd w:id="1289"/>
      <w:bookmarkEnd w:id="1290"/>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w:t>
      </w:r>
      <w:r>
        <w:rPr>
          <w:rFonts w:hint="eastAsia" w:ascii="Times New Roman" w:hAnsi="Times New Roman" w:eastAsia="宋体" w:cs="宋体"/>
          <w:kern w:val="2"/>
          <w:sz w:val="24"/>
          <w:szCs w:val="24"/>
          <w:lang w:val="en-US" w:eastAsia="zh-CN" w:bidi="ar-SA"/>
        </w:rPr>
        <w:t>运营期</w:t>
      </w:r>
      <w:r>
        <w:rPr>
          <w:rFonts w:ascii="Times New Roman" w:hAnsi="Times New Roman" w:eastAsia="宋体" w:cs="宋体"/>
          <w:kern w:val="2"/>
          <w:sz w:val="24"/>
          <w:szCs w:val="24"/>
          <w:lang w:val="en-US" w:eastAsia="zh-CN" w:bidi="ar-SA"/>
        </w:rPr>
        <w:t>虽有一定污染排放，但经采取相应的防治措施后，污染物排放达标，排放量小，预测表明，其对区域地表水环境质量、声环境质量和大气环境质量均不会产生大的影响，因此，项目</w:t>
      </w:r>
      <w:r>
        <w:rPr>
          <w:rFonts w:hint="eastAsia" w:ascii="Times New Roman" w:hAnsi="Times New Roman" w:eastAsia="宋体" w:cs="宋体"/>
          <w:kern w:val="2"/>
          <w:sz w:val="24"/>
          <w:szCs w:val="24"/>
          <w:lang w:val="en-US" w:eastAsia="zh-CN" w:bidi="ar-SA"/>
        </w:rPr>
        <w:t>运营期</w:t>
      </w:r>
      <w:r>
        <w:rPr>
          <w:rFonts w:ascii="Times New Roman" w:hAnsi="Times New Roman" w:eastAsia="宋体" w:cs="宋体"/>
          <w:kern w:val="2"/>
          <w:sz w:val="24"/>
          <w:szCs w:val="24"/>
          <w:lang w:val="en-US" w:eastAsia="zh-CN" w:bidi="ar-SA"/>
        </w:rPr>
        <w:t>不会产生</w:t>
      </w:r>
      <w:r>
        <w:rPr>
          <w:rFonts w:hint="eastAsia" w:ascii="Times New Roman" w:hAnsi="Times New Roman" w:eastAsia="宋体" w:cs="宋体"/>
          <w:kern w:val="2"/>
          <w:sz w:val="24"/>
          <w:szCs w:val="24"/>
          <w:lang w:val="en-US" w:eastAsia="zh-CN" w:bidi="ar-SA"/>
        </w:rPr>
        <w:t>明显</w:t>
      </w:r>
      <w:r>
        <w:rPr>
          <w:rFonts w:ascii="Times New Roman" w:hAnsi="Times New Roman" w:eastAsia="宋体" w:cs="宋体"/>
          <w:kern w:val="2"/>
          <w:sz w:val="24"/>
          <w:szCs w:val="24"/>
          <w:lang w:val="en-US" w:eastAsia="zh-CN" w:bidi="ar-SA"/>
        </w:rPr>
        <w:t>的不利生态环境影响。</w:t>
      </w:r>
    </w:p>
    <w:p>
      <w:bookmarkStart w:id="1291" w:name="_Toc6363"/>
      <w:bookmarkStart w:id="1292" w:name="_Toc14146_WPSOffice_Level1"/>
      <w:bookmarkStart w:id="1293" w:name="_Toc12782_WPSOffice_Level1"/>
      <w:bookmarkStart w:id="1294" w:name="_Toc18634_WPSOffice_Level1"/>
      <w:bookmarkStart w:id="1295" w:name="_Toc486321347"/>
      <w:bookmarkStart w:id="1296" w:name="_Toc17862_WPSOffice_Level1"/>
      <w:bookmarkStart w:id="1297" w:name="_Toc12143"/>
      <w:bookmarkStart w:id="1298" w:name="_Toc16845"/>
      <w:bookmarkStart w:id="1299" w:name="_Toc2096"/>
      <w:r>
        <w:br w:type="page"/>
      </w:r>
    </w:p>
    <w:p>
      <w:pPr>
        <w:pStyle w:val="3"/>
        <w:bidi w:val="0"/>
        <w:rPr>
          <w:rFonts w:hint="default"/>
          <w:lang w:val="en-US" w:eastAsia="zh-CN"/>
        </w:rPr>
      </w:pPr>
      <w:bookmarkStart w:id="1300" w:name="_Toc13491"/>
      <w:bookmarkStart w:id="1301" w:name="_Toc13542"/>
      <w:r>
        <w:rPr>
          <w:rFonts w:hint="default"/>
          <w:lang w:val="en-US" w:eastAsia="zh-CN"/>
        </w:rPr>
        <w:t>环境保护措施及其可行性论证</w:t>
      </w:r>
      <w:bookmarkEnd w:id="1291"/>
      <w:bookmarkEnd w:id="1292"/>
      <w:bookmarkEnd w:id="1293"/>
      <w:bookmarkEnd w:id="1294"/>
      <w:bookmarkEnd w:id="1295"/>
      <w:bookmarkEnd w:id="1296"/>
      <w:bookmarkEnd w:id="1297"/>
      <w:bookmarkEnd w:id="1300"/>
      <w:bookmarkEnd w:id="1301"/>
    </w:p>
    <w:p>
      <w:pPr>
        <w:pStyle w:val="2"/>
        <w:bidi w:val="0"/>
        <w:rPr>
          <w:rFonts w:hint="eastAsia"/>
          <w:lang w:val="en-US" w:eastAsia="zh-CN"/>
        </w:rPr>
      </w:pPr>
      <w:bookmarkStart w:id="1302" w:name="_Toc4219_WPSOffice_Level2"/>
      <w:bookmarkStart w:id="1303" w:name="_Toc12427_WPSOffice_Level2"/>
      <w:bookmarkStart w:id="1304" w:name="_Toc31334"/>
      <w:bookmarkStart w:id="1305" w:name="_Toc4789"/>
      <w:bookmarkStart w:id="1306" w:name="_Toc20142"/>
      <w:bookmarkStart w:id="1307" w:name="_Toc7717_WPSOffice_Level2"/>
      <w:bookmarkStart w:id="1308" w:name="_Toc32432_WPSOffice_Level2"/>
      <w:bookmarkStart w:id="1309" w:name="_Toc24177"/>
      <w:r>
        <w:rPr>
          <w:rFonts w:hint="eastAsia"/>
          <w:lang w:val="en-US" w:eastAsia="zh-CN"/>
        </w:rPr>
        <w:t>施工期污染防治措施</w:t>
      </w:r>
      <w:bookmarkEnd w:id="1302"/>
      <w:bookmarkEnd w:id="1303"/>
      <w:bookmarkEnd w:id="1304"/>
      <w:bookmarkEnd w:id="1305"/>
      <w:bookmarkEnd w:id="1306"/>
      <w:bookmarkEnd w:id="1307"/>
      <w:bookmarkEnd w:id="1308"/>
      <w:bookmarkEnd w:id="1309"/>
    </w:p>
    <w:p>
      <w:pPr>
        <w:pStyle w:val="4"/>
        <w:bidi w:val="0"/>
        <w:rPr>
          <w:rFonts w:hint="eastAsia"/>
          <w:lang w:val="en-US" w:eastAsia="zh-CN"/>
        </w:rPr>
      </w:pPr>
      <w:bookmarkStart w:id="1310" w:name="_Toc13120"/>
      <w:bookmarkStart w:id="1311" w:name="_Toc15913"/>
      <w:r>
        <w:rPr>
          <w:rFonts w:hint="eastAsia"/>
          <w:lang w:val="en-US" w:eastAsia="zh-CN"/>
        </w:rPr>
        <w:t>大气污染防治措施</w:t>
      </w:r>
      <w:bookmarkEnd w:id="1310"/>
      <w:bookmarkEnd w:id="1311"/>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bookmarkStart w:id="1312" w:name="_Toc7185_WPSOffice_Level2"/>
      <w:bookmarkStart w:id="1313" w:name="_Toc10973_WPSOffice_Level2"/>
      <w:bookmarkStart w:id="1314" w:name="_Toc12403_WPSOffice_Level2"/>
      <w:bookmarkStart w:id="1315" w:name="_Toc5965_WPSOffice_Level2"/>
      <w:bookmarkStart w:id="1316" w:name="_Toc27860"/>
      <w:r>
        <w:rPr>
          <w:rFonts w:hint="eastAsia" w:ascii="Times New Roman" w:hAnsi="Times New Roman" w:eastAsia="宋体" w:cs="宋体"/>
          <w:kern w:val="2"/>
          <w:sz w:val="24"/>
          <w:szCs w:val="24"/>
          <w:lang w:val="en-US" w:eastAsia="zh-CN" w:bidi="ar-SA"/>
        </w:rPr>
        <w:t>项目施工期间主要大气环境污染物为施工扬尘，为有效控制施工扬尘对区域环境空气的影响，项目施工期间需采取如下措施。</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1）为保证施工期防治扬尘环境管理任务的顺利实施，拟建项目的法定责任人又是控制环境污染、保护环境的法律责任人，拟建项目应该设立专门的环保机构和专职责任人，负责项目的施工期防治扬尘环境管理。</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2）工程建设单位须遵守《中华人民共和国环境影响评价法》和《建设项目环境保护管理条例》的相关规定，向当地环境保护行政主管部门提供扬尘防治实施方案，并申请排污申报。</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3）工程建设单位应按照《防治城市扬尘污染技术规范》条款制定施工扬尘污染防治方案，根据施工工序编制施工期内扬尘污染防治任务书，实施扬尘防治全过程管理，责任到每个施工工序。施工单位应根据《建设工程施工现场管理规定》设置现场平面布置图、工程概况牌、安全生产牌、消防保卫牌、文明施工牌、环境保护牌、管理人员名单及监督电话牌等。</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4）各施工队伍（承包商）应配备一名环保员负责散逸性材料、垃圾、渣土、裸地等密闭、覆盖、洒水作业以及车辆清洗等作业，根据承包工程的环境问题提出环保实施计划，并根据审批的计划进行实施、监督、管理，并记录扬尘控制措施的实施情况，对发生的污染事故组织处理，并及时向建设单位和地方环保部门报告。</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通过采取上述措施后，可有效减轻项目施工扬尘对区域环境空气的影响。</w:t>
      </w:r>
    </w:p>
    <w:p>
      <w:pPr>
        <w:pStyle w:val="4"/>
        <w:bidi w:val="0"/>
        <w:rPr>
          <w:rFonts w:hint="eastAsia"/>
          <w:lang w:val="en-US" w:eastAsia="zh-CN"/>
        </w:rPr>
      </w:pPr>
      <w:bookmarkStart w:id="1317" w:name="_Toc5049"/>
      <w:bookmarkStart w:id="1318" w:name="_Toc22968"/>
      <w:bookmarkStart w:id="1319" w:name="_Toc5680"/>
      <w:bookmarkStart w:id="1320" w:name="_Toc15520"/>
      <w:bookmarkStart w:id="1321" w:name="_Toc4378"/>
      <w:bookmarkStart w:id="1322" w:name="_Toc24179"/>
      <w:bookmarkStart w:id="1323" w:name="_Toc25486"/>
      <w:r>
        <w:rPr>
          <w:rFonts w:hint="eastAsia"/>
          <w:lang w:val="en-US" w:eastAsia="zh-CN"/>
        </w:rPr>
        <w:t>水污染防治措施</w:t>
      </w:r>
      <w:bookmarkEnd w:id="1317"/>
      <w:bookmarkEnd w:id="1318"/>
      <w:bookmarkEnd w:id="1319"/>
      <w:bookmarkEnd w:id="1320"/>
      <w:bookmarkEnd w:id="1321"/>
      <w:bookmarkEnd w:id="1322"/>
      <w:bookmarkEnd w:id="1323"/>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施工废水处理措施：</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（1）建设导流沟：在施工场地建设临时导流沟，将暴雨径流引至工业园的雨水管道，避免雨水横流现象。</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（2）建设蓄水池：在施工场地建设临时蓄水池，将开挖基础产生的地下排水收集储存，并回用于施工场地裸地和土方的洒水抑尘。</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（3）车辆、设备冲洗水循环使用：设置沉淀池，将设备、车辆洗涤水简单处理后循环使用，禁止此类废水直接外排。</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采取上述措施后，可以有效地做好施工污水的防治，加之施工活动周期较短，因此不会导致施工场地周围水环境的污染，且随着工程的完成此类影响随即消失。</w:t>
      </w:r>
    </w:p>
    <w:p>
      <w:pPr>
        <w:pStyle w:val="4"/>
        <w:bidi w:val="0"/>
        <w:rPr>
          <w:rFonts w:hint="eastAsia"/>
          <w:lang w:val="en-US" w:eastAsia="zh-CN"/>
        </w:rPr>
      </w:pPr>
      <w:bookmarkStart w:id="1324" w:name="_Toc22062"/>
      <w:bookmarkStart w:id="1325" w:name="_Toc6540"/>
      <w:bookmarkStart w:id="1326" w:name="_Toc17378"/>
      <w:bookmarkStart w:id="1327" w:name="_Toc11149"/>
      <w:bookmarkStart w:id="1328" w:name="_Toc6694"/>
      <w:bookmarkStart w:id="1329" w:name="_Toc18476"/>
      <w:bookmarkStart w:id="1330" w:name="_Toc28844"/>
      <w:r>
        <w:rPr>
          <w:rFonts w:hint="eastAsia"/>
          <w:lang w:val="en-US" w:eastAsia="zh-CN"/>
        </w:rPr>
        <w:t>噪声防治措施</w:t>
      </w:r>
      <w:bookmarkEnd w:id="1324"/>
      <w:bookmarkEnd w:id="1325"/>
      <w:bookmarkEnd w:id="1326"/>
      <w:bookmarkEnd w:id="1327"/>
      <w:bookmarkEnd w:id="1328"/>
      <w:bookmarkEnd w:id="1329"/>
      <w:bookmarkEnd w:id="1330"/>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虽然施工作业噪声不可避免，但为减小其噪声对周围环境的影响，施工单位应采取如下噪声防治措施：</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1）施工部门应合理安排施工时间和施工场所。制订科学的施工计划，尽可能避免大量高噪声设备同时使用，高噪声设备的施工时间尽量安排在昼间，减少夜间施工，禁止夜间10点以后施工；</w:t>
      </w:r>
      <w:r>
        <w:rPr>
          <w:rFonts w:ascii="Times New Roman" w:hAnsi="Times New Roman" w:eastAsia="宋体" w:cs="宋体"/>
          <w:kern w:val="2"/>
          <w:sz w:val="24"/>
          <w:szCs w:val="24"/>
          <w:lang w:val="en-US" w:eastAsia="zh-CN" w:bidi="ar-SA"/>
        </w:rPr>
        <w:t>应向有关部门</w:t>
      </w:r>
      <w:r>
        <w:rPr>
          <w:rFonts w:hint="eastAsia" w:ascii="Times New Roman" w:hAnsi="Times New Roman" w:eastAsia="宋体" w:cs="宋体"/>
          <w:kern w:val="2"/>
          <w:sz w:val="24"/>
          <w:szCs w:val="24"/>
          <w:lang w:val="en-US" w:eastAsia="zh-CN" w:bidi="ar-SA"/>
        </w:rPr>
        <w:t>进行报备，并对周边居民进行告知，并说明拟采用的防治措施</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2）合理布局施工现场，避免在同一地点安排多个高噪声设备；</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3）降低人为噪声。按照规定操作机械设备，在挡板、支架拆卸过程中，应遵守作业规定，减少碰撞噪声；</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4）施工运输车辆进出应合理安排，尽量避开噪声敏感区，尽量减少交通堵塞；</w:t>
      </w:r>
    </w:p>
    <w:p>
      <w:pPr>
        <w:pStyle w:val="4"/>
        <w:bidi w:val="0"/>
        <w:rPr>
          <w:rFonts w:hint="eastAsia"/>
          <w:lang w:val="en-US" w:eastAsia="zh-CN"/>
        </w:rPr>
      </w:pPr>
      <w:bookmarkStart w:id="1331" w:name="_Toc10460"/>
      <w:bookmarkStart w:id="1332" w:name="_Toc12385"/>
      <w:bookmarkStart w:id="1333" w:name="_Toc11515"/>
      <w:bookmarkStart w:id="1334" w:name="_Toc7059"/>
      <w:bookmarkStart w:id="1335" w:name="_Toc27014"/>
      <w:bookmarkStart w:id="1336" w:name="_Toc28652"/>
      <w:bookmarkStart w:id="1337" w:name="_Toc24040"/>
      <w:r>
        <w:rPr>
          <w:rFonts w:hint="eastAsia"/>
          <w:lang w:val="en-US" w:eastAsia="zh-CN"/>
        </w:rPr>
        <w:t>固废防治措施</w:t>
      </w:r>
      <w:bookmarkEnd w:id="1331"/>
      <w:bookmarkEnd w:id="1332"/>
      <w:bookmarkEnd w:id="1333"/>
      <w:bookmarkEnd w:id="1334"/>
      <w:bookmarkEnd w:id="1335"/>
      <w:bookmarkEnd w:id="1336"/>
      <w:bookmarkEnd w:id="1337"/>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项目产生的固体废物主要为施工过程中产生的建筑垃圾以及施工人员产生的生活垃圾。</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1）对施工期间产生的建筑垃圾进行分类收集、分类暂存，能够回收利用的尽量回收综合利用，以节约宝贵的资源。</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2）生活垃圾产生量为75kg/d，经收集后，定期送至环卫部门指定地点，最终由环卫部门清运并送至生活垃圾填埋场处置。</w:t>
      </w:r>
    </w:p>
    <w:p>
      <w:pPr>
        <w:pStyle w:val="2"/>
        <w:bidi w:val="0"/>
        <w:rPr>
          <w:lang w:val="en-US" w:eastAsia="zh-CN"/>
        </w:rPr>
      </w:pPr>
      <w:bookmarkStart w:id="1338" w:name="_Toc20709"/>
      <w:bookmarkStart w:id="1339" w:name="_Toc8128"/>
      <w:bookmarkStart w:id="1340" w:name="_Toc6448"/>
      <w:r>
        <w:rPr>
          <w:lang w:val="en-US" w:eastAsia="zh-CN"/>
        </w:rPr>
        <w:t>运营期污染防治措施</w:t>
      </w:r>
      <w:bookmarkEnd w:id="1312"/>
      <w:bookmarkEnd w:id="1313"/>
      <w:bookmarkEnd w:id="1314"/>
      <w:bookmarkEnd w:id="1315"/>
      <w:bookmarkEnd w:id="1316"/>
      <w:bookmarkEnd w:id="1338"/>
      <w:bookmarkEnd w:id="1339"/>
      <w:bookmarkEnd w:id="1340"/>
    </w:p>
    <w:p>
      <w:pPr>
        <w:pStyle w:val="4"/>
        <w:bidi w:val="0"/>
        <w:rPr>
          <w:lang w:val="en-US" w:eastAsia="zh-CN"/>
        </w:rPr>
      </w:pPr>
      <w:bookmarkStart w:id="1341" w:name="_Toc11719"/>
      <w:bookmarkStart w:id="1342" w:name="_Toc17449"/>
      <w:bookmarkStart w:id="1343" w:name="_Toc17085"/>
      <w:bookmarkStart w:id="1344" w:name="_Toc23408"/>
      <w:bookmarkStart w:id="1345" w:name="_Toc10782"/>
      <w:bookmarkStart w:id="1346" w:name="_Toc10010"/>
      <w:bookmarkStart w:id="1347" w:name="_Toc20893"/>
      <w:bookmarkStart w:id="1348" w:name="_Toc6827_WPSOffice_Level3"/>
      <w:bookmarkStart w:id="1349" w:name="_Toc8860_WPSOffice_Level3"/>
      <w:bookmarkStart w:id="1350" w:name="_Toc8142"/>
      <w:bookmarkStart w:id="1351" w:name="_Toc616"/>
      <w:bookmarkStart w:id="1352" w:name="_Toc13116"/>
      <w:bookmarkStart w:id="1353" w:name="_Toc21388"/>
      <w:bookmarkStart w:id="1354" w:name="_Toc2827"/>
      <w:bookmarkStart w:id="1355" w:name="_Toc19769"/>
      <w:bookmarkStart w:id="1356" w:name="_Toc20544"/>
      <w:r>
        <w:rPr>
          <w:lang w:val="en-US" w:eastAsia="zh-CN"/>
        </w:rPr>
        <w:t>废气治理措施及达标可行性分析</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pPr>
        <w:widowControl w:val="0"/>
        <w:bidi w:val="0"/>
        <w:spacing w:line="360" w:lineRule="auto"/>
        <w:ind w:firstLine="480" w:firstLineChars="200"/>
        <w:jc w:val="left"/>
        <w:rPr>
          <w:rFonts w:ascii="Times New Roman" w:hAnsi="Times New Roman" w:eastAsia="宋体" w:cs="宋体"/>
          <w:kern w:val="2"/>
          <w:sz w:val="24"/>
          <w:szCs w:val="24"/>
          <w:highlight w:val="none"/>
          <w:lang w:val="en-US" w:eastAsia="zh-CN" w:bidi="ar-SA"/>
        </w:rPr>
      </w:pPr>
      <w:bookmarkStart w:id="1357" w:name="_Toc11266"/>
      <w:bookmarkStart w:id="1358" w:name="_Toc5237_WPSOffice_Level3"/>
      <w:bookmarkStart w:id="1359" w:name="_Toc5169"/>
      <w:bookmarkStart w:id="1360" w:name="_Toc19407_WPSOffice_Level3"/>
      <w:bookmarkStart w:id="1361" w:name="_Toc24524"/>
      <w:bookmarkStart w:id="1362" w:name="_Toc11875"/>
      <w:bookmarkStart w:id="1363" w:name="_Toc21923"/>
      <w:bookmarkStart w:id="1364" w:name="_Toc30023"/>
      <w:bookmarkStart w:id="1365" w:name="_Toc17440"/>
      <w:bookmarkStart w:id="1366" w:name="_Toc15925"/>
      <w:r>
        <w:rPr>
          <w:rFonts w:ascii="Times New Roman" w:hAnsi="Times New Roman" w:eastAsia="宋体" w:cs="宋体"/>
          <w:kern w:val="2"/>
          <w:sz w:val="24"/>
          <w:szCs w:val="24"/>
          <w:lang w:val="en-US" w:eastAsia="zh-CN" w:bidi="ar-SA"/>
        </w:rPr>
        <w:t>项目生产过程中使用的</w:t>
      </w:r>
      <w:r>
        <w:rPr>
          <w:rFonts w:hint="eastAsia" w:ascii="Times New Roman" w:hAnsi="Times New Roman" w:eastAsia="宋体" w:cs="宋体"/>
          <w:kern w:val="2"/>
          <w:sz w:val="24"/>
          <w:szCs w:val="24"/>
          <w:lang w:val="en-US" w:eastAsia="zh-CN" w:bidi="ar-SA"/>
        </w:rPr>
        <w:t>混合搅拌罐</w:t>
      </w:r>
      <w:r>
        <w:rPr>
          <w:rFonts w:ascii="Times New Roman" w:hAnsi="Times New Roman" w:eastAsia="宋体" w:cs="宋体"/>
          <w:kern w:val="2"/>
          <w:sz w:val="24"/>
          <w:szCs w:val="24"/>
          <w:lang w:val="en-US" w:eastAsia="zh-CN" w:bidi="ar-SA"/>
        </w:rPr>
        <w:t>用电</w:t>
      </w:r>
      <w:r>
        <w:rPr>
          <w:rFonts w:hint="eastAsia" w:ascii="Times New Roman" w:hAnsi="Times New Roman" w:eastAsia="宋体" w:cs="宋体"/>
          <w:kern w:val="2"/>
          <w:sz w:val="24"/>
          <w:szCs w:val="24"/>
          <w:lang w:val="en-US" w:eastAsia="zh-CN" w:bidi="ar-SA"/>
        </w:rPr>
        <w:t>源</w:t>
      </w:r>
      <w:r>
        <w:rPr>
          <w:rFonts w:ascii="Times New Roman" w:hAnsi="Times New Roman" w:eastAsia="宋体" w:cs="宋体"/>
          <w:kern w:val="2"/>
          <w:sz w:val="24"/>
          <w:szCs w:val="24"/>
          <w:lang w:val="en-US" w:eastAsia="zh-CN" w:bidi="ar-SA"/>
        </w:rPr>
        <w:t>作为能源，项目所有原辅料均采用各自原料桶装分类贮存</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不设置储罐</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本项目生产设备均为机械密闭，生产工艺废气</w:t>
      </w:r>
      <w:r>
        <w:rPr>
          <w:rFonts w:hint="eastAsia" w:ascii="Times New Roman" w:hAnsi="Times New Roman" w:eastAsia="宋体" w:cs="宋体"/>
          <w:kern w:val="2"/>
          <w:sz w:val="24"/>
          <w:szCs w:val="24"/>
          <w:lang w:val="en-US" w:eastAsia="zh-CN" w:bidi="ar-SA"/>
        </w:rPr>
        <w:t>主要为</w:t>
      </w:r>
      <w:r>
        <w:rPr>
          <w:rFonts w:ascii="Times New Roman" w:hAnsi="Times New Roman" w:eastAsia="宋体" w:cs="宋体"/>
          <w:kern w:val="2"/>
          <w:sz w:val="24"/>
          <w:szCs w:val="24"/>
          <w:lang w:val="en-US" w:eastAsia="zh-CN" w:bidi="ar-SA"/>
        </w:rPr>
        <w:t>物料在投料</w:t>
      </w:r>
      <w:r>
        <w:rPr>
          <w:rFonts w:hint="eastAsia" w:ascii="Times New Roman" w:hAnsi="Times New Roman" w:eastAsia="宋体" w:cs="宋体"/>
          <w:kern w:val="2"/>
          <w:sz w:val="24"/>
          <w:szCs w:val="24"/>
          <w:lang w:val="en-US" w:eastAsia="zh-CN" w:bidi="ar-SA"/>
        </w:rPr>
        <w:t>和</w:t>
      </w:r>
      <w:r>
        <w:rPr>
          <w:rFonts w:ascii="Times New Roman" w:hAnsi="Times New Roman" w:eastAsia="宋体" w:cs="宋体"/>
          <w:kern w:val="2"/>
          <w:sz w:val="24"/>
          <w:szCs w:val="24"/>
          <w:lang w:val="en-US" w:eastAsia="zh-CN" w:bidi="ar-SA"/>
        </w:rPr>
        <w:t>出料</w:t>
      </w:r>
      <w:r>
        <w:rPr>
          <w:rFonts w:hint="eastAsia" w:ascii="Times New Roman" w:hAnsi="Times New Roman" w:eastAsia="宋体" w:cs="宋体"/>
          <w:kern w:val="2"/>
          <w:sz w:val="24"/>
          <w:szCs w:val="24"/>
          <w:lang w:val="en-US" w:eastAsia="zh-CN" w:bidi="ar-SA"/>
        </w:rPr>
        <w:t>过程产生的有机废气</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highlight w:val="none"/>
          <w:lang w:val="en-US" w:eastAsia="zh-CN" w:bidi="ar-SA"/>
        </w:rPr>
        <w:t>本项目有一套废气处理设施，使用一根</w:t>
      </w:r>
      <w:r>
        <w:rPr>
          <w:rFonts w:hint="eastAsia" w:cs="宋体"/>
          <w:kern w:val="2"/>
          <w:sz w:val="24"/>
          <w:szCs w:val="24"/>
          <w:highlight w:val="none"/>
          <w:lang w:val="en-US" w:eastAsia="zh-CN" w:bidi="ar-SA"/>
        </w:rPr>
        <w:t>21m排气筒</w:t>
      </w:r>
      <w:r>
        <w:rPr>
          <w:rFonts w:hint="eastAsia" w:ascii="Times New Roman" w:hAnsi="Times New Roman" w:eastAsia="宋体" w:cs="宋体"/>
          <w:kern w:val="2"/>
          <w:sz w:val="24"/>
          <w:szCs w:val="24"/>
          <w:highlight w:val="none"/>
          <w:lang w:val="en-US" w:eastAsia="zh-CN" w:bidi="ar-SA"/>
        </w:rPr>
        <w:t>排放。</w:t>
      </w:r>
    </w:p>
    <w:p>
      <w:pPr>
        <w:widowControl w:val="0"/>
        <w:bidi w:val="0"/>
        <w:spacing w:line="360" w:lineRule="auto"/>
        <w:ind w:firstLine="480" w:firstLineChars="200"/>
        <w:jc w:val="left"/>
        <w:rPr>
          <w:rFonts w:hint="eastAsia" w:ascii="Times New Roman" w:hAnsi="Times New Roman" w:eastAsia="宋体" w:cs="宋体"/>
          <w:kern w:val="2"/>
          <w:sz w:val="24"/>
          <w:szCs w:val="24"/>
          <w:highlight w:val="none"/>
          <w:lang w:val="en-US" w:eastAsia="zh-CN" w:bidi="ar-SA"/>
        </w:rPr>
      </w:pPr>
      <w:r>
        <w:rPr>
          <w:rFonts w:ascii="Times New Roman" w:hAnsi="Times New Roman" w:eastAsia="宋体" w:cs="宋体"/>
          <w:kern w:val="2"/>
          <w:sz w:val="24"/>
          <w:szCs w:val="24"/>
          <w:lang w:val="en-US" w:eastAsia="zh-CN" w:bidi="ar-SA"/>
        </w:rPr>
        <w:t>本项目将</w:t>
      </w:r>
      <w:r>
        <w:rPr>
          <w:rFonts w:hint="eastAsia" w:ascii="Times New Roman" w:hAnsi="Times New Roman" w:eastAsia="宋体" w:cs="宋体"/>
          <w:kern w:val="2"/>
          <w:sz w:val="24"/>
          <w:szCs w:val="24"/>
          <w:lang w:val="en-US" w:eastAsia="zh-CN" w:bidi="ar-SA"/>
        </w:rPr>
        <w:t>发泡、投料、备料</w:t>
      </w:r>
      <w:r>
        <w:rPr>
          <w:rFonts w:ascii="Times New Roman" w:hAnsi="Times New Roman" w:eastAsia="宋体" w:cs="宋体"/>
          <w:kern w:val="2"/>
          <w:sz w:val="24"/>
          <w:szCs w:val="24"/>
          <w:lang w:val="en-US" w:eastAsia="zh-CN" w:bidi="ar-SA"/>
        </w:rPr>
        <w:t>放置单独的封闭车间内，在</w:t>
      </w:r>
      <w:r>
        <w:rPr>
          <w:rFonts w:hint="eastAsia" w:ascii="Times New Roman" w:hAnsi="Times New Roman" w:eastAsia="宋体" w:cs="宋体"/>
          <w:kern w:val="2"/>
          <w:sz w:val="24"/>
          <w:szCs w:val="24"/>
          <w:lang w:val="en-US" w:eastAsia="zh-CN" w:bidi="ar-SA"/>
        </w:rPr>
        <w:t>搅拌罐</w:t>
      </w:r>
      <w:r>
        <w:rPr>
          <w:rFonts w:hint="eastAsia" w:cs="宋体"/>
          <w:kern w:val="2"/>
          <w:sz w:val="24"/>
          <w:szCs w:val="24"/>
          <w:lang w:val="en-US" w:eastAsia="zh-CN" w:bidi="ar-SA"/>
        </w:rPr>
        <w:t>的</w:t>
      </w:r>
      <w:r>
        <w:rPr>
          <w:rFonts w:hint="eastAsia" w:ascii="Times New Roman" w:hAnsi="Times New Roman" w:eastAsia="宋体" w:cs="宋体"/>
          <w:kern w:val="2"/>
          <w:sz w:val="24"/>
          <w:szCs w:val="24"/>
          <w:lang w:val="en-US" w:eastAsia="zh-CN" w:bidi="ar-SA"/>
        </w:rPr>
        <w:t>投料口、出料口</w:t>
      </w:r>
      <w:r>
        <w:rPr>
          <w:rFonts w:ascii="Times New Roman" w:hAnsi="Times New Roman" w:eastAsia="宋体" w:cs="宋体"/>
          <w:kern w:val="2"/>
          <w:sz w:val="24"/>
          <w:szCs w:val="24"/>
          <w:lang w:val="en-US" w:eastAsia="zh-CN" w:bidi="ar-SA"/>
        </w:rPr>
        <w:t>分别设置集气罩，风机风量为</w:t>
      </w:r>
      <w:r>
        <w:rPr>
          <w:rFonts w:hint="eastAsia" w:ascii="Times New Roman" w:hAnsi="Times New Roman" w:eastAsia="宋体" w:cs="宋体"/>
          <w:kern w:val="2"/>
          <w:sz w:val="24"/>
          <w:szCs w:val="24"/>
          <w:lang w:val="en-US" w:eastAsia="zh-CN" w:bidi="ar-SA"/>
        </w:rPr>
        <w:t>10</w:t>
      </w:r>
      <w:r>
        <w:rPr>
          <w:rFonts w:ascii="Times New Roman" w:hAnsi="Times New Roman" w:eastAsia="宋体" w:cs="宋体"/>
          <w:kern w:val="2"/>
          <w:sz w:val="24"/>
          <w:szCs w:val="24"/>
          <w:lang w:val="en-US" w:eastAsia="zh-CN" w:bidi="ar-SA"/>
        </w:rPr>
        <w:t>000m</w:t>
      </w:r>
      <w:r>
        <w:rPr>
          <w:rFonts w:ascii="Times New Roman" w:hAnsi="Times New Roman" w:eastAsia="宋体" w:cs="宋体"/>
          <w:kern w:val="2"/>
          <w:sz w:val="24"/>
          <w:szCs w:val="24"/>
          <w:vertAlign w:val="superscript"/>
          <w:lang w:val="en-US" w:eastAsia="zh-CN" w:bidi="ar-SA"/>
        </w:rPr>
        <w:t>3</w:t>
      </w:r>
      <w:r>
        <w:rPr>
          <w:rFonts w:ascii="Times New Roman" w:hAnsi="Times New Roman" w:eastAsia="宋体" w:cs="宋体"/>
          <w:kern w:val="2"/>
          <w:sz w:val="24"/>
          <w:szCs w:val="24"/>
          <w:lang w:val="en-US" w:eastAsia="zh-CN" w:bidi="ar-SA"/>
        </w:rPr>
        <w:t>/h，废气</w:t>
      </w:r>
      <w:r>
        <w:rPr>
          <w:rFonts w:hint="eastAsia" w:ascii="Times New Roman" w:hAnsi="Times New Roman" w:eastAsia="宋体" w:cs="宋体"/>
          <w:kern w:val="2"/>
          <w:sz w:val="24"/>
          <w:szCs w:val="24"/>
          <w:lang w:val="en-US" w:eastAsia="zh-CN" w:bidi="ar-SA"/>
        </w:rPr>
        <w:t>经集气罩收集+</w:t>
      </w:r>
      <w:r>
        <w:rPr>
          <w:color w:val="000000"/>
        </w:rPr>
        <w:t>UV光解净化器</w:t>
      </w:r>
      <w:r>
        <w:rPr>
          <w:rFonts w:hint="eastAsia"/>
          <w:color w:val="000000"/>
          <w:lang w:val="en-US" w:eastAsia="zh-CN"/>
        </w:rPr>
        <w:t>+</w:t>
      </w:r>
      <w:r>
        <w:rPr>
          <w:rFonts w:hint="eastAsia" w:ascii="Times New Roman" w:hAnsi="Times New Roman" w:eastAsia="宋体" w:cs="宋体"/>
          <w:kern w:val="2"/>
          <w:sz w:val="24"/>
          <w:szCs w:val="24"/>
          <w:lang w:val="en-US" w:eastAsia="zh-CN" w:bidi="ar-SA"/>
        </w:rPr>
        <w:t>活性炭吸附装置处理后</w:t>
      </w:r>
      <w:r>
        <w:rPr>
          <w:rFonts w:ascii="Times New Roman" w:hAnsi="Times New Roman" w:eastAsia="宋体" w:cs="宋体"/>
          <w:kern w:val="2"/>
          <w:sz w:val="24"/>
          <w:szCs w:val="24"/>
          <w:lang w:val="en-US" w:eastAsia="zh-CN" w:bidi="ar-SA"/>
        </w:rPr>
        <w:t>，最终经过</w:t>
      </w:r>
      <w:r>
        <w:rPr>
          <w:rFonts w:hint="eastAsia" w:cs="宋体"/>
          <w:kern w:val="2"/>
          <w:sz w:val="24"/>
          <w:szCs w:val="24"/>
          <w:highlight w:val="none"/>
          <w:lang w:val="en-US" w:eastAsia="zh-CN" w:bidi="ar-SA"/>
        </w:rPr>
        <w:t>21m排气筒</w:t>
      </w:r>
      <w:r>
        <w:rPr>
          <w:rFonts w:ascii="Times New Roman" w:hAnsi="Times New Roman" w:eastAsia="宋体" w:cs="宋体"/>
          <w:kern w:val="2"/>
          <w:sz w:val="24"/>
          <w:szCs w:val="24"/>
          <w:lang w:val="en-US" w:eastAsia="zh-CN" w:bidi="ar-SA"/>
        </w:rPr>
        <w:t>排放</w:t>
      </w:r>
      <w:r>
        <w:rPr>
          <w:rFonts w:ascii="Times New Roman" w:hAnsi="Times New Roman" w:eastAsia="宋体" w:cs="宋体"/>
          <w:kern w:val="2"/>
          <w:sz w:val="24"/>
          <w:szCs w:val="24"/>
          <w:u w:val="single"/>
          <w:lang w:val="en-US" w:eastAsia="zh-CN" w:bidi="ar-SA"/>
        </w:rPr>
        <w:t>。集气罩对有机废气的收集效率约90%，</w:t>
      </w:r>
      <w:r>
        <w:rPr>
          <w:rFonts w:hint="eastAsia" w:cs="宋体"/>
          <w:kern w:val="2"/>
          <w:sz w:val="24"/>
          <w:szCs w:val="24"/>
          <w:u w:val="single"/>
          <w:lang w:val="en-US" w:eastAsia="zh-CN" w:bidi="ar-SA"/>
        </w:rPr>
        <w:t>UV光解净化器</w:t>
      </w:r>
      <w:r>
        <w:rPr>
          <w:rFonts w:hint="eastAsia" w:ascii="Times New Roman" w:hAnsi="Times New Roman" w:eastAsia="宋体" w:cs="宋体"/>
          <w:kern w:val="2"/>
          <w:sz w:val="24"/>
          <w:szCs w:val="24"/>
          <w:u w:val="single"/>
          <w:lang w:val="en-US" w:eastAsia="zh-CN" w:bidi="ar-SA"/>
        </w:rPr>
        <w:t>处理</w:t>
      </w:r>
      <w:r>
        <w:rPr>
          <w:rFonts w:ascii="Times New Roman" w:hAnsi="Times New Roman" w:eastAsia="宋体" w:cs="宋体"/>
          <w:kern w:val="2"/>
          <w:sz w:val="24"/>
          <w:szCs w:val="24"/>
          <w:u w:val="single"/>
          <w:lang w:val="en-US" w:eastAsia="zh-CN" w:bidi="ar-SA"/>
        </w:rPr>
        <w:t>效率为</w:t>
      </w:r>
      <w:r>
        <w:rPr>
          <w:rFonts w:hint="eastAsia" w:ascii="Times New Roman" w:hAnsi="Times New Roman" w:cs="宋体"/>
          <w:kern w:val="2"/>
          <w:sz w:val="24"/>
          <w:szCs w:val="24"/>
          <w:u w:val="single"/>
          <w:lang w:val="en-US" w:eastAsia="zh-CN" w:bidi="ar-SA"/>
        </w:rPr>
        <w:t>7</w:t>
      </w:r>
      <w:r>
        <w:rPr>
          <w:rFonts w:hint="eastAsia" w:ascii="Times New Roman" w:hAnsi="Times New Roman" w:eastAsia="宋体" w:cs="宋体"/>
          <w:kern w:val="2"/>
          <w:sz w:val="24"/>
          <w:szCs w:val="24"/>
          <w:u w:val="single"/>
          <w:lang w:val="en-US" w:eastAsia="zh-CN" w:bidi="ar-SA"/>
        </w:rPr>
        <w:t>0</w:t>
      </w:r>
      <w:r>
        <w:rPr>
          <w:rFonts w:ascii="Times New Roman" w:hAnsi="Times New Roman" w:eastAsia="宋体" w:cs="宋体"/>
          <w:kern w:val="2"/>
          <w:sz w:val="24"/>
          <w:szCs w:val="24"/>
          <w:u w:val="single"/>
          <w:lang w:val="en-US" w:eastAsia="zh-CN" w:bidi="ar-SA"/>
        </w:rPr>
        <w:t>%</w:t>
      </w:r>
      <w:r>
        <w:rPr>
          <w:rFonts w:hint="eastAsia" w:ascii="Times New Roman" w:hAnsi="Times New Roman" w:cs="宋体"/>
          <w:kern w:val="2"/>
          <w:sz w:val="24"/>
          <w:szCs w:val="24"/>
          <w:u w:val="single"/>
          <w:lang w:val="en-US" w:eastAsia="zh-CN" w:bidi="ar-SA"/>
        </w:rPr>
        <w:t>，</w:t>
      </w:r>
      <w:r>
        <w:rPr>
          <w:rFonts w:hint="eastAsia" w:ascii="Times New Roman" w:hAnsi="Times New Roman" w:eastAsia="宋体" w:cs="宋体"/>
          <w:kern w:val="2"/>
          <w:sz w:val="24"/>
          <w:szCs w:val="24"/>
          <w:u w:val="single"/>
          <w:lang w:val="en-US" w:eastAsia="zh-CN" w:bidi="ar-SA"/>
        </w:rPr>
        <w:t>活性炭吸附装置处理</w:t>
      </w:r>
      <w:r>
        <w:rPr>
          <w:rFonts w:ascii="Times New Roman" w:hAnsi="Times New Roman" w:eastAsia="宋体" w:cs="宋体"/>
          <w:kern w:val="2"/>
          <w:sz w:val="24"/>
          <w:szCs w:val="24"/>
          <w:u w:val="single"/>
          <w:lang w:val="en-US" w:eastAsia="zh-CN" w:bidi="ar-SA"/>
        </w:rPr>
        <w:t>效率为</w:t>
      </w:r>
      <w:r>
        <w:rPr>
          <w:rFonts w:hint="eastAsia" w:cs="宋体"/>
          <w:kern w:val="2"/>
          <w:sz w:val="24"/>
          <w:szCs w:val="24"/>
          <w:u w:val="single"/>
          <w:lang w:val="en-US" w:eastAsia="zh-CN" w:bidi="ar-SA"/>
        </w:rPr>
        <w:t>8</w:t>
      </w:r>
      <w:r>
        <w:rPr>
          <w:rFonts w:hint="eastAsia" w:ascii="Times New Roman" w:hAnsi="Times New Roman" w:eastAsia="宋体" w:cs="宋体"/>
          <w:kern w:val="2"/>
          <w:sz w:val="24"/>
          <w:szCs w:val="24"/>
          <w:u w:val="single"/>
          <w:lang w:val="en-US" w:eastAsia="zh-CN" w:bidi="ar-SA"/>
        </w:rPr>
        <w:t>0</w:t>
      </w:r>
      <w:r>
        <w:rPr>
          <w:rFonts w:ascii="Times New Roman" w:hAnsi="Times New Roman" w:eastAsia="宋体" w:cs="宋体"/>
          <w:kern w:val="2"/>
          <w:sz w:val="24"/>
          <w:szCs w:val="24"/>
          <w:u w:val="single"/>
          <w:lang w:val="en-US" w:eastAsia="zh-CN" w:bidi="ar-SA"/>
        </w:rPr>
        <w:t>%</w:t>
      </w:r>
      <w:r>
        <w:rPr>
          <w:rFonts w:hint="eastAsia" w:ascii="Times New Roman" w:hAnsi="Times New Roman" w:eastAsia="宋体" w:cs="宋体"/>
          <w:kern w:val="2"/>
          <w:sz w:val="24"/>
          <w:szCs w:val="24"/>
          <w:u w:val="single"/>
          <w:lang w:val="en-US" w:eastAsia="zh-CN" w:bidi="ar-SA"/>
        </w:rPr>
        <w:t>，</w:t>
      </w:r>
      <w:r>
        <w:rPr>
          <w:rFonts w:ascii="Times New Roman" w:hAnsi="Times New Roman" w:eastAsia="宋体" w:cs="宋体"/>
          <w:kern w:val="2"/>
          <w:sz w:val="24"/>
          <w:szCs w:val="24"/>
          <w:u w:val="single"/>
          <w:lang w:val="en-US" w:eastAsia="zh-CN" w:bidi="ar-SA"/>
        </w:rPr>
        <w:t>其余</w:t>
      </w:r>
      <w:r>
        <w:rPr>
          <w:rFonts w:hint="eastAsia" w:ascii="Times New Roman" w:hAnsi="Times New Roman" w:eastAsia="宋体" w:cs="宋体"/>
          <w:kern w:val="2"/>
          <w:sz w:val="24"/>
          <w:szCs w:val="24"/>
          <w:u w:val="single"/>
          <w:lang w:val="en-US" w:eastAsia="zh-CN" w:bidi="ar-SA"/>
        </w:rPr>
        <w:t>的</w:t>
      </w:r>
      <w:r>
        <w:rPr>
          <w:rFonts w:ascii="Times New Roman" w:hAnsi="Times New Roman" w:eastAsia="宋体" w:cs="宋体"/>
          <w:kern w:val="2"/>
          <w:sz w:val="24"/>
          <w:szCs w:val="24"/>
          <w:u w:val="single"/>
          <w:lang w:val="en-US" w:eastAsia="zh-CN" w:bidi="ar-SA"/>
        </w:rPr>
        <w:t>以</w:t>
      </w:r>
      <w:r>
        <w:rPr>
          <w:rFonts w:hint="eastAsia" w:ascii="Times New Roman" w:hAnsi="Times New Roman" w:eastAsia="宋体" w:cs="宋体"/>
          <w:kern w:val="2"/>
          <w:sz w:val="24"/>
          <w:szCs w:val="24"/>
          <w:u w:val="single"/>
          <w:lang w:val="en-US" w:eastAsia="zh-CN" w:bidi="ar-SA"/>
        </w:rPr>
        <w:t>无</w:t>
      </w:r>
      <w:r>
        <w:rPr>
          <w:rFonts w:ascii="Times New Roman" w:hAnsi="Times New Roman" w:eastAsia="宋体" w:cs="宋体"/>
          <w:kern w:val="2"/>
          <w:sz w:val="24"/>
          <w:szCs w:val="24"/>
          <w:u w:val="single"/>
          <w:lang w:val="en-US" w:eastAsia="zh-CN" w:bidi="ar-SA"/>
        </w:rPr>
        <w:t>组织形式排放，</w:t>
      </w:r>
      <w:r>
        <w:rPr>
          <w:rFonts w:ascii="Times New Roman" w:hAnsi="Times New Roman" w:eastAsia="宋体" w:cs="宋体"/>
          <w:kern w:val="2"/>
          <w:sz w:val="24"/>
          <w:szCs w:val="24"/>
          <w:highlight w:val="none"/>
          <w:u w:val="single"/>
          <w:lang w:val="en-US" w:eastAsia="zh-CN" w:bidi="ar-SA"/>
        </w:rPr>
        <w:t>则本项目</w:t>
      </w:r>
      <w:r>
        <w:rPr>
          <w:rFonts w:hint="eastAsia" w:cs="宋体"/>
          <w:kern w:val="2"/>
          <w:sz w:val="24"/>
          <w:szCs w:val="24"/>
          <w:highlight w:val="none"/>
          <w:u w:val="single"/>
          <w:lang w:val="en-US" w:eastAsia="zh-CN" w:bidi="ar-SA"/>
        </w:rPr>
        <w:t>VOCs</w:t>
      </w:r>
      <w:r>
        <w:rPr>
          <w:rFonts w:ascii="Times New Roman" w:hAnsi="Times New Roman" w:eastAsia="宋体" w:cs="宋体"/>
          <w:kern w:val="2"/>
          <w:sz w:val="24"/>
          <w:szCs w:val="24"/>
          <w:highlight w:val="none"/>
          <w:u w:val="single"/>
          <w:lang w:val="en-US" w:eastAsia="zh-CN" w:bidi="ar-SA"/>
        </w:rPr>
        <w:t>有组织排放量</w:t>
      </w:r>
      <w:r>
        <w:rPr>
          <w:rFonts w:hint="eastAsia" w:cs="宋体"/>
          <w:kern w:val="2"/>
          <w:sz w:val="24"/>
          <w:szCs w:val="24"/>
          <w:highlight w:val="none"/>
          <w:u w:val="single"/>
          <w:lang w:val="en-US" w:eastAsia="zh-CN" w:bidi="ar-SA"/>
        </w:rPr>
        <w:t>0.11</w:t>
      </w:r>
      <w:r>
        <w:rPr>
          <w:rFonts w:ascii="Times New Roman" w:hAnsi="Times New Roman" w:eastAsia="宋体" w:cs="宋体"/>
          <w:kern w:val="2"/>
          <w:sz w:val="24"/>
          <w:szCs w:val="24"/>
          <w:highlight w:val="none"/>
          <w:u w:val="single"/>
          <w:lang w:val="en-US" w:eastAsia="zh-CN" w:bidi="ar-SA"/>
        </w:rPr>
        <w:t>t/a，无组织排放量为</w:t>
      </w:r>
      <w:r>
        <w:rPr>
          <w:rFonts w:hint="eastAsia" w:cs="宋体"/>
          <w:kern w:val="2"/>
          <w:sz w:val="24"/>
          <w:szCs w:val="24"/>
          <w:highlight w:val="none"/>
          <w:u w:val="single"/>
          <w:lang w:val="en-US" w:eastAsia="zh-CN" w:bidi="ar-SA"/>
        </w:rPr>
        <w:t>0.20</w:t>
      </w:r>
      <w:r>
        <w:rPr>
          <w:rFonts w:ascii="Times New Roman" w:hAnsi="Times New Roman" w:eastAsia="宋体" w:cs="宋体"/>
          <w:kern w:val="2"/>
          <w:sz w:val="24"/>
          <w:szCs w:val="24"/>
          <w:highlight w:val="none"/>
          <w:u w:val="single"/>
          <w:lang w:val="en-US" w:eastAsia="zh-CN" w:bidi="ar-SA"/>
        </w:rPr>
        <w:t>t/a</w:t>
      </w:r>
      <w:r>
        <w:rPr>
          <w:rFonts w:hint="eastAsia" w:ascii="Times New Roman" w:hAnsi="Times New Roman" w:eastAsia="宋体" w:cs="宋体"/>
          <w:kern w:val="2"/>
          <w:sz w:val="24"/>
          <w:szCs w:val="24"/>
          <w:highlight w:val="none"/>
          <w:u w:val="single"/>
          <w:lang w:val="en-US" w:eastAsia="zh-CN" w:bidi="ar-SA"/>
        </w:rPr>
        <w:t>。</w:t>
      </w:r>
    </w:p>
    <w:p>
      <w:pPr>
        <w:pStyle w:val="5"/>
        <w:bidi w:val="0"/>
        <w:rPr>
          <w:u w:val="single"/>
          <w:lang w:val="en-US" w:eastAsia="zh-CN"/>
        </w:rPr>
      </w:pPr>
      <w:r>
        <w:rPr>
          <w:u w:val="single"/>
        </w:rPr>
        <w:t>UV光解系统对VOCs进行处理可行性分析</w:t>
      </w:r>
    </w:p>
    <w:p>
      <w:pPr>
        <w:pStyle w:val="38"/>
        <w:ind w:firstLine="480"/>
        <w:rPr>
          <w:color w:val="000000"/>
          <w:u w:val="single"/>
        </w:rPr>
      </w:pPr>
      <w:r>
        <w:rPr>
          <w:color w:val="000000"/>
          <w:u w:val="single"/>
        </w:rPr>
        <w:t>参考环境保护部《挥发性有机物（VOCs）污染防治技术政策》（公告2013年第31号2013-05-24实施），VOCs污染防治应遵循源头和过程控制与末端治理相结合的综合防治原则，在工业生产中采用清洁生产技术，严格控制含VOCs原料与产品在生产和储运销过程中的VOCs排放，鼓励对资源和能源的回收利用;鼓励在生产和生活中使用不含VOCs的替代产品或低VOCs含量的产品。该技术政策提出，对于）涂料、油墨、胶粘剂、农药等以VOCs为原料的生产行业的VOCs污染防治技术措施包括：鼓励符合环境标志产品技术要求的水基型、无有机溶剂型、低有机溶剂型的涂料、油墨和胶粘剂等的生产和销售；鼓励采用密闭一体化生产技术，并对生产过程中产生的废气分类收集后处理。</w:t>
      </w:r>
    </w:p>
    <w:p>
      <w:pPr>
        <w:pStyle w:val="38"/>
        <w:ind w:firstLine="480"/>
        <w:rPr>
          <w:color w:val="000000"/>
          <w:u w:val="single"/>
        </w:rPr>
      </w:pPr>
      <w:r>
        <w:rPr>
          <w:color w:val="000000"/>
          <w:u w:val="single"/>
        </w:rPr>
        <w:t>在末端治理和综合利用上，技术政策提出，在工业生产过程中鼓励VOCs的回收利用，并优先鼓励在生产系统内回用。对于含低浓度VOCs的废气，有回收价值时可采用吸附技术、吸收技术对有机溶剂回收后达标排放；不宜回收时，可采用吸附浓缩燃烧技术、生物技术、吸收技术、等离子体技术或紫外光高级氧化技术等净化后达标排放。严格控制VOCs处理过程中产生的二次污染，对于催化燃烧和热力焚烧过程中产生的含硫、氮、氯等无机废气，以及吸附、吸收、冷凝、生物等治理过程中所产生的含有机物废水，应处理后达标排放。</w:t>
      </w:r>
    </w:p>
    <w:p>
      <w:pPr>
        <w:pStyle w:val="38"/>
        <w:ind w:firstLine="480"/>
        <w:rPr>
          <w:color w:val="000000"/>
          <w:u w:val="single"/>
        </w:rPr>
      </w:pPr>
      <w:r>
        <w:rPr>
          <w:color w:val="000000"/>
          <w:u w:val="single"/>
        </w:rPr>
        <w:t>本项目可挥发性有机物主要包含芳烃化合物、低级酯类、低级烃类和少量其他含氧有机化合物，拟采用UV光解处理。</w:t>
      </w:r>
    </w:p>
    <w:p>
      <w:pPr>
        <w:pStyle w:val="25"/>
        <w:bidi w:val="0"/>
        <w:rPr>
          <w:u w:val="single"/>
        </w:rPr>
      </w:pPr>
      <w:r>
        <w:rPr>
          <w:color w:val="000000"/>
          <w:u w:val="single"/>
        </w:rPr>
        <w:t>U</w:t>
      </w:r>
      <w:r>
        <w:rPr>
          <w:u w:val="single"/>
        </w:rPr>
        <w:t>V高效光催化装置处理有机废气的工作机理：利用高能高臭氧UV紫外线光束分解空气中的氧分子产生游离氧，因游离氧所携正负电子不平衡所以需与氧分子结合，进而产生臭氧。UV＋O2→O-+O＊(游离氧)O+O2→O3(臭氧)，臭氧对有机物具有极强的氧化作用，工业废气利用排风设备引入到本净化设备后，净化设备运用高能UV紫外线光束及臭氧对有机气体进行协同分解氧化反应，使有机物质降解转化成低分子化合物、水和二氧化碳，再通过排风管道排出室外。</w:t>
      </w:r>
    </w:p>
    <w:p>
      <w:pPr>
        <w:pStyle w:val="25"/>
        <w:bidi w:val="0"/>
        <w:rPr>
          <w:rFonts w:hint="default"/>
          <w:u w:val="single"/>
          <w:lang w:val="en-US" w:eastAsia="zh-CN"/>
        </w:rPr>
      </w:pPr>
      <w:r>
        <w:rPr>
          <w:rFonts w:hint="default"/>
          <w:u w:val="single"/>
          <w:lang w:val="en-US" w:eastAsia="zh-CN"/>
        </w:rPr>
        <w:t>技术条件：UV高效光催化技术适用于：丙酮、丁酮、乙酸乙酯、VOC</w:t>
      </w:r>
      <w:r>
        <w:rPr>
          <w:rFonts w:hint="eastAsia"/>
          <w:u w:val="single"/>
          <w:lang w:val="en-US" w:eastAsia="zh-CN"/>
        </w:rPr>
        <w:t>s</w:t>
      </w:r>
      <w:r>
        <w:rPr>
          <w:rFonts w:hint="default"/>
          <w:u w:val="single"/>
          <w:lang w:val="en-US" w:eastAsia="zh-CN"/>
        </w:rPr>
        <w:t>、甲醛、乙醛、乙酸乙酯、苯系物、苯、甲苯、二甲苯、苯乙烯、烷烃、烯烃、炔烃、芳香烃、</w:t>
      </w:r>
      <w:r>
        <w:rPr>
          <w:color w:val="000000"/>
          <w:u w:val="single"/>
        </w:rPr>
        <w:drawing>
          <wp:anchor distT="0" distB="0" distL="114300" distR="114300" simplePos="0" relativeHeight="2424929280" behindDoc="0" locked="0" layoutInCell="1" allowOverlap="1">
            <wp:simplePos x="0" y="0"/>
            <wp:positionH relativeFrom="column">
              <wp:posOffset>451485</wp:posOffset>
            </wp:positionH>
            <wp:positionV relativeFrom="paragraph">
              <wp:posOffset>2730500</wp:posOffset>
            </wp:positionV>
            <wp:extent cx="4657090" cy="1352550"/>
            <wp:effectExtent l="0" t="0" r="10160" b="0"/>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4"/>
                    <a:stretch>
                      <a:fillRect/>
                    </a:stretch>
                  </pic:blipFill>
                  <pic:spPr>
                    <a:xfrm>
                      <a:off x="0" y="0"/>
                      <a:ext cx="4657090" cy="1352550"/>
                    </a:xfrm>
                    <a:prstGeom prst="rect">
                      <a:avLst/>
                    </a:prstGeom>
                    <a:noFill/>
                    <a:ln>
                      <a:noFill/>
                    </a:ln>
                  </pic:spPr>
                </pic:pic>
              </a:graphicData>
            </a:graphic>
          </wp:anchor>
        </w:drawing>
      </w:r>
      <w:r>
        <w:rPr>
          <w:rFonts w:hint="default"/>
          <w:u w:val="single"/>
          <w:lang w:val="en-US" w:eastAsia="zh-CN"/>
        </w:rPr>
        <w:t>酚、硫化氢、硫醇、硫醚、氨、胺、吲哚、硝基等废气。其中UV高效光催化技术在保证以下条件的基础上，可大大提高其净化效率：</w:t>
      </w:r>
      <w:r>
        <w:rPr>
          <w:rFonts w:hint="default"/>
          <w:u w:val="single"/>
          <w:lang w:val="en-US" w:eastAsia="zh-CN"/>
        </w:rPr>
        <w:br w:type="textWrapping"/>
      </w:r>
      <w:r>
        <w:rPr>
          <w:rFonts w:hint="default"/>
          <w:u w:val="single"/>
          <w:lang w:val="en-US" w:eastAsia="zh-CN"/>
        </w:rPr>
        <w:t xml:space="preserve">   ①保证裂解反应的时间（＜0.01s），氧化反应的时间2</w:t>
      </w:r>
      <w:r>
        <w:rPr>
          <w:rFonts w:hint="eastAsia"/>
          <w:u w:val="single"/>
          <w:lang w:val="en-US" w:eastAsia="zh-CN"/>
        </w:rPr>
        <w:t>~</w:t>
      </w:r>
      <w:r>
        <w:rPr>
          <w:rFonts w:hint="default"/>
          <w:u w:val="single"/>
          <w:lang w:val="en-US" w:eastAsia="zh-CN"/>
        </w:rPr>
        <w:t>3s。</w:t>
      </w:r>
      <w:r>
        <w:rPr>
          <w:rFonts w:hint="default"/>
          <w:u w:val="single"/>
          <w:lang w:val="en-US" w:eastAsia="zh-CN"/>
        </w:rPr>
        <w:br w:type="textWrapping"/>
      </w:r>
      <w:r>
        <w:rPr>
          <w:rFonts w:hint="default"/>
          <w:u w:val="single"/>
          <w:lang w:val="en-US" w:eastAsia="zh-CN"/>
        </w:rPr>
        <w:t xml:space="preserve">   ②废气能否被裂解，取决于其化学键键能是否比所提供的UV光子的能量高低。提供的UV光子总功率不够或者含氧量不足，会因为裂解或氧化不完全而生成一些中间副产物，从而影响净化效率，对于高浓度大分子的有机恶臭物质体现得较为明显，因此项目需严格按照设备额定功率保证总功率及含氧量。</w:t>
      </w:r>
      <w:r>
        <w:rPr>
          <w:rFonts w:hint="default"/>
          <w:u w:val="single"/>
          <w:lang w:val="en-US" w:eastAsia="zh-CN"/>
        </w:rPr>
        <w:br w:type="textWrapping"/>
      </w:r>
      <w:r>
        <w:rPr>
          <w:rFonts w:hint="default"/>
          <w:u w:val="single"/>
          <w:lang w:val="en-US" w:eastAsia="zh-CN"/>
        </w:rPr>
        <w:t xml:space="preserve">   ③UV光解净化的长期稳定、高效，保证环境温度10-40℃，反应温度＜70℃，相对湿度＜99%。</w:t>
      </w:r>
    </w:p>
    <w:p>
      <w:pPr>
        <w:pStyle w:val="39"/>
        <w:bidi w:val="0"/>
        <w:rPr>
          <w:rFonts w:hint="default" w:ascii="Times New Roman" w:hAnsi="Times New Roman" w:cs="Times New Roman"/>
          <w:color w:val="000000"/>
        </w:rPr>
      </w:pPr>
    </w:p>
    <w:p>
      <w:pPr>
        <w:pStyle w:val="39"/>
        <w:bidi w:val="0"/>
        <w:rPr>
          <w:rFonts w:hint="default" w:ascii="Times New Roman" w:hAnsi="Times New Roman" w:cs="Times New Roman"/>
          <w:color w:val="000000"/>
        </w:rPr>
      </w:pPr>
      <w:r>
        <w:rPr>
          <w:rFonts w:hint="eastAsia" w:ascii="Times New Roman" w:hAnsi="Times New Roman" w:cs="Times New Roman"/>
          <w:color w:val="000000"/>
          <w:lang w:eastAsia="zh-CN"/>
        </w:rPr>
        <w:t>图</w:t>
      </w:r>
      <w:r>
        <w:rPr>
          <w:rFonts w:hint="eastAsia" w:ascii="Times New Roman" w:hAnsi="Times New Roman" w:cs="Times New Roman"/>
          <w:color w:val="000000"/>
          <w:lang w:val="en-US" w:eastAsia="zh-CN"/>
        </w:rPr>
        <w:t xml:space="preserve"> 7-1  </w:t>
      </w:r>
      <w:r>
        <w:rPr>
          <w:rFonts w:hint="default" w:ascii="Times New Roman" w:hAnsi="Times New Roman" w:cs="Times New Roman"/>
          <w:color w:val="000000"/>
        </w:rPr>
        <w:t>UV高效光催化装置示意图</w:t>
      </w:r>
    </w:p>
    <w:p>
      <w:pPr>
        <w:pStyle w:val="39"/>
        <w:bidi w:val="0"/>
        <w:rPr>
          <w:rFonts w:hint="default" w:ascii="Times New Roman" w:hAnsi="Times New Roman" w:cs="Times New Roman"/>
          <w:color w:val="000000"/>
          <w:lang w:val="en-US" w:eastAsia="zh-CN"/>
        </w:rPr>
      </w:pPr>
    </w:p>
    <w:p>
      <w:pPr>
        <w:pStyle w:val="5"/>
        <w:bidi w:val="0"/>
        <w:rPr>
          <w:lang w:val="en-US" w:eastAsia="zh-CN"/>
        </w:rPr>
      </w:pPr>
      <w:bookmarkStart w:id="1367" w:name="_Toc28416"/>
      <w:r>
        <w:rPr>
          <w:rFonts w:hint="eastAsia"/>
          <w:lang w:val="en-US" w:eastAsia="zh-CN"/>
        </w:rPr>
        <w:t>活性炭吸附装置</w:t>
      </w:r>
      <w:r>
        <w:rPr>
          <w:lang w:val="en-US" w:eastAsia="zh-CN"/>
        </w:rPr>
        <w:t>治理措施及达标可行性分析</w:t>
      </w:r>
      <w:bookmarkEnd w:id="1367"/>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项目挤出废气</w:t>
      </w:r>
      <w:r>
        <w:rPr>
          <w:rFonts w:ascii="Times New Roman" w:hAnsi="Times New Roman" w:eastAsia="宋体" w:cs="宋体"/>
          <w:kern w:val="2"/>
          <w:sz w:val="24"/>
          <w:szCs w:val="24"/>
          <w:lang w:val="en-US" w:eastAsia="zh-CN" w:bidi="ar-SA"/>
        </w:rPr>
        <w:t>属于有机废气，活性炭是一种非常优良的吸附剂，它是利用木炭、各种果壳和优质煤等作为原料，通过物理和化学方法对原料进行破碎、过筛、催化剂活化、漂洗、烘干和筛选等一系列工序加工制造而成。活性炭具有物理吸附和化学吸附的双重特性，可以有选择的吸附气相、液相中的各种物质，以达到脱色精制、消毒除臭和去污提纯等目的。活性炭吸附法就是利用活性炭作为物理吸附剂，把生产过程中产生的有害物质成分，在固相表面进行浓缩，从而使废气得到净化治理。吸附过程是在固相</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气相间界面发生的物理过程。活性炭主要是以含炭量较高的物质制成，如木材、煤、果壳、骨、石油残渣等，而以椰子壳为最常用的原料，在同等条件下，椰壳活性炭的活性质量及其它特性是最好的，因其有最大的比表面积。</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因此，建议本项目选用椰壳活性炭，活性炭吸附装置可设计为固定床式。其中活性炭的吸附原理是：进入吸附塔的有机废气在流经活性炭层时被比表面积很大的活性炭截留，在其颗粒表面形成一层平衡的表面浓度，并将有机物等吸附到活性炭的细孔，使用初期的吸附效果很高。但时间一长，活性炭的吸附能力会不同程度地减弱，吸附效果也随之下降。活性炭颗粒的大小对吸附能力也有影响。一般来说，活性炭颗粒越小，过滤面积就越大，但过小的颗粒将会使有机气体流过碳层的气流阻力过大，造成气流不通畅，吸附法气体净化设备的设计主要参数是空塔风速，现一般使用0.5</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2m/s。炭层高度为0.5</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1.5m。吸附后的饱和活性炭均交由有资质的单位进行回收处理，杜绝二次污染。根据国内对活性炭吸附有机废气的研究，其处理效率约85~95%，能有效减轻对周边大气环境的影响。</w:t>
      </w:r>
    </w:p>
    <w:p>
      <w:pPr>
        <w:pStyle w:val="5"/>
        <w:bidi w:val="0"/>
        <w:rPr>
          <w:lang w:val="en-US" w:eastAsia="zh-CN"/>
        </w:rPr>
      </w:pPr>
      <w:bookmarkStart w:id="1368" w:name="_Toc22384"/>
      <w:r>
        <w:rPr>
          <w:rFonts w:hint="eastAsia"/>
          <w:lang w:val="en-US" w:eastAsia="zh-CN"/>
        </w:rPr>
        <w:t>有机废气</w:t>
      </w:r>
      <w:r>
        <w:rPr>
          <w:lang w:val="en-US" w:eastAsia="zh-CN"/>
        </w:rPr>
        <w:t>达标可行性</w:t>
      </w:r>
      <w:bookmarkEnd w:id="1368"/>
    </w:p>
    <w:p>
      <w:pPr>
        <w:widowControl w:val="0"/>
        <w:bidi w:val="0"/>
        <w:spacing w:line="360" w:lineRule="auto"/>
        <w:ind w:firstLine="480" w:firstLineChars="200"/>
        <w:jc w:val="left"/>
        <w:rPr>
          <w:rFonts w:ascii="Times New Roman" w:hAnsi="Times New Roman" w:eastAsia="宋体" w:cs="宋体"/>
          <w:kern w:val="2"/>
          <w:sz w:val="24"/>
          <w:szCs w:val="24"/>
          <w:highlight w:val="none"/>
          <w:lang w:val="en-US" w:eastAsia="zh-CN" w:bidi="ar-SA"/>
        </w:rPr>
      </w:pPr>
      <w:r>
        <w:rPr>
          <w:rFonts w:ascii="Times New Roman" w:hAnsi="Times New Roman" w:eastAsia="宋体" w:cs="宋体"/>
          <w:kern w:val="2"/>
          <w:sz w:val="24"/>
          <w:szCs w:val="24"/>
          <w:highlight w:val="none"/>
          <w:lang w:val="en-US" w:eastAsia="zh-CN" w:bidi="ar-SA"/>
        </w:rPr>
        <w:t>经</w:t>
      </w:r>
      <w:r>
        <w:rPr>
          <w:rFonts w:hint="eastAsia" w:ascii="Times New Roman" w:hAnsi="Times New Roman" w:eastAsia="宋体" w:cs="宋体"/>
          <w:kern w:val="2"/>
          <w:sz w:val="24"/>
          <w:szCs w:val="24"/>
          <w:highlight w:val="none"/>
          <w:lang w:val="en-US" w:eastAsia="zh-CN" w:bidi="ar-SA"/>
        </w:rPr>
        <w:t>集气罩收集+</w:t>
      </w:r>
      <w:r>
        <w:rPr>
          <w:color w:val="000000"/>
        </w:rPr>
        <w:t>UV光解净化器</w:t>
      </w:r>
      <w:r>
        <w:rPr>
          <w:rFonts w:hint="eastAsia"/>
          <w:color w:val="000000"/>
          <w:lang w:val="en-US" w:eastAsia="zh-CN"/>
        </w:rPr>
        <w:t>+</w:t>
      </w:r>
      <w:r>
        <w:rPr>
          <w:rFonts w:hint="eastAsia" w:ascii="Times New Roman" w:hAnsi="Times New Roman" w:eastAsia="宋体" w:cs="宋体"/>
          <w:kern w:val="2"/>
          <w:sz w:val="24"/>
          <w:szCs w:val="24"/>
          <w:highlight w:val="none"/>
          <w:lang w:val="en-US" w:eastAsia="zh-CN" w:bidi="ar-SA"/>
        </w:rPr>
        <w:t>活性炭吸附</w:t>
      </w:r>
      <w:r>
        <w:rPr>
          <w:rFonts w:ascii="Times New Roman" w:hAnsi="Times New Roman" w:eastAsia="宋体" w:cs="宋体"/>
          <w:kern w:val="2"/>
          <w:sz w:val="24"/>
          <w:szCs w:val="24"/>
          <w:highlight w:val="none"/>
          <w:lang w:val="en-US" w:eastAsia="zh-CN" w:bidi="ar-SA"/>
        </w:rPr>
        <w:t>后，</w:t>
      </w:r>
      <w:r>
        <w:rPr>
          <w:rFonts w:hint="eastAsia" w:cs="宋体"/>
          <w:kern w:val="2"/>
          <w:sz w:val="24"/>
          <w:szCs w:val="24"/>
          <w:highlight w:val="none"/>
          <w:lang w:val="en-US" w:eastAsia="zh-CN" w:bidi="ar-SA"/>
        </w:rPr>
        <w:t>VOCs</w:t>
      </w:r>
      <w:r>
        <w:rPr>
          <w:rFonts w:hint="eastAsia" w:ascii="Times New Roman" w:hAnsi="Times New Roman" w:eastAsia="宋体" w:cs="宋体"/>
          <w:kern w:val="2"/>
          <w:sz w:val="24"/>
          <w:szCs w:val="24"/>
          <w:highlight w:val="none"/>
          <w:lang w:val="en-US" w:eastAsia="zh-CN" w:bidi="ar-SA"/>
        </w:rPr>
        <w:t>有组织</w:t>
      </w:r>
      <w:r>
        <w:rPr>
          <w:rFonts w:ascii="Times New Roman" w:hAnsi="Times New Roman" w:eastAsia="宋体" w:cs="宋体"/>
          <w:kern w:val="2"/>
          <w:sz w:val="24"/>
          <w:szCs w:val="24"/>
          <w:highlight w:val="none"/>
          <w:lang w:val="en-US" w:eastAsia="zh-CN" w:bidi="ar-SA"/>
        </w:rPr>
        <w:t>排放量为</w:t>
      </w:r>
      <w:r>
        <w:rPr>
          <w:rFonts w:hint="eastAsia" w:cs="宋体"/>
          <w:kern w:val="2"/>
          <w:sz w:val="24"/>
          <w:szCs w:val="24"/>
          <w:highlight w:val="none"/>
          <w:lang w:val="en-US" w:eastAsia="zh-CN" w:bidi="ar-SA"/>
        </w:rPr>
        <w:t>0.11</w:t>
      </w:r>
      <w:r>
        <w:rPr>
          <w:rFonts w:hint="eastAsia" w:ascii="Times New Roman" w:hAnsi="Times New Roman" w:eastAsia="宋体" w:cs="宋体"/>
          <w:kern w:val="2"/>
          <w:sz w:val="24"/>
          <w:szCs w:val="24"/>
          <w:highlight w:val="none"/>
          <w:lang w:val="en-US" w:eastAsia="zh-CN" w:bidi="ar-SA"/>
        </w:rPr>
        <w:t>t/a</w:t>
      </w:r>
      <w:r>
        <w:rPr>
          <w:rFonts w:ascii="Times New Roman" w:hAnsi="Times New Roman" w:eastAsia="宋体" w:cs="宋体"/>
          <w:kern w:val="2"/>
          <w:sz w:val="24"/>
          <w:szCs w:val="24"/>
          <w:highlight w:val="none"/>
          <w:lang w:val="en-US" w:eastAsia="zh-CN" w:bidi="ar-SA"/>
        </w:rPr>
        <w:t>，排放速率为</w:t>
      </w:r>
      <w:r>
        <w:rPr>
          <w:rFonts w:hint="eastAsia" w:ascii="Times New Roman" w:hAnsi="Times New Roman" w:eastAsia="宋体" w:cs="宋体"/>
          <w:kern w:val="2"/>
          <w:sz w:val="24"/>
          <w:szCs w:val="24"/>
          <w:highlight w:val="none"/>
          <w:lang w:val="en-US" w:eastAsia="zh-CN" w:bidi="ar-SA"/>
        </w:rPr>
        <w:t>0.0</w:t>
      </w:r>
      <w:r>
        <w:rPr>
          <w:rFonts w:hint="eastAsia" w:cs="宋体"/>
          <w:kern w:val="2"/>
          <w:sz w:val="24"/>
          <w:szCs w:val="24"/>
          <w:highlight w:val="none"/>
          <w:lang w:val="en-US" w:eastAsia="zh-CN" w:bidi="ar-SA"/>
        </w:rPr>
        <w:t>53</w:t>
      </w:r>
      <w:r>
        <w:rPr>
          <w:rFonts w:ascii="Times New Roman" w:hAnsi="Times New Roman" w:eastAsia="宋体" w:cs="宋体"/>
          <w:kern w:val="2"/>
          <w:sz w:val="24"/>
          <w:szCs w:val="24"/>
          <w:highlight w:val="none"/>
          <w:lang w:val="en-US" w:eastAsia="zh-CN" w:bidi="ar-SA"/>
        </w:rPr>
        <w:t>kg/h</w:t>
      </w:r>
      <w:r>
        <w:rPr>
          <w:rFonts w:hint="eastAsia" w:ascii="Times New Roman" w:hAnsi="Times New Roman" w:eastAsia="宋体" w:cs="宋体"/>
          <w:kern w:val="2"/>
          <w:sz w:val="24"/>
          <w:szCs w:val="24"/>
          <w:highlight w:val="none"/>
          <w:lang w:val="en-US" w:eastAsia="zh-CN" w:bidi="ar-SA"/>
        </w:rPr>
        <w:t>，浓度为</w:t>
      </w:r>
      <w:r>
        <w:rPr>
          <w:rFonts w:hint="eastAsia" w:cs="宋体"/>
          <w:kern w:val="2"/>
          <w:sz w:val="24"/>
          <w:szCs w:val="24"/>
          <w:highlight w:val="none"/>
          <w:lang w:val="en-US" w:eastAsia="zh-CN" w:bidi="ar-SA"/>
        </w:rPr>
        <w:t>5.38</w:t>
      </w:r>
      <w:r>
        <w:rPr>
          <w:rFonts w:hint="eastAsia" w:ascii="Times New Roman" w:hAnsi="Times New Roman" w:eastAsia="宋体" w:cs="宋体"/>
          <w:kern w:val="2"/>
          <w:sz w:val="24"/>
          <w:szCs w:val="24"/>
          <w:highlight w:val="none"/>
          <w:lang w:val="en-US" w:eastAsia="zh-CN" w:bidi="ar-SA"/>
        </w:rPr>
        <w:t>mg/m</w:t>
      </w:r>
      <w:r>
        <w:rPr>
          <w:rFonts w:hint="eastAsia" w:ascii="Times New Roman" w:hAnsi="Times New Roman" w:eastAsia="宋体" w:cs="宋体"/>
          <w:kern w:val="2"/>
          <w:sz w:val="24"/>
          <w:szCs w:val="24"/>
          <w:highlight w:val="none"/>
          <w:vertAlign w:val="superscript"/>
          <w:lang w:val="en-US" w:eastAsia="zh-CN" w:bidi="ar-SA"/>
        </w:rPr>
        <w:t>3</w:t>
      </w:r>
      <w:r>
        <w:rPr>
          <w:rFonts w:hint="eastAsia" w:ascii="Times New Roman" w:hAnsi="Times New Roman" w:eastAsia="宋体" w:cs="宋体"/>
          <w:kern w:val="2"/>
          <w:sz w:val="24"/>
          <w:szCs w:val="24"/>
          <w:highlight w:val="none"/>
          <w:vertAlign w:val="baseline"/>
          <w:lang w:val="en-US" w:eastAsia="zh-CN" w:bidi="ar-SA"/>
        </w:rPr>
        <w:t>。</w:t>
      </w:r>
      <w:r>
        <w:rPr>
          <w:rFonts w:hint="eastAsia" w:ascii="Times New Roman" w:hAnsi="Times New Roman" w:eastAsia="宋体" w:cs="宋体"/>
          <w:kern w:val="2"/>
          <w:sz w:val="24"/>
          <w:szCs w:val="24"/>
          <w:highlight w:val="none"/>
          <w:lang w:val="en-US" w:eastAsia="zh-CN" w:bidi="ar-SA"/>
        </w:rPr>
        <w:t>本</w:t>
      </w:r>
      <w:r>
        <w:rPr>
          <w:rFonts w:ascii="Times New Roman" w:hAnsi="Times New Roman" w:eastAsia="宋体" w:cs="宋体"/>
          <w:kern w:val="2"/>
          <w:sz w:val="24"/>
          <w:szCs w:val="24"/>
          <w:highlight w:val="none"/>
          <w:lang w:val="en-US" w:eastAsia="zh-CN" w:bidi="ar-SA"/>
        </w:rPr>
        <w:t>项目有组织排放的</w:t>
      </w:r>
      <w:r>
        <w:rPr>
          <w:rFonts w:hint="eastAsia" w:cs="宋体"/>
          <w:kern w:val="2"/>
          <w:sz w:val="24"/>
          <w:szCs w:val="24"/>
          <w:highlight w:val="none"/>
          <w:lang w:val="en-US" w:eastAsia="zh-CN" w:bidi="ar-SA"/>
        </w:rPr>
        <w:t>VOCs</w:t>
      </w:r>
      <w:r>
        <w:rPr>
          <w:rFonts w:ascii="Times New Roman" w:hAnsi="Times New Roman" w:eastAsia="宋体" w:cs="宋体"/>
          <w:kern w:val="2"/>
          <w:sz w:val="24"/>
          <w:szCs w:val="24"/>
          <w:highlight w:val="none"/>
          <w:lang w:val="en-US" w:eastAsia="zh-CN" w:bidi="ar-SA"/>
        </w:rPr>
        <w:t>符合</w:t>
      </w:r>
      <w:r>
        <w:rPr>
          <w:rFonts w:hint="eastAsia" w:ascii="Times New Roman" w:hAnsi="Times New Roman" w:eastAsia="宋体" w:cs="宋体"/>
          <w:kern w:val="2"/>
          <w:sz w:val="24"/>
          <w:szCs w:val="24"/>
          <w:lang w:val="en-US" w:eastAsia="zh-CN" w:bidi="ar-SA"/>
        </w:rPr>
        <w:t>天津市《工业企业挥发性有机物排放控制标准》（DB12/524-2014）表2中塑料制品制造业标准限值</w:t>
      </w:r>
      <w:r>
        <w:rPr>
          <w:rFonts w:hint="eastAsia" w:ascii="Times New Roman" w:hAnsi="Times New Roman" w:eastAsia="宋体" w:cs="宋体"/>
          <w:kern w:val="2"/>
          <w:sz w:val="24"/>
          <w:szCs w:val="24"/>
          <w:highlight w:val="none"/>
          <w:lang w:val="en-US" w:eastAsia="zh-CN" w:bidi="ar-SA"/>
        </w:rPr>
        <w:t>，</w:t>
      </w:r>
      <w:r>
        <w:rPr>
          <w:rFonts w:ascii="Times New Roman" w:hAnsi="Times New Roman" w:eastAsia="宋体" w:cs="宋体"/>
          <w:kern w:val="2"/>
          <w:sz w:val="24"/>
          <w:szCs w:val="24"/>
          <w:highlight w:val="none"/>
          <w:lang w:val="en-US" w:eastAsia="zh-CN" w:bidi="ar-SA"/>
        </w:rPr>
        <w:t>说明</w:t>
      </w:r>
      <w:r>
        <w:rPr>
          <w:rFonts w:hint="eastAsia" w:ascii="Times New Roman" w:hAnsi="Times New Roman" w:eastAsia="宋体" w:cs="宋体"/>
          <w:kern w:val="2"/>
          <w:sz w:val="24"/>
          <w:szCs w:val="24"/>
          <w:highlight w:val="none"/>
          <w:lang w:val="en-US" w:eastAsia="zh-CN" w:bidi="ar-SA"/>
        </w:rPr>
        <w:t>该</w:t>
      </w:r>
      <w:r>
        <w:rPr>
          <w:rFonts w:ascii="Times New Roman" w:hAnsi="Times New Roman" w:eastAsia="宋体" w:cs="宋体"/>
          <w:kern w:val="2"/>
          <w:sz w:val="24"/>
          <w:szCs w:val="24"/>
          <w:highlight w:val="none"/>
          <w:lang w:val="en-US" w:eastAsia="zh-CN" w:bidi="ar-SA"/>
        </w:rPr>
        <w:t>措施可行。</w:t>
      </w:r>
    </w:p>
    <w:p>
      <w:pPr>
        <w:pStyle w:val="4"/>
        <w:bidi w:val="0"/>
        <w:rPr>
          <w:lang w:val="en-US" w:eastAsia="zh-CN"/>
        </w:rPr>
      </w:pPr>
      <w:bookmarkStart w:id="1369" w:name="_Toc11126"/>
      <w:bookmarkStart w:id="1370" w:name="_Toc30393"/>
      <w:bookmarkStart w:id="1371" w:name="_Toc2460"/>
      <w:bookmarkStart w:id="1372" w:name="_Toc5195"/>
      <w:bookmarkStart w:id="1373" w:name="_Toc5214"/>
      <w:bookmarkStart w:id="1374" w:name="_Toc16037"/>
      <w:r>
        <w:rPr>
          <w:lang w:val="en-US" w:eastAsia="zh-CN"/>
        </w:rPr>
        <w:t>废水治理措施及达标可行性分析</w:t>
      </w:r>
      <w:bookmarkEnd w:id="1357"/>
      <w:bookmarkEnd w:id="1358"/>
      <w:bookmarkEnd w:id="1359"/>
      <w:bookmarkEnd w:id="1360"/>
      <w:bookmarkEnd w:id="1361"/>
      <w:bookmarkEnd w:id="1362"/>
      <w:bookmarkEnd w:id="1363"/>
      <w:bookmarkEnd w:id="1364"/>
      <w:bookmarkEnd w:id="1365"/>
      <w:bookmarkEnd w:id="1366"/>
      <w:bookmarkEnd w:id="1369"/>
      <w:bookmarkEnd w:id="1370"/>
      <w:bookmarkEnd w:id="1371"/>
      <w:bookmarkEnd w:id="1372"/>
      <w:bookmarkEnd w:id="1373"/>
      <w:bookmarkEnd w:id="1374"/>
    </w:p>
    <w:p>
      <w:pPr>
        <w:pStyle w:val="5"/>
        <w:bidi w:val="0"/>
        <w:rPr>
          <w:lang w:val="en-US" w:eastAsia="zh-CN"/>
        </w:rPr>
      </w:pPr>
      <w:bookmarkStart w:id="1375" w:name="_Toc17575"/>
      <w:bookmarkStart w:id="1376" w:name="_Toc13758"/>
      <w:bookmarkStart w:id="1377" w:name="_Toc21643"/>
      <w:bookmarkStart w:id="1378" w:name="_Toc25039"/>
      <w:bookmarkStart w:id="1379" w:name="_Toc20087"/>
      <w:bookmarkStart w:id="1380" w:name="_Toc3157"/>
      <w:bookmarkStart w:id="1381" w:name="_Toc23662_WPSOffice_Level3"/>
      <w:bookmarkStart w:id="1382" w:name="_Toc1175"/>
      <w:bookmarkStart w:id="1383" w:name="_Toc3527_WPSOffice_Level3"/>
      <w:bookmarkStart w:id="1384" w:name="_Toc31510"/>
      <w:bookmarkStart w:id="1385" w:name="_Toc31292"/>
      <w:bookmarkStart w:id="1386" w:name="_Toc32637"/>
      <w:bookmarkStart w:id="1387" w:name="_Toc28925"/>
      <w:r>
        <w:rPr>
          <w:lang w:val="en-US" w:eastAsia="zh-CN"/>
        </w:rPr>
        <w:t>生活污水</w:t>
      </w:r>
      <w:bookmarkEnd w:id="1375"/>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w:t>
      </w:r>
      <w:r>
        <w:rPr>
          <w:rFonts w:hint="eastAsia" w:ascii="Times New Roman" w:hAnsi="Times New Roman" w:eastAsia="宋体" w:cs="宋体"/>
          <w:kern w:val="2"/>
          <w:sz w:val="24"/>
          <w:szCs w:val="24"/>
          <w:lang w:val="en-US" w:eastAsia="zh-CN" w:bidi="ar-SA"/>
        </w:rPr>
        <w:t>员工4</w:t>
      </w:r>
      <w:r>
        <w:rPr>
          <w:rFonts w:ascii="Times New Roman" w:hAnsi="Times New Roman" w:eastAsia="宋体" w:cs="宋体"/>
          <w:kern w:val="2"/>
          <w:sz w:val="24"/>
          <w:szCs w:val="24"/>
          <w:lang w:val="en-US" w:eastAsia="zh-CN" w:bidi="ar-SA"/>
        </w:rPr>
        <w:t>人</w:t>
      </w:r>
      <w:r>
        <w:rPr>
          <w:rFonts w:hint="eastAsia" w:ascii="Times New Roman" w:hAnsi="Times New Roman" w:eastAsia="宋体" w:cs="宋体"/>
          <w:kern w:val="2"/>
          <w:sz w:val="24"/>
          <w:szCs w:val="24"/>
          <w:lang w:val="en-US" w:eastAsia="zh-CN" w:bidi="ar-SA"/>
        </w:rPr>
        <w:t>，不提供伙食和住宿</w:t>
      </w:r>
      <w:r>
        <w:rPr>
          <w:rFonts w:ascii="Times New Roman" w:hAnsi="Times New Roman" w:eastAsia="宋体" w:cs="宋体"/>
          <w:kern w:val="2"/>
          <w:sz w:val="24"/>
          <w:szCs w:val="24"/>
          <w:lang w:val="en-US" w:eastAsia="zh-CN" w:bidi="ar-SA"/>
        </w:rPr>
        <w:t>，年工作</w:t>
      </w:r>
      <w:r>
        <w:rPr>
          <w:rFonts w:hint="eastAsia" w:ascii="Times New Roman" w:hAnsi="Times New Roman" w:eastAsia="宋体" w:cs="宋体"/>
          <w:kern w:val="2"/>
          <w:sz w:val="24"/>
          <w:szCs w:val="24"/>
          <w:lang w:val="en-US" w:eastAsia="zh-CN" w:bidi="ar-SA"/>
        </w:rPr>
        <w:t>260</w:t>
      </w:r>
      <w:r>
        <w:rPr>
          <w:rFonts w:ascii="Times New Roman" w:hAnsi="Times New Roman" w:eastAsia="宋体" w:cs="宋体"/>
          <w:kern w:val="2"/>
          <w:sz w:val="24"/>
          <w:szCs w:val="24"/>
          <w:lang w:val="en-US" w:eastAsia="zh-CN" w:bidi="ar-SA"/>
        </w:rPr>
        <w:t>天。</w:t>
      </w:r>
      <w:r>
        <w:rPr>
          <w:rFonts w:hint="eastAsia" w:ascii="Times New Roman" w:hAnsi="Times New Roman" w:eastAsia="宋体" w:cs="宋体"/>
          <w:kern w:val="2"/>
          <w:sz w:val="24"/>
          <w:szCs w:val="24"/>
          <w:lang w:val="en-US" w:eastAsia="zh-CN" w:bidi="ar-SA"/>
        </w:rPr>
        <w:t>员工每人用水量以50L/d计，则生活用水量约为0.2m</w:t>
      </w:r>
      <w:r>
        <w:rPr>
          <w:rFonts w:hint="eastAsia" w:ascii="Times New Roman" w:hAnsi="Times New Roman" w:eastAsia="宋体" w:cs="宋体"/>
          <w:kern w:val="2"/>
          <w:sz w:val="24"/>
          <w:szCs w:val="24"/>
          <w:vertAlign w:val="superscript"/>
          <w:lang w:val="en-US" w:eastAsia="zh-CN" w:bidi="ar-SA"/>
        </w:rPr>
        <w:t>3</w:t>
      </w:r>
      <w:r>
        <w:rPr>
          <w:rFonts w:hint="eastAsia" w:ascii="Times New Roman" w:hAnsi="Times New Roman" w:eastAsia="宋体" w:cs="宋体"/>
          <w:kern w:val="2"/>
          <w:sz w:val="24"/>
          <w:szCs w:val="24"/>
          <w:lang w:val="en-US" w:eastAsia="zh-CN" w:bidi="ar-SA"/>
        </w:rPr>
        <w:t>/d（52m</w:t>
      </w:r>
      <w:r>
        <w:rPr>
          <w:rFonts w:hint="eastAsia" w:ascii="Times New Roman" w:hAnsi="Times New Roman" w:eastAsia="宋体" w:cs="宋体"/>
          <w:kern w:val="2"/>
          <w:sz w:val="24"/>
          <w:szCs w:val="24"/>
          <w:vertAlign w:val="superscript"/>
          <w:lang w:val="en-US" w:eastAsia="zh-CN" w:bidi="ar-SA"/>
        </w:rPr>
        <w:t>3</w:t>
      </w:r>
      <w:r>
        <w:rPr>
          <w:rFonts w:hint="eastAsia" w:ascii="Times New Roman" w:hAnsi="Times New Roman" w:eastAsia="宋体" w:cs="宋体"/>
          <w:kern w:val="2"/>
          <w:sz w:val="24"/>
          <w:szCs w:val="24"/>
          <w:lang w:val="en-US" w:eastAsia="zh-CN" w:bidi="ar-SA"/>
        </w:rPr>
        <w:t>/a），生活污水排放系数以80%计，则生活污水产量约为0.16m</w:t>
      </w:r>
      <w:r>
        <w:rPr>
          <w:rFonts w:hint="eastAsia" w:ascii="Times New Roman" w:hAnsi="Times New Roman" w:eastAsia="宋体" w:cs="宋体"/>
          <w:kern w:val="2"/>
          <w:sz w:val="24"/>
          <w:szCs w:val="24"/>
          <w:vertAlign w:val="superscript"/>
          <w:lang w:val="en-US" w:eastAsia="zh-CN" w:bidi="ar-SA"/>
        </w:rPr>
        <w:t>3</w:t>
      </w:r>
      <w:r>
        <w:rPr>
          <w:rFonts w:hint="eastAsia" w:ascii="Times New Roman" w:hAnsi="Times New Roman" w:eastAsia="宋体" w:cs="宋体"/>
          <w:kern w:val="2"/>
          <w:sz w:val="24"/>
          <w:szCs w:val="24"/>
          <w:lang w:val="en-US" w:eastAsia="zh-CN" w:bidi="ar-SA"/>
        </w:rPr>
        <w:t>/d（42m</w:t>
      </w:r>
      <w:r>
        <w:rPr>
          <w:rFonts w:hint="eastAsia" w:ascii="Times New Roman" w:hAnsi="Times New Roman" w:eastAsia="宋体" w:cs="宋体"/>
          <w:kern w:val="2"/>
          <w:sz w:val="24"/>
          <w:szCs w:val="24"/>
          <w:vertAlign w:val="superscript"/>
          <w:lang w:val="en-US" w:eastAsia="zh-CN" w:bidi="ar-SA"/>
        </w:rPr>
        <w:t>3</w:t>
      </w:r>
      <w:r>
        <w:rPr>
          <w:rFonts w:hint="eastAsia" w:ascii="Times New Roman" w:hAnsi="Times New Roman" w:eastAsia="宋体" w:cs="宋体"/>
          <w:kern w:val="2"/>
          <w:sz w:val="24"/>
          <w:szCs w:val="24"/>
          <w:lang w:val="en-US" w:eastAsia="zh-CN" w:bidi="ar-SA"/>
        </w:rPr>
        <w:t>/a）。外排的生活污水</w:t>
      </w:r>
      <w:r>
        <w:rPr>
          <w:rFonts w:hint="eastAsia" w:cs="宋体"/>
          <w:kern w:val="2"/>
          <w:sz w:val="24"/>
          <w:szCs w:val="24"/>
          <w:lang w:val="en-US" w:eastAsia="zh-CN" w:bidi="ar-SA"/>
        </w:rPr>
        <w:t>经园区化粪池处理后达到《污水综合排放标准》（GB8978-1996）三级后</w:t>
      </w:r>
      <w:r>
        <w:rPr>
          <w:rFonts w:hint="eastAsia" w:ascii="Times New Roman" w:hAnsi="Times New Roman" w:eastAsia="宋体" w:cs="宋体"/>
          <w:kern w:val="2"/>
          <w:sz w:val="24"/>
          <w:szCs w:val="24"/>
          <w:lang w:val="en-US" w:eastAsia="zh-CN" w:bidi="ar-SA"/>
        </w:rPr>
        <w:t>由卓达金谷创业园污水处理站处理</w:t>
      </w:r>
      <w:r>
        <w:rPr>
          <w:rFonts w:hint="eastAsia" w:cs="宋体"/>
          <w:kern w:val="2"/>
          <w:sz w:val="24"/>
          <w:szCs w:val="24"/>
          <w:lang w:val="en-US" w:eastAsia="zh-CN" w:bidi="ar-SA"/>
        </w:rPr>
        <w:t>达到《城镇污水处理厂污染物排放标准》（GB18918-2002）一级A类标准</w:t>
      </w:r>
      <w:r>
        <w:rPr>
          <w:rFonts w:hint="eastAsia" w:ascii="Times New Roman" w:hAnsi="Times New Roman" w:eastAsia="宋体" w:cs="宋体"/>
          <w:kern w:val="2"/>
          <w:sz w:val="24"/>
          <w:szCs w:val="24"/>
          <w:lang w:val="en-US" w:eastAsia="zh-CN" w:bidi="ar-SA"/>
        </w:rPr>
        <w:t>后排入洋沙河至洋沙湖，最终受纳水体为湘江。</w:t>
      </w:r>
    </w:p>
    <w:p>
      <w:pPr>
        <w:pStyle w:val="5"/>
        <w:bidi w:val="0"/>
        <w:rPr>
          <w:rFonts w:hint="eastAsia"/>
          <w:lang w:val="en-US" w:eastAsia="zh-CN"/>
        </w:rPr>
      </w:pPr>
      <w:bookmarkStart w:id="1388" w:name="_Toc26674"/>
      <w:r>
        <w:rPr>
          <w:rFonts w:hint="eastAsia"/>
          <w:lang w:val="en-US" w:eastAsia="zh-CN"/>
        </w:rPr>
        <w:t>沉淀处理可行性</w:t>
      </w:r>
      <w:bookmarkEnd w:id="1388"/>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类比同类项目，确定本项目生活污水COD约为300mg/L、SS约为200mg/L和氨氮约为30mg/L</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其水质的可生化性良好，故经沉淀处理后能达到</w:t>
      </w:r>
      <w:r>
        <w:rPr>
          <w:rFonts w:ascii="Times New Roman" w:hAnsi="Times New Roman" w:eastAsia="宋体" w:cs="宋体"/>
          <w:kern w:val="2"/>
          <w:sz w:val="24"/>
          <w:szCs w:val="24"/>
          <w:lang w:val="en-US" w:eastAsia="zh-CN" w:bidi="ar-SA"/>
        </w:rPr>
        <w:t>《污水综合排放标准》（GB8978-1996）</w:t>
      </w:r>
      <w:r>
        <w:rPr>
          <w:rFonts w:hint="eastAsia" w:ascii="Times New Roman" w:hAnsi="Times New Roman" w:eastAsia="宋体" w:cs="宋体"/>
          <w:kern w:val="2"/>
          <w:sz w:val="24"/>
          <w:szCs w:val="24"/>
          <w:lang w:val="en-US" w:eastAsia="zh-CN" w:bidi="ar-SA"/>
        </w:rPr>
        <w:t>三</w:t>
      </w:r>
      <w:r>
        <w:rPr>
          <w:rFonts w:ascii="Times New Roman" w:hAnsi="Times New Roman" w:eastAsia="宋体" w:cs="宋体"/>
          <w:kern w:val="2"/>
          <w:sz w:val="24"/>
          <w:szCs w:val="24"/>
          <w:lang w:val="en-US" w:eastAsia="zh-CN" w:bidi="ar-SA"/>
        </w:rPr>
        <w:t>级标准</w:t>
      </w:r>
      <w:r>
        <w:rPr>
          <w:rFonts w:hint="eastAsia" w:ascii="Times New Roman" w:hAnsi="Times New Roman" w:eastAsia="宋体" w:cs="宋体"/>
          <w:kern w:val="2"/>
          <w:sz w:val="24"/>
          <w:szCs w:val="24"/>
          <w:lang w:val="en-US" w:eastAsia="zh-CN" w:bidi="ar-SA"/>
        </w:rPr>
        <w:t>。</w:t>
      </w:r>
    </w:p>
    <w:p>
      <w:pPr>
        <w:pStyle w:val="5"/>
        <w:bidi w:val="0"/>
        <w:rPr>
          <w:rFonts w:hint="eastAsia"/>
          <w:lang w:val="en-US" w:eastAsia="zh-CN"/>
        </w:rPr>
      </w:pPr>
      <w:bookmarkStart w:id="1389" w:name="_Toc25485"/>
      <w:r>
        <w:rPr>
          <w:rFonts w:hint="eastAsia"/>
          <w:lang w:val="en-US" w:eastAsia="zh-CN"/>
        </w:rPr>
        <w:t>卓达金谷创业园污水处理站处理可行性分析</w:t>
      </w:r>
      <w:bookmarkEnd w:id="1389"/>
    </w:p>
    <w:p>
      <w:pPr>
        <w:widowControl w:val="0"/>
        <w:bidi w:val="0"/>
        <w:spacing w:line="360" w:lineRule="auto"/>
        <w:ind w:firstLine="480" w:firstLineChars="200"/>
        <w:jc w:val="left"/>
        <w:rPr>
          <w:rFonts w:hint="eastAsia" w:ascii="Times New Roman" w:hAnsi="Times New Roman" w:eastAsia="宋体" w:cs="宋体"/>
          <w:kern w:val="2"/>
          <w:sz w:val="24"/>
          <w:szCs w:val="24"/>
          <w:u w:val="single"/>
          <w:lang w:val="en-US" w:eastAsia="zh-CN" w:bidi="ar-SA"/>
        </w:rPr>
      </w:pPr>
      <w:r>
        <w:rPr>
          <w:rFonts w:hint="eastAsia" w:ascii="Times New Roman" w:hAnsi="Times New Roman" w:eastAsia="宋体" w:cs="宋体"/>
          <w:kern w:val="2"/>
          <w:sz w:val="24"/>
          <w:szCs w:val="24"/>
          <w:u w:val="single"/>
          <w:lang w:val="en-US" w:eastAsia="zh-CN" w:bidi="ar-SA"/>
        </w:rPr>
        <w:t>卓达金谷创业园污水处理站主要设计处理卓达金谷创业园和创新园产生的食品、洗涤工业废水及生活污水，处理量为1500t/d</w:t>
      </w:r>
      <w:r>
        <w:rPr>
          <w:rFonts w:hint="default" w:ascii="Times New Roman" w:hAnsi="Times New Roman" w:eastAsia="宋体" w:cs="Times New Roman"/>
          <w:color w:val="auto"/>
          <w:kern w:val="2"/>
          <w:sz w:val="24"/>
          <w:szCs w:val="22"/>
          <w:u w:val="single"/>
          <w:shd w:val="clear" w:color="auto" w:fill="FFFFFF"/>
          <w:lang w:val="en-US" w:eastAsia="zh-CN" w:bidi="ar-SA"/>
        </w:rPr>
        <w:t>。污水处理站当前接纳废水量约占处理能力的60%</w:t>
      </w:r>
      <w:r>
        <w:rPr>
          <w:rFonts w:hint="eastAsia" w:ascii="Times New Roman" w:hAnsi="Times New Roman" w:eastAsia="宋体" w:cs="Times New Roman"/>
          <w:color w:val="auto"/>
          <w:kern w:val="2"/>
          <w:sz w:val="24"/>
          <w:szCs w:val="22"/>
          <w:u w:val="single"/>
          <w:shd w:val="clear" w:color="auto" w:fill="FFFFFF"/>
          <w:lang w:val="en-US" w:eastAsia="zh-CN" w:bidi="ar-SA"/>
        </w:rPr>
        <w:t>，</w:t>
      </w:r>
      <w:r>
        <w:rPr>
          <w:rFonts w:hint="eastAsia" w:ascii="Times New Roman" w:hAnsi="Times New Roman" w:eastAsia="宋体" w:cs="宋体"/>
          <w:kern w:val="2"/>
          <w:sz w:val="24"/>
          <w:szCs w:val="24"/>
          <w:u w:val="single"/>
          <w:lang w:val="en-US" w:eastAsia="zh-CN" w:bidi="ar-SA"/>
        </w:rPr>
        <w:t>采用隔油沉淀+水解酸化+接触氧化工艺。</w:t>
      </w:r>
    </w:p>
    <w:p>
      <w:pPr>
        <w:widowControl w:val="0"/>
        <w:numPr>
          <w:ilvl w:val="0"/>
          <w:numId w:val="19"/>
        </w:numPr>
        <w:bidi w:val="0"/>
        <w:spacing w:line="360" w:lineRule="auto"/>
        <w:ind w:left="425" w:leftChars="0" w:hanging="425" w:firstLineChars="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隔油沉淀原理：</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无论何种沉淀池，其作用是固液分离。在沉淀池的设计上，因固体具有下沉的趋势，故液相的流向或与之相反，或与之相垂直，在液相流向方向一定距离形成固液分离区域。固液分离后的液相需排出沉淀池，集水槽就是通过集水堰板以缓慢的流速、均匀地将液相收集在槽内并按照规定的方向排出沉淀池。</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隔油沉淀池是在普通隔油池中设倾角为45°的斜板进行油分上浮分离及与重油、杂质下沉分离的含油废水处理构筑物。斜板间距为30-40mm，油粒截留速度为0.2mm/s，可除去油粒粒径为60</w:t>
      </w:r>
      <w:r>
        <w:rPr>
          <w:rFonts w:hint="default" w:ascii="Calibri" w:hAnsi="Calibri" w:eastAsia="宋体" w:cs="Calibri"/>
          <w:kern w:val="2"/>
          <w:sz w:val="24"/>
          <w:szCs w:val="24"/>
          <w:lang w:val="en-US" w:eastAsia="zh-CN" w:bidi="ar-SA"/>
        </w:rPr>
        <w:t>μ</w:t>
      </w:r>
      <w:r>
        <w:rPr>
          <w:rFonts w:ascii="Times New Roman" w:hAnsi="Times New Roman" w:eastAsia="宋体" w:cs="宋体"/>
          <w:kern w:val="2"/>
          <w:sz w:val="24"/>
          <w:szCs w:val="24"/>
          <w:lang w:val="en-US" w:eastAsia="zh-CN" w:bidi="ar-SA"/>
        </w:rPr>
        <w:t>m，池的体积相应仅位普通隔油池的1/4-1/2。</w:t>
      </w:r>
    </w:p>
    <w:p>
      <w:pPr>
        <w:widowControl w:val="0"/>
        <w:numPr>
          <w:ilvl w:val="0"/>
          <w:numId w:val="19"/>
        </w:numPr>
        <w:bidi w:val="0"/>
        <w:spacing w:line="360" w:lineRule="auto"/>
        <w:ind w:left="425" w:leftChars="0" w:hanging="425" w:firstLineChars="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水解酸化原理：</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其原理是通过水解菌、产酸菌释放的酶促使水中难以生物降解的大分子物质发生生物催化反应，具体表现为断链和水溶，微生物则利用水溶性底物完成胞内生化反应，同时排出各种有机酸。水中有机物为复杂结构时，水解酸化菌利用H2O电离的H+和-OH将有机物分子中的C-C打开，一端加入H+，一端加入-OH，可以将长链水解为短链、支链成直链、环状结构成直链或支链，提高污水的可生化性。水中SS高时，水解菌通过胞外粘膜将其捕捉，用外酶水解成分子断片再进入胞内代谢，不完全的代谢可以使SS成为溶解性有机物，出水就变的清澈了</w:t>
      </w:r>
      <w:r>
        <w:rPr>
          <w:rFonts w:hint="eastAsia"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水解酸化过程能将废水中的非溶解态有机物截留并逐步转变为溶解态有机物，一些难于生物降解大分子物质被转化为易于降解的小分子物质如有机酸等，从而使废水的可生化性和降解速度大幅度提高，以利于后续好氧生物处理。</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正常条件下，经过2-4天的生化反应，所用时间短，无需大容积的消化池，能脱除废水COD的15-25%。COD降低了，也减少了对氧的需求，降低供氧负荷，同时减少了由于综合N、P营养物缺乏而在废水中投加营养物质的量。</w:t>
      </w:r>
    </w:p>
    <w:p>
      <w:pPr>
        <w:widowControl w:val="0"/>
        <w:numPr>
          <w:ilvl w:val="0"/>
          <w:numId w:val="19"/>
        </w:numPr>
        <w:bidi w:val="0"/>
        <w:spacing w:line="360" w:lineRule="auto"/>
        <w:ind w:left="425" w:leftChars="0" w:hanging="425" w:firstLineChars="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接触氧化原理：</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生物接触氧化法是一种介于活性污泥法与生物滤池之间的生物膜法工艺，其特点是在池内设置填料，池底曝气对污水进行充氧，并使池体内污水处于流动状态，以保证污水与污水中的填料充分接触，避免生物接触氧化池中存在污水与填料接触不均的缺陷。其净化废水的基本原理与一般生物膜法相同，以生物膜吸附废水中的有机物，在有氧的条件下，有机物由微生物氧化分解，废水得到净化。</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本项目废水主要为生活污水，废水量为42m</w:t>
      </w:r>
      <w:r>
        <w:rPr>
          <w:rFonts w:hint="eastAsia" w:ascii="Times New Roman" w:hAnsi="Times New Roman" w:eastAsia="宋体" w:cs="宋体"/>
          <w:kern w:val="2"/>
          <w:sz w:val="24"/>
          <w:szCs w:val="24"/>
          <w:vertAlign w:val="superscript"/>
          <w:lang w:val="en-US" w:eastAsia="zh-CN" w:bidi="ar-SA"/>
        </w:rPr>
        <w:t>3</w:t>
      </w:r>
      <w:r>
        <w:rPr>
          <w:rFonts w:hint="eastAsia" w:ascii="Times New Roman" w:hAnsi="Times New Roman" w:eastAsia="宋体" w:cs="宋体"/>
          <w:kern w:val="2"/>
          <w:sz w:val="24"/>
          <w:szCs w:val="24"/>
          <w:lang w:val="en-US" w:eastAsia="zh-CN" w:bidi="ar-SA"/>
        </w:rPr>
        <w:t>/a（0.16m</w:t>
      </w:r>
      <w:r>
        <w:rPr>
          <w:rFonts w:hint="eastAsia" w:ascii="Times New Roman" w:hAnsi="Times New Roman" w:eastAsia="宋体" w:cs="宋体"/>
          <w:kern w:val="2"/>
          <w:sz w:val="24"/>
          <w:szCs w:val="24"/>
          <w:vertAlign w:val="superscript"/>
          <w:lang w:val="en-US" w:eastAsia="zh-CN" w:bidi="ar-SA"/>
        </w:rPr>
        <w:t>3</w:t>
      </w:r>
      <w:r>
        <w:rPr>
          <w:rFonts w:hint="eastAsia" w:ascii="Times New Roman" w:hAnsi="Times New Roman" w:eastAsia="宋体" w:cs="宋体"/>
          <w:kern w:val="2"/>
          <w:sz w:val="24"/>
          <w:szCs w:val="24"/>
          <w:lang w:val="en-US" w:eastAsia="zh-CN" w:bidi="ar-SA"/>
        </w:rPr>
        <w:t>/d），水量较小，主要污染因子为COD、氨氮、SS、植物油，通过卓达金谷创业园污水处理站的隔油沉淀+水解酸化+接触氧化工艺处理后，能达到</w:t>
      </w:r>
      <w:r>
        <w:rPr>
          <w:rFonts w:hint="eastAsia" w:cs="宋体"/>
          <w:kern w:val="2"/>
          <w:sz w:val="24"/>
          <w:szCs w:val="24"/>
          <w:lang w:val="en-US" w:eastAsia="zh-CN" w:bidi="ar-SA"/>
        </w:rPr>
        <w:t>《城镇污水处理厂污染物排放标准》（GB18918-2002）一级A类标准</w:t>
      </w:r>
      <w:r>
        <w:rPr>
          <w:rFonts w:hint="eastAsia" w:ascii="Times New Roman" w:hAnsi="Times New Roman" w:eastAsia="宋体" w:cs="宋体"/>
          <w:kern w:val="2"/>
          <w:sz w:val="24"/>
          <w:szCs w:val="24"/>
          <w:lang w:val="en-US" w:eastAsia="zh-CN" w:bidi="ar-SA"/>
        </w:rPr>
        <w:t>。</w:t>
      </w:r>
    </w:p>
    <w:p>
      <w:pPr>
        <w:pStyle w:val="4"/>
        <w:bidi w:val="0"/>
        <w:rPr>
          <w:lang w:val="en-US" w:eastAsia="zh-CN"/>
        </w:rPr>
      </w:pPr>
      <w:bookmarkStart w:id="1390" w:name="_Toc31453"/>
      <w:bookmarkStart w:id="1391" w:name="_Toc8665"/>
      <w:bookmarkStart w:id="1392" w:name="_Toc24589"/>
      <w:bookmarkStart w:id="1393" w:name="_Toc10603"/>
      <w:r>
        <w:rPr>
          <w:lang w:val="en-US" w:eastAsia="zh-CN"/>
        </w:rPr>
        <w:t>噪声治理措施及达标可行性分析</w:t>
      </w:r>
      <w:bookmarkEnd w:id="1376"/>
      <w:bookmarkEnd w:id="1377"/>
      <w:bookmarkEnd w:id="1378"/>
      <w:bookmarkEnd w:id="1379"/>
      <w:bookmarkEnd w:id="1380"/>
      <w:bookmarkEnd w:id="1381"/>
      <w:bookmarkEnd w:id="1382"/>
      <w:bookmarkEnd w:id="1383"/>
      <w:bookmarkEnd w:id="1384"/>
      <w:bookmarkEnd w:id="1385"/>
      <w:bookmarkEnd w:id="1386"/>
      <w:bookmarkEnd w:id="1387"/>
      <w:bookmarkEnd w:id="1390"/>
      <w:bookmarkEnd w:id="1391"/>
      <w:bookmarkEnd w:id="1392"/>
      <w:bookmarkEnd w:id="1393"/>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1394" w:name="_Toc6377_WPSOffice_Level3"/>
      <w:bookmarkStart w:id="1395" w:name="_Toc8323_WPSOffice_Level3"/>
      <w:bookmarkStart w:id="1396" w:name="_Toc25479"/>
      <w:bookmarkStart w:id="1397" w:name="_Toc10359"/>
      <w:bookmarkStart w:id="1398" w:name="_Toc15286"/>
      <w:bookmarkStart w:id="1399" w:name="_Toc7722"/>
      <w:bookmarkStart w:id="1400" w:name="_Toc61"/>
      <w:bookmarkStart w:id="1401" w:name="_Toc481738480"/>
      <w:r>
        <w:rPr>
          <w:rFonts w:ascii="Times New Roman" w:hAnsi="Times New Roman" w:eastAsia="宋体" w:cs="宋体"/>
          <w:kern w:val="2"/>
          <w:sz w:val="24"/>
          <w:szCs w:val="24"/>
          <w:lang w:val="en-US" w:eastAsia="zh-CN" w:bidi="ar-SA"/>
        </w:rPr>
        <w:t>本项目的噪声源主要为设备运转时产生的噪声，噪声源强为</w:t>
      </w:r>
      <w:r>
        <w:rPr>
          <w:rFonts w:hint="eastAsia" w:ascii="Times New Roman" w:hAnsi="Times New Roman" w:eastAsia="宋体" w:cs="宋体"/>
          <w:kern w:val="2"/>
          <w:sz w:val="24"/>
          <w:szCs w:val="24"/>
          <w:lang w:val="en-US" w:eastAsia="zh-CN" w:bidi="ar-SA"/>
        </w:rPr>
        <w:t>70</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85</w:t>
      </w:r>
      <w:r>
        <w:rPr>
          <w:rFonts w:ascii="Times New Roman" w:hAnsi="Times New Roman" w:eastAsia="宋体" w:cs="宋体"/>
          <w:kern w:val="2"/>
          <w:sz w:val="24"/>
          <w:szCs w:val="24"/>
          <w:lang w:val="en-US" w:eastAsia="zh-CN" w:bidi="ar-SA"/>
        </w:rPr>
        <w:t>dBA，所有设备均按照工业设备安装的有关规范安装，采取减振隔声措施，且大多数噪声源设置在室内。对于室外噪声源等安装时尽可能的安装在远离厂界的位置，采用隔声房或隔声罩等隔声措施进行处理以降低噪声对环境的影响，使厂界噪声达到《工业企业厂界环境噪声排放标准》（GB12348－2008）</w:t>
      </w:r>
      <w:r>
        <w:rPr>
          <w:rFonts w:hint="eastAsia" w:ascii="Times New Roman" w:hAnsi="Times New Roman" w:eastAsia="宋体" w:cs="宋体"/>
          <w:kern w:val="2"/>
          <w:sz w:val="24"/>
          <w:szCs w:val="24"/>
          <w:lang w:val="en-US" w:eastAsia="zh-CN" w:bidi="ar-SA"/>
        </w:rPr>
        <w:t>3</w:t>
      </w:r>
      <w:r>
        <w:rPr>
          <w:rFonts w:ascii="Times New Roman" w:hAnsi="Times New Roman" w:eastAsia="宋体" w:cs="宋体"/>
          <w:kern w:val="2"/>
          <w:sz w:val="24"/>
          <w:szCs w:val="24"/>
          <w:lang w:val="en-US" w:eastAsia="zh-CN" w:bidi="ar-SA"/>
        </w:rPr>
        <w:t>类标准。</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为进一步防止项目生产产生的噪声对周边环境的影响，确保厂界噪声达标排放，本环评建议：</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（1）在设备选型时，除考虑满足生产工艺要求外，还必须考虑设备的声学特性（选用高效低噪设备），对于噪声较高的设备应与设备出售厂方协商提供配套的降噪措施。</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（2）将各设备安装于生产车间内，进行墙体隔声，并且在设备安装时加减振垫。</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（3）应加强设备的保养和维修，使设备随时处于良好的运行状态，避免偶发强噪声产生。高噪声设备操作人员，操作时应佩戴防护头盔或耳套。</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（4）声屏障的存在使声波不能直达受声点，从而使受声点噪声降低。声屏障通常指墙、建筑物、土坡、树丛等。</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综上</w:t>
      </w:r>
      <w:r>
        <w:rPr>
          <w:rFonts w:ascii="Times New Roman" w:hAnsi="Times New Roman" w:eastAsia="宋体" w:cs="宋体"/>
          <w:kern w:val="2"/>
          <w:sz w:val="24"/>
          <w:szCs w:val="24"/>
          <w:lang w:val="en-US" w:eastAsia="zh-CN" w:bidi="ar-SA"/>
        </w:rPr>
        <w:t>，在落实各项噪声污染防治措施的情况下，项目整治投产后对周围声环境影响较小。</w:t>
      </w:r>
    </w:p>
    <w:p>
      <w:pPr>
        <w:pStyle w:val="4"/>
        <w:bidi w:val="0"/>
        <w:rPr>
          <w:lang w:val="en-US" w:eastAsia="zh-CN"/>
        </w:rPr>
      </w:pPr>
      <w:bookmarkStart w:id="1402" w:name="_Toc21058"/>
      <w:bookmarkStart w:id="1403" w:name="_Toc8112"/>
      <w:bookmarkStart w:id="1404" w:name="_Toc19556"/>
      <w:bookmarkStart w:id="1405" w:name="_Toc1675"/>
      <w:bookmarkStart w:id="1406" w:name="_Toc21768"/>
      <w:bookmarkStart w:id="1407" w:name="_Toc20823"/>
      <w:r>
        <w:rPr>
          <w:lang w:val="en-US" w:eastAsia="zh-CN"/>
        </w:rPr>
        <w:t>地下水的环境保护措施可行性分析</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正常生产的情况下，产生的生活污水得到了有效处理，基本不会对地下水造成影响，但不排除个别管道因为老化出现跑冒滴漏导致地下水收到污染，且一旦地下水遭到污染，治理起来将会非常困难。所以项目在正常生产的情况下应加强管道及设备巡视，并制定相关的突发性事故防治措施，对污染物贮存与处理装置的布局，划分污染防治区，加强地面防渗要求。如果事故发生对地下水造成影响，针对现实状况，及时对地下水进行长期监测，如果发现地下水污染，应该及时采取措施，查清污染来源，进行一系列的排污措施，以确保污染的地下水排除并且对地下水进行一定的修复工作，防止其继续扩大延伸。通过采取以上措施，对地下水防治措施是可行的。</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依据《地下工程防水技术规范》（GB50108-2001）的要求，地下水污染防治措施按照“源头控制、末端防治、污染监控、应急响应”相结合的原则，从污染物的产生、入渗、扩撒、应急响应阶段进行控制。</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本项目原料、一般固体废弃物的储存场需作好地面硬化，并按相关的要求，作好防雨、防渗设施；原料不得露天堆放。</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 xml:space="preserve">该项目重点污染区防渗措施为：生产区、危废暂存区、厂区污水管网及废水处理系统。本项目主要生产区、危废暂存区等采取水泥硬化，四周用砖砌再用水泥硬化防渗。 </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0" w:leftChars="0" w:firstLine="480" w:firstLineChars="200"/>
        <w:jc w:val="left"/>
        <w:textAlignment w:val="auto"/>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一般污染区防渗措施：主要包括厂区道路、车间过道、原料堆放区、成品堆放区、一般固废暂存区，在其上层铺10~15cm 的水泥进行硬化。通过上述措施可使一般污染区各单元防渗层渗透系数≦10-7cm/s。</w:t>
      </w:r>
    </w:p>
    <w:p>
      <w:pPr>
        <w:pStyle w:val="4"/>
        <w:bidi w:val="0"/>
        <w:rPr>
          <w:lang w:val="en-US" w:eastAsia="zh-CN"/>
        </w:rPr>
      </w:pPr>
      <w:bookmarkStart w:id="1408" w:name="_Toc4054"/>
      <w:bookmarkStart w:id="1409" w:name="_Toc4747"/>
      <w:bookmarkStart w:id="1410" w:name="_Toc23267"/>
      <w:bookmarkStart w:id="1411" w:name="_Toc6082"/>
      <w:bookmarkStart w:id="1412" w:name="_Toc14796_WPSOffice_Level3"/>
      <w:bookmarkStart w:id="1413" w:name="_Toc14176"/>
      <w:bookmarkStart w:id="1414" w:name="_Toc28023"/>
      <w:bookmarkStart w:id="1415" w:name="_Toc24945_WPSOffice_Level3"/>
      <w:bookmarkStart w:id="1416" w:name="_Toc18443"/>
      <w:bookmarkStart w:id="1417" w:name="_Toc23612"/>
      <w:bookmarkStart w:id="1418" w:name="_Toc27059"/>
      <w:bookmarkStart w:id="1419" w:name="_Toc24855"/>
      <w:bookmarkStart w:id="1420" w:name="_Toc23474"/>
      <w:bookmarkStart w:id="1421" w:name="_Toc19141"/>
      <w:bookmarkStart w:id="1422" w:name="_Toc22756"/>
      <w:bookmarkStart w:id="1423" w:name="_Toc17185"/>
      <w:r>
        <w:rPr>
          <w:lang w:val="en-US" w:eastAsia="zh-CN"/>
        </w:rPr>
        <w:t>固体废物治理措施及达标可行性分析</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pPr>
        <w:pStyle w:val="5"/>
        <w:bidi w:val="0"/>
        <w:rPr>
          <w:lang w:val="en-US" w:eastAsia="zh-CN"/>
        </w:rPr>
      </w:pPr>
      <w:bookmarkStart w:id="1424" w:name="_Toc21260"/>
      <w:bookmarkStart w:id="1425" w:name="_Toc28872_WPSOffice_Level3"/>
      <w:bookmarkStart w:id="1426" w:name="_Toc25815_WPSOffice_Level3"/>
      <w:r>
        <w:rPr>
          <w:lang w:val="en-US" w:eastAsia="zh-CN"/>
        </w:rPr>
        <w:t>处置方式</w:t>
      </w:r>
      <w:bookmarkEnd w:id="1424"/>
      <w:bookmarkEnd w:id="1425"/>
      <w:bookmarkEnd w:id="1426"/>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本项目</w:t>
      </w:r>
      <w:r>
        <w:rPr>
          <w:rFonts w:hint="eastAsia" w:ascii="Times New Roman" w:hAnsi="Times New Roman" w:eastAsia="宋体" w:cs="宋体"/>
          <w:kern w:val="2"/>
          <w:sz w:val="24"/>
          <w:szCs w:val="24"/>
          <w:lang w:val="en-US" w:eastAsia="zh-CN" w:bidi="ar-SA"/>
        </w:rPr>
        <w:t>运营期固体</w:t>
      </w:r>
      <w:r>
        <w:rPr>
          <w:rFonts w:ascii="Times New Roman" w:hAnsi="Times New Roman" w:eastAsia="宋体" w:cs="宋体"/>
          <w:kern w:val="2"/>
          <w:sz w:val="24"/>
          <w:szCs w:val="24"/>
          <w:lang w:val="en-US" w:eastAsia="zh-CN" w:bidi="ar-SA"/>
        </w:rPr>
        <w:t>废物有</w:t>
      </w:r>
      <w:r>
        <w:rPr>
          <w:rFonts w:hint="eastAsia" w:ascii="Times New Roman" w:hAnsi="Times New Roman" w:eastAsia="宋体" w:cs="宋体"/>
          <w:kern w:val="2"/>
          <w:sz w:val="24"/>
          <w:szCs w:val="24"/>
          <w:lang w:val="en-US" w:eastAsia="zh-CN" w:bidi="ar-SA"/>
        </w:rPr>
        <w:t>原料桶标签纸、破损包装桶、</w:t>
      </w:r>
      <w:r>
        <w:rPr>
          <w:rFonts w:hint="eastAsia" w:cs="Times New Roman"/>
          <w:kern w:val="2"/>
          <w:sz w:val="24"/>
          <w:szCs w:val="24"/>
          <w:lang w:val="en-US" w:eastAsia="zh-CN" w:bidi="ar-SA"/>
        </w:rPr>
        <w:t>实验室固废、</w:t>
      </w:r>
      <w:r>
        <w:rPr>
          <w:rFonts w:hint="eastAsia" w:ascii="Times New Roman" w:hAnsi="Times New Roman" w:eastAsia="宋体" w:cs="宋体"/>
          <w:kern w:val="2"/>
          <w:sz w:val="24"/>
          <w:szCs w:val="24"/>
          <w:lang w:val="en-US" w:eastAsia="zh-CN" w:bidi="ar-SA"/>
        </w:rPr>
        <w:t>废活性炭</w:t>
      </w:r>
      <w:r>
        <w:rPr>
          <w:rFonts w:hint="eastAsia" w:cs="宋体"/>
          <w:kern w:val="2"/>
          <w:sz w:val="24"/>
          <w:szCs w:val="24"/>
          <w:lang w:val="en-US" w:eastAsia="zh-CN" w:bidi="ar-SA"/>
        </w:rPr>
        <w:t>、电动叉车废弃电瓶</w:t>
      </w:r>
      <w:r>
        <w:rPr>
          <w:rFonts w:hint="eastAsia" w:ascii="Times New Roman" w:hAnsi="Times New Roman" w:eastAsia="宋体" w:cs="宋体"/>
          <w:kern w:val="2"/>
          <w:sz w:val="24"/>
          <w:szCs w:val="24"/>
          <w:lang w:val="en-US" w:eastAsia="zh-CN" w:bidi="ar-SA"/>
        </w:rPr>
        <w:t>和生活垃圾。</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本项目拟在厂区</w:t>
      </w:r>
      <w:r>
        <w:rPr>
          <w:rFonts w:hint="eastAsia" w:ascii="Times New Roman" w:hAnsi="Times New Roman" w:eastAsia="宋体" w:cs="宋体"/>
          <w:kern w:val="2"/>
          <w:sz w:val="24"/>
          <w:szCs w:val="24"/>
          <w:lang w:val="en-US" w:eastAsia="zh-CN" w:bidi="ar-SA"/>
        </w:rPr>
        <w:t>仓库</w:t>
      </w:r>
      <w:r>
        <w:rPr>
          <w:rFonts w:ascii="Times New Roman" w:hAnsi="Times New Roman" w:eastAsia="宋体" w:cs="宋体"/>
          <w:kern w:val="2"/>
          <w:sz w:val="24"/>
          <w:szCs w:val="24"/>
          <w:lang w:val="en-US" w:eastAsia="zh-CN" w:bidi="ar-SA"/>
        </w:rPr>
        <w:t>设置一般固体废物及危险废物</w:t>
      </w:r>
      <w:r>
        <w:rPr>
          <w:rFonts w:hint="eastAsia" w:ascii="Times New Roman" w:hAnsi="Times New Roman" w:eastAsia="宋体" w:cs="宋体"/>
          <w:kern w:val="2"/>
          <w:sz w:val="24"/>
          <w:szCs w:val="24"/>
          <w:lang w:val="en-US" w:eastAsia="zh-CN" w:bidi="ar-SA"/>
        </w:rPr>
        <w:t>暂存区</w:t>
      </w:r>
      <w:r>
        <w:rPr>
          <w:rFonts w:ascii="Times New Roman" w:hAnsi="Times New Roman" w:eastAsia="宋体" w:cs="宋体"/>
          <w:kern w:val="2"/>
          <w:sz w:val="24"/>
          <w:szCs w:val="24"/>
          <w:lang w:val="en-US" w:eastAsia="zh-CN" w:bidi="ar-SA"/>
        </w:rPr>
        <w:t>，一般固体废物需作好防风、防雨措施，地面进行硬化处理，危险固体废物暂存区需作好防风、防雨、防晒，防渗防漏处理。项目一般固体废物的种类较多，收集的固废可分类暂存于暂存区。</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项目生产过程中收集到的</w:t>
      </w:r>
      <w:r>
        <w:rPr>
          <w:rFonts w:hint="eastAsia" w:ascii="Times New Roman" w:hAnsi="Times New Roman" w:eastAsia="宋体" w:cs="宋体"/>
          <w:kern w:val="2"/>
          <w:sz w:val="24"/>
          <w:szCs w:val="24"/>
          <w:lang w:val="en-US" w:eastAsia="zh-CN" w:bidi="ar-SA"/>
        </w:rPr>
        <w:t>原料桶标签纸、破损包装桶</w:t>
      </w:r>
      <w:r>
        <w:rPr>
          <w:rFonts w:hint="eastAsia" w:cs="宋体"/>
          <w:kern w:val="2"/>
          <w:sz w:val="24"/>
          <w:szCs w:val="24"/>
          <w:lang w:val="en-US" w:eastAsia="zh-CN" w:bidi="ar-SA"/>
        </w:rPr>
        <w:t>、</w:t>
      </w:r>
      <w:r>
        <w:rPr>
          <w:rFonts w:hint="eastAsia" w:cs="Times New Roman"/>
          <w:kern w:val="2"/>
          <w:sz w:val="24"/>
          <w:szCs w:val="24"/>
          <w:lang w:val="en-US" w:eastAsia="zh-CN" w:bidi="ar-SA"/>
        </w:rPr>
        <w:t>实验室固废</w:t>
      </w:r>
      <w:r>
        <w:rPr>
          <w:rFonts w:ascii="Times New Roman" w:hAnsi="Times New Roman" w:eastAsia="宋体" w:cs="宋体"/>
          <w:kern w:val="2"/>
          <w:sz w:val="24"/>
          <w:szCs w:val="24"/>
          <w:lang w:val="en-US" w:eastAsia="zh-CN" w:bidi="ar-SA"/>
        </w:rPr>
        <w:t>等均为一般固体废物，在一般固体废物暂存区分类收集暂存后，定期外售综合利用。项目一般固体废物的暂存需按照《一般工业固体废物贮存、处置场污染控制标准（GB18599-2001）》</w:t>
      </w:r>
      <w:r>
        <w:rPr>
          <w:rFonts w:hint="eastAsia" w:ascii="Times New Roman" w:hAnsi="Times New Roman" w:eastAsia="宋体" w:cs="宋体"/>
          <w:kern w:val="2"/>
          <w:sz w:val="24"/>
          <w:szCs w:val="24"/>
          <w:lang w:val="en-US" w:eastAsia="zh-CN" w:bidi="ar-SA"/>
        </w:rPr>
        <w:t>及修改单</w:t>
      </w:r>
      <w:r>
        <w:rPr>
          <w:rFonts w:ascii="Times New Roman" w:hAnsi="Times New Roman" w:eastAsia="宋体" w:cs="宋体"/>
          <w:kern w:val="2"/>
          <w:sz w:val="24"/>
          <w:szCs w:val="24"/>
          <w:lang w:val="en-US" w:eastAsia="zh-CN" w:bidi="ar-SA"/>
        </w:rPr>
        <w:t>的相关要求建设、管理规范暂存库，通过加强管理，不与危险废物和生活垃圾相混。</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w:t>
      </w:r>
      <w:r>
        <w:rPr>
          <w:rFonts w:hint="eastAsia" w:ascii="Times New Roman" w:hAnsi="Times New Roman" w:eastAsia="宋体" w:cs="宋体"/>
          <w:kern w:val="2"/>
          <w:sz w:val="24"/>
          <w:szCs w:val="24"/>
          <w:lang w:val="en-US" w:eastAsia="zh-CN" w:bidi="ar-SA"/>
        </w:rPr>
        <w:t>生产过程收集到的废活性炭</w:t>
      </w:r>
      <w:r>
        <w:rPr>
          <w:rFonts w:hint="eastAsia" w:cs="宋体"/>
          <w:kern w:val="2"/>
          <w:sz w:val="24"/>
          <w:szCs w:val="24"/>
          <w:lang w:val="en-US" w:eastAsia="zh-CN" w:bidi="ar-SA"/>
        </w:rPr>
        <w:t>和电动叉车废弃电瓶</w:t>
      </w:r>
      <w:r>
        <w:rPr>
          <w:rFonts w:ascii="Times New Roman" w:hAnsi="Times New Roman" w:eastAsia="宋体" w:cs="宋体"/>
          <w:kern w:val="2"/>
          <w:sz w:val="24"/>
          <w:szCs w:val="24"/>
          <w:lang w:val="en-US" w:eastAsia="zh-CN" w:bidi="ar-SA"/>
        </w:rPr>
        <w:t>属于危险废物。危险废物储存、运输、处置必须严格按《中华人民共和国固体废物污染环境防治法》、国家环保总局《关于发布〈危险废物污染防治技术政策〉的通知》[环发2001（199）号</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及</w:t>
      </w:r>
      <w:r>
        <w:rPr>
          <w:rFonts w:hint="eastAsia" w:ascii="Times New Roman" w:hAnsi="Times New Roman" w:eastAsia="宋体" w:cs="宋体"/>
          <w:kern w:val="2"/>
          <w:sz w:val="24"/>
          <w:szCs w:val="24"/>
          <w:lang w:val="en-US" w:eastAsia="zh-CN" w:bidi="ar-SA"/>
        </w:rPr>
        <w:t>《危险固废贮存污染控制标准（GB18597-2001）》及修改单</w:t>
      </w:r>
      <w:r>
        <w:rPr>
          <w:rFonts w:ascii="Times New Roman" w:hAnsi="Times New Roman" w:eastAsia="宋体" w:cs="宋体"/>
          <w:kern w:val="2"/>
          <w:sz w:val="24"/>
          <w:szCs w:val="24"/>
          <w:lang w:val="en-US" w:eastAsia="zh-CN" w:bidi="ar-SA"/>
        </w:rPr>
        <w:t>中的相关要求进行，在厂区内设专门的库房暂存并加强管理，库房要防风、防雨、防晒，地面与裙脚要用坚固、防渗的材料建造，硬化并进行防渗防漏处理，避免由于雨水淋溶、渗透等原因对地下水、地表水等环境产生不利影响，设施周围应设置围墙并做密闭处理。同时应严格履行国家与地方政府关于危险废物转移的规定，危险废物送至具有危险固废处理资质的机构处置（与其签订处置协议），由具有防渗漏设施的专用车辆运输。严禁危险废物混入一般工业固废及生活垃圾中。项目危险固体废物按上述措施实施后，可满足环保要求，各类危险固体废物可得到有效处置。</w:t>
      </w:r>
    </w:p>
    <w:p>
      <w:pPr>
        <w:pStyle w:val="5"/>
        <w:bidi w:val="0"/>
        <w:rPr>
          <w:lang w:val="en-US" w:eastAsia="zh-CN"/>
        </w:rPr>
      </w:pPr>
      <w:bookmarkStart w:id="1427" w:name="_Toc5952_WPSOffice_Level3"/>
      <w:bookmarkStart w:id="1428" w:name="_Toc24548_WPSOffice_Level3"/>
      <w:bookmarkStart w:id="1429" w:name="_Toc26080"/>
      <w:r>
        <w:rPr>
          <w:lang w:val="en-US" w:eastAsia="zh-CN"/>
        </w:rPr>
        <w:t>暂存措施</w:t>
      </w:r>
      <w:bookmarkEnd w:id="1427"/>
      <w:bookmarkEnd w:id="1428"/>
      <w:bookmarkEnd w:id="1429"/>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本项目拟在厂区</w:t>
      </w:r>
      <w:r>
        <w:rPr>
          <w:rFonts w:hint="eastAsia" w:ascii="Times New Roman" w:hAnsi="Times New Roman" w:eastAsia="宋体" w:cs="宋体"/>
          <w:kern w:val="2"/>
          <w:sz w:val="24"/>
          <w:szCs w:val="24"/>
          <w:lang w:val="en-US" w:eastAsia="zh-CN" w:bidi="ar-SA"/>
        </w:rPr>
        <w:t>仓库</w:t>
      </w:r>
      <w:r>
        <w:rPr>
          <w:rFonts w:ascii="Times New Roman" w:hAnsi="Times New Roman" w:eastAsia="宋体" w:cs="宋体"/>
          <w:kern w:val="2"/>
          <w:sz w:val="24"/>
          <w:szCs w:val="24"/>
          <w:lang w:val="en-US" w:eastAsia="zh-CN" w:bidi="ar-SA"/>
        </w:rPr>
        <w:t>设置一般固体废物</w:t>
      </w:r>
      <w:r>
        <w:rPr>
          <w:rFonts w:hint="eastAsia" w:ascii="Times New Roman" w:hAnsi="Times New Roman" w:eastAsia="宋体" w:cs="宋体"/>
          <w:kern w:val="2"/>
          <w:sz w:val="24"/>
          <w:szCs w:val="24"/>
          <w:lang w:val="en-US" w:eastAsia="zh-CN" w:bidi="ar-SA"/>
        </w:rPr>
        <w:t>暂存区</w:t>
      </w:r>
      <w:r>
        <w:rPr>
          <w:rFonts w:ascii="Times New Roman" w:hAnsi="Times New Roman" w:eastAsia="宋体" w:cs="宋体"/>
          <w:kern w:val="2"/>
          <w:sz w:val="24"/>
          <w:szCs w:val="24"/>
          <w:lang w:val="en-US" w:eastAsia="zh-CN" w:bidi="ar-SA"/>
        </w:rPr>
        <w:t>（面积</w:t>
      </w:r>
      <w:r>
        <w:rPr>
          <w:rFonts w:hint="eastAsia"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t>m</w:t>
      </w:r>
      <w:r>
        <w:rPr>
          <w:rFonts w:ascii="Times New Roman" w:hAnsi="Times New Roman" w:eastAsia="宋体" w:cs="宋体"/>
          <w:kern w:val="2"/>
          <w:sz w:val="24"/>
          <w:szCs w:val="24"/>
          <w:vertAlign w:val="superscript"/>
          <w:lang w:val="en-US" w:eastAsia="zh-CN" w:bidi="ar-SA"/>
        </w:rPr>
        <w:t>2</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位于</w:t>
      </w:r>
      <w:r>
        <w:rPr>
          <w:rFonts w:hint="eastAsia" w:ascii="Times New Roman" w:hAnsi="Times New Roman" w:eastAsia="宋体" w:cs="宋体"/>
          <w:kern w:val="2"/>
          <w:sz w:val="24"/>
          <w:szCs w:val="24"/>
          <w:lang w:val="en-US" w:eastAsia="zh-CN" w:bidi="ar-SA"/>
        </w:rPr>
        <w:t>仓库东侧</w:t>
      </w:r>
      <w:r>
        <w:rPr>
          <w:rFonts w:ascii="Times New Roman" w:hAnsi="Times New Roman" w:eastAsia="宋体" w:cs="宋体"/>
          <w:kern w:val="2"/>
          <w:sz w:val="24"/>
          <w:szCs w:val="24"/>
          <w:lang w:val="en-US" w:eastAsia="zh-CN" w:bidi="ar-SA"/>
        </w:rPr>
        <w:t>）及危险废物</w:t>
      </w:r>
      <w:r>
        <w:rPr>
          <w:rFonts w:hint="eastAsia" w:ascii="Times New Roman" w:hAnsi="Times New Roman" w:eastAsia="宋体" w:cs="宋体"/>
          <w:kern w:val="2"/>
          <w:sz w:val="24"/>
          <w:szCs w:val="24"/>
          <w:lang w:val="en-US" w:eastAsia="zh-CN" w:bidi="ar-SA"/>
        </w:rPr>
        <w:t>暂存区</w:t>
      </w:r>
      <w:r>
        <w:rPr>
          <w:rFonts w:ascii="Times New Roman" w:hAnsi="Times New Roman" w:eastAsia="宋体" w:cs="宋体"/>
          <w:kern w:val="2"/>
          <w:sz w:val="24"/>
          <w:szCs w:val="24"/>
          <w:lang w:val="en-US" w:eastAsia="zh-CN" w:bidi="ar-SA"/>
        </w:rPr>
        <w:t>（面积</w:t>
      </w:r>
      <w:r>
        <w:rPr>
          <w:rFonts w:hint="eastAsia"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t>m</w:t>
      </w:r>
      <w:r>
        <w:rPr>
          <w:rFonts w:ascii="Times New Roman" w:hAnsi="Times New Roman" w:eastAsia="宋体" w:cs="宋体"/>
          <w:kern w:val="2"/>
          <w:sz w:val="24"/>
          <w:szCs w:val="24"/>
          <w:vertAlign w:val="superscript"/>
          <w:lang w:val="en-US" w:eastAsia="zh-CN" w:bidi="ar-SA"/>
        </w:rPr>
        <w:t>2</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位于</w:t>
      </w:r>
      <w:r>
        <w:rPr>
          <w:rFonts w:hint="eastAsia" w:ascii="Times New Roman" w:hAnsi="Times New Roman" w:eastAsia="宋体" w:cs="宋体"/>
          <w:kern w:val="2"/>
          <w:sz w:val="24"/>
          <w:szCs w:val="24"/>
          <w:lang w:val="en-US" w:eastAsia="zh-CN" w:bidi="ar-SA"/>
        </w:rPr>
        <w:t>半仓库东侧</w:t>
      </w:r>
      <w:r>
        <w:rPr>
          <w:rFonts w:ascii="Times New Roman" w:hAnsi="Times New Roman" w:eastAsia="宋体" w:cs="宋体"/>
          <w:kern w:val="2"/>
          <w:sz w:val="24"/>
          <w:szCs w:val="24"/>
          <w:lang w:val="en-US" w:eastAsia="zh-CN" w:bidi="ar-SA"/>
        </w:rPr>
        <w:t>）。危险废物处置应严格按照以下规定及相关要求管理：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ascii="Times New Roman" w:hAnsi="Times New Roman" w:eastAsia="宋体" w:cs="宋体"/>
          <w:kern w:val="2"/>
          <w:sz w:val="24"/>
          <w:szCs w:val="24"/>
          <w:lang w:val="en-US" w:eastAsia="zh-CN" w:bidi="ar-SA"/>
        </w:rPr>
      </w:pPr>
      <w:r>
        <w:rPr>
          <w:rFonts w:hint="eastAsia" w:ascii="宋体" w:hAnsi="宋体" w:eastAsia="宋体" w:cs="宋体"/>
          <w:kern w:val="2"/>
          <w:sz w:val="24"/>
          <w:szCs w:val="24"/>
          <w:lang w:val="en-US" w:eastAsia="zh-CN" w:bidi="ar-SA"/>
        </w:rPr>
        <w:t>①</w:t>
      </w:r>
      <w:r>
        <w:rPr>
          <w:rFonts w:ascii="Times New Roman" w:hAnsi="Times New Roman" w:eastAsia="宋体" w:cs="宋体"/>
          <w:kern w:val="2"/>
          <w:sz w:val="24"/>
          <w:szCs w:val="24"/>
          <w:lang w:val="en-US" w:eastAsia="zh-CN" w:bidi="ar-SA"/>
        </w:rPr>
        <w:t>根据《中华人民共和国固体废物污染环境防治法（修订）》规定：</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对危险废物的容器和包装物以及收集、贮存、运输、处置危险废物的设施、场所、必须设置危险废物识别标志。厂内危险废物临时堆存应采取相应污染控制措施防止对环境产生影响；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宋体"/>
          <w:kern w:val="2"/>
          <w:sz w:val="24"/>
          <w:szCs w:val="24"/>
          <w:lang w:val="en-US" w:eastAsia="zh-CN" w:bidi="ar-SA"/>
        </w:rPr>
      </w:pPr>
      <w:r>
        <w:rPr>
          <w:rFonts w:hint="eastAsia" w:ascii="宋体" w:hAnsi="宋体" w:eastAsia="宋体" w:cs="宋体"/>
          <w:kern w:val="2"/>
          <w:sz w:val="24"/>
          <w:szCs w:val="24"/>
          <w:lang w:val="en-US" w:eastAsia="zh-CN" w:bidi="ar-SA"/>
        </w:rPr>
        <w:t>②</w:t>
      </w:r>
      <w:r>
        <w:rPr>
          <w:rFonts w:ascii="Times New Roman" w:hAnsi="Times New Roman" w:eastAsia="宋体" w:cs="宋体"/>
          <w:kern w:val="2"/>
          <w:sz w:val="24"/>
          <w:szCs w:val="24"/>
          <w:lang w:val="en-US" w:eastAsia="zh-CN" w:bidi="ar-SA"/>
        </w:rPr>
        <w:t>必须按照国家有关规定制定危险废物管理计划</w:t>
      </w:r>
      <w:r>
        <w:rPr>
          <w:rFonts w:hint="eastAsia" w:ascii="Times New Roman" w:hAnsi="Times New Roman" w:eastAsia="宋体" w:cs="宋体"/>
          <w:kern w:val="2"/>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宋体"/>
          <w:kern w:val="2"/>
          <w:sz w:val="24"/>
          <w:szCs w:val="24"/>
          <w:lang w:val="en-US" w:eastAsia="zh-CN" w:bidi="ar-SA"/>
        </w:rPr>
      </w:pPr>
      <w:r>
        <w:rPr>
          <w:rFonts w:hint="eastAsia" w:ascii="宋体" w:hAnsi="宋体" w:eastAsia="宋体" w:cs="宋体"/>
          <w:kern w:val="2"/>
          <w:sz w:val="24"/>
          <w:szCs w:val="24"/>
          <w:lang w:val="en-US" w:eastAsia="zh-CN" w:bidi="ar-SA"/>
        </w:rPr>
        <w:t>③</w:t>
      </w:r>
      <w:r>
        <w:rPr>
          <w:rFonts w:ascii="Times New Roman" w:hAnsi="Times New Roman" w:eastAsia="宋体" w:cs="宋体"/>
          <w:kern w:val="2"/>
          <w:sz w:val="24"/>
          <w:szCs w:val="24"/>
          <w:lang w:val="en-US" w:eastAsia="zh-CN" w:bidi="ar-SA"/>
        </w:rPr>
        <w:t>必须按照国家有关规定处置危险废物，不得擅自倾倒、堆放</w:t>
      </w:r>
      <w:r>
        <w:rPr>
          <w:rFonts w:hint="eastAsia" w:ascii="Times New Roman" w:hAnsi="Times New Roman" w:eastAsia="宋体" w:cs="宋体"/>
          <w:kern w:val="2"/>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ascii="Times New Roman" w:hAnsi="Times New Roman" w:eastAsia="宋体" w:cs="宋体"/>
          <w:kern w:val="2"/>
          <w:sz w:val="24"/>
          <w:szCs w:val="24"/>
          <w:lang w:val="en-US" w:eastAsia="zh-CN" w:bidi="ar-SA"/>
        </w:rPr>
      </w:pPr>
      <w:r>
        <w:rPr>
          <w:rFonts w:hint="eastAsia" w:ascii="宋体" w:hAnsi="宋体" w:eastAsia="宋体" w:cs="宋体"/>
          <w:kern w:val="2"/>
          <w:sz w:val="24"/>
          <w:szCs w:val="24"/>
          <w:lang w:val="en-US" w:eastAsia="zh-CN" w:bidi="ar-SA"/>
        </w:rPr>
        <w:t>④</w:t>
      </w:r>
      <w:r>
        <w:rPr>
          <w:rFonts w:ascii="Times New Roman" w:hAnsi="Times New Roman" w:eastAsia="宋体" w:cs="宋体"/>
          <w:kern w:val="2"/>
          <w:sz w:val="24"/>
          <w:szCs w:val="24"/>
          <w:lang w:val="en-US" w:eastAsia="zh-CN" w:bidi="ar-SA"/>
        </w:rPr>
        <w:t>从事收集、贮存、处置危险废物经营活动的单位，必须向县级以上人民政府环境保护行政主管部门申请领取经营许可证；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宋体"/>
          <w:kern w:val="2"/>
          <w:sz w:val="24"/>
          <w:szCs w:val="24"/>
          <w:lang w:val="en-US" w:eastAsia="zh-CN" w:bidi="ar-SA"/>
        </w:rPr>
      </w:pPr>
      <w:r>
        <w:rPr>
          <w:rFonts w:hint="eastAsia" w:ascii="宋体" w:hAnsi="宋体" w:eastAsia="宋体" w:cs="宋体"/>
          <w:kern w:val="2"/>
          <w:sz w:val="24"/>
          <w:szCs w:val="24"/>
          <w:lang w:val="en-US" w:eastAsia="zh-CN" w:bidi="ar-SA"/>
        </w:rPr>
        <w:t>⑤</w:t>
      </w:r>
      <w:r>
        <w:rPr>
          <w:rFonts w:ascii="Times New Roman" w:hAnsi="Times New Roman" w:eastAsia="宋体" w:cs="宋体"/>
          <w:kern w:val="2"/>
          <w:sz w:val="24"/>
          <w:szCs w:val="24"/>
          <w:lang w:val="en-US" w:eastAsia="zh-CN" w:bidi="ar-SA"/>
        </w:rPr>
        <w:t>禁止将危险废物提供或者委托给无经营许可证的单位从事收集、贮存、利用、处置的经营活动</w:t>
      </w:r>
      <w:r>
        <w:rPr>
          <w:rFonts w:hint="eastAsia" w:ascii="Times New Roman" w:hAnsi="Times New Roman" w:eastAsia="宋体" w:cs="宋体"/>
          <w:kern w:val="2"/>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宋体"/>
          <w:kern w:val="2"/>
          <w:sz w:val="24"/>
          <w:szCs w:val="24"/>
          <w:lang w:val="en-US" w:eastAsia="zh-CN" w:bidi="ar-SA"/>
        </w:rPr>
      </w:pPr>
      <w:r>
        <w:rPr>
          <w:rFonts w:hint="eastAsia" w:ascii="宋体" w:hAnsi="宋体" w:eastAsia="宋体" w:cs="宋体"/>
          <w:kern w:val="2"/>
          <w:sz w:val="24"/>
          <w:szCs w:val="24"/>
          <w:lang w:val="en-US" w:eastAsia="zh-CN" w:bidi="ar-SA"/>
        </w:rPr>
        <w:t>⑥</w:t>
      </w:r>
      <w:r>
        <w:rPr>
          <w:rFonts w:ascii="Times New Roman" w:hAnsi="Times New Roman" w:eastAsia="宋体" w:cs="宋体"/>
          <w:kern w:val="2"/>
          <w:sz w:val="24"/>
          <w:szCs w:val="24"/>
          <w:lang w:val="en-US" w:eastAsia="zh-CN" w:bidi="ar-SA"/>
        </w:rPr>
        <w:t>转移危险废物的，须按照国家有关规定填写危险废物转移联单，并向危险废物移出地的市级以上地方人民政府环境保护行政主管部门提出申请</w:t>
      </w:r>
      <w:r>
        <w:rPr>
          <w:rFonts w:hint="eastAsia" w:ascii="Times New Roman" w:hAnsi="Times New Roman" w:eastAsia="宋体" w:cs="宋体"/>
          <w:kern w:val="2"/>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宋体"/>
          <w:kern w:val="2"/>
          <w:sz w:val="24"/>
          <w:szCs w:val="24"/>
          <w:lang w:val="en-US" w:eastAsia="zh-CN" w:bidi="ar-SA"/>
        </w:rPr>
      </w:pPr>
      <w:r>
        <w:rPr>
          <w:rFonts w:hint="eastAsia" w:ascii="宋体" w:hAnsi="宋体" w:eastAsia="宋体" w:cs="宋体"/>
          <w:kern w:val="2"/>
          <w:sz w:val="24"/>
          <w:szCs w:val="24"/>
          <w:lang w:val="en-US" w:eastAsia="zh-CN" w:bidi="ar-SA"/>
        </w:rPr>
        <w:t>⑦</w:t>
      </w:r>
      <w:r>
        <w:rPr>
          <w:rFonts w:ascii="Times New Roman" w:hAnsi="Times New Roman" w:eastAsia="宋体" w:cs="宋体"/>
          <w:kern w:val="2"/>
          <w:sz w:val="24"/>
          <w:szCs w:val="24"/>
          <w:lang w:val="en-US" w:eastAsia="zh-CN" w:bidi="ar-SA"/>
        </w:rPr>
        <w:t>运输危险废物，必须采取防止污染环境的措施，并遵守国家有关危险货物运输管理的规定</w:t>
      </w:r>
      <w:r>
        <w:rPr>
          <w:rFonts w:hint="eastAsia" w:ascii="Times New Roman" w:hAnsi="Times New Roman" w:eastAsia="宋体" w:cs="宋体"/>
          <w:kern w:val="2"/>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Times New Roman" w:hAnsi="Times New Roman" w:eastAsia="宋体" w:cs="宋体"/>
          <w:kern w:val="2"/>
          <w:sz w:val="24"/>
          <w:szCs w:val="24"/>
          <w:lang w:val="en-US" w:eastAsia="zh-CN" w:bidi="ar-SA"/>
        </w:rPr>
      </w:pPr>
      <w:r>
        <w:rPr>
          <w:rFonts w:hint="eastAsia" w:ascii="宋体" w:hAnsi="宋体" w:eastAsia="宋体" w:cs="宋体"/>
          <w:kern w:val="2"/>
          <w:sz w:val="24"/>
          <w:szCs w:val="24"/>
          <w:lang w:val="en-US" w:eastAsia="zh-CN" w:bidi="ar-SA"/>
        </w:rPr>
        <w:t>⑧</w:t>
      </w:r>
      <w:r>
        <w:rPr>
          <w:rFonts w:ascii="Times New Roman" w:hAnsi="Times New Roman" w:eastAsia="宋体" w:cs="宋体"/>
          <w:kern w:val="2"/>
          <w:sz w:val="24"/>
          <w:szCs w:val="24"/>
          <w:lang w:val="en-US" w:eastAsia="zh-CN" w:bidi="ar-SA"/>
        </w:rPr>
        <w:t>收集、贮存、运输、处置危险废物的场所，设施、设备和容器，包装物及其他物品转作他用时，必须经过消除污染的处理</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方可使用</w:t>
      </w:r>
      <w:r>
        <w:rPr>
          <w:rFonts w:hint="eastAsia" w:ascii="Times New Roman" w:hAnsi="Times New Roman" w:eastAsia="宋体" w:cs="宋体"/>
          <w:kern w:val="2"/>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ascii="Times New Roman" w:hAnsi="Times New Roman" w:eastAsia="宋体" w:cs="宋体"/>
          <w:kern w:val="2"/>
          <w:sz w:val="24"/>
          <w:szCs w:val="24"/>
          <w:lang w:val="en-US" w:eastAsia="zh-CN" w:bidi="ar-SA"/>
        </w:rPr>
      </w:pPr>
      <w:r>
        <w:rPr>
          <w:rFonts w:hint="eastAsia" w:ascii="宋体" w:hAnsi="宋体" w:eastAsia="宋体" w:cs="宋体"/>
          <w:kern w:val="2"/>
          <w:sz w:val="24"/>
          <w:szCs w:val="24"/>
          <w:lang w:val="en-US" w:eastAsia="zh-CN" w:bidi="ar-SA"/>
        </w:rPr>
        <w:t>⑨</w:t>
      </w:r>
      <w:r>
        <w:rPr>
          <w:rFonts w:ascii="Times New Roman" w:hAnsi="Times New Roman" w:eastAsia="宋体" w:cs="宋体"/>
          <w:kern w:val="2"/>
          <w:sz w:val="24"/>
          <w:szCs w:val="24"/>
          <w:lang w:val="en-US" w:eastAsia="zh-CN" w:bidi="ar-SA"/>
        </w:rPr>
        <w:t>产生、收集、贮存、运输、利用、处置危险废物的单位、应当制定意外事故的防范措施和应急预案，并向所在地县级以上地方人民政府环境保护行政主管部门备案，环境保护行政主管部门应当进行检查。</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综上</w:t>
      </w:r>
      <w:r>
        <w:rPr>
          <w:rFonts w:ascii="Times New Roman" w:hAnsi="Times New Roman" w:eastAsia="宋体" w:cs="宋体"/>
          <w:kern w:val="2"/>
          <w:sz w:val="24"/>
          <w:szCs w:val="24"/>
          <w:lang w:val="en-US" w:eastAsia="zh-CN" w:bidi="ar-SA"/>
        </w:rPr>
        <w:t>，本项目产生的各种固体废物均能得到妥善处置，对周围环境的影响较小。建设方应严格按照《危险废物贮存污染控制标准（GB18597-2001）》及2013年修改单建设危险固废</w:t>
      </w:r>
      <w:r>
        <w:rPr>
          <w:rFonts w:hint="eastAsia" w:ascii="Times New Roman" w:hAnsi="Times New Roman" w:eastAsia="宋体" w:cs="宋体"/>
          <w:kern w:val="2"/>
          <w:sz w:val="24"/>
          <w:szCs w:val="24"/>
          <w:lang w:val="en-US" w:eastAsia="zh-CN" w:bidi="ar-SA"/>
        </w:rPr>
        <w:t>暂存区</w:t>
      </w:r>
      <w:r>
        <w:rPr>
          <w:rFonts w:ascii="Times New Roman" w:hAnsi="Times New Roman" w:eastAsia="宋体" w:cs="宋体"/>
          <w:kern w:val="2"/>
          <w:sz w:val="24"/>
          <w:szCs w:val="24"/>
          <w:lang w:val="en-US" w:eastAsia="zh-CN" w:bidi="ar-SA"/>
        </w:rPr>
        <w:t>。</w:t>
      </w:r>
    </w:p>
    <w:p>
      <w:bookmarkStart w:id="1430" w:name="_Toc22401_WPSOffice_Level1"/>
      <w:bookmarkStart w:id="1431" w:name="_Toc6163"/>
      <w:bookmarkStart w:id="1432" w:name="_Toc8534_WPSOffice_Level1"/>
      <w:bookmarkStart w:id="1433" w:name="_Toc27306"/>
      <w:bookmarkStart w:id="1434" w:name="_Toc7599_WPSOffice_Level1"/>
      <w:bookmarkStart w:id="1435" w:name="_Toc28466_WPSOffice_Level1"/>
      <w:r>
        <w:br w:type="page"/>
      </w:r>
    </w:p>
    <w:p>
      <w:pPr>
        <w:pStyle w:val="3"/>
        <w:bidi w:val="0"/>
        <w:rPr>
          <w:rFonts w:hint="default"/>
          <w:lang w:val="en-US" w:eastAsia="zh-CN"/>
        </w:rPr>
      </w:pPr>
      <w:bookmarkStart w:id="1436" w:name="_Toc9603"/>
      <w:bookmarkStart w:id="1437" w:name="_Toc4533"/>
      <w:r>
        <w:rPr>
          <w:rFonts w:hint="default"/>
          <w:lang w:val="en-US" w:eastAsia="zh-CN"/>
        </w:rPr>
        <w:t>环境风险评价</w:t>
      </w:r>
      <w:bookmarkEnd w:id="1267"/>
      <w:bookmarkEnd w:id="1268"/>
      <w:bookmarkEnd w:id="1298"/>
      <w:bookmarkEnd w:id="1299"/>
      <w:bookmarkEnd w:id="1430"/>
      <w:bookmarkEnd w:id="1431"/>
      <w:bookmarkEnd w:id="1432"/>
      <w:bookmarkEnd w:id="1433"/>
      <w:bookmarkEnd w:id="1434"/>
      <w:bookmarkEnd w:id="1435"/>
      <w:bookmarkEnd w:id="1436"/>
      <w:bookmarkEnd w:id="1437"/>
    </w:p>
    <w:p>
      <w:pPr>
        <w:pStyle w:val="2"/>
        <w:bidi w:val="0"/>
        <w:rPr>
          <w:lang w:val="en-US" w:eastAsia="zh-CN"/>
        </w:rPr>
      </w:pPr>
      <w:bookmarkStart w:id="1438" w:name="_Toc17119"/>
      <w:bookmarkStart w:id="1439" w:name="_Toc8421"/>
      <w:bookmarkStart w:id="1440" w:name="_Toc20634"/>
      <w:bookmarkStart w:id="1441" w:name="_Toc614"/>
      <w:bookmarkStart w:id="1442" w:name="_Toc10535_WPSOffice_Level2"/>
      <w:bookmarkStart w:id="1443" w:name="_Toc23403_WPSOffice_Level2"/>
      <w:bookmarkStart w:id="1444" w:name="_Toc12302"/>
      <w:bookmarkStart w:id="1445" w:name="_Toc8503_WPSOffice_Level2"/>
      <w:bookmarkStart w:id="1446" w:name="_Toc8581"/>
      <w:bookmarkStart w:id="1447" w:name="_Toc372124957"/>
      <w:bookmarkStart w:id="1448" w:name="_Toc170311237"/>
      <w:bookmarkStart w:id="1449" w:name="_Toc170376433"/>
      <w:bookmarkStart w:id="1450" w:name="_Toc31218_WPSOffice_Level2"/>
      <w:bookmarkStart w:id="1451" w:name="_Toc3002"/>
      <w:bookmarkStart w:id="1452" w:name="_Toc17906"/>
      <w:bookmarkStart w:id="1453" w:name="_Toc232225577"/>
      <w:bookmarkStart w:id="1454" w:name="_Toc305827791"/>
      <w:bookmarkStart w:id="1455" w:name="_Toc232414510"/>
      <w:bookmarkStart w:id="1456" w:name="_Toc30385"/>
      <w:bookmarkStart w:id="1457" w:name="_Toc307236474"/>
      <w:bookmarkStart w:id="1458" w:name="_Toc8692"/>
      <w:bookmarkStart w:id="1459" w:name="_Toc305827049"/>
      <w:bookmarkStart w:id="1460" w:name="_Toc305826777"/>
      <w:bookmarkStart w:id="1461" w:name="_Toc243124323"/>
      <w:bookmarkStart w:id="1462" w:name="_Toc305828059"/>
      <w:bookmarkStart w:id="1463" w:name="_Toc27793"/>
      <w:bookmarkStart w:id="1464" w:name="_Toc15677_WPSOffice_Level1"/>
      <w:bookmarkStart w:id="1465" w:name="_Toc305827391"/>
      <w:bookmarkStart w:id="1466" w:name="_Toc304349313"/>
      <w:bookmarkStart w:id="1467" w:name="_Toc3164"/>
      <w:bookmarkStart w:id="1468" w:name="_Toc20314_WPSOffice_Level1"/>
      <w:bookmarkStart w:id="1469" w:name="_Toc372124970"/>
      <w:bookmarkStart w:id="1470" w:name="_Toc305828156"/>
      <w:bookmarkStart w:id="1471" w:name="_Toc232414616"/>
      <w:bookmarkStart w:id="1472" w:name="_Toc3952_WPSOffice_Level1"/>
      <w:bookmarkStart w:id="1473" w:name="_Toc305827696"/>
      <w:bookmarkStart w:id="1474" w:name="_Toc31203_WPSOffice_Level1"/>
      <w:bookmarkStart w:id="1475" w:name="_Toc305826954"/>
      <w:bookmarkStart w:id="1476" w:name="_Toc307293885"/>
      <w:bookmarkStart w:id="1477" w:name="_Toc305827560"/>
      <w:bookmarkStart w:id="1478" w:name="_Toc2731_WPSOffice_Level1"/>
      <w:r>
        <w:rPr>
          <w:lang w:val="en-US" w:eastAsia="zh-CN"/>
        </w:rPr>
        <w:t>环境风险评价目的</w:t>
      </w:r>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在外界因素的破坏下，具有发生火灾、爆炸、有毒有害物料泄漏等突发性风险事故的可能性。为避免和控制风险事故的发生，对项目在环境风险方面的可行性论证，为项目审批部门的决策、以及项目运营后的环境风险管理提供技术依据。对项目进行风险评价是必要的。环境风险评价和管理的主要目的是：</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（1）根据项目特点，对项目装置和储运设施在生产过程中存在的各种事故风险因素及隐患进行识别，提出技术防范措施；</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（2）分析和预测建设项目可能发生的突发性事件或事故，引起有毒、有害、易燃和易爆等物质泄漏到环境中所导致的后果（包括自然环境和社会环境），预测其对人身安全与环境的影响和损害程度；</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（3）根据风险事件的预测结果，有针对性地提出合理、切实可行的防范减缓措施、应急处理计划和应急预案，以及现场监控报警系统，使得建设项目事故率、损失情况和环境影响达到可接受水平。</w:t>
      </w:r>
    </w:p>
    <w:p>
      <w:pPr>
        <w:pStyle w:val="2"/>
        <w:bidi w:val="0"/>
        <w:rPr>
          <w:lang w:val="en-US" w:eastAsia="zh-CN"/>
        </w:rPr>
      </w:pPr>
      <w:bookmarkStart w:id="1479" w:name="_Toc170311239"/>
      <w:bookmarkStart w:id="1480" w:name="_Toc5112"/>
      <w:bookmarkStart w:id="1481" w:name="_Toc11534_WPSOffice_Level3"/>
      <w:bookmarkStart w:id="1482" w:name="_Toc3100"/>
      <w:bookmarkStart w:id="1483" w:name="_Toc12533"/>
      <w:bookmarkStart w:id="1484" w:name="_Toc26168"/>
      <w:bookmarkStart w:id="1485" w:name="_Toc10006"/>
      <w:bookmarkStart w:id="1486" w:name="_Toc16040"/>
      <w:bookmarkStart w:id="1487" w:name="_Toc8958"/>
      <w:bookmarkStart w:id="1488" w:name="_Toc26409_WPSOffice_Level3"/>
      <w:bookmarkStart w:id="1489" w:name="_Toc130790995"/>
      <w:bookmarkStart w:id="1490" w:name="_Toc17157"/>
      <w:bookmarkStart w:id="1491" w:name="_Toc18117"/>
      <w:bookmarkStart w:id="1492" w:name="_Toc17669"/>
      <w:bookmarkStart w:id="1493" w:name="_Toc2202"/>
      <w:bookmarkStart w:id="1494" w:name="_Toc32086"/>
      <w:bookmarkStart w:id="1495" w:name="_Toc23097"/>
      <w:bookmarkStart w:id="1496" w:name="_Toc169409038"/>
      <w:r>
        <w:rPr>
          <w:lang w:val="en-US" w:eastAsia="zh-CN"/>
        </w:rPr>
        <w:t>评价等级确定</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1497" w:name="_Toc15400"/>
      <w:bookmarkStart w:id="1498" w:name="_Toc10345"/>
      <w:bookmarkStart w:id="1499" w:name="_Toc30838"/>
      <w:bookmarkStart w:id="1500" w:name="_Toc13711_WPSOffice_Level3"/>
      <w:bookmarkStart w:id="1501" w:name="_Toc19907_WPSOffice_Level3"/>
      <w:bookmarkStart w:id="1502" w:name="_Toc130790996"/>
      <w:bookmarkStart w:id="1503" w:name="_Toc7503"/>
      <w:bookmarkStart w:id="1504" w:name="_Toc26472"/>
      <w:bookmarkStart w:id="1505" w:name="_Toc169409039"/>
      <w:bookmarkStart w:id="1506" w:name="_Toc4154"/>
      <w:bookmarkStart w:id="1507" w:name="_Toc170311240"/>
      <w:bookmarkStart w:id="1508" w:name="_Toc19678"/>
      <w:r>
        <w:rPr>
          <w:rFonts w:ascii="Times New Roman" w:hAnsi="Times New Roman" w:eastAsia="宋体" w:cs="宋体"/>
          <w:kern w:val="2"/>
          <w:sz w:val="24"/>
          <w:szCs w:val="24"/>
          <w:lang w:val="en-US" w:eastAsia="zh-CN" w:bidi="ar-SA"/>
        </w:rPr>
        <w:t>根据《建设项目环境风险评价技术导则》（HJ169-2018），建设项目环境风险潜势划分为</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 1 \* ROMAN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I</w:t>
      </w:r>
      <w:r>
        <w:rPr>
          <w:rFonts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 2 \* ROMAN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II</w:t>
      </w:r>
      <w:r>
        <w:rPr>
          <w:rFonts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 3 \* ROMAN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III</w:t>
      </w:r>
      <w:r>
        <w:rPr>
          <w:rFonts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 4 \* ROMAN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IV</w:t>
      </w:r>
      <w:r>
        <w:rPr>
          <w:rFonts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 4 \* ROMAN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IV</w:t>
      </w:r>
      <w:r>
        <w:rPr>
          <w:rFonts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vertAlign w:val="superscript"/>
          <w:lang w:val="en-US" w:eastAsia="zh-CN" w:bidi="ar-SA"/>
        </w:rPr>
        <w:t>+</w:t>
      </w:r>
      <w:r>
        <w:rPr>
          <w:rFonts w:ascii="Times New Roman" w:hAnsi="Times New Roman" w:eastAsia="宋体" w:cs="宋体"/>
          <w:kern w:val="2"/>
          <w:sz w:val="24"/>
          <w:szCs w:val="24"/>
          <w:lang w:val="en-US" w:eastAsia="zh-CN" w:bidi="ar-SA"/>
        </w:rPr>
        <w:t>级。根据建设项目涉及的物质和工艺系统的危险性及其所在地的环境敏感程度，结合事故情形下环境影响途径，对建设项目潜在环境危害程度进行概化分析，按照</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_Ref9153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8</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-1</w:t>
      </w:r>
      <w:r>
        <w:rPr>
          <w:rFonts w:hint="default"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确定环境风险潜势。</w:t>
      </w:r>
    </w:p>
    <w:p>
      <w:pPr>
        <w:widowControl w:val="0"/>
        <w:spacing w:line="360" w:lineRule="auto"/>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8</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建设项目环境风险潜势划分</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43"/>
        <w:gridCol w:w="1701"/>
        <w:gridCol w:w="1701"/>
        <w:gridCol w:w="1701"/>
        <w:gridCol w:w="17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43"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环境敏感程度（E）</w:t>
            </w:r>
          </w:p>
        </w:tc>
        <w:tc>
          <w:tcPr>
            <w:tcW w:w="6804" w:type="dxa"/>
            <w:gridSpan w:val="4"/>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危险物质及工艺系统危险性（P）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43"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70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极高危害（P1）</w:t>
            </w:r>
          </w:p>
        </w:tc>
        <w:tc>
          <w:tcPr>
            <w:tcW w:w="170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高度危害（P2）</w:t>
            </w:r>
          </w:p>
        </w:tc>
        <w:tc>
          <w:tcPr>
            <w:tcW w:w="170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中度危害（P3）</w:t>
            </w:r>
          </w:p>
        </w:tc>
        <w:tc>
          <w:tcPr>
            <w:tcW w:w="170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轻度危害（P4）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43"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环境高度敏感区（E</w:t>
            </w:r>
            <w:r>
              <w:rPr>
                <w:rFonts w:hint="eastAsia" w:ascii="Times New Roman" w:hAnsi="Times New Roman" w:eastAsia="宋体" w:cs="Times New Roman"/>
                <w:kern w:val="2"/>
                <w:sz w:val="24"/>
                <w:szCs w:val="24"/>
                <w:lang w:val="en-US" w:eastAsia="zh-CN" w:bidi="ar-SA"/>
              </w:rPr>
              <w:t>1</w:t>
            </w:r>
            <w:r>
              <w:rPr>
                <w:rFonts w:ascii="Times New Roman" w:hAnsi="Times New Roman" w:eastAsia="宋体" w:cs="Times New Roman"/>
                <w:kern w:val="2"/>
                <w:sz w:val="24"/>
                <w:szCs w:val="24"/>
                <w:lang w:val="en-US" w:eastAsia="zh-CN" w:bidi="ar-SA"/>
              </w:rPr>
              <w:t>）</w:t>
            </w:r>
          </w:p>
        </w:tc>
        <w:tc>
          <w:tcPr>
            <w:tcW w:w="170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 4 \* ROMAN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IV</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vertAlign w:val="superscript"/>
                <w:lang w:val="en-US" w:eastAsia="zh-CN" w:bidi="ar-SA"/>
              </w:rPr>
              <w:t>+</w:t>
            </w:r>
          </w:p>
        </w:tc>
        <w:tc>
          <w:tcPr>
            <w:tcW w:w="170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 4 \* ROMAN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IV</w:t>
            </w:r>
            <w:r>
              <w:rPr>
                <w:rFonts w:ascii="Times New Roman" w:hAnsi="Times New Roman" w:eastAsia="宋体" w:cs="Times New Roman"/>
                <w:kern w:val="2"/>
                <w:sz w:val="24"/>
                <w:szCs w:val="24"/>
                <w:lang w:val="en-US" w:eastAsia="zh-CN" w:bidi="ar-SA"/>
              </w:rPr>
              <w:fldChar w:fldCharType="end"/>
            </w:r>
          </w:p>
        </w:tc>
        <w:tc>
          <w:tcPr>
            <w:tcW w:w="170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 3 \* ROMAN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III</w:t>
            </w:r>
            <w:r>
              <w:rPr>
                <w:rFonts w:ascii="Times New Roman" w:hAnsi="Times New Roman" w:eastAsia="宋体" w:cs="Times New Roman"/>
                <w:kern w:val="2"/>
                <w:sz w:val="24"/>
                <w:szCs w:val="24"/>
                <w:lang w:val="en-US" w:eastAsia="zh-CN" w:bidi="ar-SA"/>
              </w:rPr>
              <w:fldChar w:fldCharType="end"/>
            </w:r>
          </w:p>
        </w:tc>
        <w:tc>
          <w:tcPr>
            <w:tcW w:w="170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 3 \* ROMAN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III</w:t>
            </w:r>
            <w:r>
              <w:rPr>
                <w:rFonts w:ascii="Times New Roman" w:hAnsi="Times New Roman" w:eastAsia="宋体" w:cs="Times New Roman"/>
                <w:kern w:val="2"/>
                <w:sz w:val="24"/>
                <w:szCs w:val="24"/>
                <w:lang w:val="en-US" w:eastAsia="zh-CN" w:bidi="ar-SA"/>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43"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环境</w:t>
            </w:r>
            <w:r>
              <w:rPr>
                <w:rFonts w:hint="eastAsia" w:ascii="Times New Roman" w:hAnsi="Times New Roman" w:eastAsia="宋体" w:cs="Times New Roman"/>
                <w:kern w:val="2"/>
                <w:sz w:val="24"/>
                <w:szCs w:val="24"/>
                <w:lang w:val="en-US" w:eastAsia="zh-CN" w:bidi="ar-SA"/>
              </w:rPr>
              <w:t>中</w:t>
            </w:r>
            <w:r>
              <w:rPr>
                <w:rFonts w:ascii="Times New Roman" w:hAnsi="Times New Roman" w:eastAsia="宋体" w:cs="Times New Roman"/>
                <w:kern w:val="2"/>
                <w:sz w:val="24"/>
                <w:szCs w:val="24"/>
                <w:lang w:val="en-US" w:eastAsia="zh-CN" w:bidi="ar-SA"/>
              </w:rPr>
              <w:t>度敏感区（E</w:t>
            </w:r>
            <w:r>
              <w:rPr>
                <w:rFonts w:hint="eastAsia" w:ascii="Times New Roman" w:hAnsi="Times New Roman" w:eastAsia="宋体" w:cs="Times New Roman"/>
                <w:kern w:val="2"/>
                <w:sz w:val="24"/>
                <w:szCs w:val="24"/>
                <w:lang w:val="en-US" w:eastAsia="zh-CN" w:bidi="ar-SA"/>
              </w:rPr>
              <w:t>2</w:t>
            </w:r>
            <w:r>
              <w:rPr>
                <w:rFonts w:ascii="Times New Roman" w:hAnsi="Times New Roman" w:eastAsia="宋体" w:cs="Times New Roman"/>
                <w:kern w:val="2"/>
                <w:sz w:val="24"/>
                <w:szCs w:val="24"/>
                <w:lang w:val="en-US" w:eastAsia="zh-CN" w:bidi="ar-SA"/>
              </w:rPr>
              <w:t>）</w:t>
            </w:r>
          </w:p>
        </w:tc>
        <w:tc>
          <w:tcPr>
            <w:tcW w:w="170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 4 \* ROMAN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IV</w:t>
            </w:r>
            <w:r>
              <w:rPr>
                <w:rFonts w:ascii="Times New Roman" w:hAnsi="Times New Roman" w:eastAsia="宋体" w:cs="Times New Roman"/>
                <w:kern w:val="2"/>
                <w:sz w:val="24"/>
                <w:szCs w:val="24"/>
                <w:lang w:val="en-US" w:eastAsia="zh-CN" w:bidi="ar-SA"/>
              </w:rPr>
              <w:fldChar w:fldCharType="end"/>
            </w:r>
          </w:p>
        </w:tc>
        <w:tc>
          <w:tcPr>
            <w:tcW w:w="170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 3 \* ROMAN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III</w:t>
            </w:r>
            <w:r>
              <w:rPr>
                <w:rFonts w:ascii="Times New Roman" w:hAnsi="Times New Roman" w:eastAsia="宋体" w:cs="Times New Roman"/>
                <w:kern w:val="2"/>
                <w:sz w:val="24"/>
                <w:szCs w:val="24"/>
                <w:lang w:val="en-US" w:eastAsia="zh-CN" w:bidi="ar-SA"/>
              </w:rPr>
              <w:fldChar w:fldCharType="end"/>
            </w:r>
          </w:p>
        </w:tc>
        <w:tc>
          <w:tcPr>
            <w:tcW w:w="170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 3 \* ROMAN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III</w:t>
            </w:r>
            <w:r>
              <w:rPr>
                <w:rFonts w:ascii="Times New Roman" w:hAnsi="Times New Roman" w:eastAsia="宋体" w:cs="Times New Roman"/>
                <w:kern w:val="2"/>
                <w:sz w:val="24"/>
                <w:szCs w:val="24"/>
                <w:lang w:val="en-US" w:eastAsia="zh-CN" w:bidi="ar-SA"/>
              </w:rPr>
              <w:fldChar w:fldCharType="end"/>
            </w:r>
          </w:p>
        </w:tc>
        <w:tc>
          <w:tcPr>
            <w:tcW w:w="170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 2 \* ROMAN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II</w:t>
            </w:r>
            <w:r>
              <w:rPr>
                <w:rFonts w:ascii="Times New Roman" w:hAnsi="Times New Roman" w:eastAsia="宋体" w:cs="Times New Roman"/>
                <w:kern w:val="2"/>
                <w:sz w:val="24"/>
                <w:szCs w:val="24"/>
                <w:lang w:val="en-US" w:eastAsia="zh-CN" w:bidi="ar-SA"/>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43"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环境</w:t>
            </w:r>
            <w:r>
              <w:rPr>
                <w:rFonts w:hint="eastAsia" w:ascii="Times New Roman" w:hAnsi="Times New Roman" w:eastAsia="宋体" w:cs="Times New Roman"/>
                <w:kern w:val="2"/>
                <w:sz w:val="24"/>
                <w:szCs w:val="24"/>
                <w:lang w:val="en-US" w:eastAsia="zh-CN" w:bidi="ar-SA"/>
              </w:rPr>
              <w:t>低</w:t>
            </w:r>
            <w:r>
              <w:rPr>
                <w:rFonts w:ascii="Times New Roman" w:hAnsi="Times New Roman" w:eastAsia="宋体" w:cs="Times New Roman"/>
                <w:kern w:val="2"/>
                <w:sz w:val="24"/>
                <w:szCs w:val="24"/>
                <w:lang w:val="en-US" w:eastAsia="zh-CN" w:bidi="ar-SA"/>
              </w:rPr>
              <w:t>度敏感区（E</w:t>
            </w:r>
            <w:r>
              <w:rPr>
                <w:rFonts w:hint="eastAsia" w:ascii="Times New Roman" w:hAnsi="Times New Roman" w:eastAsia="宋体" w:cs="Times New Roman"/>
                <w:kern w:val="2"/>
                <w:sz w:val="24"/>
                <w:szCs w:val="24"/>
                <w:lang w:val="en-US" w:eastAsia="zh-CN" w:bidi="ar-SA"/>
              </w:rPr>
              <w:t>3</w:t>
            </w:r>
            <w:r>
              <w:rPr>
                <w:rFonts w:ascii="Times New Roman" w:hAnsi="Times New Roman" w:eastAsia="宋体" w:cs="Times New Roman"/>
                <w:kern w:val="2"/>
                <w:sz w:val="24"/>
                <w:szCs w:val="24"/>
                <w:lang w:val="en-US" w:eastAsia="zh-CN" w:bidi="ar-SA"/>
              </w:rPr>
              <w:t>）</w:t>
            </w:r>
          </w:p>
        </w:tc>
        <w:tc>
          <w:tcPr>
            <w:tcW w:w="170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 3 \* ROMAN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III</w:t>
            </w:r>
            <w:r>
              <w:rPr>
                <w:rFonts w:ascii="Times New Roman" w:hAnsi="Times New Roman" w:eastAsia="宋体" w:cs="Times New Roman"/>
                <w:kern w:val="2"/>
                <w:sz w:val="24"/>
                <w:szCs w:val="24"/>
                <w:lang w:val="en-US" w:eastAsia="zh-CN" w:bidi="ar-SA"/>
              </w:rPr>
              <w:fldChar w:fldCharType="end"/>
            </w:r>
          </w:p>
        </w:tc>
        <w:tc>
          <w:tcPr>
            <w:tcW w:w="170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 3 \* ROMAN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III</w:t>
            </w:r>
            <w:r>
              <w:rPr>
                <w:rFonts w:ascii="Times New Roman" w:hAnsi="Times New Roman" w:eastAsia="宋体" w:cs="Times New Roman"/>
                <w:kern w:val="2"/>
                <w:sz w:val="24"/>
                <w:szCs w:val="24"/>
                <w:lang w:val="en-US" w:eastAsia="zh-CN" w:bidi="ar-SA"/>
              </w:rPr>
              <w:fldChar w:fldCharType="end"/>
            </w:r>
          </w:p>
        </w:tc>
        <w:tc>
          <w:tcPr>
            <w:tcW w:w="170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 2 \* ROMAN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II</w:t>
            </w:r>
            <w:r>
              <w:rPr>
                <w:rFonts w:ascii="Times New Roman" w:hAnsi="Times New Roman" w:eastAsia="宋体" w:cs="Times New Roman"/>
                <w:kern w:val="2"/>
                <w:sz w:val="24"/>
                <w:szCs w:val="24"/>
                <w:lang w:val="en-US" w:eastAsia="zh-CN" w:bidi="ar-SA"/>
              </w:rPr>
              <w:fldChar w:fldCharType="end"/>
            </w:r>
          </w:p>
        </w:tc>
        <w:tc>
          <w:tcPr>
            <w:tcW w:w="170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 1 \* ROMAN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I</w:t>
            </w:r>
            <w:r>
              <w:rPr>
                <w:rFonts w:ascii="Times New Roman" w:hAnsi="Times New Roman" w:eastAsia="宋体" w:cs="Times New Roman"/>
                <w:kern w:val="2"/>
                <w:sz w:val="24"/>
                <w:szCs w:val="24"/>
                <w:lang w:val="en-US" w:eastAsia="zh-CN" w:bidi="ar-SA"/>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7" w:type="dxa"/>
            <w:gridSpan w:val="5"/>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注：</w:t>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 4 \* ROMAN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IV</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vertAlign w:val="superscript"/>
                <w:lang w:val="en-US" w:eastAsia="zh-CN" w:bidi="ar-SA"/>
              </w:rPr>
              <w:t>+</w:t>
            </w:r>
            <w:r>
              <w:rPr>
                <w:rFonts w:ascii="Times New Roman" w:hAnsi="Times New Roman" w:eastAsia="宋体" w:cs="Times New Roman"/>
                <w:kern w:val="2"/>
                <w:sz w:val="24"/>
                <w:szCs w:val="24"/>
                <w:lang w:val="en-US" w:eastAsia="zh-CN" w:bidi="ar-SA"/>
              </w:rPr>
              <w:t>为极高环境风险</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根据上表可知，风险潜势由危险物质及工艺系统危险性（P）与环境敏感程度（E）共同确定，而P的分级由危险物质数量与临界量的比值（Q）和所属行业及生产工艺特点（M）共同确定。</w:t>
      </w:r>
    </w:p>
    <w:p>
      <w:pPr>
        <w:pStyle w:val="4"/>
        <w:bidi w:val="0"/>
        <w:rPr>
          <w:lang w:val="en-US" w:eastAsia="zh-CN"/>
        </w:rPr>
      </w:pPr>
      <w:bookmarkStart w:id="1509" w:name="_Toc29665"/>
      <w:bookmarkStart w:id="1510" w:name="_Toc17441"/>
      <w:r>
        <w:rPr>
          <w:lang w:val="en-US" w:eastAsia="zh-CN"/>
        </w:rPr>
        <w:t>危险物质数量与临界量比值（Q）</w:t>
      </w:r>
      <w:bookmarkEnd w:id="1509"/>
      <w:bookmarkEnd w:id="1510"/>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危险物质数量与临界量比值（Q）为每种危险物质在厂界内的最大存在总量与其在《建设项目环境风险评价技术导则》（HJ169-2018）附录B中对应临界量的比值Q，当只涉及一种危险物质时，计算该物质的总量与其临界量比值，即为Q；当存在多种危险物质时，则按照下式计算物质总量与其临界量比值（Q）：</w:t>
      </w:r>
    </w:p>
    <w:p>
      <m:oMathPara>
        <m:oMath>
          <m:r>
            <m:rPr>
              <m:sty m:val="p"/>
            </m:rPr>
            <w:rPr>
              <w:rFonts w:hint="default" w:ascii="Cambria Math" w:hAnsi="Cambria Math"/>
            </w:rPr>
            <m:t>Q=</m:t>
          </m:r>
          <m:f>
            <m:fPr>
              <m:ctrlPr>
                <w:rPr>
                  <w:rFonts w:hint="default" w:ascii="Cambria Math" w:hAnsi="Cambria Math"/>
                </w:rPr>
              </m:ctrlPr>
            </m:fPr>
            <m:num>
              <m:sSub>
                <m:sSubPr>
                  <m:ctrlPr>
                    <w:rPr>
                      <w:rFonts w:hint="default" w:ascii="Cambria Math" w:hAnsi="Cambria Math"/>
                    </w:rPr>
                  </m:ctrlPr>
                </m:sSubPr>
                <m:e>
                  <m:r>
                    <m:rPr>
                      <m:sty m:val="p"/>
                    </m:rPr>
                    <w:rPr>
                      <w:rFonts w:hint="default" w:ascii="Cambria Math" w:hAnsi="Cambria Math"/>
                    </w:rPr>
                    <m:t>q</m:t>
                  </m:r>
                  <m:ctrlPr>
                    <w:rPr>
                      <w:rFonts w:hint="default" w:ascii="Cambria Math" w:hAnsi="Cambria Math"/>
                    </w:rPr>
                  </m:ctrlPr>
                </m:e>
                <m:sub>
                  <m:r>
                    <m:rPr>
                      <m:sty m:val="p"/>
                    </m:rPr>
                    <w:rPr>
                      <w:rFonts w:hint="default" w:ascii="Cambria Math" w:hAnsi="Cambria Math"/>
                    </w:rPr>
                    <m:t>1</m:t>
                  </m:r>
                  <m:ctrlPr>
                    <w:rPr>
                      <w:rFonts w:hint="default" w:ascii="Cambria Math" w:hAnsi="Cambria Math"/>
                    </w:rPr>
                  </m:ctrlPr>
                </m:sub>
              </m:sSub>
              <m:ctrlPr>
                <w:rPr>
                  <w:rFonts w:hint="default" w:ascii="Cambria Math" w:hAnsi="Cambria Math"/>
                </w:rPr>
              </m:ctrlPr>
            </m:num>
            <m:den>
              <m:sSub>
                <m:sSubPr>
                  <m:ctrlPr>
                    <w:rPr>
                      <w:rFonts w:hint="default" w:ascii="Cambria Math" w:hAnsi="Cambria Math"/>
                    </w:rPr>
                  </m:ctrlPr>
                </m:sSubPr>
                <m:e>
                  <m:r>
                    <m:rPr>
                      <m:sty m:val="p"/>
                    </m:rPr>
                    <w:rPr>
                      <w:rFonts w:hint="default" w:ascii="Cambria Math" w:hAnsi="Cambria Math"/>
                    </w:rPr>
                    <m:t>Q</m:t>
                  </m:r>
                  <m:ctrlPr>
                    <w:rPr>
                      <w:rFonts w:hint="default" w:ascii="Cambria Math" w:hAnsi="Cambria Math"/>
                    </w:rPr>
                  </m:ctrlPr>
                </m:e>
                <m:sub>
                  <m:r>
                    <m:rPr>
                      <m:sty m:val="p"/>
                    </m:rPr>
                    <w:rPr>
                      <w:rFonts w:hint="default" w:ascii="Cambria Math" w:hAnsi="Cambria Math"/>
                    </w:rPr>
                    <m:t>1</m:t>
                  </m:r>
                  <m:ctrlPr>
                    <w:rPr>
                      <w:rFonts w:hint="default" w:ascii="Cambria Math" w:hAnsi="Cambria Math"/>
                    </w:rPr>
                  </m:ctrlPr>
                </m:sub>
              </m:sSub>
              <m:ctrlPr>
                <w:rPr>
                  <w:rFonts w:hint="default" w:ascii="Cambria Math" w:hAnsi="Cambria Math"/>
                </w:rPr>
              </m:ctrlPr>
            </m:den>
          </m:f>
          <m:r>
            <m:rPr>
              <m:sty m:val="p"/>
            </m:rPr>
            <w:rPr>
              <w:rFonts w:hint="default" w:ascii="Cambria Math" w:hAnsi="Cambria Math"/>
            </w:rPr>
            <m:t>+</m:t>
          </m:r>
          <m:f>
            <m:fPr>
              <m:ctrlPr>
                <w:rPr>
                  <w:rFonts w:hint="default" w:ascii="Cambria Math" w:hAnsi="Cambria Math"/>
                </w:rPr>
              </m:ctrlPr>
            </m:fPr>
            <m:num>
              <m:sSub>
                <m:sSubPr>
                  <m:ctrlPr>
                    <w:rPr>
                      <w:rFonts w:hint="default" w:ascii="Cambria Math" w:hAnsi="Cambria Math"/>
                    </w:rPr>
                  </m:ctrlPr>
                </m:sSubPr>
                <m:e>
                  <m:r>
                    <m:rPr>
                      <m:sty m:val="p"/>
                    </m:rPr>
                    <w:rPr>
                      <w:rFonts w:hint="default" w:ascii="Cambria Math" w:hAnsi="Cambria Math"/>
                    </w:rPr>
                    <m:t>q</m:t>
                  </m:r>
                  <m:ctrlPr>
                    <w:rPr>
                      <w:rFonts w:hint="default" w:ascii="Cambria Math" w:hAnsi="Cambria Math"/>
                    </w:rPr>
                  </m:ctrlPr>
                </m:e>
                <m:sub>
                  <m:r>
                    <m:rPr>
                      <m:sty m:val="p"/>
                    </m:rPr>
                    <w:rPr>
                      <w:rFonts w:hint="default" w:ascii="Cambria Math" w:hAnsi="Cambria Math"/>
                    </w:rPr>
                    <m:t>2</m:t>
                  </m:r>
                  <m:ctrlPr>
                    <w:rPr>
                      <w:rFonts w:hint="default" w:ascii="Cambria Math" w:hAnsi="Cambria Math"/>
                    </w:rPr>
                  </m:ctrlPr>
                </m:sub>
              </m:sSub>
              <m:ctrlPr>
                <w:rPr>
                  <w:rFonts w:hint="default" w:ascii="Cambria Math" w:hAnsi="Cambria Math"/>
                </w:rPr>
              </m:ctrlPr>
            </m:num>
            <m:den>
              <m:sSub>
                <m:sSubPr>
                  <m:ctrlPr>
                    <w:rPr>
                      <w:rFonts w:hint="default" w:ascii="Cambria Math" w:hAnsi="Cambria Math"/>
                    </w:rPr>
                  </m:ctrlPr>
                </m:sSubPr>
                <m:e>
                  <m:r>
                    <m:rPr>
                      <m:sty m:val="p"/>
                    </m:rPr>
                    <w:rPr>
                      <w:rFonts w:hint="default" w:ascii="Cambria Math" w:hAnsi="Cambria Math"/>
                    </w:rPr>
                    <m:t>Q</m:t>
                  </m:r>
                  <m:ctrlPr>
                    <w:rPr>
                      <w:rFonts w:hint="default" w:ascii="Cambria Math" w:hAnsi="Cambria Math"/>
                    </w:rPr>
                  </m:ctrlPr>
                </m:e>
                <m:sub>
                  <m:r>
                    <m:rPr>
                      <m:sty m:val="p"/>
                    </m:rPr>
                    <w:rPr>
                      <w:rFonts w:hint="default" w:ascii="Cambria Math" w:hAnsi="Cambria Math"/>
                    </w:rPr>
                    <m:t>2</m:t>
                  </m:r>
                  <m:ctrlPr>
                    <w:rPr>
                      <w:rFonts w:hint="default" w:ascii="Cambria Math" w:hAnsi="Cambria Math"/>
                    </w:rPr>
                  </m:ctrlPr>
                </m:sub>
              </m:sSub>
              <m:ctrlPr>
                <w:rPr>
                  <w:rFonts w:hint="default" w:ascii="Cambria Math" w:hAnsi="Cambria Math"/>
                </w:rPr>
              </m:ctrlPr>
            </m:den>
          </m:f>
          <m:r>
            <m:rPr>
              <m:sty m:val="p"/>
            </m:rPr>
            <w:rPr>
              <w:rFonts w:hint="default" w:ascii="Cambria Math" w:hAnsi="Cambria Math"/>
            </w:rPr>
            <m:t>+⋯</m:t>
          </m:r>
          <m:f>
            <m:fPr>
              <m:ctrlPr>
                <w:rPr>
                  <w:rFonts w:hint="default" w:ascii="Cambria Math" w:hAnsi="Cambria Math"/>
                </w:rPr>
              </m:ctrlPr>
            </m:fPr>
            <m:num>
              <m:sSub>
                <m:sSubPr>
                  <m:ctrlPr>
                    <w:rPr>
                      <w:rFonts w:hint="default" w:ascii="Cambria Math" w:hAnsi="Cambria Math"/>
                    </w:rPr>
                  </m:ctrlPr>
                </m:sSubPr>
                <m:e>
                  <m:r>
                    <m:rPr>
                      <m:sty m:val="p"/>
                    </m:rPr>
                    <w:rPr>
                      <w:rFonts w:hint="default" w:ascii="Cambria Math" w:hAnsi="Cambria Math"/>
                    </w:rPr>
                    <m:t>q</m:t>
                  </m:r>
                  <m:ctrlPr>
                    <w:rPr>
                      <w:rFonts w:hint="default" w:ascii="Cambria Math" w:hAnsi="Cambria Math"/>
                    </w:rPr>
                  </m:ctrlPr>
                </m:e>
                <m:sub>
                  <m:r>
                    <m:rPr>
                      <m:sty m:val="p"/>
                    </m:rPr>
                    <w:rPr>
                      <w:rFonts w:hint="default" w:ascii="Cambria Math" w:hAnsi="Cambria Math"/>
                    </w:rPr>
                    <m:t>n</m:t>
                  </m:r>
                  <m:ctrlPr>
                    <w:rPr>
                      <w:rFonts w:hint="default" w:ascii="Cambria Math" w:hAnsi="Cambria Math"/>
                    </w:rPr>
                  </m:ctrlPr>
                </m:sub>
              </m:sSub>
              <m:ctrlPr>
                <w:rPr>
                  <w:rFonts w:hint="default" w:ascii="Cambria Math" w:hAnsi="Cambria Math"/>
                </w:rPr>
              </m:ctrlPr>
            </m:num>
            <m:den>
              <m:sSub>
                <m:sSubPr>
                  <m:ctrlPr>
                    <w:rPr>
                      <w:rFonts w:hint="default" w:ascii="Cambria Math" w:hAnsi="Cambria Math"/>
                    </w:rPr>
                  </m:ctrlPr>
                </m:sSubPr>
                <m:e>
                  <m:r>
                    <m:rPr>
                      <m:sty m:val="p"/>
                    </m:rPr>
                    <w:rPr>
                      <w:rFonts w:hint="default" w:ascii="Cambria Math" w:hAnsi="Cambria Math"/>
                    </w:rPr>
                    <m:t>Q</m:t>
                  </m:r>
                  <m:ctrlPr>
                    <w:rPr>
                      <w:rFonts w:hint="default" w:ascii="Cambria Math" w:hAnsi="Cambria Math"/>
                    </w:rPr>
                  </m:ctrlPr>
                </m:e>
                <m:sub>
                  <m:r>
                    <m:rPr>
                      <m:sty m:val="p"/>
                    </m:rPr>
                    <w:rPr>
                      <w:rFonts w:hint="default" w:ascii="Cambria Math" w:hAnsi="Cambria Math"/>
                    </w:rPr>
                    <m:t>n</m:t>
                  </m:r>
                  <m:ctrlPr>
                    <w:rPr>
                      <w:rFonts w:hint="default" w:ascii="Cambria Math" w:hAnsi="Cambria Math"/>
                    </w:rPr>
                  </m:ctrlPr>
                </m:sub>
              </m:sSub>
              <m:ctrlPr>
                <w:rPr>
                  <w:rFonts w:hint="default" w:ascii="Cambria Math" w:hAnsi="Cambria Math"/>
                </w:rPr>
              </m:ctrlPr>
            </m:den>
          </m:f>
        </m:oMath>
      </m:oMathPara>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式中：q1，q2，…，qn</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每种危险物质的最大存在量，t；</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Q1，Q2，…，Qn</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每种危险物质的临界量，t。</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当Q＜1时，该项目风险潜势为</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 1 \* ROMAN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I</w:t>
      </w:r>
      <w:r>
        <w:rPr>
          <w:rFonts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当Q</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1时，将Q值划分为：（1）1</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Q＜10；（2）10</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Q＜100；（3）Q</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100。</w:t>
      </w:r>
    </w:p>
    <w:p>
      <w:pPr>
        <w:widowControl w:val="0"/>
        <w:spacing w:line="360" w:lineRule="auto"/>
        <w:jc w:val="center"/>
        <w:rPr>
          <w:rFonts w:ascii="Times New Roman" w:hAnsi="Times New Roman" w:eastAsia="宋体" w:cs="Times New Roman"/>
          <w:b/>
          <w:kern w:val="2"/>
          <w:sz w:val="21"/>
          <w:szCs w:val="21"/>
          <w:lang w:val="en-US" w:eastAsia="zh-CN" w:bidi="ar-SA"/>
        </w:rPr>
      </w:pPr>
      <w:bookmarkStart w:id="1511" w:name="_Ref9153"/>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8</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fldChar w:fldCharType="end"/>
      </w:r>
      <w:bookmarkEnd w:id="1511"/>
      <w:r>
        <w:rPr>
          <w:rFonts w:ascii="Times New Roman" w:hAnsi="Times New Roman" w:eastAsia="宋体" w:cs="Times New Roman"/>
          <w:b/>
          <w:kern w:val="2"/>
          <w:sz w:val="21"/>
          <w:szCs w:val="21"/>
          <w:lang w:val="en-US" w:eastAsia="zh-CN" w:bidi="ar-SA"/>
        </w:rPr>
        <w:t>涉及的风险物质及Q值计算一览表</w:t>
      </w:r>
    </w:p>
    <w:tbl>
      <w:tblPr>
        <w:tblStyle w:val="22"/>
        <w:tblW w:w="945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
      <w:tblGrid>
        <w:gridCol w:w="732"/>
        <w:gridCol w:w="1567"/>
        <w:gridCol w:w="1095"/>
        <w:gridCol w:w="1436"/>
        <w:gridCol w:w="1170"/>
        <w:gridCol w:w="1504"/>
        <w:gridCol w:w="1061"/>
        <w:gridCol w:w="8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454" w:hRule="atLeast"/>
          <w:jc w:val="center"/>
        </w:trPr>
        <w:tc>
          <w:tcPr>
            <w:tcW w:w="73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序号</w:t>
            </w:r>
          </w:p>
        </w:tc>
        <w:tc>
          <w:tcPr>
            <w:tcW w:w="156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名称</w:t>
            </w:r>
          </w:p>
        </w:tc>
        <w:tc>
          <w:tcPr>
            <w:tcW w:w="109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理化性质</w:t>
            </w:r>
          </w:p>
        </w:tc>
        <w:tc>
          <w:tcPr>
            <w:tcW w:w="1436"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危害特性</w:t>
            </w:r>
          </w:p>
        </w:tc>
        <w:tc>
          <w:tcPr>
            <w:tcW w:w="1170"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贮存方式</w:t>
            </w:r>
          </w:p>
        </w:tc>
        <w:tc>
          <w:tcPr>
            <w:tcW w:w="150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最大贮存量q</w:t>
            </w:r>
            <w:r>
              <w:rPr>
                <w:rFonts w:hint="eastAsia" w:ascii="Times New Roman" w:hAnsi="Times New Roman" w:eastAsia="宋体" w:cs="Times New Roman"/>
                <w:kern w:val="2"/>
                <w:sz w:val="24"/>
                <w:szCs w:val="24"/>
                <w:lang w:val="en-US" w:eastAsia="zh-CN" w:bidi="ar-SA"/>
              </w:rPr>
              <w:t>i</w:t>
            </w:r>
            <w:r>
              <w:rPr>
                <w:rFonts w:hint="eastAsia" w:cs="Times New Roman"/>
                <w:kern w:val="2"/>
                <w:sz w:val="24"/>
                <w:szCs w:val="24"/>
                <w:lang w:val="en-US" w:eastAsia="zh-CN" w:bidi="ar-SA"/>
              </w:rPr>
              <w:t>（t）</w:t>
            </w:r>
          </w:p>
        </w:tc>
        <w:tc>
          <w:tcPr>
            <w:tcW w:w="106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临界量Q</w:t>
            </w:r>
            <w:r>
              <w:rPr>
                <w:rFonts w:hint="eastAsia" w:ascii="Times New Roman" w:hAnsi="Times New Roman" w:eastAsia="宋体" w:cs="Times New Roman"/>
                <w:kern w:val="2"/>
                <w:sz w:val="24"/>
                <w:szCs w:val="24"/>
                <w:lang w:val="en-US" w:eastAsia="zh-CN" w:bidi="ar-SA"/>
              </w:rPr>
              <w:t>i</w:t>
            </w:r>
            <w:r>
              <w:rPr>
                <w:rFonts w:hint="eastAsia" w:cs="Times New Roman"/>
                <w:kern w:val="2"/>
                <w:sz w:val="24"/>
                <w:szCs w:val="24"/>
                <w:lang w:val="en-US" w:eastAsia="zh-CN" w:bidi="ar-SA"/>
              </w:rPr>
              <w:t>（t）</w:t>
            </w:r>
          </w:p>
        </w:tc>
        <w:tc>
          <w:tcPr>
            <w:tcW w:w="890"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q</w:t>
            </w:r>
            <w:r>
              <w:rPr>
                <w:rFonts w:hint="eastAsia" w:ascii="Times New Roman" w:hAnsi="Times New Roman" w:eastAsia="宋体" w:cs="Times New Roman"/>
                <w:kern w:val="2"/>
                <w:sz w:val="24"/>
                <w:szCs w:val="24"/>
                <w:lang w:val="en-US" w:eastAsia="zh-CN" w:bidi="ar-SA"/>
              </w:rPr>
              <w:t>i</w:t>
            </w:r>
            <w:r>
              <w:rPr>
                <w:rFonts w:ascii="Times New Roman" w:hAnsi="Times New Roman" w:eastAsia="宋体" w:cs="Times New Roman"/>
                <w:kern w:val="2"/>
                <w:sz w:val="24"/>
                <w:szCs w:val="24"/>
                <w:lang w:val="en-US" w:eastAsia="zh-CN" w:bidi="ar-SA"/>
              </w:rPr>
              <w:t>/Q</w:t>
            </w:r>
            <w:r>
              <w:rPr>
                <w:rFonts w:hint="eastAsia" w:ascii="Times New Roman" w:hAnsi="Times New Roman" w:eastAsia="宋体" w:cs="Times New Roman"/>
                <w:kern w:val="2"/>
                <w:sz w:val="24"/>
                <w:szCs w:val="24"/>
                <w:lang w:val="en-US" w:eastAsia="zh-CN" w:bidi="ar-SA"/>
              </w:rPr>
              <w:t>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737" w:hRule="atLeast"/>
          <w:jc w:val="center"/>
        </w:trPr>
        <w:tc>
          <w:tcPr>
            <w:tcW w:w="73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56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二苯基甲烷二异氰酸酯</w:t>
            </w:r>
          </w:p>
        </w:tc>
        <w:tc>
          <w:tcPr>
            <w:tcW w:w="109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固体</w:t>
            </w:r>
          </w:p>
        </w:tc>
        <w:tc>
          <w:tcPr>
            <w:tcW w:w="143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有毒</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（中等毒）</w:t>
            </w:r>
          </w:p>
        </w:tc>
        <w:tc>
          <w:tcPr>
            <w:tcW w:w="117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桶装</w:t>
            </w:r>
          </w:p>
        </w:tc>
        <w:tc>
          <w:tcPr>
            <w:tcW w:w="1504"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u w:val="single"/>
                <w:lang w:val="en-US" w:eastAsia="zh-CN" w:bidi="ar-SA"/>
              </w:rPr>
            </w:pPr>
            <w:r>
              <w:rPr>
                <w:rFonts w:hint="eastAsia" w:cs="Times New Roman"/>
                <w:kern w:val="2"/>
                <w:sz w:val="24"/>
                <w:szCs w:val="24"/>
                <w:u w:val="single"/>
                <w:lang w:val="en-US" w:eastAsia="zh-CN" w:bidi="ar-SA"/>
              </w:rPr>
              <w:t>6</w:t>
            </w:r>
          </w:p>
        </w:tc>
        <w:tc>
          <w:tcPr>
            <w:tcW w:w="1061"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0.5</w:t>
            </w:r>
          </w:p>
        </w:tc>
        <w:tc>
          <w:tcPr>
            <w:tcW w:w="890"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u w:val="single"/>
                <w:lang w:val="en-US" w:eastAsia="zh-CN" w:bidi="ar-SA"/>
              </w:rPr>
            </w:pPr>
            <w:r>
              <w:rPr>
                <w:rFonts w:hint="eastAsia" w:cs="Times New Roman"/>
                <w:kern w:val="2"/>
                <w:sz w:val="24"/>
                <w:szCs w:val="24"/>
                <w:u w:val="single"/>
                <w:lang w:val="en-US" w:eastAsia="zh-CN" w:bidi="ar-SA"/>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692" w:hRule="atLeast"/>
          <w:jc w:val="center"/>
        </w:trPr>
        <w:tc>
          <w:tcPr>
            <w:tcW w:w="73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p>
        </w:tc>
        <w:tc>
          <w:tcPr>
            <w:tcW w:w="156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改性二苯基甲烷二异氰酸酯</w:t>
            </w:r>
          </w:p>
        </w:tc>
        <w:tc>
          <w:tcPr>
            <w:tcW w:w="109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液</w:t>
            </w:r>
            <w:r>
              <w:rPr>
                <w:rFonts w:hint="eastAsia" w:ascii="Times New Roman" w:hAnsi="Times New Roman" w:eastAsia="宋体" w:cs="Times New Roman"/>
                <w:kern w:val="2"/>
                <w:sz w:val="24"/>
                <w:szCs w:val="24"/>
                <w:lang w:val="en-US" w:eastAsia="zh-CN" w:bidi="ar-SA"/>
              </w:rPr>
              <w:t>体</w:t>
            </w:r>
          </w:p>
        </w:tc>
        <w:tc>
          <w:tcPr>
            <w:tcW w:w="143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有毒</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（中等毒）</w:t>
            </w:r>
          </w:p>
        </w:tc>
        <w:tc>
          <w:tcPr>
            <w:tcW w:w="117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桶装</w:t>
            </w:r>
          </w:p>
        </w:tc>
        <w:tc>
          <w:tcPr>
            <w:tcW w:w="150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u w:val="single"/>
                <w:lang w:val="en-US" w:eastAsia="zh-CN" w:bidi="ar-SA"/>
              </w:rPr>
            </w:pPr>
            <w:r>
              <w:rPr>
                <w:rFonts w:hint="eastAsia" w:cs="Times New Roman"/>
                <w:kern w:val="2"/>
                <w:sz w:val="24"/>
                <w:szCs w:val="24"/>
                <w:u w:val="single"/>
                <w:lang w:val="en-US" w:eastAsia="zh-CN" w:bidi="ar-SA"/>
              </w:rPr>
              <w:t>3</w:t>
            </w:r>
          </w:p>
        </w:tc>
        <w:tc>
          <w:tcPr>
            <w:tcW w:w="1061"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0.5</w:t>
            </w:r>
          </w:p>
        </w:tc>
        <w:tc>
          <w:tcPr>
            <w:tcW w:w="890"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u w:val="single"/>
                <w:lang w:val="en-US" w:eastAsia="zh-CN" w:bidi="ar-SA"/>
              </w:rPr>
            </w:pPr>
            <w:r>
              <w:rPr>
                <w:rFonts w:hint="eastAsia" w:cs="Times New Roman"/>
                <w:kern w:val="2"/>
                <w:sz w:val="24"/>
                <w:szCs w:val="24"/>
                <w:u w:val="single"/>
                <w:lang w:val="en-US" w:eastAsia="zh-CN" w:bidi="ar-SA"/>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737" w:hRule="atLeast"/>
          <w:jc w:val="center"/>
        </w:trPr>
        <w:tc>
          <w:tcPr>
            <w:tcW w:w="732"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w:t>
            </w:r>
          </w:p>
        </w:tc>
        <w:tc>
          <w:tcPr>
            <w:tcW w:w="156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多亚甲基多苯基异氰酸酯</w:t>
            </w:r>
          </w:p>
        </w:tc>
        <w:tc>
          <w:tcPr>
            <w:tcW w:w="109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液体</w:t>
            </w:r>
          </w:p>
        </w:tc>
        <w:tc>
          <w:tcPr>
            <w:tcW w:w="143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有毒</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（微毒）</w:t>
            </w:r>
          </w:p>
        </w:tc>
        <w:tc>
          <w:tcPr>
            <w:tcW w:w="117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桶装</w:t>
            </w:r>
          </w:p>
        </w:tc>
        <w:tc>
          <w:tcPr>
            <w:tcW w:w="150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u w:val="single"/>
                <w:lang w:val="en-US" w:eastAsia="zh-CN" w:bidi="ar-SA"/>
              </w:rPr>
            </w:pPr>
            <w:r>
              <w:rPr>
                <w:rFonts w:hint="eastAsia" w:cs="Times New Roman"/>
                <w:kern w:val="2"/>
                <w:sz w:val="24"/>
                <w:szCs w:val="24"/>
                <w:u w:val="single"/>
                <w:lang w:val="en-US" w:eastAsia="zh-CN" w:bidi="ar-SA"/>
              </w:rPr>
              <w:t>6</w:t>
            </w:r>
          </w:p>
        </w:tc>
        <w:tc>
          <w:tcPr>
            <w:tcW w:w="106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0.5</w:t>
            </w:r>
          </w:p>
        </w:tc>
        <w:tc>
          <w:tcPr>
            <w:tcW w:w="890"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u w:val="single"/>
                <w:lang w:val="en-US" w:eastAsia="zh-CN" w:bidi="ar-SA"/>
              </w:rPr>
            </w:pPr>
            <w:r>
              <w:rPr>
                <w:rFonts w:hint="eastAsia" w:cs="Times New Roman"/>
                <w:kern w:val="2"/>
                <w:sz w:val="24"/>
                <w:szCs w:val="24"/>
                <w:u w:val="single"/>
                <w:lang w:val="en-US" w:eastAsia="zh-CN" w:bidi="ar-SA"/>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454" w:hRule="atLeast"/>
          <w:jc w:val="center"/>
        </w:trPr>
        <w:tc>
          <w:tcPr>
            <w:tcW w:w="8565" w:type="dxa"/>
            <w:gridSpan w:val="7"/>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合计</w:t>
            </w:r>
            <w:r>
              <w:rPr>
                <w:rFonts w:ascii="Times New Roman" w:hAnsi="Times New Roman" w:eastAsia="宋体" w:cs="宋体"/>
                <w:kern w:val="2"/>
                <w:sz w:val="24"/>
                <w:szCs w:val="24"/>
                <w:lang w:val="en-US" w:eastAsia="zh-CN" w:bidi="ar-SA"/>
              </w:rPr>
              <w:t>（Q）</w:t>
            </w:r>
          </w:p>
        </w:tc>
        <w:tc>
          <w:tcPr>
            <w:tcW w:w="890"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u w:val="single"/>
                <w:lang w:val="en-US" w:eastAsia="zh-CN" w:bidi="ar-SA"/>
              </w:rPr>
            </w:pPr>
            <w:r>
              <w:rPr>
                <w:rFonts w:hint="eastAsia" w:cs="Times New Roman"/>
                <w:kern w:val="2"/>
                <w:sz w:val="24"/>
                <w:szCs w:val="24"/>
                <w:u w:val="single"/>
                <w:lang w:val="en-US" w:eastAsia="zh-CN" w:bidi="ar-SA"/>
              </w:rPr>
              <w:t>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737" w:hRule="atLeast"/>
          <w:jc w:val="center"/>
        </w:trPr>
        <w:tc>
          <w:tcPr>
            <w:tcW w:w="9455" w:type="dxa"/>
            <w:gridSpan w:val="8"/>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注：</w:t>
            </w:r>
            <w:r>
              <w:rPr>
                <w:rFonts w:hint="eastAsia" w:ascii="Times New Roman" w:hAnsi="Times New Roman" w:eastAsia="宋体" w:cs="Times New Roman"/>
                <w:kern w:val="2"/>
                <w:sz w:val="24"/>
                <w:szCs w:val="24"/>
                <w:lang w:val="en-US" w:eastAsia="zh-CN" w:bidi="ar-SA"/>
              </w:rPr>
              <w:t>临界量Qi参照《建设项目环境风险评价技术导则》（HJ169-2018）附录B里所列的临界值，均以纯物质来计。</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所以本项目危险物质的</w:t>
      </w:r>
      <w:r>
        <w:rPr>
          <w:rFonts w:hint="eastAsia" w:cs="宋体"/>
          <w:kern w:val="2"/>
          <w:sz w:val="24"/>
          <w:szCs w:val="24"/>
          <w:lang w:val="en-US" w:eastAsia="zh-CN" w:bidi="ar-SA"/>
        </w:rPr>
        <w:t>总</w:t>
      </w:r>
      <w:r>
        <w:rPr>
          <w:rFonts w:ascii="Times New Roman" w:hAnsi="Times New Roman" w:eastAsia="宋体" w:cs="宋体"/>
          <w:kern w:val="2"/>
          <w:sz w:val="24"/>
          <w:szCs w:val="24"/>
          <w:lang w:val="en-US" w:eastAsia="zh-CN" w:bidi="ar-SA"/>
        </w:rPr>
        <w:t>量与临界量比值</w:t>
      </w:r>
      <w:r>
        <w:rPr>
          <w:rFonts w:ascii="Times New Roman" w:hAnsi="Times New Roman" w:eastAsia="宋体" w:cs="宋体"/>
          <w:kern w:val="2"/>
          <w:sz w:val="24"/>
          <w:szCs w:val="24"/>
          <w:u w:val="single"/>
          <w:lang w:val="en-US" w:eastAsia="zh-CN" w:bidi="ar-SA"/>
        </w:rPr>
        <w:t>Q</w:t>
      </w:r>
      <w:r>
        <w:rPr>
          <w:rFonts w:hint="eastAsia" w:ascii="Times New Roman" w:hAnsi="Times New Roman" w:eastAsia="宋体" w:cs="宋体"/>
          <w:kern w:val="2"/>
          <w:sz w:val="24"/>
          <w:szCs w:val="24"/>
          <w:u w:val="single"/>
          <w:lang w:val="en-US" w:eastAsia="zh-CN" w:bidi="ar-SA"/>
        </w:rPr>
        <w:t>=</w:t>
      </w:r>
      <w:r>
        <w:rPr>
          <w:rFonts w:hint="eastAsia" w:cs="宋体"/>
          <w:kern w:val="2"/>
          <w:sz w:val="24"/>
          <w:szCs w:val="24"/>
          <w:u w:val="single"/>
          <w:lang w:val="en-US" w:eastAsia="zh-CN" w:bidi="ar-SA"/>
        </w:rPr>
        <w:t>27</w:t>
      </w:r>
      <w:r>
        <w:rPr>
          <w:rFonts w:ascii="Times New Roman" w:hAnsi="Times New Roman" w:eastAsia="宋体" w:cs="宋体"/>
          <w:kern w:val="2"/>
          <w:sz w:val="24"/>
          <w:szCs w:val="24"/>
          <w:u w:val="single"/>
          <w:lang w:val="en-US" w:eastAsia="zh-CN" w:bidi="ar-SA"/>
        </w:rPr>
        <w:t>＜1</w:t>
      </w:r>
      <w:r>
        <w:rPr>
          <w:rFonts w:hint="eastAsia" w:ascii="Times New Roman" w:hAnsi="Times New Roman" w:eastAsia="宋体" w:cs="宋体"/>
          <w:kern w:val="2"/>
          <w:sz w:val="24"/>
          <w:szCs w:val="24"/>
          <w:u w:val="single"/>
          <w:lang w:val="en-US" w:eastAsia="zh-CN" w:bidi="ar-SA"/>
        </w:rPr>
        <w:t>00</w:t>
      </w:r>
      <w:r>
        <w:rPr>
          <w:rFonts w:ascii="Times New Roman" w:hAnsi="Times New Roman" w:eastAsia="宋体" w:cs="宋体"/>
          <w:kern w:val="2"/>
          <w:sz w:val="24"/>
          <w:szCs w:val="24"/>
          <w:lang w:val="en-US" w:eastAsia="zh-CN" w:bidi="ar-SA"/>
        </w:rPr>
        <w:t>。</w:t>
      </w:r>
    </w:p>
    <w:p>
      <w:pPr>
        <w:pStyle w:val="4"/>
        <w:bidi w:val="0"/>
        <w:rPr>
          <w:lang w:val="en-US" w:eastAsia="zh-CN"/>
        </w:rPr>
      </w:pPr>
      <w:bookmarkStart w:id="1512" w:name="_Toc14690"/>
      <w:bookmarkStart w:id="1513" w:name="_Toc6058"/>
      <w:r>
        <w:rPr>
          <w:rFonts w:hint="eastAsia"/>
          <w:lang w:val="en-US" w:eastAsia="zh-CN"/>
        </w:rPr>
        <w:t>行业及生产工艺（M）</w:t>
      </w:r>
      <w:bookmarkEnd w:id="1512"/>
      <w:bookmarkEnd w:id="1513"/>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本项目属于塑料制品制造行业，</w:t>
      </w:r>
      <w:r>
        <w:rPr>
          <w:rFonts w:ascii="Times New Roman" w:hAnsi="Times New Roman" w:eastAsia="宋体" w:cs="宋体"/>
          <w:kern w:val="2"/>
          <w:sz w:val="24"/>
          <w:szCs w:val="24"/>
          <w:lang w:val="en-US" w:eastAsia="zh-CN" w:bidi="ar-SA"/>
        </w:rPr>
        <w:t>根据风险导则，项目行业及生产工艺（M）由下表确定。</w:t>
      </w:r>
      <w:r>
        <w:rPr>
          <w:rFonts w:hint="eastAsia" w:ascii="Times New Roman" w:hAnsi="Times New Roman" w:eastAsia="宋体" w:cs="宋体"/>
          <w:kern w:val="2"/>
          <w:sz w:val="24"/>
          <w:szCs w:val="24"/>
          <w:lang w:val="en-US" w:eastAsia="zh-CN" w:bidi="ar-SA"/>
        </w:rPr>
        <w:t>将M划分为（1）M&gt;20；（2）10</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M≦20；（3）5</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M≦10；（4）M=5，分别以M1、M2、M3、M4。</w:t>
      </w:r>
    </w:p>
    <w:p>
      <w:pPr>
        <w:widowControl w:val="0"/>
        <w:spacing w:line="360" w:lineRule="auto"/>
        <w:jc w:val="center"/>
        <w:rPr>
          <w:rFonts w:ascii="Times New Roman" w:hAnsi="Times New Roman" w:eastAsia="宋体" w:cs="Times New Roman"/>
          <w:b/>
          <w:kern w:val="2"/>
          <w:sz w:val="21"/>
          <w:szCs w:val="21"/>
          <w:lang w:val="en-US" w:eastAsia="zh-CN" w:bidi="ar-SA"/>
        </w:rPr>
        <w:sectPr>
          <w:pgSz w:w="11906" w:h="16838"/>
          <w:pgMar w:top="1417" w:right="1417" w:bottom="1134" w:left="1701"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pPr>
        <w:widowControl w:val="0"/>
        <w:spacing w:line="360" w:lineRule="auto"/>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8</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3</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项目行业及生产工艺（M）值</w:t>
      </w:r>
    </w:p>
    <w:tbl>
      <w:tblPr>
        <w:tblStyle w:val="22"/>
        <w:tblW w:w="97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671"/>
        <w:gridCol w:w="3856"/>
        <w:gridCol w:w="1526"/>
        <w:gridCol w:w="1458"/>
        <w:gridCol w:w="126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7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行业</w:t>
            </w:r>
          </w:p>
        </w:tc>
        <w:tc>
          <w:tcPr>
            <w:tcW w:w="385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评估依据</w:t>
            </w:r>
          </w:p>
        </w:tc>
        <w:tc>
          <w:tcPr>
            <w:tcW w:w="152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分值</w:t>
            </w:r>
          </w:p>
        </w:tc>
        <w:tc>
          <w:tcPr>
            <w:tcW w:w="145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本项目情况</w:t>
            </w:r>
          </w:p>
        </w:tc>
        <w:tc>
          <w:tcPr>
            <w:tcW w:w="126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本项目得分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66" w:hRule="atLeast"/>
          <w:jc w:val="center"/>
        </w:trPr>
        <w:tc>
          <w:tcPr>
            <w:tcW w:w="1671" w:type="dxa"/>
            <w:vMerge w:val="restart"/>
            <w:noWrap w:val="0"/>
            <w:vAlign w:val="center"/>
          </w:tcPr>
          <w:p>
            <w:pPr>
              <w:widowControl w:val="0"/>
              <w:bidi w:val="0"/>
              <w:adjustRightInd w:val="0"/>
              <w:snapToGrid w:val="0"/>
              <w:spacing w:line="240" w:lineRule="auto"/>
              <w:jc w:val="left"/>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石化、化工、医药、轻工、化纤、有色冶炼等</w:t>
            </w:r>
          </w:p>
        </w:tc>
        <w:tc>
          <w:tcPr>
            <w:tcW w:w="3856" w:type="dxa"/>
            <w:noWrap w:val="0"/>
            <w:vAlign w:val="center"/>
          </w:tcPr>
          <w:p>
            <w:pPr>
              <w:widowControl w:val="0"/>
              <w:bidi w:val="0"/>
              <w:adjustRightInd w:val="0"/>
              <w:snapToGrid w:val="0"/>
              <w:spacing w:line="240" w:lineRule="auto"/>
              <w:jc w:val="left"/>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52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10/套</w:t>
            </w:r>
          </w:p>
        </w:tc>
        <w:tc>
          <w:tcPr>
            <w:tcW w:w="145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本项目不涉及</w:t>
            </w:r>
          </w:p>
        </w:tc>
        <w:tc>
          <w:tcPr>
            <w:tcW w:w="126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71"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385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无机酸制酸工艺、焦化工艺</w:t>
            </w:r>
          </w:p>
        </w:tc>
        <w:tc>
          <w:tcPr>
            <w:tcW w:w="152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5/套</w:t>
            </w:r>
          </w:p>
        </w:tc>
        <w:tc>
          <w:tcPr>
            <w:tcW w:w="145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本项目不涉及</w:t>
            </w:r>
          </w:p>
        </w:tc>
        <w:tc>
          <w:tcPr>
            <w:tcW w:w="126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671"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385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其他高温或高压，且涉及危险物质的工艺过程a、危险物质贮存罐区</w:t>
            </w:r>
          </w:p>
        </w:tc>
        <w:tc>
          <w:tcPr>
            <w:tcW w:w="1526"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5/套（罐区）</w:t>
            </w:r>
          </w:p>
        </w:tc>
        <w:tc>
          <w:tcPr>
            <w:tcW w:w="145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危险物质储存</w:t>
            </w:r>
          </w:p>
        </w:tc>
        <w:tc>
          <w:tcPr>
            <w:tcW w:w="126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7053" w:type="dxa"/>
            <w:gridSpan w:val="3"/>
            <w:noWrap w:val="0"/>
            <w:vAlign w:val="center"/>
          </w:tcPr>
          <w:p>
            <w:pPr>
              <w:widowControl w:val="0"/>
              <w:bidi w:val="0"/>
              <w:adjustRightInd w:val="0"/>
              <w:snapToGrid w:val="0"/>
              <w:spacing w:line="240" w:lineRule="auto"/>
              <w:jc w:val="left"/>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a 高温指工艺温度≧300 ℃，高压指压力容器的设计压力（P）≧10.0 MPa；b 长输管道运输项目应按站场、管线分段进行评价。</w:t>
            </w:r>
          </w:p>
        </w:tc>
        <w:tc>
          <w:tcPr>
            <w:tcW w:w="145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本项目合计</w:t>
            </w:r>
          </w:p>
        </w:tc>
        <w:tc>
          <w:tcPr>
            <w:tcW w:w="126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w:t>
            </w:r>
          </w:p>
        </w:tc>
      </w:tr>
    </w:tbl>
    <w:p/>
    <w:p>
      <w:r>
        <w:t>由上表可知，本项目行业及生产工艺为M</w:t>
      </w:r>
      <w:r>
        <w:rPr>
          <w:rFonts w:hint="eastAsia"/>
        </w:rPr>
        <w:t>4</w:t>
      </w:r>
      <w:r>
        <w:t>类。</w:t>
      </w:r>
    </w:p>
    <w:p>
      <w:pPr>
        <w:pStyle w:val="4"/>
        <w:bidi w:val="0"/>
        <w:rPr>
          <w:rFonts w:hint="eastAsia"/>
          <w:lang w:val="en-US" w:eastAsia="zh-CN"/>
        </w:rPr>
      </w:pPr>
      <w:bookmarkStart w:id="1514" w:name="_Toc15734"/>
      <w:bookmarkStart w:id="1515" w:name="_Toc10960"/>
      <w:r>
        <w:rPr>
          <w:rFonts w:hint="eastAsia"/>
          <w:lang w:val="en-US" w:eastAsia="zh-CN"/>
        </w:rPr>
        <w:t>危险物质及工艺系统危险性（P）分级</w:t>
      </w:r>
      <w:bookmarkEnd w:id="1514"/>
      <w:bookmarkEnd w:id="1515"/>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根据危险物质数量与临界量比值（Q）和行业及生产工艺（M），按照</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_Ref9271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8</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4</w:t>
      </w:r>
      <w:r>
        <w:rPr>
          <w:rFonts w:hint="default"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确定危险物质及工艺系统危险性等级（P）。</w:t>
      </w:r>
    </w:p>
    <w:p>
      <w:pPr>
        <w:widowControl w:val="0"/>
        <w:spacing w:line="360" w:lineRule="auto"/>
        <w:jc w:val="center"/>
        <w:rPr>
          <w:rFonts w:hint="eastAsia" w:ascii="Times New Roman" w:hAnsi="Times New Roman" w:eastAsia="宋体" w:cs="Times New Roman"/>
          <w:b/>
          <w:kern w:val="2"/>
          <w:sz w:val="21"/>
          <w:szCs w:val="21"/>
          <w:lang w:val="en-US" w:eastAsia="zh-CN" w:bidi="ar-SA"/>
        </w:rPr>
      </w:pPr>
      <w:bookmarkStart w:id="1516" w:name="_Ref9271"/>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8</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bookmarkEnd w:id="1516"/>
      <w:r>
        <w:rPr>
          <w:rFonts w:hint="eastAsia" w:ascii="Times New Roman" w:hAnsi="Times New Roman" w:eastAsia="宋体" w:cs="Times New Roman"/>
          <w:b/>
          <w:kern w:val="2"/>
          <w:sz w:val="21"/>
          <w:szCs w:val="21"/>
          <w:lang w:val="en-US" w:eastAsia="zh-CN" w:bidi="ar-SA"/>
        </w:rPr>
        <w:t>危险物质及工艺系统危险性等级判断（P）</w:t>
      </w:r>
    </w:p>
    <w:tbl>
      <w:tblPr>
        <w:tblStyle w:val="2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924"/>
        <w:gridCol w:w="1609"/>
        <w:gridCol w:w="1609"/>
        <w:gridCol w:w="1609"/>
        <w:gridCol w:w="160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924" w:type="dxa"/>
            <w:vMerge w:val="restart"/>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危险物质数量与临界量比值（Q）</w:t>
            </w:r>
          </w:p>
        </w:tc>
        <w:tc>
          <w:tcPr>
            <w:tcW w:w="6432" w:type="dxa"/>
            <w:gridSpan w:val="4"/>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行业及生产工艺（M）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924" w:type="dxa"/>
            <w:vMerge w:val="continue"/>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16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M1</w:t>
            </w:r>
          </w:p>
        </w:tc>
        <w:tc>
          <w:tcPr>
            <w:tcW w:w="16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M2</w:t>
            </w:r>
          </w:p>
        </w:tc>
        <w:tc>
          <w:tcPr>
            <w:tcW w:w="16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M3</w:t>
            </w:r>
          </w:p>
        </w:tc>
        <w:tc>
          <w:tcPr>
            <w:tcW w:w="160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M4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9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Q≧100</w:t>
            </w:r>
          </w:p>
        </w:tc>
        <w:tc>
          <w:tcPr>
            <w:tcW w:w="16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P1</w:t>
            </w:r>
          </w:p>
        </w:tc>
        <w:tc>
          <w:tcPr>
            <w:tcW w:w="16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P1</w:t>
            </w:r>
          </w:p>
        </w:tc>
        <w:tc>
          <w:tcPr>
            <w:tcW w:w="16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P2</w:t>
            </w:r>
          </w:p>
        </w:tc>
        <w:tc>
          <w:tcPr>
            <w:tcW w:w="160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P3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9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10≦Q＜100</w:t>
            </w:r>
          </w:p>
        </w:tc>
        <w:tc>
          <w:tcPr>
            <w:tcW w:w="16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P1</w:t>
            </w:r>
          </w:p>
        </w:tc>
        <w:tc>
          <w:tcPr>
            <w:tcW w:w="16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P2</w:t>
            </w:r>
          </w:p>
        </w:tc>
        <w:tc>
          <w:tcPr>
            <w:tcW w:w="16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P3</w:t>
            </w:r>
          </w:p>
        </w:tc>
        <w:tc>
          <w:tcPr>
            <w:tcW w:w="160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P4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924"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1≦Q＜10</w:t>
            </w:r>
          </w:p>
        </w:tc>
        <w:tc>
          <w:tcPr>
            <w:tcW w:w="16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P2</w:t>
            </w:r>
          </w:p>
        </w:tc>
        <w:tc>
          <w:tcPr>
            <w:tcW w:w="16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P3</w:t>
            </w:r>
          </w:p>
        </w:tc>
        <w:tc>
          <w:tcPr>
            <w:tcW w:w="160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P4</w:t>
            </w:r>
          </w:p>
        </w:tc>
        <w:tc>
          <w:tcPr>
            <w:tcW w:w="160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P4</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本项目Q=</w:t>
      </w:r>
      <w:r>
        <w:rPr>
          <w:rFonts w:hint="eastAsia" w:cs="宋体"/>
          <w:kern w:val="2"/>
          <w:sz w:val="24"/>
          <w:szCs w:val="24"/>
          <w:lang w:val="en-US" w:eastAsia="zh-CN" w:bidi="ar-SA"/>
        </w:rPr>
        <w:t>27</w:t>
      </w:r>
      <w:r>
        <w:rPr>
          <w:rFonts w:ascii="Times New Roman" w:hAnsi="Times New Roman" w:eastAsia="宋体" w:cs="宋体"/>
          <w:kern w:val="2"/>
          <w:sz w:val="24"/>
          <w:szCs w:val="24"/>
          <w:lang w:val="en-US" w:eastAsia="zh-CN" w:bidi="ar-SA"/>
        </w:rPr>
        <w:t>，为M</w:t>
      </w:r>
      <w:r>
        <w:rPr>
          <w:rFonts w:hint="eastAsia" w:ascii="Times New Roman" w:hAnsi="Times New Roman" w:eastAsia="宋体" w:cs="宋体"/>
          <w:kern w:val="2"/>
          <w:sz w:val="24"/>
          <w:szCs w:val="24"/>
          <w:lang w:val="en-US" w:eastAsia="zh-CN" w:bidi="ar-SA"/>
        </w:rPr>
        <w:t>4</w:t>
      </w:r>
      <w:r>
        <w:rPr>
          <w:rFonts w:ascii="Times New Roman" w:hAnsi="Times New Roman" w:eastAsia="宋体" w:cs="宋体"/>
          <w:kern w:val="2"/>
          <w:sz w:val="24"/>
          <w:szCs w:val="24"/>
          <w:lang w:val="en-US" w:eastAsia="zh-CN" w:bidi="ar-SA"/>
        </w:rPr>
        <w:t>类，根据上表可知，本项目危险物质及工艺系统危险性（P）的分级为P</w:t>
      </w:r>
      <w:r>
        <w:rPr>
          <w:rFonts w:hint="eastAsia" w:ascii="Times New Roman" w:hAnsi="Times New Roman" w:eastAsia="宋体" w:cs="宋体"/>
          <w:kern w:val="2"/>
          <w:sz w:val="24"/>
          <w:szCs w:val="24"/>
          <w:lang w:val="en-US" w:eastAsia="zh-CN" w:bidi="ar-SA"/>
        </w:rPr>
        <w:t>4</w:t>
      </w:r>
      <w:r>
        <w:rPr>
          <w:rFonts w:ascii="Times New Roman" w:hAnsi="Times New Roman" w:eastAsia="宋体" w:cs="宋体"/>
          <w:kern w:val="2"/>
          <w:sz w:val="24"/>
          <w:szCs w:val="24"/>
          <w:lang w:val="en-US" w:eastAsia="zh-CN" w:bidi="ar-SA"/>
        </w:rPr>
        <w:t>。</w:t>
      </w:r>
    </w:p>
    <w:p>
      <w:pPr>
        <w:pStyle w:val="4"/>
        <w:bidi w:val="0"/>
        <w:rPr>
          <w:rFonts w:hint="eastAsia"/>
          <w:lang w:val="en-US" w:eastAsia="zh-CN"/>
        </w:rPr>
      </w:pPr>
      <w:bookmarkStart w:id="1517" w:name="_Toc10280"/>
      <w:bookmarkStart w:id="1518" w:name="_Toc17806"/>
      <w:r>
        <w:rPr>
          <w:rFonts w:hint="eastAsia"/>
          <w:lang w:val="en-US" w:eastAsia="zh-CN"/>
        </w:rPr>
        <w:t>项目各环境要素敏感程度（E）的分级</w:t>
      </w:r>
      <w:bookmarkEnd w:id="1517"/>
      <w:bookmarkEnd w:id="1518"/>
    </w:p>
    <w:p>
      <w:pPr>
        <w:pStyle w:val="5"/>
        <w:bidi w:val="0"/>
        <w:rPr>
          <w:lang w:val="en-US" w:eastAsia="zh-CN"/>
        </w:rPr>
      </w:pPr>
      <w:bookmarkStart w:id="1519" w:name="_Toc31233"/>
      <w:r>
        <w:rPr>
          <w:lang w:val="en-US" w:eastAsia="zh-CN"/>
        </w:rPr>
        <w:t>大气环境</w:t>
      </w:r>
      <w:bookmarkEnd w:id="1519"/>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大气环境敏感程度依据环境敏感目标环境敏感性及人口密度划分环境风险受体的敏感性，共分为三种类型，E1为环境高度敏感区，E2为环境中度敏感区，E3 为环境低度敏感区，分级原则见</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REF _Ref13006 \h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8</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5</w:t>
      </w:r>
      <w:r>
        <w:rPr>
          <w:rFonts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p>
    <w:p>
      <w:pPr>
        <w:widowControl w:val="0"/>
        <w:spacing w:line="360" w:lineRule="auto"/>
        <w:jc w:val="center"/>
        <w:rPr>
          <w:rFonts w:hint="eastAsia" w:ascii="Times New Roman" w:hAnsi="Times New Roman" w:eastAsia="宋体" w:cs="Times New Roman"/>
          <w:b/>
          <w:kern w:val="2"/>
          <w:sz w:val="21"/>
          <w:szCs w:val="21"/>
          <w:lang w:val="en-US" w:eastAsia="zh-CN" w:bidi="ar-SA"/>
        </w:rPr>
      </w:pPr>
      <w:bookmarkStart w:id="1520" w:name="_Ref13006"/>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8</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5</w:t>
      </w:r>
      <w:r>
        <w:rPr>
          <w:rFonts w:ascii="Times New Roman" w:hAnsi="Times New Roman" w:eastAsia="宋体" w:cs="Times New Roman"/>
          <w:b/>
          <w:kern w:val="2"/>
          <w:sz w:val="21"/>
          <w:szCs w:val="21"/>
          <w:lang w:val="en-US" w:eastAsia="zh-CN" w:bidi="ar-SA"/>
        </w:rPr>
        <w:fldChar w:fldCharType="end"/>
      </w:r>
      <w:bookmarkEnd w:id="1520"/>
      <w:r>
        <w:rPr>
          <w:rFonts w:hint="eastAsia" w:ascii="Times New Roman" w:hAnsi="Times New Roman" w:eastAsia="宋体" w:cs="Times New Roman"/>
          <w:b/>
          <w:kern w:val="2"/>
          <w:sz w:val="21"/>
          <w:szCs w:val="21"/>
          <w:lang w:val="en-US" w:eastAsia="zh-CN" w:bidi="ar-SA"/>
        </w:rPr>
        <w:t>大气环境敏感程度分级</w:t>
      </w:r>
    </w:p>
    <w:tbl>
      <w:tblPr>
        <w:tblStyle w:val="2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51"/>
        <w:gridCol w:w="775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75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分级</w:t>
            </w:r>
          </w:p>
        </w:tc>
        <w:tc>
          <w:tcPr>
            <w:tcW w:w="7753"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大气环境敏感性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04" w:hRule="atLeast"/>
          <w:jc w:val="center"/>
        </w:trPr>
        <w:tc>
          <w:tcPr>
            <w:tcW w:w="75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E1</w:t>
            </w:r>
          </w:p>
        </w:tc>
        <w:tc>
          <w:tcPr>
            <w:tcW w:w="7753"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周边5km范围内居住区、医疗卫生、文化教育、科研、行政办公等机构人口总数大于 5万人，或其他需要特殊保护区域；或周边500m范围内人口总数大于1000人；油气、化学品输送管线管段周边200m范围内，每千米管段人口数大于200人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04" w:hRule="atLeast"/>
          <w:jc w:val="center"/>
        </w:trPr>
        <w:tc>
          <w:tcPr>
            <w:tcW w:w="75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E2</w:t>
            </w:r>
          </w:p>
        </w:tc>
        <w:tc>
          <w:tcPr>
            <w:tcW w:w="7753"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周边5km范围内居住区、医疗卫生、文化教育、科研、行政办公等机构人口总数大于 1万人，小于5万人；或周边500m范围内人口总数大于500人，小于1000人；油气、化学品输送管线管段周边200m范围内，每千米管段人口数大于100人，小于200人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20" w:hRule="atLeast"/>
          <w:jc w:val="center"/>
        </w:trPr>
        <w:tc>
          <w:tcPr>
            <w:tcW w:w="751"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E3</w:t>
            </w:r>
          </w:p>
        </w:tc>
        <w:tc>
          <w:tcPr>
            <w:tcW w:w="7753"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周边5km范围内居住区、医疗卫生、文化教育、科研、行政办公等机构人口总数小于 1万人；或周边500m范围内人口总数小于500人；油气、化学品输送管线管段周边200m范围内，每千米管段人口数小于100人</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本项目</w:t>
      </w:r>
      <w:r>
        <w:rPr>
          <w:rFonts w:hint="eastAsia" w:ascii="Times New Roman" w:hAnsi="Times New Roman" w:eastAsia="宋体" w:cs="宋体"/>
          <w:kern w:val="2"/>
          <w:sz w:val="24"/>
          <w:szCs w:val="24"/>
          <w:lang w:val="en-US" w:eastAsia="zh-CN" w:bidi="ar-SA"/>
        </w:rPr>
        <w:t>周边500m范围内人口总数大于500人，小于1000人，5km范围内居住区、医疗卫生、文化教育、科研、行政办公等机构人口总数大于 1万人，小于5万人</w:t>
      </w:r>
      <w:r>
        <w:rPr>
          <w:rFonts w:ascii="Times New Roman" w:hAnsi="Times New Roman" w:eastAsia="宋体" w:cs="宋体"/>
          <w:kern w:val="2"/>
          <w:sz w:val="24"/>
          <w:szCs w:val="24"/>
          <w:lang w:val="en-US" w:eastAsia="zh-CN" w:bidi="ar-SA"/>
        </w:rPr>
        <w:t>。本项目大气环境敏感程度为E</w:t>
      </w:r>
      <w:r>
        <w:rPr>
          <w:rFonts w:hint="eastAsia"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t>，为环境</w:t>
      </w:r>
      <w:r>
        <w:rPr>
          <w:rFonts w:hint="eastAsia" w:ascii="Times New Roman" w:hAnsi="Times New Roman" w:eastAsia="宋体" w:cs="宋体"/>
          <w:kern w:val="2"/>
          <w:sz w:val="24"/>
          <w:szCs w:val="24"/>
          <w:lang w:val="en-US" w:eastAsia="zh-CN" w:bidi="ar-SA"/>
        </w:rPr>
        <w:t>中</w:t>
      </w:r>
      <w:r>
        <w:rPr>
          <w:rFonts w:ascii="Times New Roman" w:hAnsi="Times New Roman" w:eastAsia="宋体" w:cs="宋体"/>
          <w:kern w:val="2"/>
          <w:sz w:val="24"/>
          <w:szCs w:val="24"/>
          <w:lang w:val="en-US" w:eastAsia="zh-CN" w:bidi="ar-SA"/>
        </w:rPr>
        <w:t>度敏感区。</w:t>
      </w:r>
    </w:p>
    <w:p>
      <w:pPr>
        <w:pStyle w:val="5"/>
        <w:bidi w:val="0"/>
        <w:rPr>
          <w:lang w:val="en-US" w:eastAsia="zh-CN"/>
        </w:rPr>
      </w:pPr>
      <w:bookmarkStart w:id="1521" w:name="_Toc2793"/>
      <w:r>
        <w:rPr>
          <w:lang w:val="en-US" w:eastAsia="zh-CN"/>
        </w:rPr>
        <w:t>地表水环境</w:t>
      </w:r>
      <w:bookmarkEnd w:id="1521"/>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项目地表水环境敏感程度依据事故情况下危险物质泄漏到水体的排放点受纳地表水体功能敏感性，与下游环境敏感目标情况确定。</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①</w:t>
      </w:r>
      <w:r>
        <w:rPr>
          <w:rFonts w:ascii="Times New Roman" w:hAnsi="Times New Roman" w:eastAsia="宋体" w:cs="宋体"/>
          <w:kern w:val="2"/>
          <w:sz w:val="24"/>
          <w:szCs w:val="24"/>
          <w:lang w:val="en-US" w:eastAsia="zh-CN" w:bidi="ar-SA"/>
        </w:rPr>
        <w:t>地表水功能敏感性分区</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地表水功能敏感性分区见</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REF _Ref13085 \h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8</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6</w:t>
      </w:r>
      <w:r>
        <w:rPr>
          <w:rFonts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p>
    <w:p>
      <w:pPr>
        <w:widowControl w:val="0"/>
        <w:spacing w:line="360" w:lineRule="auto"/>
        <w:jc w:val="center"/>
        <w:rPr>
          <w:rFonts w:hint="eastAsia" w:ascii="Times New Roman" w:hAnsi="Times New Roman" w:eastAsia="宋体" w:cs="Times New Roman"/>
          <w:b/>
          <w:kern w:val="2"/>
          <w:sz w:val="21"/>
          <w:szCs w:val="21"/>
          <w:lang w:val="en-US" w:eastAsia="zh-CN" w:bidi="ar-SA"/>
        </w:rPr>
      </w:pPr>
      <w:bookmarkStart w:id="1522" w:name="_Ref13085"/>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8</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6</w:t>
      </w:r>
      <w:r>
        <w:rPr>
          <w:rFonts w:ascii="Times New Roman" w:hAnsi="Times New Roman" w:eastAsia="宋体" w:cs="Times New Roman"/>
          <w:b/>
          <w:kern w:val="2"/>
          <w:sz w:val="21"/>
          <w:szCs w:val="21"/>
          <w:lang w:val="en-US" w:eastAsia="zh-CN" w:bidi="ar-SA"/>
        </w:rPr>
        <w:fldChar w:fldCharType="end"/>
      </w:r>
      <w:bookmarkEnd w:id="1522"/>
      <w:r>
        <w:rPr>
          <w:rFonts w:hint="eastAsia" w:ascii="Times New Roman" w:hAnsi="Times New Roman" w:eastAsia="宋体" w:cs="Times New Roman"/>
          <w:b/>
          <w:kern w:val="2"/>
          <w:sz w:val="21"/>
          <w:szCs w:val="21"/>
          <w:lang w:val="en-US" w:eastAsia="zh-CN" w:bidi="ar-SA"/>
        </w:rPr>
        <w:t>地表水功能敏感性分区</w:t>
      </w:r>
    </w:p>
    <w:tbl>
      <w:tblPr>
        <w:tblStyle w:val="22"/>
        <w:tblW w:w="8887"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40"/>
        <w:gridCol w:w="764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24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敏感性</w:t>
            </w:r>
          </w:p>
        </w:tc>
        <w:tc>
          <w:tcPr>
            <w:tcW w:w="764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地表水环境敏感特征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24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敏感 F1</w:t>
            </w:r>
          </w:p>
        </w:tc>
        <w:tc>
          <w:tcPr>
            <w:tcW w:w="764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排放点进入地表水水域环境功能为Ⅱ类及以上，或海水水质分类第一类；</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或以发生事故时，危险物质泄漏到水体的排放点算起，排放进入受纳河流最大流速时，24 h 流经范围内涉跨国界的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24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较敏感 F2</w:t>
            </w:r>
          </w:p>
        </w:tc>
        <w:tc>
          <w:tcPr>
            <w:tcW w:w="764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排放点进入地表水水域环境功能为Ⅲ类，或海水水质分类第二类；</w:t>
            </w:r>
          </w:p>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或以发生事故时，危险物质泄漏到水体的排放点算起，排放进入受纳河流最大流速时，24 h 流经范围内涉跨省界的</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24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低敏感 F3</w:t>
            </w:r>
          </w:p>
        </w:tc>
        <w:tc>
          <w:tcPr>
            <w:tcW w:w="764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上述地区之外的其他地区</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本项目发生事故后，危险物质泄漏后可能进入</w:t>
      </w:r>
      <w:r>
        <w:rPr>
          <w:rFonts w:hint="eastAsia" w:ascii="Times New Roman" w:hAnsi="Times New Roman" w:eastAsia="宋体" w:cs="宋体"/>
          <w:kern w:val="2"/>
          <w:sz w:val="24"/>
          <w:szCs w:val="24"/>
          <w:lang w:val="en-US" w:eastAsia="zh-CN" w:bidi="ar-SA"/>
        </w:rPr>
        <w:t>洋沙河，</w:t>
      </w:r>
      <w:r>
        <w:rPr>
          <w:rFonts w:ascii="Times New Roman" w:hAnsi="Times New Roman" w:eastAsia="宋体" w:cs="宋体"/>
          <w:kern w:val="2"/>
          <w:sz w:val="24"/>
          <w:szCs w:val="24"/>
          <w:lang w:val="en-US" w:eastAsia="zh-CN" w:bidi="ar-SA"/>
        </w:rPr>
        <w:t>其水体交换能力较差，泄漏污染物24h内无法跨越省界及国界。因此，本项目地表水功能敏感性为低敏感F3类。</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②</w:t>
      </w:r>
      <w:r>
        <w:rPr>
          <w:rFonts w:ascii="Times New Roman" w:hAnsi="Times New Roman" w:eastAsia="宋体" w:cs="宋体"/>
          <w:kern w:val="2"/>
          <w:sz w:val="24"/>
          <w:szCs w:val="24"/>
          <w:lang w:val="en-US" w:eastAsia="zh-CN" w:bidi="ar-SA"/>
        </w:rPr>
        <w:t>环境敏感目标分级</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地表水环境敏感目标分级见</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_Ref9342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8</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7</w:t>
      </w:r>
      <w:r>
        <w:rPr>
          <w:rFonts w:hint="default"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p>
    <w:p>
      <w:pPr>
        <w:widowControl w:val="0"/>
        <w:spacing w:line="360" w:lineRule="auto"/>
        <w:jc w:val="center"/>
        <w:rPr>
          <w:rFonts w:hint="eastAsia" w:ascii="Times New Roman" w:hAnsi="Times New Roman" w:eastAsia="宋体" w:cs="Times New Roman"/>
          <w:b/>
          <w:kern w:val="2"/>
          <w:sz w:val="21"/>
          <w:szCs w:val="21"/>
          <w:lang w:val="en-US" w:eastAsia="zh-CN" w:bidi="ar-SA"/>
        </w:rPr>
      </w:pPr>
      <w:bookmarkStart w:id="1523" w:name="_Ref9342"/>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8</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7</w:t>
      </w:r>
      <w:r>
        <w:rPr>
          <w:rFonts w:ascii="Times New Roman" w:hAnsi="Times New Roman" w:eastAsia="宋体" w:cs="Times New Roman"/>
          <w:b/>
          <w:kern w:val="2"/>
          <w:sz w:val="21"/>
          <w:szCs w:val="21"/>
          <w:lang w:val="en-US" w:eastAsia="zh-CN" w:bidi="ar-SA"/>
        </w:rPr>
        <w:fldChar w:fldCharType="end"/>
      </w:r>
      <w:bookmarkEnd w:id="1523"/>
      <w:r>
        <w:rPr>
          <w:rFonts w:hint="eastAsia" w:ascii="Times New Roman" w:hAnsi="Times New Roman" w:eastAsia="宋体" w:cs="Times New Roman"/>
          <w:b/>
          <w:kern w:val="2"/>
          <w:sz w:val="21"/>
          <w:szCs w:val="21"/>
          <w:lang w:val="en-US" w:eastAsia="zh-CN" w:bidi="ar-SA"/>
        </w:rPr>
        <w:t>地表水环境敏感目标分级</w:t>
      </w:r>
    </w:p>
    <w:tbl>
      <w:tblPr>
        <w:tblStyle w:val="22"/>
        <w:tblW w:w="957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25"/>
        <w:gridCol w:w="855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2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分级</w:t>
            </w:r>
          </w:p>
        </w:tc>
        <w:tc>
          <w:tcPr>
            <w:tcW w:w="855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环境敏感目标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10" w:hRule="atLeast"/>
          <w:jc w:val="center"/>
        </w:trPr>
        <w:tc>
          <w:tcPr>
            <w:tcW w:w="102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S1</w:t>
            </w:r>
          </w:p>
        </w:tc>
        <w:tc>
          <w:tcPr>
            <w:tcW w:w="855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发生事故时，危险物质泄漏到内陆水体的排放点下游（顺水流向）10 km 范围内、近岸海域一个潮周期水质点可能达到的最大水平距离的两倍范围内，有如下一类或多类环境风险受体：集中式地表水饮用水水源保护区（包括一级保护区、二级保护区及准保护区）；农村及分散式饮用水水源保护区； 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304" w:hRule="atLeast"/>
          <w:jc w:val="center"/>
        </w:trPr>
        <w:tc>
          <w:tcPr>
            <w:tcW w:w="102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S2</w:t>
            </w:r>
          </w:p>
        </w:tc>
        <w:tc>
          <w:tcPr>
            <w:tcW w:w="855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发生事故时，危险物质泄漏到内陆水体的排放点下游（顺水流向）10 km 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02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S3</w:t>
            </w:r>
          </w:p>
        </w:tc>
        <w:tc>
          <w:tcPr>
            <w:tcW w:w="855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排放点下游（顺水流向）10 km 范围、近岸海域一个潮周期水质点可能达到的最大水平距离的两倍范围内无上述类型 1 和类型 2 包括的敏感保护目标</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本项目发生事故后，危险物质泄漏后可能进入</w:t>
      </w:r>
      <w:r>
        <w:rPr>
          <w:rFonts w:hint="eastAsia" w:ascii="Times New Roman" w:hAnsi="Times New Roman" w:eastAsia="宋体" w:cs="宋体"/>
          <w:kern w:val="2"/>
          <w:sz w:val="24"/>
          <w:szCs w:val="24"/>
          <w:lang w:val="en-US" w:eastAsia="zh-CN" w:bidi="ar-SA"/>
        </w:rPr>
        <w:t>洋沙河</w:t>
      </w:r>
      <w:r>
        <w:rPr>
          <w:rFonts w:ascii="Times New Roman" w:hAnsi="Times New Roman" w:eastAsia="宋体" w:cs="宋体"/>
          <w:kern w:val="2"/>
          <w:sz w:val="24"/>
          <w:szCs w:val="24"/>
          <w:lang w:val="en-US" w:eastAsia="zh-CN" w:bidi="ar-SA"/>
        </w:rPr>
        <w:t>，在排放点下游（顺水流向）10 km范围内</w:t>
      </w:r>
      <w:r>
        <w:rPr>
          <w:rFonts w:hint="eastAsia" w:ascii="Times New Roman" w:hAnsi="Times New Roman" w:eastAsia="宋体" w:cs="宋体"/>
          <w:kern w:val="2"/>
          <w:sz w:val="24"/>
          <w:szCs w:val="24"/>
          <w:lang w:val="en-US" w:eastAsia="zh-CN" w:bidi="ar-SA"/>
        </w:rPr>
        <w:t>无上述类型1和类型2包括的敏感保护目标</w:t>
      </w:r>
      <w:r>
        <w:rPr>
          <w:rFonts w:ascii="Times New Roman" w:hAnsi="Times New Roman" w:eastAsia="宋体" w:cs="宋体"/>
          <w:kern w:val="2"/>
          <w:sz w:val="24"/>
          <w:szCs w:val="24"/>
          <w:lang w:val="en-US" w:eastAsia="zh-CN" w:bidi="ar-SA"/>
        </w:rPr>
        <w:t>，本项目地表水环境敏感目标分级为S</w:t>
      </w:r>
      <w:r>
        <w:rPr>
          <w:rFonts w:hint="eastAsia" w:ascii="Times New Roman" w:hAnsi="Times New Roman" w:eastAsia="宋体" w:cs="宋体"/>
          <w:kern w:val="2"/>
          <w:sz w:val="24"/>
          <w:szCs w:val="24"/>
          <w:lang w:val="en-US" w:eastAsia="zh-CN" w:bidi="ar-SA"/>
        </w:rPr>
        <w:t>3</w:t>
      </w:r>
      <w:r>
        <w:rPr>
          <w:rFonts w:ascii="Times New Roman" w:hAnsi="Times New Roman" w:eastAsia="宋体" w:cs="宋体"/>
          <w:kern w:val="2"/>
          <w:sz w:val="24"/>
          <w:szCs w:val="24"/>
          <w:lang w:val="en-US" w:eastAsia="zh-CN" w:bidi="ar-SA"/>
        </w:rPr>
        <w:t>类。</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③</w:t>
      </w:r>
      <w:r>
        <w:rPr>
          <w:rFonts w:ascii="Times New Roman" w:hAnsi="Times New Roman" w:eastAsia="宋体" w:cs="宋体"/>
          <w:kern w:val="2"/>
          <w:sz w:val="24"/>
          <w:szCs w:val="24"/>
          <w:lang w:val="en-US" w:eastAsia="zh-CN" w:bidi="ar-SA"/>
        </w:rPr>
        <w:t>地表水环境敏感程度</w:t>
      </w:r>
      <w:r>
        <w:rPr>
          <w:rFonts w:hint="eastAsia" w:ascii="Times New Roman" w:hAnsi="Times New Roman" w:eastAsia="宋体" w:cs="宋体"/>
          <w:kern w:val="2"/>
          <w:sz w:val="24"/>
          <w:szCs w:val="24"/>
          <w:lang w:val="en-US" w:eastAsia="zh-CN" w:bidi="ar-SA"/>
        </w:rPr>
        <w:t>分级</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水体功能敏感性，与下游环境敏感目标情况确定。具体分级原则见</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_Ref9395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8</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8</w:t>
      </w:r>
      <w:r>
        <w:rPr>
          <w:rFonts w:hint="default"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p>
    <w:p>
      <w:pPr>
        <w:widowControl w:val="0"/>
        <w:spacing w:line="360" w:lineRule="auto"/>
        <w:jc w:val="center"/>
        <w:rPr>
          <w:rFonts w:hint="eastAsia" w:ascii="Times New Roman" w:hAnsi="Times New Roman" w:eastAsia="宋体" w:cs="Times New Roman"/>
          <w:b/>
          <w:kern w:val="2"/>
          <w:sz w:val="21"/>
          <w:szCs w:val="21"/>
          <w:lang w:val="en-US" w:eastAsia="zh-CN" w:bidi="ar-SA"/>
        </w:rPr>
      </w:pPr>
      <w:bookmarkStart w:id="1524" w:name="_Ref9395"/>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8</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8</w:t>
      </w:r>
      <w:r>
        <w:rPr>
          <w:rFonts w:ascii="Times New Roman" w:hAnsi="Times New Roman" w:eastAsia="宋体" w:cs="Times New Roman"/>
          <w:b/>
          <w:kern w:val="2"/>
          <w:sz w:val="21"/>
          <w:szCs w:val="21"/>
          <w:lang w:val="en-US" w:eastAsia="zh-CN" w:bidi="ar-SA"/>
        </w:rPr>
        <w:fldChar w:fldCharType="end"/>
      </w:r>
      <w:bookmarkEnd w:id="1524"/>
      <w:r>
        <w:rPr>
          <w:rFonts w:hint="eastAsia" w:ascii="Times New Roman" w:hAnsi="Times New Roman" w:eastAsia="宋体" w:cs="Times New Roman"/>
          <w:b/>
          <w:kern w:val="2"/>
          <w:sz w:val="21"/>
          <w:szCs w:val="21"/>
          <w:lang w:val="en-US" w:eastAsia="zh-CN" w:bidi="ar-SA"/>
        </w:rPr>
        <w:t>地表水环境敏感程度分级</w:t>
      </w:r>
    </w:p>
    <w:tbl>
      <w:tblPr>
        <w:tblStyle w:val="2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Layout w:type="fixed"/>
        <w:tblCellMar>
          <w:top w:w="0" w:type="dxa"/>
          <w:left w:w="0" w:type="dxa"/>
          <w:bottom w:w="0" w:type="dxa"/>
          <w:right w:w="0" w:type="dxa"/>
        </w:tblCellMar>
      </w:tblPr>
      <w:tblGrid>
        <w:gridCol w:w="2522"/>
        <w:gridCol w:w="1912"/>
        <w:gridCol w:w="2101"/>
        <w:gridCol w:w="196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454" w:hRule="atLeast"/>
          <w:jc w:val="center"/>
        </w:trPr>
        <w:tc>
          <w:tcPr>
            <w:tcW w:w="2522" w:type="dxa"/>
            <w:vMerge w:val="restart"/>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环境敏感目标</w:t>
            </w:r>
          </w:p>
        </w:tc>
        <w:tc>
          <w:tcPr>
            <w:tcW w:w="5982" w:type="dxa"/>
            <w:gridSpan w:val="3"/>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地表水功能敏感性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522" w:type="dxa"/>
            <w:vMerge w:val="continue"/>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1912"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F1</w:t>
            </w:r>
          </w:p>
        </w:tc>
        <w:tc>
          <w:tcPr>
            <w:tcW w:w="2101"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F2</w:t>
            </w:r>
          </w:p>
        </w:tc>
        <w:tc>
          <w:tcPr>
            <w:tcW w:w="1969"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F3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522"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S1</w:t>
            </w:r>
          </w:p>
        </w:tc>
        <w:tc>
          <w:tcPr>
            <w:tcW w:w="1912"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E1</w:t>
            </w:r>
          </w:p>
        </w:tc>
        <w:tc>
          <w:tcPr>
            <w:tcW w:w="2101"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E1</w:t>
            </w:r>
          </w:p>
        </w:tc>
        <w:tc>
          <w:tcPr>
            <w:tcW w:w="1969"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E2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522"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S2</w:t>
            </w:r>
          </w:p>
        </w:tc>
        <w:tc>
          <w:tcPr>
            <w:tcW w:w="1912"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E1</w:t>
            </w:r>
          </w:p>
        </w:tc>
        <w:tc>
          <w:tcPr>
            <w:tcW w:w="2101"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E2</w:t>
            </w:r>
          </w:p>
        </w:tc>
        <w:tc>
          <w:tcPr>
            <w:tcW w:w="1969"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E3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522"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S3</w:t>
            </w:r>
          </w:p>
        </w:tc>
        <w:tc>
          <w:tcPr>
            <w:tcW w:w="1912"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E1</w:t>
            </w:r>
          </w:p>
        </w:tc>
        <w:tc>
          <w:tcPr>
            <w:tcW w:w="2101"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E2</w:t>
            </w:r>
          </w:p>
        </w:tc>
        <w:tc>
          <w:tcPr>
            <w:tcW w:w="1969"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E3</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由上面的分析可知，本项目地表水功能敏感性为低敏感F3类，环境敏感目标分级为S</w:t>
      </w:r>
      <w:r>
        <w:rPr>
          <w:rFonts w:hint="eastAsia" w:ascii="Times New Roman" w:hAnsi="Times New Roman" w:eastAsia="宋体" w:cs="宋体"/>
          <w:kern w:val="2"/>
          <w:sz w:val="24"/>
          <w:szCs w:val="24"/>
          <w:lang w:val="en-US" w:eastAsia="zh-CN" w:bidi="ar-SA"/>
        </w:rPr>
        <w:t>3</w:t>
      </w:r>
      <w:r>
        <w:rPr>
          <w:rFonts w:ascii="Times New Roman" w:hAnsi="Times New Roman" w:eastAsia="宋体" w:cs="宋体"/>
          <w:kern w:val="2"/>
          <w:sz w:val="24"/>
          <w:szCs w:val="24"/>
          <w:lang w:val="en-US" w:eastAsia="zh-CN" w:bidi="ar-SA"/>
        </w:rPr>
        <w:t>类，根据上表可知，本项目地表水环境敏感程度为E</w:t>
      </w:r>
      <w:r>
        <w:rPr>
          <w:rFonts w:hint="eastAsia" w:ascii="Times New Roman" w:hAnsi="Times New Roman" w:eastAsia="宋体" w:cs="宋体"/>
          <w:kern w:val="2"/>
          <w:sz w:val="24"/>
          <w:szCs w:val="24"/>
          <w:lang w:val="en-US" w:eastAsia="zh-CN" w:bidi="ar-SA"/>
        </w:rPr>
        <w:t>3</w:t>
      </w:r>
      <w:r>
        <w:rPr>
          <w:rFonts w:ascii="Times New Roman" w:hAnsi="Times New Roman" w:eastAsia="宋体" w:cs="宋体"/>
          <w:kern w:val="2"/>
          <w:sz w:val="24"/>
          <w:szCs w:val="24"/>
          <w:lang w:val="en-US" w:eastAsia="zh-CN" w:bidi="ar-SA"/>
        </w:rPr>
        <w:t>。</w:t>
      </w:r>
    </w:p>
    <w:p>
      <w:pPr>
        <w:pStyle w:val="5"/>
        <w:bidi w:val="0"/>
        <w:rPr>
          <w:lang w:val="en-US" w:eastAsia="zh-CN"/>
        </w:rPr>
      </w:pPr>
      <w:bookmarkStart w:id="1525" w:name="_Toc20509"/>
      <w:r>
        <w:rPr>
          <w:lang w:val="en-US" w:eastAsia="zh-CN"/>
        </w:rPr>
        <w:t>地下水环境</w:t>
      </w:r>
      <w:bookmarkEnd w:id="1525"/>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地下水环境敏感程度依据地下水功能敏感性与包气带防污性能确定，分级原则见</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_Ref9440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8</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9</w:t>
      </w:r>
      <w:r>
        <w:rPr>
          <w:rFonts w:hint="default"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p>
    <w:p>
      <w:pPr>
        <w:widowControl w:val="0"/>
        <w:spacing w:line="360" w:lineRule="auto"/>
        <w:jc w:val="center"/>
        <w:rPr>
          <w:rFonts w:hint="eastAsia" w:ascii="Times New Roman" w:hAnsi="Times New Roman" w:eastAsia="宋体" w:cs="Times New Roman"/>
          <w:b/>
          <w:kern w:val="2"/>
          <w:sz w:val="21"/>
          <w:szCs w:val="21"/>
          <w:lang w:val="en-US" w:eastAsia="zh-CN" w:bidi="ar-SA"/>
        </w:rPr>
      </w:pPr>
      <w:bookmarkStart w:id="1526" w:name="_Ref9440"/>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8</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9</w:t>
      </w:r>
      <w:r>
        <w:rPr>
          <w:rFonts w:ascii="Times New Roman" w:hAnsi="Times New Roman" w:eastAsia="宋体" w:cs="Times New Roman"/>
          <w:b/>
          <w:kern w:val="2"/>
          <w:sz w:val="21"/>
          <w:szCs w:val="21"/>
          <w:lang w:val="en-US" w:eastAsia="zh-CN" w:bidi="ar-SA"/>
        </w:rPr>
        <w:fldChar w:fldCharType="end"/>
      </w:r>
      <w:bookmarkEnd w:id="1526"/>
      <w:r>
        <w:rPr>
          <w:rFonts w:hint="eastAsia" w:ascii="Times New Roman" w:hAnsi="Times New Roman" w:eastAsia="宋体" w:cs="Times New Roman"/>
          <w:b/>
          <w:kern w:val="2"/>
          <w:sz w:val="21"/>
          <w:szCs w:val="21"/>
          <w:lang w:val="en-US" w:eastAsia="zh-CN" w:bidi="ar-SA"/>
        </w:rPr>
        <w:t>地下水环境敏感程度分级</w:t>
      </w:r>
    </w:p>
    <w:tbl>
      <w:tblPr>
        <w:tblStyle w:val="2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Layout w:type="fixed"/>
        <w:tblCellMar>
          <w:top w:w="0" w:type="dxa"/>
          <w:left w:w="0" w:type="dxa"/>
          <w:bottom w:w="0" w:type="dxa"/>
          <w:right w:w="0" w:type="dxa"/>
        </w:tblCellMar>
      </w:tblPr>
      <w:tblGrid>
        <w:gridCol w:w="2728"/>
        <w:gridCol w:w="1523"/>
        <w:gridCol w:w="2125"/>
        <w:gridCol w:w="212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454" w:hRule="atLeast"/>
          <w:jc w:val="center"/>
        </w:trPr>
        <w:tc>
          <w:tcPr>
            <w:tcW w:w="2728" w:type="dxa"/>
            <w:vMerge w:val="restart"/>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包气带防污性能</w:t>
            </w:r>
          </w:p>
        </w:tc>
        <w:tc>
          <w:tcPr>
            <w:tcW w:w="5776" w:type="dxa"/>
            <w:gridSpan w:val="3"/>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地下水功能敏感性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728" w:type="dxa"/>
            <w:vMerge w:val="continue"/>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p>
        </w:tc>
        <w:tc>
          <w:tcPr>
            <w:tcW w:w="1523"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G1</w:t>
            </w:r>
          </w:p>
        </w:tc>
        <w:tc>
          <w:tcPr>
            <w:tcW w:w="2125"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G2</w:t>
            </w:r>
          </w:p>
        </w:tc>
        <w:tc>
          <w:tcPr>
            <w:tcW w:w="2128"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G3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728"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D1</w:t>
            </w:r>
          </w:p>
        </w:tc>
        <w:tc>
          <w:tcPr>
            <w:tcW w:w="1523"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E1</w:t>
            </w:r>
          </w:p>
        </w:tc>
        <w:tc>
          <w:tcPr>
            <w:tcW w:w="2125"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E1</w:t>
            </w:r>
          </w:p>
        </w:tc>
        <w:tc>
          <w:tcPr>
            <w:tcW w:w="2128"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E2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728"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D2</w:t>
            </w:r>
          </w:p>
        </w:tc>
        <w:tc>
          <w:tcPr>
            <w:tcW w:w="1523"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E1</w:t>
            </w:r>
          </w:p>
        </w:tc>
        <w:tc>
          <w:tcPr>
            <w:tcW w:w="2125"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E2</w:t>
            </w:r>
          </w:p>
        </w:tc>
        <w:tc>
          <w:tcPr>
            <w:tcW w:w="2128"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E3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728"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D3</w:t>
            </w:r>
          </w:p>
        </w:tc>
        <w:tc>
          <w:tcPr>
            <w:tcW w:w="1523"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E2</w:t>
            </w:r>
          </w:p>
        </w:tc>
        <w:tc>
          <w:tcPr>
            <w:tcW w:w="2125"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E3</w:t>
            </w:r>
          </w:p>
        </w:tc>
        <w:tc>
          <w:tcPr>
            <w:tcW w:w="2128" w:type="dxa"/>
            <w:shd w:val="clear" w:color="auto" w:fill="FFFFFF"/>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E3</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根据项目区地勘资料，项目区包气带岩土层单层厚度约为4m，渗透系数约为5.79×10</w:t>
      </w:r>
      <w:r>
        <w:rPr>
          <w:rFonts w:ascii="Times New Roman" w:hAnsi="Times New Roman" w:eastAsia="宋体" w:cs="宋体"/>
          <w:kern w:val="2"/>
          <w:sz w:val="24"/>
          <w:szCs w:val="24"/>
          <w:vertAlign w:val="superscript"/>
          <w:lang w:val="en-US" w:eastAsia="zh-CN" w:bidi="ar-SA"/>
        </w:rPr>
        <w:t>-4</w:t>
      </w:r>
      <w:r>
        <w:rPr>
          <w:rFonts w:ascii="Times New Roman" w:hAnsi="Times New Roman" w:eastAsia="宋体" w:cs="宋体"/>
          <w:kern w:val="2"/>
          <w:sz w:val="24"/>
          <w:szCs w:val="24"/>
          <w:lang w:val="en-US" w:eastAsia="zh-CN" w:bidi="ar-SA"/>
        </w:rPr>
        <w:t>cm/s，根据风险导则表D.7，项目区包气带防护性能分级为D1，项目区地下水不属于集中式饮用水源等敏感区和分散式饮用水源等较敏感区，地下水功能敏感程度为不敏感G3。因此，本项目地下水环境敏感程度为E2。</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综上，</w:t>
      </w:r>
      <w:r>
        <w:rPr>
          <w:rFonts w:ascii="Times New Roman" w:hAnsi="Times New Roman" w:eastAsia="宋体" w:cs="宋体"/>
          <w:kern w:val="2"/>
          <w:sz w:val="24"/>
          <w:szCs w:val="24"/>
          <w:lang w:val="en-US" w:eastAsia="zh-CN" w:bidi="ar-SA"/>
        </w:rPr>
        <w:t>环境敏感程度为E2。</w:t>
      </w:r>
    </w:p>
    <w:p>
      <w:pPr>
        <w:numPr>
          <w:ilvl w:val="0"/>
          <w:numId w:val="0"/>
        </w:numPr>
        <w:ind w:leftChars="200"/>
        <w:rPr>
          <w:rFonts w:hint="eastAsia"/>
        </w:rPr>
      </w:pPr>
      <w:r>
        <w:rPr>
          <w:rFonts w:hint="eastAsia" w:ascii="宋体" w:hAnsi="宋体" w:eastAsia="宋体" w:cs="宋体"/>
        </w:rPr>
        <w:t>④</w:t>
      </w:r>
      <w:r>
        <w:t>环境风险潜势</w:t>
      </w:r>
      <w:r>
        <w:rPr>
          <w:rFonts w:hint="eastAsia"/>
        </w:rPr>
        <w:t>的划分</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根据表8.2-1，本项目</w:t>
      </w:r>
      <w:r>
        <w:rPr>
          <w:rFonts w:ascii="Times New Roman" w:hAnsi="Times New Roman" w:eastAsia="宋体" w:cs="宋体"/>
          <w:kern w:val="2"/>
          <w:sz w:val="24"/>
          <w:szCs w:val="24"/>
          <w:lang w:val="en-US" w:eastAsia="zh-CN" w:bidi="ar-SA"/>
        </w:rPr>
        <w:t>环境敏感程度为E2</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危险物质及工艺系统危险性（P）的分级为P</w:t>
      </w:r>
      <w:r>
        <w:rPr>
          <w:rFonts w:hint="eastAsia" w:ascii="Times New Roman" w:hAnsi="Times New Roman" w:eastAsia="宋体" w:cs="宋体"/>
          <w:kern w:val="2"/>
          <w:sz w:val="24"/>
          <w:szCs w:val="24"/>
          <w:lang w:val="en-US" w:eastAsia="zh-CN" w:bidi="ar-SA"/>
        </w:rPr>
        <w:t>4，则环境风险潜势为II。</w:t>
      </w:r>
    </w:p>
    <w:p>
      <w:pPr>
        <w:pStyle w:val="4"/>
        <w:bidi w:val="0"/>
        <w:rPr>
          <w:lang w:val="en-US" w:eastAsia="zh-CN"/>
        </w:rPr>
      </w:pPr>
      <w:bookmarkStart w:id="1527" w:name="_Toc11180"/>
      <w:bookmarkStart w:id="1528" w:name="_Toc20648"/>
      <w:r>
        <w:rPr>
          <w:lang w:val="en-US" w:eastAsia="zh-CN"/>
        </w:rPr>
        <w:t>评价等级判定</w:t>
      </w:r>
      <w:bookmarkEnd w:id="1527"/>
      <w:bookmarkEnd w:id="1528"/>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环境风险评价工作等级划分为一级、二级、三级。根据建设项目设计的物质及工艺系统危险性和所在地的环境敏感性确定环境风险潜势，按照下表确定工作等级。风险潜势为</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 4 \* ROMAN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IV</w:t>
      </w:r>
      <w:r>
        <w:rPr>
          <w:rFonts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及以上，进行一级评价；风险潜势为</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 3 \* ROMAN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III</w:t>
      </w:r>
      <w:r>
        <w:rPr>
          <w:rFonts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，进行二级评价；风险潜势为</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 2 \* ROMAN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II</w:t>
      </w:r>
      <w:r>
        <w:rPr>
          <w:rFonts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，进行三级评价；风险潜势为</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 1 \* ROMAN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I</w:t>
      </w:r>
      <w:r>
        <w:rPr>
          <w:rFonts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，可开展简单分析。</w:t>
      </w:r>
      <w:r>
        <w:rPr>
          <w:rFonts w:hint="eastAsia" w:cs="宋体"/>
          <w:kern w:val="2"/>
          <w:sz w:val="24"/>
          <w:szCs w:val="24"/>
          <w:lang w:val="en-US" w:eastAsia="zh-CN" w:bidi="ar-SA"/>
        </w:rPr>
        <w:t>本项目</w:t>
      </w:r>
      <w:r>
        <w:rPr>
          <w:rFonts w:hint="eastAsia" w:ascii="Times New Roman" w:hAnsi="Times New Roman" w:eastAsia="宋体" w:cs="宋体"/>
          <w:kern w:val="2"/>
          <w:sz w:val="24"/>
          <w:szCs w:val="24"/>
          <w:lang w:val="en-US" w:eastAsia="zh-CN" w:bidi="ar-SA"/>
        </w:rPr>
        <w:t>环境风险潜势为II</w:t>
      </w:r>
      <w:r>
        <w:rPr>
          <w:rFonts w:hint="eastAsia" w:cs="宋体"/>
          <w:kern w:val="2"/>
          <w:sz w:val="24"/>
          <w:szCs w:val="24"/>
          <w:lang w:val="en-US" w:eastAsia="zh-CN" w:bidi="ar-SA"/>
        </w:rPr>
        <w:t>。</w:t>
      </w:r>
    </w:p>
    <w:p>
      <w:pPr>
        <w:widowControl w:val="0"/>
        <w:bidi w:val="0"/>
        <w:spacing w:line="360" w:lineRule="auto"/>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8</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10</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评价工作等级划分</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23"/>
        <w:gridCol w:w="1950"/>
        <w:gridCol w:w="886"/>
        <w:gridCol w:w="885"/>
        <w:gridCol w:w="22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23"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环境风险潜势</w:t>
            </w:r>
          </w:p>
        </w:tc>
        <w:tc>
          <w:tcPr>
            <w:tcW w:w="1950"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 4 \* ROMAN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IV</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 4 \* ROMAN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IV</w:t>
            </w:r>
            <w:r>
              <w:rPr>
                <w:rFonts w:ascii="Times New Roman" w:hAnsi="Times New Roman" w:eastAsia="宋体" w:cs="Times New Roman"/>
                <w:kern w:val="2"/>
                <w:sz w:val="24"/>
                <w:szCs w:val="24"/>
                <w:lang w:val="en-US" w:eastAsia="zh-CN" w:bidi="ar-SA"/>
              </w:rPr>
              <w:fldChar w:fldCharType="end"/>
            </w:r>
            <w:r>
              <w:rPr>
                <w:rFonts w:ascii="Times New Roman" w:hAnsi="Times New Roman" w:eastAsia="宋体" w:cs="Times New Roman"/>
                <w:kern w:val="2"/>
                <w:sz w:val="24"/>
                <w:szCs w:val="24"/>
                <w:lang w:val="en-US" w:eastAsia="zh-CN" w:bidi="ar-SA"/>
              </w:rPr>
              <w:t>+</w:t>
            </w:r>
          </w:p>
        </w:tc>
        <w:tc>
          <w:tcPr>
            <w:tcW w:w="886"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 3 \* ROMAN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III</w:t>
            </w:r>
            <w:r>
              <w:rPr>
                <w:rFonts w:ascii="Times New Roman" w:hAnsi="Times New Roman" w:eastAsia="宋体" w:cs="Times New Roman"/>
                <w:kern w:val="2"/>
                <w:sz w:val="24"/>
                <w:szCs w:val="24"/>
                <w:lang w:val="en-US" w:eastAsia="zh-CN" w:bidi="ar-SA"/>
              </w:rPr>
              <w:fldChar w:fldCharType="end"/>
            </w:r>
          </w:p>
        </w:tc>
        <w:tc>
          <w:tcPr>
            <w:tcW w:w="88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 2 \* ROMAN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II</w:t>
            </w:r>
            <w:r>
              <w:rPr>
                <w:rFonts w:ascii="Times New Roman" w:hAnsi="Times New Roman" w:eastAsia="宋体" w:cs="Times New Roman"/>
                <w:kern w:val="2"/>
                <w:sz w:val="24"/>
                <w:szCs w:val="24"/>
                <w:lang w:val="en-US" w:eastAsia="zh-CN" w:bidi="ar-SA"/>
              </w:rPr>
              <w:fldChar w:fldCharType="end"/>
            </w:r>
          </w:p>
        </w:tc>
        <w:tc>
          <w:tcPr>
            <w:tcW w:w="222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fldChar w:fldCharType="begin"/>
            </w:r>
            <w:r>
              <w:rPr>
                <w:rFonts w:ascii="Times New Roman" w:hAnsi="Times New Roman" w:eastAsia="宋体" w:cs="Times New Roman"/>
                <w:kern w:val="2"/>
                <w:sz w:val="24"/>
                <w:szCs w:val="24"/>
                <w:lang w:val="en-US" w:eastAsia="zh-CN" w:bidi="ar-SA"/>
              </w:rPr>
              <w:instrText xml:space="preserve"> = 1 \* ROMAN </w:instrText>
            </w:r>
            <w:r>
              <w:rPr>
                <w:rFonts w:ascii="Times New Roman" w:hAnsi="Times New Roman" w:eastAsia="宋体" w:cs="Times New Roman"/>
                <w:kern w:val="2"/>
                <w:sz w:val="24"/>
                <w:szCs w:val="24"/>
                <w:lang w:val="en-US" w:eastAsia="zh-CN" w:bidi="ar-SA"/>
              </w:rPr>
              <w:fldChar w:fldCharType="separate"/>
            </w:r>
            <w:r>
              <w:rPr>
                <w:rFonts w:ascii="Times New Roman" w:hAnsi="Times New Roman" w:eastAsia="宋体" w:cs="Times New Roman"/>
                <w:kern w:val="2"/>
                <w:sz w:val="24"/>
                <w:szCs w:val="24"/>
                <w:lang w:val="en-US" w:eastAsia="zh-CN" w:bidi="ar-SA"/>
              </w:rPr>
              <w:t>I</w:t>
            </w:r>
            <w:r>
              <w:rPr>
                <w:rFonts w:ascii="Times New Roman" w:hAnsi="Times New Roman" w:eastAsia="宋体" w:cs="Times New Roman"/>
                <w:kern w:val="2"/>
                <w:sz w:val="24"/>
                <w:szCs w:val="24"/>
                <w:lang w:val="en-US" w:eastAsia="zh-CN" w:bidi="ar-SA"/>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23"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评价工作等级</w:t>
            </w:r>
          </w:p>
        </w:tc>
        <w:tc>
          <w:tcPr>
            <w:tcW w:w="1950"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一</w:t>
            </w:r>
          </w:p>
        </w:tc>
        <w:tc>
          <w:tcPr>
            <w:tcW w:w="886"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二</w:t>
            </w:r>
          </w:p>
        </w:tc>
        <w:tc>
          <w:tcPr>
            <w:tcW w:w="88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三</w:t>
            </w:r>
          </w:p>
        </w:tc>
        <w:tc>
          <w:tcPr>
            <w:tcW w:w="222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简单分析</w:t>
            </w:r>
          </w:p>
        </w:tc>
      </w:tr>
    </w:tbl>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综上</w:t>
      </w:r>
      <w:r>
        <w:rPr>
          <w:rFonts w:ascii="Times New Roman" w:hAnsi="Times New Roman" w:eastAsia="宋体" w:cs="宋体"/>
          <w:kern w:val="2"/>
          <w:sz w:val="24"/>
          <w:szCs w:val="24"/>
          <w:lang w:val="en-US" w:eastAsia="zh-CN" w:bidi="ar-SA"/>
        </w:rPr>
        <w:t>，本项目评价工作等级为</w:t>
      </w:r>
      <w:r>
        <w:rPr>
          <w:rFonts w:hint="eastAsia" w:ascii="Times New Roman" w:hAnsi="Times New Roman" w:eastAsia="宋体" w:cs="宋体"/>
          <w:kern w:val="2"/>
          <w:sz w:val="24"/>
          <w:szCs w:val="24"/>
          <w:lang w:val="en-US" w:eastAsia="zh-CN" w:bidi="ar-SA"/>
        </w:rPr>
        <w:t>三级</w:t>
      </w:r>
      <w:r>
        <w:rPr>
          <w:rFonts w:ascii="Times New Roman" w:hAnsi="Times New Roman" w:eastAsia="宋体" w:cs="宋体"/>
          <w:kern w:val="2"/>
          <w:sz w:val="24"/>
          <w:szCs w:val="24"/>
          <w:lang w:val="en-US" w:eastAsia="zh-CN" w:bidi="ar-SA"/>
        </w:rPr>
        <w:t>。</w:t>
      </w:r>
    </w:p>
    <w:p>
      <w:pPr>
        <w:pStyle w:val="2"/>
        <w:bidi w:val="0"/>
        <w:rPr>
          <w:lang w:val="en-US" w:eastAsia="zh-CN"/>
        </w:rPr>
      </w:pPr>
      <w:bookmarkStart w:id="1529" w:name="_Toc11008"/>
      <w:bookmarkStart w:id="1530" w:name="_Toc30399"/>
      <w:bookmarkStart w:id="1531" w:name="_Toc5814"/>
      <w:bookmarkStart w:id="1532" w:name="_Toc7466"/>
      <w:bookmarkStart w:id="1533" w:name="_Toc32082"/>
      <w:bookmarkStart w:id="1534" w:name="_Toc10405"/>
      <w:r>
        <w:rPr>
          <w:lang w:val="en-US" w:eastAsia="zh-CN"/>
        </w:rPr>
        <w:t>评价内容及重点</w:t>
      </w:r>
      <w:bookmarkEnd w:id="1497"/>
      <w:bookmarkEnd w:id="1498"/>
      <w:bookmarkEnd w:id="1499"/>
      <w:bookmarkEnd w:id="1500"/>
      <w:bookmarkEnd w:id="1501"/>
      <w:bookmarkEnd w:id="1502"/>
      <w:bookmarkEnd w:id="1503"/>
      <w:bookmarkEnd w:id="1504"/>
      <w:bookmarkEnd w:id="1505"/>
      <w:bookmarkEnd w:id="1506"/>
      <w:bookmarkEnd w:id="1507"/>
      <w:bookmarkEnd w:id="1508"/>
      <w:bookmarkEnd w:id="1529"/>
      <w:bookmarkEnd w:id="1530"/>
      <w:bookmarkEnd w:id="1531"/>
      <w:bookmarkEnd w:id="1532"/>
      <w:bookmarkEnd w:id="1533"/>
      <w:bookmarkEnd w:id="1534"/>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依据导则要求，结合项目的相关情况，本次风险评价的风险事故类型为：</w:t>
      </w:r>
      <w:r>
        <w:rPr>
          <w:rFonts w:hint="eastAsia" w:ascii="Times New Roman" w:hAnsi="Times New Roman" w:eastAsia="宋体" w:cs="宋体"/>
          <w:kern w:val="2"/>
          <w:sz w:val="24"/>
          <w:szCs w:val="24"/>
          <w:lang w:val="en-US" w:eastAsia="zh-CN" w:bidi="ar-SA"/>
        </w:rPr>
        <w:t>泄漏</w:t>
      </w:r>
      <w:r>
        <w:rPr>
          <w:rFonts w:ascii="Times New Roman" w:hAnsi="Times New Roman" w:eastAsia="宋体" w:cs="宋体"/>
          <w:kern w:val="2"/>
          <w:sz w:val="24"/>
          <w:szCs w:val="24"/>
          <w:lang w:val="en-US" w:eastAsia="zh-CN" w:bidi="ar-SA"/>
        </w:rPr>
        <w:t>。评价以</w:t>
      </w:r>
      <w:r>
        <w:rPr>
          <w:rFonts w:hint="eastAsia" w:ascii="Times New Roman" w:hAnsi="Times New Roman" w:eastAsia="宋体" w:cs="宋体"/>
          <w:kern w:val="2"/>
          <w:sz w:val="24"/>
          <w:szCs w:val="24"/>
          <w:lang w:val="en-US" w:eastAsia="zh-CN" w:bidi="ar-SA"/>
        </w:rPr>
        <w:t>多亚甲基多苯基异氰酸酯、改性多亚甲基多苯基异氰酸酯</w:t>
      </w:r>
      <w:r>
        <w:rPr>
          <w:rFonts w:ascii="Times New Roman" w:hAnsi="Times New Roman" w:eastAsia="宋体" w:cs="宋体"/>
          <w:kern w:val="2"/>
          <w:sz w:val="24"/>
          <w:szCs w:val="24"/>
          <w:lang w:val="en-US" w:eastAsia="zh-CN" w:bidi="ar-SA"/>
        </w:rPr>
        <w:t>等</w:t>
      </w:r>
      <w:r>
        <w:rPr>
          <w:rFonts w:hint="eastAsia" w:ascii="Times New Roman" w:hAnsi="Times New Roman" w:eastAsia="宋体" w:cs="宋体"/>
          <w:kern w:val="2"/>
          <w:sz w:val="24"/>
          <w:szCs w:val="24"/>
          <w:lang w:val="en-US" w:eastAsia="zh-CN" w:bidi="ar-SA"/>
        </w:rPr>
        <w:t>风险物质泄漏</w:t>
      </w:r>
      <w:r>
        <w:rPr>
          <w:rFonts w:ascii="Times New Roman" w:hAnsi="Times New Roman" w:eastAsia="宋体" w:cs="宋体"/>
          <w:kern w:val="2"/>
          <w:sz w:val="24"/>
          <w:szCs w:val="24"/>
          <w:lang w:val="en-US" w:eastAsia="zh-CN" w:bidi="ar-SA"/>
        </w:rPr>
        <w:t>时对周围环境、人群的影响为本次评价的重点。</w:t>
      </w:r>
    </w:p>
    <w:p>
      <w:pPr>
        <w:pStyle w:val="2"/>
        <w:bidi w:val="0"/>
        <w:rPr>
          <w:rFonts w:hint="eastAsia"/>
          <w:lang w:val="en-US" w:eastAsia="zh-CN"/>
        </w:rPr>
      </w:pPr>
      <w:bookmarkStart w:id="1535" w:name="_Toc18530"/>
      <w:bookmarkStart w:id="1536" w:name="_Toc9165"/>
      <w:bookmarkStart w:id="1537" w:name="_Toc30630"/>
      <w:bookmarkStart w:id="1538" w:name="_Toc21922"/>
      <w:bookmarkStart w:id="1539" w:name="_Toc18948"/>
      <w:bookmarkStart w:id="1540" w:name="_Toc18556"/>
      <w:bookmarkStart w:id="1541" w:name="_Toc5927"/>
      <w:bookmarkStart w:id="1542" w:name="_Toc871_WPSOffice_Level3"/>
      <w:bookmarkStart w:id="1543" w:name="_Toc4226"/>
      <w:bookmarkStart w:id="1544" w:name="_Toc1222"/>
      <w:bookmarkStart w:id="1545" w:name="_Toc12842"/>
      <w:bookmarkStart w:id="1546" w:name="_Toc30468_WPSOffice_Level3"/>
      <w:r>
        <w:rPr>
          <w:rFonts w:hint="eastAsia"/>
          <w:lang w:val="en-US" w:eastAsia="zh-CN"/>
        </w:rPr>
        <w:t>评价范围及保护目标</w:t>
      </w:r>
      <w:bookmarkEnd w:id="1535"/>
      <w:bookmarkEnd w:id="1536"/>
      <w:bookmarkEnd w:id="1537"/>
      <w:bookmarkEnd w:id="1538"/>
      <w:bookmarkEnd w:id="1539"/>
      <w:bookmarkEnd w:id="1540"/>
      <w:bookmarkEnd w:id="1541"/>
      <w:bookmarkEnd w:id="1542"/>
      <w:bookmarkEnd w:id="1543"/>
      <w:bookmarkEnd w:id="1544"/>
      <w:bookmarkEnd w:id="1545"/>
      <w:bookmarkEnd w:id="1546"/>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依据确定的项目环境风险评价等级和评价范围，对风险评价范围内的环境敏感点进行现状调查，评价范围内的环境敏感目标情况见</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_Ref9529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8</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w:t>
      </w:r>
      <w:r>
        <w:rPr>
          <w:rFonts w:hint="eastAsia" w:ascii="Times New Roman" w:hAnsi="Times New Roman" w:eastAsia="宋体" w:cs="宋体"/>
          <w:kern w:val="2"/>
          <w:sz w:val="24"/>
          <w:szCs w:val="24"/>
          <w:lang w:val="en-US" w:eastAsia="zh-CN" w:bidi="ar-SA"/>
        </w:rPr>
        <w:t>1</w:t>
      </w:r>
      <w:r>
        <w:rPr>
          <w:rFonts w:hint="default"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8</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11</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项目环境风险评价范围内敏感点调查情况统计</w:t>
      </w:r>
    </w:p>
    <w:tbl>
      <w:tblPr>
        <w:tblStyle w:val="22"/>
        <w:tblW w:w="94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5"/>
        <w:gridCol w:w="1323"/>
        <w:gridCol w:w="1320"/>
        <w:gridCol w:w="840"/>
        <w:gridCol w:w="1305"/>
        <w:gridCol w:w="1590"/>
        <w:gridCol w:w="855"/>
        <w:gridCol w:w="9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5" w:type="dxa"/>
            <w:vMerge w:val="restart"/>
            <w:noWrap w:val="0"/>
            <w:vAlign w:val="center"/>
          </w:tcPr>
          <w:p>
            <w:pPr>
              <w:pStyle w:val="26"/>
              <w:bidi w:val="0"/>
              <w:rPr>
                <w:rFonts w:hint="eastAsia"/>
                <w:lang w:val="en-US" w:eastAsia="zh-CN"/>
              </w:rPr>
            </w:pPr>
            <w:r>
              <w:rPr>
                <w:rFonts w:hint="eastAsia"/>
                <w:lang w:val="en-US" w:eastAsia="zh-CN"/>
              </w:rPr>
              <w:t>名称</w:t>
            </w:r>
          </w:p>
        </w:tc>
        <w:tc>
          <w:tcPr>
            <w:tcW w:w="2643" w:type="dxa"/>
            <w:gridSpan w:val="2"/>
            <w:noWrap w:val="0"/>
            <w:vAlign w:val="center"/>
          </w:tcPr>
          <w:p>
            <w:pPr>
              <w:pStyle w:val="26"/>
              <w:bidi w:val="0"/>
              <w:rPr>
                <w:rFonts w:hint="eastAsia"/>
                <w:lang w:val="en-US" w:eastAsia="zh-CN"/>
              </w:rPr>
            </w:pPr>
            <w:r>
              <w:rPr>
                <w:rFonts w:hint="eastAsia"/>
                <w:lang w:val="en-US" w:eastAsia="zh-CN"/>
              </w:rPr>
              <w:t>地理坐标</w:t>
            </w:r>
          </w:p>
        </w:tc>
        <w:tc>
          <w:tcPr>
            <w:tcW w:w="840" w:type="dxa"/>
            <w:vMerge w:val="restart"/>
            <w:noWrap w:val="0"/>
            <w:vAlign w:val="center"/>
          </w:tcPr>
          <w:p>
            <w:pPr>
              <w:pStyle w:val="26"/>
              <w:bidi w:val="0"/>
              <w:rPr>
                <w:rFonts w:hint="eastAsia"/>
                <w:lang w:val="en-US" w:eastAsia="zh-CN"/>
              </w:rPr>
            </w:pPr>
            <w:r>
              <w:rPr>
                <w:rFonts w:hint="eastAsia"/>
                <w:lang w:val="en-US" w:eastAsia="zh-CN"/>
              </w:rPr>
              <w:t>保护对象</w:t>
            </w:r>
          </w:p>
        </w:tc>
        <w:tc>
          <w:tcPr>
            <w:tcW w:w="1305" w:type="dxa"/>
            <w:vMerge w:val="restart"/>
            <w:noWrap w:val="0"/>
            <w:vAlign w:val="center"/>
          </w:tcPr>
          <w:p>
            <w:pPr>
              <w:pStyle w:val="26"/>
              <w:bidi w:val="0"/>
              <w:rPr>
                <w:rFonts w:hint="eastAsia"/>
                <w:lang w:val="en-US" w:eastAsia="zh-CN"/>
              </w:rPr>
            </w:pPr>
            <w:r>
              <w:rPr>
                <w:rFonts w:hint="eastAsia"/>
                <w:lang w:val="en-US" w:eastAsia="zh-CN"/>
              </w:rPr>
              <w:t>保护内容</w:t>
            </w:r>
          </w:p>
        </w:tc>
        <w:tc>
          <w:tcPr>
            <w:tcW w:w="1590" w:type="dxa"/>
            <w:vMerge w:val="restart"/>
            <w:noWrap w:val="0"/>
            <w:vAlign w:val="center"/>
          </w:tcPr>
          <w:p>
            <w:pPr>
              <w:pStyle w:val="26"/>
              <w:bidi w:val="0"/>
              <w:rPr>
                <w:rFonts w:hint="eastAsia"/>
                <w:lang w:val="en-US" w:eastAsia="zh-CN"/>
              </w:rPr>
            </w:pPr>
            <w:r>
              <w:rPr>
                <w:rFonts w:hint="eastAsia"/>
                <w:lang w:val="en-US" w:eastAsia="zh-CN"/>
              </w:rPr>
              <w:t>保护功能区</w:t>
            </w:r>
          </w:p>
        </w:tc>
        <w:tc>
          <w:tcPr>
            <w:tcW w:w="855" w:type="dxa"/>
            <w:vMerge w:val="restart"/>
            <w:noWrap w:val="0"/>
            <w:vAlign w:val="center"/>
          </w:tcPr>
          <w:p>
            <w:pPr>
              <w:pStyle w:val="26"/>
              <w:bidi w:val="0"/>
              <w:rPr>
                <w:rFonts w:hint="eastAsia"/>
                <w:lang w:val="en-US" w:eastAsia="zh-CN"/>
              </w:rPr>
            </w:pPr>
            <w:r>
              <w:rPr>
                <w:rFonts w:hint="eastAsia"/>
                <w:lang w:val="en-US" w:eastAsia="zh-CN"/>
              </w:rPr>
              <w:t>相对厂址方位</w:t>
            </w:r>
          </w:p>
        </w:tc>
        <w:tc>
          <w:tcPr>
            <w:tcW w:w="945" w:type="dxa"/>
            <w:vMerge w:val="restart"/>
            <w:noWrap w:val="0"/>
            <w:vAlign w:val="center"/>
          </w:tcPr>
          <w:p>
            <w:pPr>
              <w:pStyle w:val="26"/>
              <w:bidi w:val="0"/>
              <w:rPr>
                <w:rFonts w:hint="default"/>
                <w:lang w:val="en-US" w:eastAsia="zh-CN"/>
              </w:rPr>
            </w:pPr>
            <w:r>
              <w:rPr>
                <w:rFonts w:hint="eastAsia"/>
                <w:lang w:val="en-US" w:eastAsia="zh-CN"/>
              </w:rPr>
              <w:t>相对厂界距离/m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5" w:type="dxa"/>
            <w:vMerge w:val="continue"/>
            <w:noWrap w:val="0"/>
            <w:vAlign w:val="center"/>
          </w:tcPr>
          <w:p>
            <w:pPr>
              <w:pStyle w:val="26"/>
              <w:bidi w:val="0"/>
              <w:rPr>
                <w:rFonts w:hint="eastAsia"/>
                <w:lang w:val="en-US" w:eastAsia="zh-CN"/>
              </w:rPr>
            </w:pPr>
          </w:p>
        </w:tc>
        <w:tc>
          <w:tcPr>
            <w:tcW w:w="1323" w:type="dxa"/>
            <w:noWrap w:val="0"/>
            <w:vAlign w:val="center"/>
          </w:tcPr>
          <w:p>
            <w:pPr>
              <w:pStyle w:val="26"/>
              <w:bidi w:val="0"/>
              <w:rPr>
                <w:rFonts w:hint="eastAsia"/>
                <w:lang w:val="en-US" w:eastAsia="zh-CN"/>
              </w:rPr>
            </w:pPr>
            <w:r>
              <w:rPr>
                <w:rFonts w:hint="eastAsia"/>
                <w:lang w:val="en-US" w:eastAsia="zh-CN"/>
              </w:rPr>
              <w:t>E</w:t>
            </w:r>
          </w:p>
        </w:tc>
        <w:tc>
          <w:tcPr>
            <w:tcW w:w="1320" w:type="dxa"/>
            <w:noWrap w:val="0"/>
            <w:vAlign w:val="center"/>
          </w:tcPr>
          <w:p>
            <w:pPr>
              <w:pStyle w:val="26"/>
              <w:bidi w:val="0"/>
              <w:rPr>
                <w:rFonts w:hint="eastAsia"/>
                <w:lang w:val="en-US" w:eastAsia="zh-CN"/>
              </w:rPr>
            </w:pPr>
            <w:r>
              <w:rPr>
                <w:rFonts w:hint="eastAsia"/>
                <w:lang w:val="en-US" w:eastAsia="zh-CN"/>
              </w:rPr>
              <w:t>N</w:t>
            </w:r>
          </w:p>
        </w:tc>
        <w:tc>
          <w:tcPr>
            <w:tcW w:w="840" w:type="dxa"/>
            <w:vMerge w:val="continue"/>
            <w:noWrap w:val="0"/>
            <w:vAlign w:val="center"/>
          </w:tcPr>
          <w:p>
            <w:pPr>
              <w:pStyle w:val="26"/>
              <w:bidi w:val="0"/>
              <w:rPr>
                <w:rFonts w:hint="eastAsia"/>
                <w:lang w:val="en-US" w:eastAsia="zh-CN"/>
              </w:rPr>
            </w:pPr>
          </w:p>
        </w:tc>
        <w:tc>
          <w:tcPr>
            <w:tcW w:w="1305" w:type="dxa"/>
            <w:vMerge w:val="continue"/>
            <w:noWrap w:val="0"/>
            <w:vAlign w:val="center"/>
          </w:tcPr>
          <w:p>
            <w:pPr>
              <w:pStyle w:val="26"/>
              <w:bidi w:val="0"/>
              <w:rPr>
                <w:rFonts w:hint="eastAsia"/>
                <w:lang w:val="en-US" w:eastAsia="zh-CN"/>
              </w:rPr>
            </w:pPr>
          </w:p>
        </w:tc>
        <w:tc>
          <w:tcPr>
            <w:tcW w:w="1590" w:type="dxa"/>
            <w:vMerge w:val="continue"/>
            <w:noWrap w:val="0"/>
            <w:vAlign w:val="center"/>
          </w:tcPr>
          <w:p>
            <w:pPr>
              <w:pStyle w:val="26"/>
              <w:bidi w:val="0"/>
              <w:rPr>
                <w:rFonts w:hint="eastAsia"/>
                <w:lang w:val="en-US" w:eastAsia="zh-CN"/>
              </w:rPr>
            </w:pPr>
          </w:p>
        </w:tc>
        <w:tc>
          <w:tcPr>
            <w:tcW w:w="855" w:type="dxa"/>
            <w:vMerge w:val="continue"/>
            <w:noWrap w:val="0"/>
            <w:vAlign w:val="center"/>
          </w:tcPr>
          <w:p>
            <w:pPr>
              <w:pStyle w:val="26"/>
              <w:bidi w:val="0"/>
              <w:rPr>
                <w:rFonts w:hint="eastAsia"/>
                <w:lang w:val="en-US" w:eastAsia="zh-CN"/>
              </w:rPr>
            </w:pPr>
          </w:p>
        </w:tc>
        <w:tc>
          <w:tcPr>
            <w:tcW w:w="945" w:type="dxa"/>
            <w:vMerge w:val="continue"/>
            <w:noWrap w:val="0"/>
            <w:vAlign w:val="center"/>
          </w:tcPr>
          <w:p>
            <w:pPr>
              <w:pStyle w:val="26"/>
              <w:bidi w:val="0"/>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95" w:type="dxa"/>
            <w:noWrap w:val="0"/>
            <w:vAlign w:val="center"/>
          </w:tcPr>
          <w:p>
            <w:pPr>
              <w:pStyle w:val="26"/>
              <w:bidi w:val="0"/>
              <w:rPr>
                <w:rFonts w:hint="eastAsia"/>
                <w:lang w:val="en-US" w:eastAsia="zh-CN"/>
              </w:rPr>
            </w:pPr>
            <w:r>
              <w:rPr>
                <w:rFonts w:hint="eastAsia"/>
                <w:lang w:val="en-US" w:eastAsia="zh-CN"/>
              </w:rPr>
              <w:t>金龙安置小区</w:t>
            </w:r>
          </w:p>
        </w:tc>
        <w:tc>
          <w:tcPr>
            <w:tcW w:w="1323" w:type="dxa"/>
            <w:noWrap w:val="0"/>
            <w:vAlign w:val="center"/>
          </w:tcPr>
          <w:p>
            <w:pPr>
              <w:pStyle w:val="26"/>
              <w:bidi w:val="0"/>
              <w:rPr>
                <w:rFonts w:hint="eastAsia"/>
                <w:lang w:val="en-US" w:eastAsia="zh-CN"/>
              </w:rPr>
            </w:pPr>
            <w:r>
              <w:rPr>
                <w:rFonts w:hint="eastAsia"/>
                <w:lang w:val="en-US" w:eastAsia="zh-CN"/>
              </w:rPr>
              <w:t>112°56′06.03〞</w:t>
            </w:r>
          </w:p>
        </w:tc>
        <w:tc>
          <w:tcPr>
            <w:tcW w:w="1320" w:type="dxa"/>
            <w:noWrap w:val="0"/>
            <w:vAlign w:val="center"/>
          </w:tcPr>
          <w:p>
            <w:pPr>
              <w:pStyle w:val="26"/>
              <w:bidi w:val="0"/>
              <w:rPr>
                <w:rFonts w:hint="eastAsia"/>
                <w:lang w:val="en-US" w:eastAsia="zh-CN"/>
              </w:rPr>
            </w:pPr>
            <w:r>
              <w:rPr>
                <w:rFonts w:hint="eastAsia"/>
                <w:lang w:val="en-US" w:eastAsia="zh-CN"/>
              </w:rPr>
              <w:t>28°31′53.37〞</w:t>
            </w:r>
          </w:p>
        </w:tc>
        <w:tc>
          <w:tcPr>
            <w:tcW w:w="840" w:type="dxa"/>
            <w:vMerge w:val="restart"/>
            <w:noWrap w:val="0"/>
            <w:vAlign w:val="center"/>
          </w:tcPr>
          <w:p>
            <w:pPr>
              <w:pStyle w:val="26"/>
              <w:bidi w:val="0"/>
              <w:rPr>
                <w:rFonts w:hint="eastAsia"/>
                <w:lang w:val="en-US" w:eastAsia="zh-CN"/>
              </w:rPr>
            </w:pPr>
            <w:r>
              <w:rPr>
                <w:rFonts w:hint="eastAsia"/>
                <w:lang w:val="en-US" w:eastAsia="zh-CN"/>
              </w:rPr>
              <w:t>居民</w:t>
            </w:r>
          </w:p>
        </w:tc>
        <w:tc>
          <w:tcPr>
            <w:tcW w:w="1305" w:type="dxa"/>
            <w:noWrap w:val="0"/>
            <w:vAlign w:val="center"/>
          </w:tcPr>
          <w:p>
            <w:pPr>
              <w:pStyle w:val="26"/>
              <w:bidi w:val="0"/>
              <w:rPr>
                <w:rFonts w:hint="eastAsia"/>
                <w:lang w:val="en-US" w:eastAsia="zh-CN"/>
              </w:rPr>
            </w:pPr>
            <w:r>
              <w:rPr>
                <w:rFonts w:hint="eastAsia"/>
                <w:lang w:val="en-US" w:eastAsia="zh-CN"/>
              </w:rPr>
              <w:t>约700户</w:t>
            </w:r>
          </w:p>
        </w:tc>
        <w:tc>
          <w:tcPr>
            <w:tcW w:w="1590" w:type="dxa"/>
            <w:vMerge w:val="restart"/>
            <w:noWrap w:val="0"/>
            <w:vAlign w:val="center"/>
          </w:tcPr>
          <w:p>
            <w:pPr>
              <w:pStyle w:val="26"/>
              <w:bidi w:val="0"/>
              <w:rPr>
                <w:rFonts w:hint="eastAsia"/>
                <w:lang w:val="en-US" w:eastAsia="zh-CN"/>
              </w:rPr>
            </w:pPr>
            <w:r>
              <w:rPr>
                <w:rFonts w:hint="eastAsia"/>
                <w:lang w:val="en-US" w:eastAsia="zh-CN"/>
              </w:rPr>
              <w:t>《环境空气质量标准》（GB3095-2012），二级</w:t>
            </w:r>
          </w:p>
        </w:tc>
        <w:tc>
          <w:tcPr>
            <w:tcW w:w="855" w:type="dxa"/>
            <w:noWrap w:val="0"/>
            <w:vAlign w:val="center"/>
          </w:tcPr>
          <w:p>
            <w:pPr>
              <w:pStyle w:val="26"/>
              <w:bidi w:val="0"/>
              <w:rPr>
                <w:rFonts w:hint="eastAsia"/>
                <w:lang w:val="en-US" w:eastAsia="zh-CN"/>
              </w:rPr>
            </w:pPr>
            <w:r>
              <w:rPr>
                <w:rFonts w:hint="eastAsia"/>
                <w:lang w:val="en-US" w:eastAsia="zh-CN"/>
              </w:rPr>
              <w:t>E</w:t>
            </w:r>
          </w:p>
        </w:tc>
        <w:tc>
          <w:tcPr>
            <w:tcW w:w="945" w:type="dxa"/>
            <w:noWrap w:val="0"/>
            <w:vAlign w:val="center"/>
          </w:tcPr>
          <w:p>
            <w:pPr>
              <w:pStyle w:val="26"/>
              <w:bidi w:val="0"/>
              <w:rPr>
                <w:rFonts w:hint="default"/>
                <w:lang w:val="en-US" w:eastAsia="zh-CN"/>
              </w:rPr>
            </w:pPr>
            <w:r>
              <w:rPr>
                <w:rFonts w:hint="eastAsia"/>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95" w:type="dxa"/>
            <w:noWrap w:val="0"/>
            <w:vAlign w:val="center"/>
          </w:tcPr>
          <w:p>
            <w:pPr>
              <w:pStyle w:val="26"/>
              <w:bidi w:val="0"/>
              <w:rPr>
                <w:rFonts w:hint="eastAsia"/>
                <w:lang w:val="en-US" w:eastAsia="zh-CN"/>
              </w:rPr>
            </w:pPr>
            <w:r>
              <w:rPr>
                <w:rFonts w:hint="eastAsia"/>
                <w:lang w:val="en-US" w:eastAsia="zh-CN"/>
              </w:rPr>
              <w:t>庙塘垅</w:t>
            </w:r>
          </w:p>
        </w:tc>
        <w:tc>
          <w:tcPr>
            <w:tcW w:w="1323" w:type="dxa"/>
            <w:noWrap w:val="0"/>
            <w:vAlign w:val="center"/>
          </w:tcPr>
          <w:p>
            <w:pPr>
              <w:pStyle w:val="26"/>
              <w:bidi w:val="0"/>
              <w:rPr>
                <w:rFonts w:hint="eastAsia"/>
                <w:lang w:val="en-US" w:eastAsia="zh-CN"/>
              </w:rPr>
            </w:pPr>
            <w:r>
              <w:rPr>
                <w:rFonts w:hint="eastAsia"/>
                <w:lang w:val="en-US" w:eastAsia="zh-CN"/>
              </w:rPr>
              <w:t>112°56′15.22〞</w:t>
            </w:r>
          </w:p>
        </w:tc>
        <w:tc>
          <w:tcPr>
            <w:tcW w:w="1320" w:type="dxa"/>
            <w:noWrap w:val="0"/>
            <w:vAlign w:val="center"/>
          </w:tcPr>
          <w:p>
            <w:pPr>
              <w:pStyle w:val="26"/>
              <w:bidi w:val="0"/>
              <w:rPr>
                <w:rFonts w:hint="eastAsia"/>
                <w:lang w:val="en-US" w:eastAsia="zh-CN"/>
              </w:rPr>
            </w:pPr>
            <w:r>
              <w:rPr>
                <w:rFonts w:hint="eastAsia"/>
                <w:lang w:val="en-US" w:eastAsia="zh-CN"/>
              </w:rPr>
              <w:t>28°31′56.13〞</w:t>
            </w:r>
          </w:p>
        </w:tc>
        <w:tc>
          <w:tcPr>
            <w:tcW w:w="840" w:type="dxa"/>
            <w:vMerge w:val="continue"/>
            <w:noWrap w:val="0"/>
            <w:vAlign w:val="center"/>
          </w:tcPr>
          <w:p>
            <w:pPr>
              <w:pStyle w:val="26"/>
              <w:bidi w:val="0"/>
              <w:rPr>
                <w:rFonts w:hint="eastAsia"/>
                <w:lang w:val="en-US" w:eastAsia="zh-CN"/>
              </w:rPr>
            </w:pPr>
          </w:p>
        </w:tc>
        <w:tc>
          <w:tcPr>
            <w:tcW w:w="1305" w:type="dxa"/>
            <w:noWrap w:val="0"/>
            <w:vAlign w:val="center"/>
          </w:tcPr>
          <w:p>
            <w:pPr>
              <w:pStyle w:val="26"/>
              <w:bidi w:val="0"/>
              <w:rPr>
                <w:rFonts w:hint="eastAsia"/>
                <w:lang w:val="en-US" w:eastAsia="zh-CN"/>
              </w:rPr>
            </w:pPr>
            <w:r>
              <w:rPr>
                <w:rFonts w:hint="eastAsia"/>
                <w:lang w:val="en-US" w:eastAsia="zh-CN"/>
              </w:rPr>
              <w:t>约53户</w:t>
            </w:r>
          </w:p>
        </w:tc>
        <w:tc>
          <w:tcPr>
            <w:tcW w:w="1590" w:type="dxa"/>
            <w:vMerge w:val="continue"/>
            <w:noWrap w:val="0"/>
            <w:vAlign w:val="center"/>
          </w:tcPr>
          <w:p>
            <w:pPr>
              <w:pStyle w:val="26"/>
              <w:bidi w:val="0"/>
              <w:rPr>
                <w:rFonts w:hint="eastAsia"/>
                <w:lang w:val="en-US" w:eastAsia="zh-CN"/>
              </w:rPr>
            </w:pPr>
          </w:p>
        </w:tc>
        <w:tc>
          <w:tcPr>
            <w:tcW w:w="855" w:type="dxa"/>
            <w:noWrap w:val="0"/>
            <w:vAlign w:val="center"/>
          </w:tcPr>
          <w:p>
            <w:pPr>
              <w:pStyle w:val="26"/>
              <w:bidi w:val="0"/>
              <w:rPr>
                <w:rFonts w:hint="eastAsia"/>
                <w:lang w:val="en-US" w:eastAsia="zh-CN"/>
              </w:rPr>
            </w:pPr>
            <w:r>
              <w:rPr>
                <w:rFonts w:hint="eastAsia"/>
                <w:lang w:val="en-US" w:eastAsia="zh-CN"/>
              </w:rPr>
              <w:t>E</w:t>
            </w:r>
          </w:p>
        </w:tc>
        <w:tc>
          <w:tcPr>
            <w:tcW w:w="945" w:type="dxa"/>
            <w:noWrap w:val="0"/>
            <w:vAlign w:val="center"/>
          </w:tcPr>
          <w:p>
            <w:pPr>
              <w:pStyle w:val="26"/>
              <w:bidi w:val="0"/>
              <w:rPr>
                <w:rFonts w:hint="default"/>
                <w:lang w:val="en-US" w:eastAsia="zh-CN"/>
              </w:rPr>
            </w:pPr>
            <w:r>
              <w:rPr>
                <w:rFonts w:hint="eastAsia"/>
                <w:lang w:val="en-US" w:eastAsia="zh-CN"/>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95" w:type="dxa"/>
            <w:noWrap w:val="0"/>
            <w:vAlign w:val="center"/>
          </w:tcPr>
          <w:p>
            <w:pPr>
              <w:pStyle w:val="26"/>
              <w:bidi w:val="0"/>
              <w:rPr>
                <w:rFonts w:hint="eastAsia"/>
                <w:lang w:val="en-US" w:eastAsia="zh-CN"/>
              </w:rPr>
            </w:pPr>
            <w:r>
              <w:rPr>
                <w:rFonts w:hint="eastAsia"/>
                <w:lang w:val="en-US" w:eastAsia="zh-CN"/>
              </w:rPr>
              <w:t>界头铺</w:t>
            </w:r>
          </w:p>
        </w:tc>
        <w:tc>
          <w:tcPr>
            <w:tcW w:w="1323" w:type="dxa"/>
            <w:noWrap w:val="0"/>
            <w:vAlign w:val="center"/>
          </w:tcPr>
          <w:p>
            <w:pPr>
              <w:pStyle w:val="26"/>
              <w:bidi w:val="0"/>
              <w:rPr>
                <w:rFonts w:hint="eastAsia"/>
                <w:lang w:val="en-US" w:eastAsia="zh-CN"/>
              </w:rPr>
            </w:pPr>
            <w:r>
              <w:rPr>
                <w:rFonts w:hint="eastAsia"/>
                <w:lang w:val="en-US" w:eastAsia="zh-CN"/>
              </w:rPr>
              <w:t>112°55′51.40〞</w:t>
            </w:r>
          </w:p>
        </w:tc>
        <w:tc>
          <w:tcPr>
            <w:tcW w:w="1320" w:type="dxa"/>
            <w:noWrap w:val="0"/>
            <w:vAlign w:val="center"/>
          </w:tcPr>
          <w:p>
            <w:pPr>
              <w:pStyle w:val="26"/>
              <w:bidi w:val="0"/>
              <w:rPr>
                <w:rFonts w:hint="eastAsia"/>
                <w:lang w:val="en-US" w:eastAsia="zh-CN"/>
              </w:rPr>
            </w:pPr>
            <w:r>
              <w:rPr>
                <w:rFonts w:hint="eastAsia"/>
                <w:lang w:val="en-US" w:eastAsia="zh-CN"/>
              </w:rPr>
              <w:t>28°32′11.83〞</w:t>
            </w:r>
          </w:p>
        </w:tc>
        <w:tc>
          <w:tcPr>
            <w:tcW w:w="840" w:type="dxa"/>
            <w:vMerge w:val="continue"/>
            <w:noWrap w:val="0"/>
            <w:vAlign w:val="center"/>
          </w:tcPr>
          <w:p>
            <w:pPr>
              <w:pStyle w:val="26"/>
              <w:bidi w:val="0"/>
              <w:rPr>
                <w:rFonts w:hint="eastAsia"/>
                <w:lang w:val="en-US" w:eastAsia="zh-CN"/>
              </w:rPr>
            </w:pPr>
          </w:p>
        </w:tc>
        <w:tc>
          <w:tcPr>
            <w:tcW w:w="1305" w:type="dxa"/>
            <w:noWrap w:val="0"/>
            <w:vAlign w:val="center"/>
          </w:tcPr>
          <w:p>
            <w:pPr>
              <w:pStyle w:val="26"/>
              <w:bidi w:val="0"/>
              <w:rPr>
                <w:rFonts w:hint="eastAsia"/>
                <w:lang w:val="en-US" w:eastAsia="zh-CN"/>
              </w:rPr>
            </w:pPr>
            <w:r>
              <w:rPr>
                <w:rFonts w:hint="eastAsia"/>
                <w:lang w:val="en-US" w:eastAsia="zh-CN"/>
              </w:rPr>
              <w:t>约154户</w:t>
            </w:r>
          </w:p>
        </w:tc>
        <w:tc>
          <w:tcPr>
            <w:tcW w:w="1590" w:type="dxa"/>
            <w:vMerge w:val="continue"/>
            <w:noWrap w:val="0"/>
            <w:vAlign w:val="center"/>
          </w:tcPr>
          <w:p>
            <w:pPr>
              <w:pStyle w:val="26"/>
              <w:bidi w:val="0"/>
              <w:rPr>
                <w:rFonts w:hint="eastAsia"/>
                <w:lang w:val="en-US" w:eastAsia="zh-CN"/>
              </w:rPr>
            </w:pPr>
          </w:p>
        </w:tc>
        <w:tc>
          <w:tcPr>
            <w:tcW w:w="855" w:type="dxa"/>
            <w:noWrap w:val="0"/>
            <w:vAlign w:val="center"/>
          </w:tcPr>
          <w:p>
            <w:pPr>
              <w:pStyle w:val="26"/>
              <w:bidi w:val="0"/>
              <w:rPr>
                <w:rFonts w:hint="eastAsia"/>
                <w:lang w:val="en-US" w:eastAsia="zh-CN"/>
              </w:rPr>
            </w:pPr>
            <w:r>
              <w:rPr>
                <w:rFonts w:hint="eastAsia"/>
                <w:lang w:val="en-US" w:eastAsia="zh-CN"/>
              </w:rPr>
              <w:t>EN</w:t>
            </w:r>
          </w:p>
        </w:tc>
        <w:tc>
          <w:tcPr>
            <w:tcW w:w="945" w:type="dxa"/>
            <w:noWrap w:val="0"/>
            <w:vAlign w:val="center"/>
          </w:tcPr>
          <w:p>
            <w:pPr>
              <w:pStyle w:val="26"/>
              <w:bidi w:val="0"/>
              <w:rPr>
                <w:rFonts w:hint="default"/>
                <w:lang w:val="en-US" w:eastAsia="zh-CN"/>
              </w:rPr>
            </w:pPr>
            <w:r>
              <w:rPr>
                <w:rFonts w:hint="eastAsia"/>
                <w:lang w:val="en-US" w:eastAsia="zh-CN"/>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95" w:type="dxa"/>
            <w:noWrap w:val="0"/>
            <w:vAlign w:val="center"/>
          </w:tcPr>
          <w:p>
            <w:pPr>
              <w:pStyle w:val="26"/>
              <w:bidi w:val="0"/>
              <w:rPr>
                <w:rFonts w:hint="eastAsia"/>
                <w:lang w:val="en-US" w:eastAsia="zh-CN"/>
              </w:rPr>
            </w:pPr>
            <w:r>
              <w:rPr>
                <w:rFonts w:hint="eastAsia"/>
                <w:lang w:val="en-US" w:eastAsia="zh-CN"/>
              </w:rPr>
              <w:t>新塘村</w:t>
            </w:r>
          </w:p>
        </w:tc>
        <w:tc>
          <w:tcPr>
            <w:tcW w:w="1323" w:type="dxa"/>
            <w:noWrap w:val="0"/>
            <w:vAlign w:val="center"/>
          </w:tcPr>
          <w:p>
            <w:pPr>
              <w:pStyle w:val="26"/>
              <w:bidi w:val="0"/>
              <w:rPr>
                <w:rFonts w:hint="eastAsia"/>
                <w:lang w:val="en-US" w:eastAsia="zh-CN"/>
              </w:rPr>
            </w:pPr>
            <w:r>
              <w:rPr>
                <w:rFonts w:hint="eastAsia"/>
                <w:lang w:val="en-US" w:eastAsia="zh-CN"/>
              </w:rPr>
              <w:t>112°54′55.28〞</w:t>
            </w:r>
          </w:p>
        </w:tc>
        <w:tc>
          <w:tcPr>
            <w:tcW w:w="1320" w:type="dxa"/>
            <w:noWrap w:val="0"/>
            <w:vAlign w:val="center"/>
          </w:tcPr>
          <w:p>
            <w:pPr>
              <w:pStyle w:val="26"/>
              <w:bidi w:val="0"/>
              <w:rPr>
                <w:rFonts w:hint="eastAsia"/>
                <w:lang w:val="en-US" w:eastAsia="zh-CN"/>
              </w:rPr>
            </w:pPr>
            <w:r>
              <w:rPr>
                <w:rFonts w:hint="eastAsia"/>
                <w:lang w:val="en-US" w:eastAsia="zh-CN"/>
              </w:rPr>
              <w:t>28°32′25.16〞</w:t>
            </w:r>
          </w:p>
        </w:tc>
        <w:tc>
          <w:tcPr>
            <w:tcW w:w="840" w:type="dxa"/>
            <w:vMerge w:val="continue"/>
            <w:noWrap w:val="0"/>
            <w:vAlign w:val="center"/>
          </w:tcPr>
          <w:p>
            <w:pPr>
              <w:pStyle w:val="26"/>
              <w:bidi w:val="0"/>
              <w:rPr>
                <w:rFonts w:hint="eastAsia"/>
                <w:lang w:val="en-US" w:eastAsia="zh-CN"/>
              </w:rPr>
            </w:pPr>
          </w:p>
        </w:tc>
        <w:tc>
          <w:tcPr>
            <w:tcW w:w="1305" w:type="dxa"/>
            <w:noWrap w:val="0"/>
            <w:vAlign w:val="center"/>
          </w:tcPr>
          <w:p>
            <w:pPr>
              <w:pStyle w:val="26"/>
              <w:bidi w:val="0"/>
              <w:rPr>
                <w:rFonts w:hint="eastAsia"/>
                <w:lang w:val="en-US" w:eastAsia="zh-CN"/>
              </w:rPr>
            </w:pPr>
            <w:r>
              <w:rPr>
                <w:rFonts w:hint="eastAsia"/>
                <w:lang w:val="en-US" w:eastAsia="zh-CN"/>
              </w:rPr>
              <w:t>约23户</w:t>
            </w:r>
          </w:p>
        </w:tc>
        <w:tc>
          <w:tcPr>
            <w:tcW w:w="1590" w:type="dxa"/>
            <w:vMerge w:val="continue"/>
            <w:noWrap w:val="0"/>
            <w:vAlign w:val="center"/>
          </w:tcPr>
          <w:p>
            <w:pPr>
              <w:pStyle w:val="26"/>
              <w:bidi w:val="0"/>
              <w:rPr>
                <w:rFonts w:hint="eastAsia"/>
                <w:lang w:val="en-US" w:eastAsia="zh-CN"/>
              </w:rPr>
            </w:pPr>
          </w:p>
        </w:tc>
        <w:tc>
          <w:tcPr>
            <w:tcW w:w="855" w:type="dxa"/>
            <w:noWrap w:val="0"/>
            <w:vAlign w:val="center"/>
          </w:tcPr>
          <w:p>
            <w:pPr>
              <w:pStyle w:val="26"/>
              <w:bidi w:val="0"/>
              <w:rPr>
                <w:rFonts w:hint="eastAsia"/>
                <w:lang w:val="en-US" w:eastAsia="zh-CN"/>
              </w:rPr>
            </w:pPr>
            <w:r>
              <w:rPr>
                <w:rFonts w:hint="eastAsia"/>
                <w:lang w:val="en-US" w:eastAsia="zh-CN"/>
              </w:rPr>
              <w:t>WN</w:t>
            </w:r>
          </w:p>
        </w:tc>
        <w:tc>
          <w:tcPr>
            <w:tcW w:w="945" w:type="dxa"/>
            <w:noWrap w:val="0"/>
            <w:vAlign w:val="center"/>
          </w:tcPr>
          <w:p>
            <w:pPr>
              <w:pStyle w:val="26"/>
              <w:bidi w:val="0"/>
              <w:rPr>
                <w:rFonts w:hint="default"/>
                <w:lang w:val="en-US" w:eastAsia="zh-CN"/>
              </w:rPr>
            </w:pPr>
            <w:r>
              <w:rPr>
                <w:rFonts w:hint="eastAsia"/>
                <w:lang w:val="en-US" w:eastAsia="zh-CN"/>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95" w:type="dxa"/>
            <w:noWrap w:val="0"/>
            <w:vAlign w:val="center"/>
          </w:tcPr>
          <w:p>
            <w:pPr>
              <w:pStyle w:val="26"/>
              <w:bidi w:val="0"/>
              <w:rPr>
                <w:rFonts w:hint="eastAsia"/>
                <w:lang w:val="en-US" w:eastAsia="zh-CN"/>
              </w:rPr>
            </w:pPr>
            <w:r>
              <w:rPr>
                <w:rFonts w:hint="eastAsia"/>
                <w:lang w:val="en-US" w:eastAsia="zh-CN"/>
              </w:rPr>
              <w:t>恒大溪上桃花源</w:t>
            </w:r>
          </w:p>
        </w:tc>
        <w:tc>
          <w:tcPr>
            <w:tcW w:w="1323" w:type="dxa"/>
            <w:noWrap w:val="0"/>
            <w:vAlign w:val="center"/>
          </w:tcPr>
          <w:p>
            <w:pPr>
              <w:pStyle w:val="26"/>
              <w:bidi w:val="0"/>
              <w:rPr>
                <w:rFonts w:hint="eastAsia"/>
                <w:lang w:val="en-US" w:eastAsia="zh-CN"/>
              </w:rPr>
            </w:pPr>
            <w:r>
              <w:rPr>
                <w:rFonts w:hint="eastAsia"/>
                <w:lang w:val="en-US" w:eastAsia="zh-CN"/>
              </w:rPr>
              <w:t>112°56′28.29〞</w:t>
            </w:r>
          </w:p>
        </w:tc>
        <w:tc>
          <w:tcPr>
            <w:tcW w:w="1320" w:type="dxa"/>
            <w:noWrap w:val="0"/>
            <w:vAlign w:val="center"/>
          </w:tcPr>
          <w:p>
            <w:pPr>
              <w:pStyle w:val="26"/>
              <w:bidi w:val="0"/>
              <w:rPr>
                <w:rFonts w:hint="eastAsia"/>
                <w:lang w:val="en-US" w:eastAsia="zh-CN"/>
              </w:rPr>
            </w:pPr>
            <w:r>
              <w:rPr>
                <w:rFonts w:hint="eastAsia"/>
                <w:lang w:val="en-US" w:eastAsia="zh-CN"/>
              </w:rPr>
              <w:t>28°31′27.19〞</w:t>
            </w:r>
          </w:p>
        </w:tc>
        <w:tc>
          <w:tcPr>
            <w:tcW w:w="840" w:type="dxa"/>
            <w:vMerge w:val="continue"/>
            <w:noWrap w:val="0"/>
            <w:vAlign w:val="center"/>
          </w:tcPr>
          <w:p>
            <w:pPr>
              <w:pStyle w:val="26"/>
              <w:bidi w:val="0"/>
              <w:rPr>
                <w:rFonts w:hint="eastAsia"/>
                <w:lang w:val="en-US" w:eastAsia="zh-CN"/>
              </w:rPr>
            </w:pPr>
          </w:p>
        </w:tc>
        <w:tc>
          <w:tcPr>
            <w:tcW w:w="1305" w:type="dxa"/>
            <w:noWrap w:val="0"/>
            <w:vAlign w:val="center"/>
          </w:tcPr>
          <w:p>
            <w:pPr>
              <w:pStyle w:val="26"/>
              <w:bidi w:val="0"/>
              <w:rPr>
                <w:rFonts w:hint="eastAsia"/>
                <w:lang w:val="en-US" w:eastAsia="zh-CN"/>
              </w:rPr>
            </w:pPr>
            <w:r>
              <w:rPr>
                <w:rFonts w:hint="eastAsia"/>
                <w:lang w:val="en-US" w:eastAsia="zh-CN"/>
              </w:rPr>
              <w:t>约400户</w:t>
            </w:r>
          </w:p>
        </w:tc>
        <w:tc>
          <w:tcPr>
            <w:tcW w:w="1590" w:type="dxa"/>
            <w:vMerge w:val="continue"/>
            <w:noWrap w:val="0"/>
            <w:vAlign w:val="center"/>
          </w:tcPr>
          <w:p>
            <w:pPr>
              <w:pStyle w:val="26"/>
              <w:bidi w:val="0"/>
              <w:rPr>
                <w:rFonts w:hint="eastAsia"/>
                <w:lang w:val="en-US" w:eastAsia="zh-CN"/>
              </w:rPr>
            </w:pPr>
          </w:p>
        </w:tc>
        <w:tc>
          <w:tcPr>
            <w:tcW w:w="855" w:type="dxa"/>
            <w:noWrap w:val="0"/>
            <w:vAlign w:val="center"/>
          </w:tcPr>
          <w:p>
            <w:pPr>
              <w:pStyle w:val="26"/>
              <w:bidi w:val="0"/>
              <w:rPr>
                <w:rFonts w:hint="default"/>
                <w:lang w:val="en-US" w:eastAsia="zh-CN"/>
              </w:rPr>
            </w:pPr>
            <w:r>
              <w:rPr>
                <w:rFonts w:hint="eastAsia"/>
                <w:lang w:val="en-US" w:eastAsia="zh-CN"/>
              </w:rPr>
              <w:t>ES</w:t>
            </w:r>
          </w:p>
        </w:tc>
        <w:tc>
          <w:tcPr>
            <w:tcW w:w="945" w:type="dxa"/>
            <w:noWrap w:val="0"/>
            <w:vAlign w:val="center"/>
          </w:tcPr>
          <w:p>
            <w:pPr>
              <w:pStyle w:val="26"/>
              <w:bidi w:val="0"/>
              <w:rPr>
                <w:rFonts w:hint="default"/>
                <w:lang w:val="en-US" w:eastAsia="zh-CN"/>
              </w:rPr>
            </w:pPr>
            <w:r>
              <w:rPr>
                <w:rFonts w:hint="eastAsia"/>
                <w:lang w:val="en-US" w:eastAsia="zh-CN"/>
              </w:rPr>
              <w:t>1000</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通过对项目周围环境敏感目标情况发现，项目风险评价范围内无特殊保护区、生态敏感与脆弱区。</w:t>
      </w:r>
    </w:p>
    <w:p>
      <w:pPr>
        <w:pStyle w:val="2"/>
        <w:bidi w:val="0"/>
        <w:rPr>
          <w:lang w:val="en-US" w:eastAsia="zh-CN"/>
        </w:rPr>
      </w:pPr>
      <w:bookmarkStart w:id="1547" w:name="_Toc7215"/>
      <w:bookmarkStart w:id="1548" w:name="_Toc210969705"/>
      <w:bookmarkStart w:id="1549" w:name="_Toc11094"/>
      <w:bookmarkStart w:id="1550" w:name="_Toc5024_WPSOffice_Level2"/>
      <w:bookmarkStart w:id="1551" w:name="_Toc12255_WPSOffice_Level2"/>
      <w:bookmarkStart w:id="1552" w:name="_Toc12699_WPSOffice_Level2"/>
      <w:bookmarkStart w:id="1553" w:name="_Toc16807"/>
      <w:bookmarkStart w:id="1554" w:name="_Toc307210672"/>
      <w:bookmarkStart w:id="1555" w:name="_Toc13183"/>
      <w:bookmarkStart w:id="1556" w:name="_Toc8859"/>
      <w:bookmarkStart w:id="1557" w:name="_Toc372124959"/>
      <w:bookmarkStart w:id="1558" w:name="_Toc32638"/>
      <w:bookmarkStart w:id="1559" w:name="_Toc7391"/>
      <w:bookmarkStart w:id="1560" w:name="_Toc23368"/>
      <w:bookmarkStart w:id="1561" w:name="_Toc11548_WPSOffice_Level2"/>
      <w:bookmarkStart w:id="1562" w:name="_Toc30535"/>
      <w:r>
        <w:rPr>
          <w:lang w:val="en-US" w:eastAsia="zh-CN"/>
        </w:rPr>
        <w:t>风险识别</w:t>
      </w:r>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p>
    <w:p>
      <w:r>
        <w:t>（1）物质危险性判定标准</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根据《建设项目环境风险评价技术导则》（附录A1表1</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表4）、《危险化学品重大危险源辨识》（</w:t>
      </w:r>
      <w:r>
        <w:rPr>
          <w:rFonts w:hint="eastAsia" w:ascii="Times New Roman" w:hAnsi="Times New Roman" w:eastAsia="宋体" w:cs="宋体"/>
          <w:kern w:val="2"/>
          <w:sz w:val="24"/>
          <w:szCs w:val="24"/>
          <w:lang w:val="en-US" w:eastAsia="zh-CN" w:bidi="ar-SA"/>
        </w:rPr>
        <w:t>GB18218-2018</w:t>
      </w:r>
      <w:r>
        <w:rPr>
          <w:rFonts w:ascii="Times New Roman" w:hAnsi="Times New Roman" w:eastAsia="宋体" w:cs="宋体"/>
          <w:kern w:val="2"/>
          <w:sz w:val="24"/>
          <w:szCs w:val="24"/>
          <w:lang w:val="en-US" w:eastAsia="zh-CN" w:bidi="ar-SA"/>
        </w:rPr>
        <w:t>）、《职业性接触毒物危害程度分析》（GB50844-85）、等相关标准，对公司运输、储运物质的有毒有害性、易燃易爆性进行识别。物质危险性判定标准见下</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REF _Ref9529 \h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8</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12</w:t>
      </w:r>
      <w:r>
        <w:rPr>
          <w:rFonts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kern w:val="2"/>
          <w:sz w:val="21"/>
          <w:szCs w:val="21"/>
          <w:lang w:val="en-US" w:eastAsia="zh-CN" w:bidi="ar-SA"/>
        </w:rPr>
        <w:sectPr>
          <w:pgSz w:w="11906" w:h="16838"/>
          <w:pgMar w:top="1417" w:right="1417" w:bottom="1134" w:left="1701" w:header="851" w:footer="992" w:gutter="0"/>
          <w:pgBorders>
            <w:top w:val="none" w:sz="0" w:space="0"/>
            <w:left w:val="none" w:sz="0" w:space="0"/>
            <w:bottom w:val="none" w:sz="0" w:space="0"/>
            <w:right w:val="none" w:sz="0" w:space="0"/>
          </w:pgBorders>
          <w:pgNumType w:fmt="decimal"/>
          <w:cols w:space="0" w:num="1"/>
          <w:rtlGutter w:val="0"/>
          <w:docGrid w:linePitch="312" w:charSpace="0"/>
        </w:sectPr>
      </w:pPr>
      <w:bookmarkStart w:id="1563" w:name="_Ref9529"/>
    </w:p>
    <w:p>
      <w:pPr>
        <w:widowControl w:val="0"/>
        <w:spacing w:line="360" w:lineRule="auto"/>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8</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12</w:t>
      </w:r>
      <w:r>
        <w:rPr>
          <w:rFonts w:ascii="Times New Roman" w:hAnsi="Times New Roman" w:eastAsia="宋体" w:cs="Times New Roman"/>
          <w:b/>
          <w:kern w:val="2"/>
          <w:sz w:val="21"/>
          <w:szCs w:val="21"/>
          <w:lang w:val="en-US" w:eastAsia="zh-CN" w:bidi="ar-SA"/>
        </w:rPr>
        <w:fldChar w:fldCharType="end"/>
      </w:r>
      <w:bookmarkEnd w:id="1563"/>
      <w:r>
        <w:rPr>
          <w:rFonts w:ascii="Times New Roman" w:hAnsi="Times New Roman" w:eastAsia="宋体" w:cs="Times New Roman"/>
          <w:b/>
          <w:kern w:val="2"/>
          <w:sz w:val="21"/>
          <w:szCs w:val="21"/>
          <w:lang w:val="en-US" w:eastAsia="zh-CN" w:bidi="ar-SA"/>
        </w:rPr>
        <w:t>物质危险性标准</w:t>
      </w:r>
    </w:p>
    <w:tbl>
      <w:tblPr>
        <w:tblStyle w:val="22"/>
        <w:tblW w:w="919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94"/>
        <w:gridCol w:w="882"/>
        <w:gridCol w:w="2086"/>
        <w:gridCol w:w="2421"/>
        <w:gridCol w:w="261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94"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物质类别</w:t>
            </w:r>
          </w:p>
        </w:tc>
        <w:tc>
          <w:tcPr>
            <w:tcW w:w="88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等级</w:t>
            </w:r>
          </w:p>
        </w:tc>
        <w:tc>
          <w:tcPr>
            <w:tcW w:w="2086"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LD50（大鼠经口）mg/kg</w:t>
            </w:r>
          </w:p>
        </w:tc>
        <w:tc>
          <w:tcPr>
            <w:tcW w:w="242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LD50（大鼠经皮）mg/kg</w:t>
            </w:r>
          </w:p>
        </w:tc>
        <w:tc>
          <w:tcPr>
            <w:tcW w:w="261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LC50（小鼠吸入、4小时）mg/L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94"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有毒物质</w:t>
            </w:r>
          </w:p>
        </w:tc>
        <w:tc>
          <w:tcPr>
            <w:tcW w:w="88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1</w:t>
            </w:r>
          </w:p>
        </w:tc>
        <w:tc>
          <w:tcPr>
            <w:tcW w:w="2086"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＜5</w:t>
            </w:r>
          </w:p>
        </w:tc>
        <w:tc>
          <w:tcPr>
            <w:tcW w:w="242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＜1</w:t>
            </w:r>
          </w:p>
        </w:tc>
        <w:tc>
          <w:tcPr>
            <w:tcW w:w="261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94"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88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2</w:t>
            </w:r>
          </w:p>
        </w:tc>
        <w:tc>
          <w:tcPr>
            <w:tcW w:w="2086"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5＜LD50＜25</w:t>
            </w:r>
          </w:p>
        </w:tc>
        <w:tc>
          <w:tcPr>
            <w:tcW w:w="242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10＜LD50＜50</w:t>
            </w:r>
          </w:p>
        </w:tc>
        <w:tc>
          <w:tcPr>
            <w:tcW w:w="261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0.1＜LC50＜0.5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94"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88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3</w:t>
            </w:r>
          </w:p>
        </w:tc>
        <w:tc>
          <w:tcPr>
            <w:tcW w:w="2086"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25＜LD50＜200</w:t>
            </w:r>
          </w:p>
        </w:tc>
        <w:tc>
          <w:tcPr>
            <w:tcW w:w="242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40＜LD50＜400</w:t>
            </w:r>
          </w:p>
        </w:tc>
        <w:tc>
          <w:tcPr>
            <w:tcW w:w="261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0.5＜LC50＜2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94"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易燃物质</w:t>
            </w:r>
          </w:p>
        </w:tc>
        <w:tc>
          <w:tcPr>
            <w:tcW w:w="88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1</w:t>
            </w:r>
          </w:p>
        </w:tc>
        <w:tc>
          <w:tcPr>
            <w:tcW w:w="7119" w:type="dxa"/>
            <w:gridSpan w:val="3"/>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可燃气体</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在常压下以气态存在并与空气混合形成可燃混合物：其沸点（常压下）是20℃或20℃以下的物质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94"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88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2</w:t>
            </w:r>
          </w:p>
        </w:tc>
        <w:tc>
          <w:tcPr>
            <w:tcW w:w="7119" w:type="dxa"/>
            <w:gridSpan w:val="3"/>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易燃液体</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闪点低于21℃，沸点高于20℃的物质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194"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88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3</w:t>
            </w:r>
          </w:p>
        </w:tc>
        <w:tc>
          <w:tcPr>
            <w:tcW w:w="7119" w:type="dxa"/>
            <w:gridSpan w:val="3"/>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可燃液体</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闪点低于55℃，压力下保持液态，在实际操作条件下（高温高压下）可引起重大事故的物质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2076" w:type="dxa"/>
            <w:gridSpan w:val="2"/>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爆炸性物质</w:t>
            </w:r>
          </w:p>
        </w:tc>
        <w:tc>
          <w:tcPr>
            <w:tcW w:w="7119" w:type="dxa"/>
            <w:gridSpan w:val="3"/>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在火焰影响下可以爆炸，或者对冲击、摩擦比硝基苯更为敏感的物质</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注：①、有毒物质判定标准序号为1、2的物质属于剧毒物质；符合有毒物质判定标准序号3的属于一般毒物。②、凡符合表中易燃物质和爆炸性物质标准的物质，均视为火灾、爆炸危险物质。</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1564" w:name="_Toc4579"/>
      <w:bookmarkStart w:id="1565" w:name="_Toc15413"/>
      <w:bookmarkStart w:id="1566" w:name="_Toc21176"/>
      <w:bookmarkStart w:id="1567" w:name="_Toc3551"/>
      <w:bookmarkStart w:id="1568" w:name="_Toc26618_WPSOffice_Level3"/>
      <w:bookmarkStart w:id="1569" w:name="_Toc13060"/>
      <w:bookmarkStart w:id="1570" w:name="_Toc819"/>
      <w:bookmarkStart w:id="1571" w:name="_Toc26491"/>
      <w:bookmarkStart w:id="1572" w:name="_Toc24750_WPSOffice_Level3"/>
      <w:r>
        <w:rPr>
          <w:rFonts w:ascii="Times New Roman" w:hAnsi="Times New Roman" w:eastAsia="宋体" w:cs="宋体"/>
          <w:kern w:val="2"/>
          <w:sz w:val="24"/>
          <w:szCs w:val="24"/>
          <w:lang w:val="en-US" w:eastAsia="zh-CN" w:bidi="ar-SA"/>
        </w:rPr>
        <w:t>项目主要原材料危险化学品</w:t>
      </w:r>
      <w:r>
        <w:rPr>
          <w:rFonts w:hint="eastAsia" w:ascii="Times New Roman" w:hAnsi="Times New Roman" w:eastAsia="宋体" w:cs="宋体"/>
          <w:kern w:val="2"/>
          <w:sz w:val="24"/>
          <w:szCs w:val="24"/>
          <w:lang w:val="en-US" w:eastAsia="zh-CN" w:bidi="ar-SA"/>
        </w:rPr>
        <w:t>特性</w:t>
      </w:r>
      <w:r>
        <w:rPr>
          <w:rFonts w:ascii="Times New Roman" w:hAnsi="Times New Roman" w:eastAsia="宋体" w:cs="宋体"/>
          <w:kern w:val="2"/>
          <w:sz w:val="24"/>
          <w:szCs w:val="24"/>
          <w:lang w:val="en-US" w:eastAsia="zh-CN" w:bidi="ar-SA"/>
        </w:rPr>
        <w:t>如</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REF _Ref14198 \h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8</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13</w:t>
      </w:r>
      <w:r>
        <w:rPr>
          <w:rFonts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p>
    <w:p>
      <w:pPr>
        <w:widowControl w:val="0"/>
        <w:bidi w:val="0"/>
        <w:spacing w:line="360" w:lineRule="auto"/>
        <w:jc w:val="center"/>
        <w:rPr>
          <w:rFonts w:ascii="Times New Roman" w:hAnsi="Times New Roman" w:eastAsia="宋体" w:cs="Times New Roman"/>
          <w:b/>
          <w:kern w:val="2"/>
          <w:sz w:val="21"/>
          <w:szCs w:val="21"/>
          <w:lang w:val="en-US" w:eastAsia="zh-CN" w:bidi="ar-SA"/>
        </w:rPr>
        <w:sectPr>
          <w:pgSz w:w="11906" w:h="16838"/>
          <w:pgMar w:top="1417" w:right="1417" w:bottom="1134" w:left="1701" w:header="851" w:footer="992" w:gutter="0"/>
          <w:pgBorders>
            <w:top w:val="none" w:sz="0" w:space="0"/>
            <w:left w:val="none" w:sz="0" w:space="0"/>
            <w:bottom w:val="none" w:sz="0" w:space="0"/>
            <w:right w:val="none" w:sz="0" w:space="0"/>
          </w:pgBorders>
          <w:pgNumType w:fmt="decimal"/>
          <w:cols w:space="0" w:num="1"/>
          <w:rtlGutter w:val="0"/>
          <w:docGrid w:linePitch="312" w:charSpace="0"/>
        </w:sectPr>
      </w:pPr>
      <w:bookmarkStart w:id="1573" w:name="_Ref14198"/>
    </w:p>
    <w:p>
      <w:pPr>
        <w:widowControl w:val="0"/>
        <w:bidi w:val="0"/>
        <w:spacing w:line="360" w:lineRule="auto"/>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8</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13</w:t>
      </w:r>
      <w:r>
        <w:rPr>
          <w:rFonts w:ascii="Times New Roman" w:hAnsi="Times New Roman" w:eastAsia="宋体" w:cs="Times New Roman"/>
          <w:b/>
          <w:kern w:val="2"/>
          <w:sz w:val="21"/>
          <w:szCs w:val="21"/>
          <w:lang w:val="en-US" w:eastAsia="zh-CN" w:bidi="ar-SA"/>
        </w:rPr>
        <w:fldChar w:fldCharType="end"/>
      </w:r>
      <w:bookmarkEnd w:id="1573"/>
      <w:r>
        <w:rPr>
          <w:rFonts w:hint="eastAsia" w:ascii="Times New Roman" w:hAnsi="Times New Roman" w:eastAsia="宋体" w:cs="Times New Roman"/>
          <w:b/>
          <w:kern w:val="2"/>
          <w:sz w:val="21"/>
          <w:szCs w:val="21"/>
          <w:lang w:val="en-US" w:eastAsia="zh-CN" w:bidi="ar-SA"/>
        </w:rPr>
        <w:t>二苯基甲烷二异氰酸酯</w:t>
      </w:r>
      <w:r>
        <w:rPr>
          <w:rFonts w:ascii="Times New Roman" w:hAnsi="Times New Roman" w:eastAsia="宋体" w:cs="Times New Roman"/>
          <w:b/>
          <w:kern w:val="2"/>
          <w:sz w:val="21"/>
          <w:szCs w:val="21"/>
          <w:lang w:val="en-US" w:eastAsia="zh-CN" w:bidi="ar-SA"/>
        </w:rPr>
        <w:t>特性表</w:t>
      </w:r>
    </w:p>
    <w:tbl>
      <w:tblPr>
        <w:tblStyle w:val="2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258"/>
        <w:gridCol w:w="770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名称</w:t>
            </w:r>
          </w:p>
        </w:tc>
        <w:tc>
          <w:tcPr>
            <w:tcW w:w="770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二苯基甲烷二异氰酸酯，简称MDI</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417" w:hRule="atLeast"/>
          <w:jc w:val="center"/>
        </w:trPr>
        <w:tc>
          <w:tcPr>
            <w:tcW w:w="125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危险特性</w:t>
            </w:r>
          </w:p>
        </w:tc>
        <w:tc>
          <w:tcPr>
            <w:tcW w:w="7707" w:type="dxa"/>
            <w:noWrap w:val="0"/>
            <w:vAlign w:val="center"/>
          </w:tcPr>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highlight w:val="none"/>
                <w:lang w:val="en-US" w:eastAsia="zh-CN" w:bidi="ar-SA"/>
              </w:rPr>
              <w:t>按GB13690-92《常用危险化学品的分类及标志》规定，本品属第6类，有毒品。其危险特性有</w:t>
            </w:r>
            <w:r>
              <w:rPr>
                <w:rFonts w:hint="eastAsia" w:ascii="Times New Roman" w:hAnsi="Times New Roman" w:eastAsia="宋体" w:cs="Times New Roman"/>
                <w:kern w:val="2"/>
                <w:sz w:val="24"/>
                <w:szCs w:val="24"/>
                <w:highlight w:val="none"/>
                <w:lang w:val="en-US" w:eastAsia="zh-CN" w:bidi="ar-SA"/>
              </w:rPr>
              <w:t>①</w:t>
            </w:r>
            <w:r>
              <w:rPr>
                <w:rFonts w:ascii="Times New Roman" w:hAnsi="Times New Roman" w:eastAsia="宋体" w:cs="Times New Roman"/>
                <w:kern w:val="2"/>
                <w:sz w:val="24"/>
                <w:szCs w:val="24"/>
                <w:highlight w:val="none"/>
                <w:lang w:val="en-US" w:eastAsia="zh-CN" w:bidi="ar-SA"/>
              </w:rPr>
              <w:t>与氧化剂发生反应，有燃烧危险；</w:t>
            </w:r>
            <w:r>
              <w:rPr>
                <w:rFonts w:hint="eastAsia" w:ascii="Times New Roman" w:hAnsi="Times New Roman" w:eastAsia="宋体" w:cs="Times New Roman"/>
                <w:kern w:val="2"/>
                <w:sz w:val="24"/>
                <w:szCs w:val="24"/>
                <w:highlight w:val="none"/>
                <w:lang w:val="en-US" w:eastAsia="zh-CN" w:bidi="ar-SA"/>
              </w:rPr>
              <w:t>②</w:t>
            </w:r>
            <w:r>
              <w:rPr>
                <w:rFonts w:ascii="Times New Roman" w:hAnsi="Times New Roman" w:eastAsia="宋体" w:cs="Times New Roman"/>
                <w:kern w:val="2"/>
                <w:sz w:val="24"/>
                <w:szCs w:val="24"/>
                <w:highlight w:val="none"/>
                <w:lang w:val="en-US" w:eastAsia="zh-CN" w:bidi="ar-SA"/>
              </w:rPr>
              <w:t>受热时分解。</w:t>
            </w:r>
            <w:r>
              <w:rPr>
                <w:rFonts w:hint="eastAsia" w:ascii="Times New Roman" w:hAnsi="Times New Roman" w:eastAsia="宋体" w:cs="Times New Roman"/>
                <w:kern w:val="2"/>
                <w:sz w:val="24"/>
                <w:szCs w:val="24"/>
                <w:highlight w:val="none"/>
                <w:lang w:val="en-US" w:eastAsia="zh-CN" w:bidi="ar-SA"/>
              </w:rPr>
              <w:t>③</w:t>
            </w:r>
            <w:r>
              <w:rPr>
                <w:rFonts w:ascii="Times New Roman" w:hAnsi="Times New Roman" w:eastAsia="宋体" w:cs="Times New Roman"/>
                <w:kern w:val="2"/>
                <w:sz w:val="24"/>
                <w:szCs w:val="24"/>
                <w:highlight w:val="none"/>
                <w:lang w:val="en-US" w:eastAsia="zh-CN" w:bidi="ar-SA"/>
              </w:rPr>
              <w:t>有毒遇明火能燃烧。</w:t>
            </w:r>
            <w:r>
              <w:rPr>
                <w:rFonts w:hint="eastAsia" w:ascii="Times New Roman" w:hAnsi="Times New Roman" w:eastAsia="宋体" w:cs="Times New Roman"/>
                <w:kern w:val="2"/>
                <w:sz w:val="24"/>
                <w:szCs w:val="24"/>
                <w:highlight w:val="none"/>
                <w:lang w:val="en-US" w:eastAsia="zh-CN" w:bidi="ar-SA"/>
              </w:rPr>
              <w:t>④</w:t>
            </w:r>
            <w:r>
              <w:rPr>
                <w:rFonts w:ascii="Times New Roman" w:hAnsi="Times New Roman" w:eastAsia="宋体" w:cs="Times New Roman"/>
                <w:kern w:val="2"/>
                <w:sz w:val="24"/>
                <w:szCs w:val="24"/>
                <w:highlight w:val="none"/>
                <w:lang w:val="en-US" w:eastAsia="zh-CN" w:bidi="ar-SA"/>
              </w:rPr>
              <w:t>受高热发生分解放出有毒气体。</w:t>
            </w:r>
            <w:r>
              <w:rPr>
                <w:rFonts w:hint="eastAsia" w:ascii="Times New Roman" w:hAnsi="Times New Roman" w:eastAsia="宋体" w:cs="Times New Roman"/>
                <w:kern w:val="2"/>
                <w:sz w:val="24"/>
                <w:szCs w:val="24"/>
                <w:highlight w:val="none"/>
                <w:lang w:val="en-US" w:eastAsia="zh-CN" w:bidi="ar-SA"/>
              </w:rPr>
              <w:t>⑤</w:t>
            </w:r>
            <w:r>
              <w:rPr>
                <w:rFonts w:ascii="Times New Roman" w:hAnsi="Times New Roman" w:eastAsia="宋体" w:cs="Times New Roman"/>
                <w:kern w:val="2"/>
                <w:sz w:val="24"/>
                <w:szCs w:val="24"/>
                <w:highlight w:val="none"/>
                <w:lang w:val="en-US" w:eastAsia="zh-CN" w:bidi="ar-SA"/>
              </w:rPr>
              <w:t>对眼、粘膜或皮肤有强烈刺激性，会造成严重烧伤。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91" w:hRule="atLeast"/>
          <w:jc w:val="center"/>
        </w:trPr>
        <w:tc>
          <w:tcPr>
            <w:tcW w:w="125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健康危害</w:t>
            </w:r>
          </w:p>
        </w:tc>
        <w:tc>
          <w:tcPr>
            <w:tcW w:w="7707" w:type="dxa"/>
            <w:noWrap w:val="0"/>
            <w:vAlign w:val="center"/>
          </w:tcPr>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高浓度接触直接损害呼吸道粘膜，发生喘息性支气管炎，可引起肺炎和肺水肿。蒸气和液体对眼有刺激性。 部分工人在多次接触本品后产生过敏，以后即使接触极微量，也能引起典型的哮喘发作。对皮肤有致敏性。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25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侵入途径</w:t>
            </w:r>
          </w:p>
        </w:tc>
        <w:tc>
          <w:tcPr>
            <w:tcW w:w="7707" w:type="dxa"/>
            <w:noWrap w:val="0"/>
            <w:vAlign w:val="center"/>
          </w:tcPr>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主要经呼吸道吸入</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不能经无损皮肤吸收。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12" w:hRule="atLeast"/>
          <w:jc w:val="center"/>
        </w:trPr>
        <w:tc>
          <w:tcPr>
            <w:tcW w:w="125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防护措施</w:t>
            </w:r>
          </w:p>
        </w:tc>
        <w:tc>
          <w:tcPr>
            <w:tcW w:w="7707" w:type="dxa"/>
            <w:noWrap w:val="0"/>
            <w:vAlign w:val="center"/>
          </w:tcPr>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操作人员必须经过专门培训，严格遵守操作规程，熟练掌握操作技能，具备应急处置知识。</w:t>
            </w:r>
          </w:p>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密闭操作，防止泄漏，提供充分的局部排风。工作现场禁止吸烟。</w:t>
            </w:r>
          </w:p>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生产、使用及贮存场所应设置泄漏检测报警仪，使用防爆型的通风系统和设备，配备两套以上重型防护服。操作人员应该佩戴自吸过滤式防毒面具，戴化学安全防护眼镜，穿防毒物渗透工作服，戴耐油橡胶手套。</w:t>
            </w:r>
          </w:p>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储罐等压力容器和设备应设置安全阀、压力表、液位计、温度计，并应装有带压力、液位、温度远传记录和报警功能的安全装置，重点储罐需设置紧急切断装置。</w:t>
            </w:r>
          </w:p>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避免与氧化剂、酸类、碱类、醇类、胺类接触。</w:t>
            </w:r>
          </w:p>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生产、储存区域应设置安全警示标志。搬运时要轻装轻卸，防止包装及容器损坏。配备相应品种和数量的消防器材及泄漏应急处理设备。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69" w:hRule="atLeast"/>
          <w:jc w:val="center"/>
        </w:trPr>
        <w:tc>
          <w:tcPr>
            <w:tcW w:w="125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泄漏处置</w:t>
            </w:r>
          </w:p>
        </w:tc>
        <w:tc>
          <w:tcPr>
            <w:tcW w:w="7707" w:type="dxa"/>
            <w:noWrap w:val="0"/>
            <w:vAlign w:val="center"/>
          </w:tcPr>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戴好防毒面具与手套。用四倍量消灰中和后扫起，倒至空旷地方掩埋或焚烧掉。对污染的地面用肥皂或洗涤剂刷洗，经稀释的污水放入废水系统。接触机会主要用于制造</w:t>
            </w:r>
            <w:r>
              <w:rPr>
                <w:rFonts w:hint="eastAsia" w:cs="Times New Roman"/>
                <w:kern w:val="2"/>
                <w:sz w:val="24"/>
                <w:szCs w:val="24"/>
                <w:lang w:val="en-US" w:eastAsia="zh-CN" w:bidi="ar-SA"/>
              </w:rPr>
              <w:t>聚氨酯发泡胶材料</w:t>
            </w:r>
            <w:r>
              <w:rPr>
                <w:rFonts w:ascii="Times New Roman" w:hAnsi="Times New Roman" w:eastAsia="宋体" w:cs="Times New Roman"/>
                <w:kern w:val="2"/>
                <w:sz w:val="24"/>
                <w:szCs w:val="24"/>
                <w:lang w:val="en-US" w:eastAsia="zh-CN" w:bidi="ar-SA"/>
              </w:rPr>
              <w:t>。生产和使用</w:t>
            </w:r>
            <w:r>
              <w:rPr>
                <w:rFonts w:hint="eastAsia" w:ascii="Times New Roman" w:hAnsi="Times New Roman" w:eastAsia="宋体" w:cs="Times New Roman"/>
                <w:kern w:val="2"/>
                <w:sz w:val="24"/>
                <w:szCs w:val="24"/>
                <w:lang w:val="en-US" w:eastAsia="zh-CN" w:bidi="ar-SA"/>
              </w:rPr>
              <w:t>多亚甲基多苯基异氰酸酯</w:t>
            </w:r>
            <w:r>
              <w:rPr>
                <w:rFonts w:ascii="Times New Roman" w:hAnsi="Times New Roman" w:eastAsia="宋体" w:cs="Times New Roman"/>
                <w:kern w:val="2"/>
                <w:sz w:val="24"/>
                <w:szCs w:val="24"/>
                <w:lang w:val="en-US" w:eastAsia="zh-CN" w:bidi="ar-SA"/>
              </w:rPr>
              <w:t>者均可接触。根据液体流动和蒸气扩散的影响区域划定警戒区，无关人员从侧风、上风向撤离至安全区。建议应急处理人员戴正压自给式空气呼吸器，穿防毒服。作业时使用的所有设备应接地。穿上适当的防护服前严禁接触破裂的容器和泄漏物。尽可能切断泄漏源。防止泄漏物进入水体、下水道、地下室或密闭性空间。严禁用水处理。小量泄漏：用干燥的砂土或其它不燃材料覆盖泄漏物。大量泄漏：构筑围堤或挖坑收容。用泵转移至槽车或专用收集器内。</w:t>
            </w:r>
          </w:p>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泄漏隔离距离对于液体周围至少为50m，对于固体至少为</w:t>
            </w:r>
            <w:r>
              <w:rPr>
                <w:rFonts w:hint="eastAsia" w:ascii="Times New Roman" w:hAnsi="Times New Roman" w:eastAsia="宋体" w:cs="Times New Roman"/>
                <w:kern w:val="2"/>
                <w:sz w:val="24"/>
                <w:szCs w:val="24"/>
                <w:lang w:val="en-US" w:eastAsia="zh-CN" w:bidi="ar-SA"/>
              </w:rPr>
              <w:t>15m</w:t>
            </w:r>
            <w:r>
              <w:rPr>
                <w:rFonts w:ascii="Times New Roman" w:hAnsi="Times New Roman" w:eastAsia="宋体" w:cs="Times New Roman"/>
                <w:kern w:val="2"/>
                <w:sz w:val="24"/>
                <w:szCs w:val="24"/>
                <w:lang w:val="en-US" w:eastAsia="zh-CN" w:bidi="ar-SA"/>
              </w:rPr>
              <w:t>。如果为大量泄漏，在初始隔离距离的基础上加大下风向的疏散距离。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57" w:hRule="atLeast"/>
          <w:jc w:val="center"/>
        </w:trPr>
        <w:tc>
          <w:tcPr>
            <w:tcW w:w="125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急救措施</w:t>
            </w:r>
          </w:p>
        </w:tc>
        <w:tc>
          <w:tcPr>
            <w:tcW w:w="7707" w:type="dxa"/>
            <w:noWrap w:val="0"/>
            <w:vAlign w:val="center"/>
          </w:tcPr>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吸入：迅速脱离现场至空气新鲜处。保持呼吸道通畅。如呼吸困难，给氧。如呼吸停止，立即进行人工呼吸（切勿口对口）。就医。</w:t>
            </w:r>
          </w:p>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食入：用水漱口，给饮牛奶或蛋清。禁止催吐。就医。</w:t>
            </w:r>
          </w:p>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皮肤接触：脱去污染的衣着，立即使用肥皂和大量流动清水冲洗。</w:t>
            </w:r>
          </w:p>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眼睛接触：提起眼睑，用流动清水或生理盐水冲洗至少15分钟</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就医。</w:t>
            </w:r>
          </w:p>
        </w:tc>
      </w:tr>
    </w:tbl>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改性二苯基甲烷二异氰酸酯、多亚甲基多苯基异氰酸酯理化性质与二苯基甲烷二异氰酸酯类似。</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本项目可能出现的风险源大致有：</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①</w:t>
      </w:r>
      <w:r>
        <w:rPr>
          <w:rFonts w:ascii="Times New Roman" w:hAnsi="Times New Roman" w:eastAsia="宋体" w:cs="宋体"/>
          <w:kern w:val="2"/>
          <w:sz w:val="24"/>
          <w:szCs w:val="24"/>
          <w:lang w:val="en-US" w:eastAsia="zh-CN" w:bidi="ar-SA"/>
        </w:rPr>
        <w:t>有毒有害化学品的储存及使用过程中出现的不正常跑、冒、滴、漏；有毒物质的遗失、丢失；破箱事故中有毒物质的散落、外泄；非正常状态下(火灾、洪涝灾害等)有毒有害物的外泄等。</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根据污染源分析，项目使用和主要危险化学物质有：</w:t>
      </w:r>
      <w:r>
        <w:rPr>
          <w:rFonts w:hint="eastAsia" w:ascii="Times New Roman" w:hAnsi="Times New Roman" w:eastAsia="宋体" w:cs="宋体"/>
          <w:kern w:val="2"/>
          <w:sz w:val="24"/>
          <w:szCs w:val="24"/>
          <w:lang w:val="en-US" w:eastAsia="zh-CN" w:bidi="ar-SA"/>
        </w:rPr>
        <w:t>二苯基甲烷二异氰酸酯、改性二苯基甲烷二异氰酸酯和多亚甲基多苯基异氰酸酯。</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②</w:t>
      </w:r>
      <w:r>
        <w:rPr>
          <w:rFonts w:ascii="Times New Roman" w:hAnsi="Times New Roman" w:eastAsia="宋体" w:cs="宋体"/>
          <w:kern w:val="2"/>
          <w:sz w:val="24"/>
          <w:szCs w:val="24"/>
          <w:lang w:val="en-US" w:eastAsia="zh-CN" w:bidi="ar-SA"/>
        </w:rPr>
        <w:t>生产过程中，当污染处理设施无法正常工作时的事故排放，主要是废水、废气的事故排放。</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生产设施风险识别</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该生产工艺对连续作业没有严格的限制，因此该项目的主体工程、</w:t>
      </w:r>
      <w:r>
        <w:rPr>
          <w:rFonts w:hint="eastAsia" w:ascii="Times New Roman" w:hAnsi="Times New Roman" w:eastAsia="宋体" w:cs="宋体"/>
          <w:kern w:val="2"/>
          <w:sz w:val="24"/>
          <w:szCs w:val="24"/>
          <w:lang w:val="en-US" w:eastAsia="zh-CN" w:bidi="ar-SA"/>
        </w:rPr>
        <w:t>公用</w:t>
      </w:r>
      <w:r>
        <w:rPr>
          <w:rFonts w:ascii="Times New Roman" w:hAnsi="Times New Roman" w:eastAsia="宋体" w:cs="宋体"/>
          <w:kern w:val="2"/>
          <w:sz w:val="24"/>
          <w:szCs w:val="24"/>
          <w:lang w:val="en-US" w:eastAsia="zh-CN" w:bidi="ar-SA"/>
        </w:rPr>
        <w:t>工程和</w:t>
      </w:r>
      <w:r>
        <w:rPr>
          <w:rFonts w:hint="eastAsia" w:ascii="Times New Roman" w:hAnsi="Times New Roman" w:eastAsia="宋体" w:cs="宋体"/>
          <w:kern w:val="2"/>
          <w:sz w:val="24"/>
          <w:szCs w:val="24"/>
          <w:lang w:val="en-US" w:eastAsia="zh-CN" w:bidi="ar-SA"/>
        </w:rPr>
        <w:t>环保</w:t>
      </w:r>
      <w:r>
        <w:rPr>
          <w:rFonts w:ascii="Times New Roman" w:hAnsi="Times New Roman" w:eastAsia="宋体" w:cs="宋体"/>
          <w:kern w:val="2"/>
          <w:sz w:val="24"/>
          <w:szCs w:val="24"/>
          <w:lang w:val="en-US" w:eastAsia="zh-CN" w:bidi="ar-SA"/>
        </w:rPr>
        <w:t>工程在出现设备故障时生产系统可随时停产对流程中的物料加以控制。由此可见，只要管理严格，生产系统不会发生事故性排放，不存在发生严重污染环境的风险。</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但环保工程的废水和废气处理设施发生故障或停用时，会导致污染物超标排放，主要有以下几种情况：</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① 废水处理设施出现运行故障时，致使废水超标排放，进而使水体水质恶化。</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②</w:t>
      </w:r>
      <w:r>
        <w:rPr>
          <w:rFonts w:hint="eastAsia" w:ascii="Times New Roman" w:hAnsi="Times New Roman" w:eastAsia="宋体" w:cs="宋体"/>
          <w:kern w:val="2"/>
          <w:sz w:val="24"/>
          <w:szCs w:val="24"/>
          <w:lang w:val="en-US" w:eastAsia="zh-CN" w:bidi="ar-SA"/>
        </w:rPr>
        <w:t xml:space="preserve"> </w:t>
      </w:r>
      <w:r>
        <w:rPr>
          <w:rFonts w:ascii="Times New Roman" w:hAnsi="Times New Roman" w:eastAsia="宋体" w:cs="宋体"/>
          <w:kern w:val="2"/>
          <w:sz w:val="24"/>
          <w:szCs w:val="24"/>
          <w:lang w:val="en-US" w:eastAsia="zh-CN" w:bidi="ar-SA"/>
        </w:rPr>
        <w:t>废气超标排入大气，进而污染附近区域的环境空气。</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③</w:t>
      </w:r>
      <w:r>
        <w:rPr>
          <w:rFonts w:hint="eastAsia" w:ascii="Times New Roman" w:hAnsi="Times New Roman" w:eastAsia="宋体" w:cs="宋体"/>
          <w:kern w:val="2"/>
          <w:sz w:val="24"/>
          <w:szCs w:val="24"/>
          <w:lang w:val="en-US" w:eastAsia="zh-CN" w:bidi="ar-SA"/>
        </w:rPr>
        <w:t xml:space="preserve"> 危险废物泄漏、化学品库泄漏</w:t>
      </w:r>
      <w:r>
        <w:rPr>
          <w:rFonts w:ascii="Times New Roman" w:hAnsi="Times New Roman" w:eastAsia="宋体" w:cs="宋体"/>
          <w:kern w:val="2"/>
          <w:sz w:val="24"/>
          <w:szCs w:val="24"/>
          <w:lang w:val="en-US" w:eastAsia="zh-CN" w:bidi="ar-SA"/>
        </w:rPr>
        <w:t>对周围环境造成严重的污染。</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在这些情况下，都将对周围环境产生影响。</w:t>
      </w:r>
    </w:p>
    <w:bookmarkEnd w:id="1564"/>
    <w:bookmarkEnd w:id="1565"/>
    <w:bookmarkEnd w:id="1566"/>
    <w:bookmarkEnd w:id="1567"/>
    <w:bookmarkEnd w:id="1568"/>
    <w:bookmarkEnd w:id="1569"/>
    <w:bookmarkEnd w:id="1570"/>
    <w:bookmarkEnd w:id="1571"/>
    <w:bookmarkEnd w:id="1572"/>
    <w:p>
      <w:pPr>
        <w:pStyle w:val="2"/>
        <w:bidi w:val="0"/>
        <w:rPr>
          <w:lang w:val="en-US" w:eastAsia="zh-CN"/>
        </w:rPr>
      </w:pPr>
      <w:bookmarkStart w:id="1574" w:name="_Toc13381"/>
      <w:bookmarkStart w:id="1575" w:name="_Toc20436"/>
      <w:bookmarkStart w:id="1576" w:name="_Toc26573"/>
      <w:r>
        <w:rPr>
          <w:rFonts w:hint="eastAsia"/>
          <w:lang w:val="en-US" w:eastAsia="zh-CN"/>
        </w:rPr>
        <w:t>事故风险防范措施</w:t>
      </w:r>
      <w:bookmarkEnd w:id="1574"/>
      <w:bookmarkEnd w:id="1575"/>
      <w:bookmarkEnd w:id="1576"/>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1577" w:name="_Toc170376450"/>
      <w:bookmarkStart w:id="1578" w:name="_Toc170311294"/>
      <w:bookmarkStart w:id="1579" w:name="_Toc142666693"/>
      <w:bookmarkStart w:id="1580" w:name="_Toc169409093"/>
      <w:bookmarkStart w:id="1581" w:name="_Toc13478_WPSOffice_Level3"/>
      <w:bookmarkStart w:id="1582" w:name="_Toc21510_WPSOffice_Level3"/>
      <w:bookmarkStart w:id="1583" w:name="_Toc1310"/>
      <w:bookmarkStart w:id="1584" w:name="_Toc3953"/>
      <w:r>
        <w:rPr>
          <w:rFonts w:ascii="Times New Roman" w:hAnsi="Times New Roman" w:eastAsia="宋体" w:cs="宋体"/>
          <w:kern w:val="2"/>
          <w:sz w:val="24"/>
          <w:szCs w:val="24"/>
          <w:lang w:val="en-US" w:eastAsia="zh-CN" w:bidi="ar-SA"/>
        </w:rPr>
        <w:t>为使环境风险减小到最低限度，必须加强劳动安全卫生管理，制定完备、有效的安全防范措施，尽可能降低该项目环境风险事故发生的概率。</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（1）运输过程中的事故防范措施</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本项目涉及到原辅料及产品中没有危险化学品，</w:t>
      </w:r>
      <w:r>
        <w:rPr>
          <w:rFonts w:hint="eastAsia" w:ascii="Times New Roman" w:hAnsi="Times New Roman" w:eastAsia="宋体" w:cs="宋体"/>
          <w:kern w:val="2"/>
          <w:sz w:val="24"/>
          <w:szCs w:val="24"/>
          <w:lang w:val="en-US" w:eastAsia="zh-CN" w:bidi="ar-SA"/>
        </w:rPr>
        <w:t>多亚甲基多苯基异氰酸酯和改性多亚甲基多苯基异氰酸酯</w:t>
      </w:r>
      <w:r>
        <w:rPr>
          <w:rFonts w:ascii="Times New Roman" w:hAnsi="Times New Roman" w:eastAsia="宋体" w:cs="宋体"/>
          <w:kern w:val="2"/>
          <w:sz w:val="24"/>
          <w:szCs w:val="24"/>
          <w:lang w:val="en-US" w:eastAsia="zh-CN" w:bidi="ar-SA"/>
        </w:rPr>
        <w:t>属于可燃物，在运输过程中应小心谨慎，确保安全。为此注意以下几个问题：</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①</w:t>
      </w:r>
      <w:r>
        <w:rPr>
          <w:rFonts w:ascii="Times New Roman" w:hAnsi="Times New Roman" w:eastAsia="宋体" w:cs="宋体"/>
          <w:kern w:val="2"/>
          <w:sz w:val="24"/>
          <w:szCs w:val="24"/>
          <w:lang w:val="en-US" w:eastAsia="zh-CN" w:bidi="ar-SA"/>
        </w:rPr>
        <w:t>合理规划运输路线及运输时间。</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②</w:t>
      </w:r>
      <w:r>
        <w:rPr>
          <w:rFonts w:ascii="Times New Roman" w:hAnsi="Times New Roman" w:eastAsia="宋体" w:cs="宋体"/>
          <w:kern w:val="2"/>
          <w:sz w:val="24"/>
          <w:szCs w:val="24"/>
          <w:lang w:val="en-US" w:eastAsia="zh-CN" w:bidi="ar-SA"/>
        </w:rPr>
        <w:t>涉及到危险品的装运应做到定车、定人。定车就是要把装运危险品的车辆，相对固定，专车专用。凡用来盛装危险物质的容器，包括槽（罐）车不得用来盛装其它物品，更不许盛装食品。而车辆必须是专用车，不能在任务紧急、车辆紧张的情况下使用两轮摩托车或三轮摩托车等担任危险物品的运输任务。定人就是把管理、驾驶、押运及装卸等工作的人员加以固定，这就保证了危险品的运输任务始终是由专业人员来担负，从人员上保障危险品运输过程中的安全。</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③</w:t>
      </w:r>
      <w:r>
        <w:rPr>
          <w:rFonts w:ascii="Times New Roman" w:hAnsi="Times New Roman" w:eastAsia="宋体" w:cs="宋体"/>
          <w:kern w:val="2"/>
          <w:sz w:val="24"/>
          <w:szCs w:val="24"/>
          <w:lang w:val="en-US" w:eastAsia="zh-CN" w:bidi="ar-SA"/>
        </w:rPr>
        <w:t>如装运的危险物品必须在其外包装的明显部位按《危险货物包装标志》（GB190-90）规定的危险物品标志，包装标志要粘牢固、正确。</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④</w:t>
      </w:r>
      <w:r>
        <w:rPr>
          <w:rFonts w:ascii="Times New Roman" w:hAnsi="Times New Roman" w:eastAsia="宋体" w:cs="宋体"/>
          <w:kern w:val="2"/>
          <w:sz w:val="24"/>
          <w:szCs w:val="24"/>
          <w:lang w:val="en-US" w:eastAsia="zh-CN" w:bidi="ar-SA"/>
        </w:rPr>
        <w:t>如在危险品运输过程中，一旦发生意外，在采取应急处理的同时，迅速报告公安机关和环保等有关部门，疏散群众，防止事态进一步扩大，并积极协助前来救助的公安交通和消防人员抢救伤者和物资，使损失降低到最小范围。</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⑤</w:t>
      </w:r>
      <w:r>
        <w:rPr>
          <w:rFonts w:ascii="Times New Roman" w:hAnsi="Times New Roman" w:eastAsia="宋体" w:cs="宋体"/>
          <w:kern w:val="2"/>
          <w:sz w:val="24"/>
          <w:szCs w:val="24"/>
          <w:lang w:val="en-US" w:eastAsia="zh-CN" w:bidi="ar-SA"/>
        </w:rPr>
        <w:t>涉及到运输腐蚀性物品汽车的驾驶员和押运人员，在出车前必须检查防护用品和检查是否携带齐全有效，在运输途中发现泄漏时应主动采取处理措施，防止事态进一步扩大，在切断泄漏源后，应将情况及时向当地公安机关和有关部门报告，若处理不了，应立即报告当地公安机关和有关部门，请求支援。</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（2）生产过程风险防范措施</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生产操作过程中，必须加强安全管理，提高事故防范措施。突发性污染事故特别是项目中的腐蚀性化学品的重大事故将对事故现场人员的生命和健康造成严重危害，此外还将造成直接或间接的巨大经济损失，以及造成社会不安定因素同时对生态环境也会造成严重的破坏。因此，做好突发性环境污染事故的预防提高对突发性污染事故的应急处理和处置能力，对企业具有重要的意义。</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企业领导应该提高对突发性事故的警觉和认识，作到警钟常鸣。建议企业建立安全与环保科，并由企业领导直接领导，全权负责。主要负责、检查和监督全厂的安全生产和环保设施的正常运转情况。对安全和环保应建立严格的防范措施，制定严格的管理规章制度，列出潜在危险的过程、设备等清单，严格执行设备检验和报废制度。</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员工</w:t>
      </w:r>
      <w:r>
        <w:rPr>
          <w:rFonts w:ascii="Times New Roman" w:hAnsi="Times New Roman" w:eastAsia="宋体" w:cs="宋体"/>
          <w:kern w:val="2"/>
          <w:sz w:val="24"/>
          <w:szCs w:val="24"/>
          <w:lang w:val="en-US" w:eastAsia="zh-CN" w:bidi="ar-SA"/>
        </w:rPr>
        <w:t>安全生产的经验不足，一定程度上会增加事故发生的概率，因此企业对生产操作工人必须进行上岗前专业技术培训，严格管理，提高</w:t>
      </w:r>
      <w:r>
        <w:rPr>
          <w:rFonts w:hint="eastAsia" w:ascii="Times New Roman" w:hAnsi="Times New Roman" w:eastAsia="宋体" w:cs="宋体"/>
          <w:kern w:val="2"/>
          <w:sz w:val="24"/>
          <w:szCs w:val="24"/>
          <w:lang w:val="en-US" w:eastAsia="zh-CN" w:bidi="ar-SA"/>
        </w:rPr>
        <w:t>员工</w:t>
      </w:r>
      <w:r>
        <w:rPr>
          <w:rFonts w:ascii="Times New Roman" w:hAnsi="Times New Roman" w:eastAsia="宋体" w:cs="宋体"/>
          <w:kern w:val="2"/>
          <w:sz w:val="24"/>
          <w:szCs w:val="24"/>
          <w:lang w:val="en-US" w:eastAsia="zh-CN" w:bidi="ar-SA"/>
        </w:rPr>
        <w:t>安全环保意识。</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企业对具有高危害设备设置保险措施，对危险车间可设置消防装置等必备设施，并辅以适当的通讯工具，定期进行安全环保宣传教育以及紧急事故模拟演习，提高事故应变能力。</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（3）存贮过程中的安全防范措施</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①</w:t>
      </w:r>
      <w:r>
        <w:rPr>
          <w:rFonts w:ascii="Times New Roman" w:hAnsi="Times New Roman" w:eastAsia="宋体" w:cs="宋体"/>
          <w:kern w:val="2"/>
          <w:sz w:val="24"/>
          <w:szCs w:val="24"/>
          <w:lang w:val="en-US" w:eastAsia="zh-CN" w:bidi="ar-SA"/>
        </w:rPr>
        <w:t>生产区</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a.如在装卸化学危险物品前，要预先做好准备工作，了解物品性质，检查装卸搬运的工具是否牢固，不牢固的应予以更换或修理。如工具上曾被易燃物、有机物、酸、碱等污染的，必须清洗后方可使用。</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b.操作人员应根据不同物资的危险特性，分别穿戴相应的防护用具。操作前应由专人检查用具是否妥善，穿戴是否合适。</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c.如在装卸化学危险物品时，不得饮酒、吸烟。工作完毕后根据工作情况和危险品的性质，及时清洗手、脸、漱口或淋浴。必须保持现场空气流通。</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d.晚间作业应用防爆式或封闭式的安全照明。雨、雪、冰封时作业，应有防滑措施。</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e.在现场须备有清水、苏打水或醋酸等，以备急救时应用。</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F</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涉料液罐的使用的生产车间</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车间内需要设置一个小的事故池</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用于料液罐发生泄漏时</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贮存料液</w:t>
      </w:r>
      <w:r>
        <w:rPr>
          <w:rFonts w:hint="eastAsia" w:ascii="Times New Roman" w:hAnsi="Times New Roman" w:eastAsia="宋体" w:cs="宋体"/>
          <w:kern w:val="2"/>
          <w:sz w:val="24"/>
          <w:szCs w:val="24"/>
          <w:lang w:val="en-US" w:eastAsia="zh-CN" w:bidi="ar-SA"/>
        </w:rPr>
        <w:t>；明确事故池内的物料，</w:t>
      </w:r>
      <w:r>
        <w:rPr>
          <w:rFonts w:ascii="Times New Roman" w:hAnsi="Times New Roman" w:eastAsia="宋体" w:cs="宋体"/>
          <w:kern w:val="2"/>
          <w:sz w:val="24"/>
          <w:szCs w:val="24"/>
          <w:lang w:val="en-US" w:eastAsia="zh-CN" w:bidi="ar-SA"/>
        </w:rPr>
        <w:t>事故收集池收集的物料回用于生产工序中。</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②贮存区</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原料仓库中有</w:t>
      </w:r>
      <w:r>
        <w:rPr>
          <w:rFonts w:hint="eastAsia" w:ascii="Times New Roman" w:hAnsi="Times New Roman" w:eastAsia="宋体" w:cs="宋体"/>
          <w:kern w:val="2"/>
          <w:sz w:val="24"/>
          <w:szCs w:val="24"/>
          <w:lang w:val="en-US" w:eastAsia="zh-CN" w:bidi="ar-SA"/>
        </w:rPr>
        <w:t>多亚甲基多苯基异氰酸酯和改性多亚甲基多苯基异氰酸酯</w:t>
      </w:r>
      <w:r>
        <w:rPr>
          <w:rFonts w:ascii="Times New Roman" w:hAnsi="Times New Roman" w:eastAsia="宋体" w:cs="宋体"/>
          <w:kern w:val="2"/>
          <w:sz w:val="24"/>
          <w:szCs w:val="24"/>
          <w:lang w:val="en-US" w:eastAsia="zh-CN" w:bidi="ar-SA"/>
        </w:rPr>
        <w:t>等，储存期间可能有可燃液体泄漏、气体挥发，仓库内安装可燃气体自动检测仪器仪表；对爆炸、火灾危害场所内可能产生静电危害的物体采取工业静电防范措施。</w:t>
      </w:r>
      <w:r>
        <w:rPr>
          <w:rFonts w:hint="eastAsia" w:ascii="Times New Roman" w:hAnsi="Times New Roman" w:eastAsia="宋体" w:cs="宋体"/>
          <w:kern w:val="2"/>
          <w:sz w:val="24"/>
          <w:szCs w:val="24"/>
          <w:lang w:val="en-US" w:eastAsia="zh-CN" w:bidi="ar-SA"/>
        </w:rPr>
        <w:t>贮存区四周设置有围堰，同时设置可通往事故池的管道。</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贮存设备、贮存方式要符合国家标准。性质相抵触、灭火方法不同的原料物品应分类贮存。库房应配备必需的消防、通风、降温、防潮、避雷等安全装置。</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设备、管道、管件等均采用可靠的密封技术，使反应、储存和输送过程都在密封的情况下进行，防止易燃、易爆及有毒有害物料的泄漏。</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压力容器严格按照《压力容器安全技术监察规程》的有关规定进行设计，并按规定设置安全阀，防止超压后发生危险。</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在易发生毒害污染的部位，设置急救冲洗设备、洗眼器和安全喷淋喷头等设施。</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（4）火灾安全防范措施</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①</w:t>
      </w:r>
      <w:r>
        <w:rPr>
          <w:rFonts w:ascii="Times New Roman" w:hAnsi="Times New Roman" w:eastAsia="宋体" w:cs="宋体"/>
          <w:kern w:val="2"/>
          <w:sz w:val="24"/>
          <w:szCs w:val="24"/>
          <w:lang w:val="en-US" w:eastAsia="zh-CN" w:bidi="ar-SA"/>
        </w:rPr>
        <w:t>消防设计必须经当地消防部门批准。选用的消防器材，必须是经过国家鉴定合格的产品。消防泵房应符合《建筑设计防火规范》GB50016等规范。</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②</w:t>
      </w:r>
      <w:r>
        <w:rPr>
          <w:rFonts w:ascii="Times New Roman" w:hAnsi="Times New Roman" w:eastAsia="宋体" w:cs="宋体"/>
          <w:kern w:val="2"/>
          <w:sz w:val="24"/>
          <w:szCs w:val="24"/>
          <w:lang w:val="en-US" w:eastAsia="zh-CN" w:bidi="ar-SA"/>
        </w:rPr>
        <w:t>合理布置消防水管网与消火栓。并保证足够水量与水压。</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③</w:t>
      </w:r>
      <w:r>
        <w:rPr>
          <w:rFonts w:ascii="Times New Roman" w:hAnsi="Times New Roman" w:eastAsia="宋体" w:cs="宋体"/>
          <w:kern w:val="2"/>
          <w:sz w:val="24"/>
          <w:szCs w:val="24"/>
          <w:lang w:val="en-US" w:eastAsia="zh-CN" w:bidi="ar-SA"/>
        </w:rPr>
        <w:t>有爆炸和火灾危险性的物料、设备及其厂房或周围区域，应设立明显的禁火标志，并建立严格的防火防爆管理制度。</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④</w:t>
      </w:r>
      <w:r>
        <w:rPr>
          <w:rFonts w:ascii="Times New Roman" w:hAnsi="Times New Roman" w:eastAsia="宋体" w:cs="宋体"/>
          <w:kern w:val="2"/>
          <w:sz w:val="24"/>
          <w:szCs w:val="24"/>
          <w:lang w:val="en-US" w:eastAsia="zh-CN" w:bidi="ar-SA"/>
        </w:rPr>
        <w:t>各系统设备、管道的保温满足相应的工艺要求，应采用阻燃材料或难燃材料。</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（5）废水事故预防措施</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废水治理设施在设计、施工时，应严格按照工程设计规范要求进行，选用标准管材，进行防腐、防渗处理。加强治理设施的运行管理和日常维护，发现异常应及时查明原因和维修。防止污废水泄漏造成的环境污染事故，项目需要设置事故池，切断污染物与外部的通道，使污染物导入污水处理系统，将污染控制在厂内。项目废水排入自建污水处理站集中处理达标后排入</w:t>
      </w:r>
      <w:r>
        <w:rPr>
          <w:rFonts w:hint="eastAsia" w:ascii="Times New Roman" w:hAnsi="Times New Roman" w:eastAsia="宋体" w:cs="宋体"/>
          <w:kern w:val="2"/>
          <w:sz w:val="24"/>
          <w:szCs w:val="24"/>
          <w:lang w:val="en-US" w:eastAsia="zh-CN" w:bidi="ar-SA"/>
        </w:rPr>
        <w:t>池布河</w:t>
      </w:r>
      <w:r>
        <w:rPr>
          <w:rFonts w:ascii="Times New Roman" w:hAnsi="Times New Roman" w:eastAsia="宋体" w:cs="宋体"/>
          <w:kern w:val="2"/>
          <w:sz w:val="24"/>
          <w:szCs w:val="24"/>
          <w:lang w:val="en-US" w:eastAsia="zh-CN" w:bidi="ar-SA"/>
        </w:rPr>
        <w:t>，由污水处理站进入水域前建终端事故池作为事故状态下储存与调控手段的预防控制措施，防止生产事故泄露废水和污染消防水造成的环境污染。</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建设单位应从防止事故状态污染物向水环境转移的控制要求进行设计，制定相应防控措施。应在污水、雨水排水系统等排出装置前设立闸门，对雨水排水管设立切换装置，事故时及时切换至收集、处理设施。</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本项目生产中发生事故时，为防止被污染废水等通过厂区雨水管道等途径进入周围地表水体，拟采取以下措施予以防范：</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①</w:t>
      </w:r>
      <w:r>
        <w:rPr>
          <w:rFonts w:ascii="Times New Roman" w:hAnsi="Times New Roman" w:eastAsia="宋体" w:cs="宋体"/>
          <w:kern w:val="2"/>
          <w:sz w:val="24"/>
          <w:szCs w:val="24"/>
          <w:lang w:val="en-US" w:eastAsia="zh-CN" w:bidi="ar-SA"/>
        </w:rPr>
        <w:t>车间四周均应设置地沟，对泄漏出来的物料和事故废水进行围堵和收集。</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②</w:t>
      </w:r>
      <w:r>
        <w:rPr>
          <w:rFonts w:ascii="Times New Roman" w:hAnsi="Times New Roman" w:eastAsia="宋体" w:cs="宋体"/>
          <w:kern w:val="2"/>
          <w:sz w:val="24"/>
          <w:szCs w:val="24"/>
          <w:lang w:val="en-US" w:eastAsia="zh-CN" w:bidi="ar-SA"/>
        </w:rPr>
        <w:t>厂区实行严格的</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清污分流、雨污分流</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，设置切换阀，在紧急状态下及时全部切换至废水处理站。</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③</w:t>
      </w:r>
      <w:r>
        <w:rPr>
          <w:rFonts w:ascii="Times New Roman" w:hAnsi="Times New Roman" w:eastAsia="宋体" w:cs="宋体"/>
          <w:kern w:val="2"/>
          <w:sz w:val="24"/>
          <w:szCs w:val="24"/>
          <w:lang w:val="en-US" w:eastAsia="zh-CN" w:bidi="ar-SA"/>
        </w:rPr>
        <w:t>厂</w:t>
      </w:r>
      <w:r>
        <w:rPr>
          <w:rFonts w:hint="eastAsia" w:ascii="Times New Roman" w:hAnsi="Times New Roman" w:eastAsia="宋体" w:cs="宋体"/>
          <w:kern w:val="2"/>
          <w:sz w:val="24"/>
          <w:szCs w:val="24"/>
          <w:lang w:val="en-US" w:eastAsia="zh-CN" w:bidi="ar-SA"/>
        </w:rPr>
        <w:t>区</w:t>
      </w:r>
      <w:r>
        <w:rPr>
          <w:rFonts w:ascii="Times New Roman" w:hAnsi="Times New Roman" w:eastAsia="宋体" w:cs="宋体"/>
          <w:kern w:val="2"/>
          <w:sz w:val="24"/>
          <w:szCs w:val="24"/>
          <w:lang w:val="en-US" w:eastAsia="zh-CN" w:bidi="ar-SA"/>
        </w:rPr>
        <w:t>设置事故池，用于收集企业污水处理设施非正常生产情况处理不达标的废水，可确保事故废水不污染地表水体。</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参照《关于印发</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水体污染防控紧急措施设计导则</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的通知》（中国石化建标[2006]43号）中相关要求，事故池有效容积计算公式如下：</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V</w:t>
      </w:r>
      <w:r>
        <w:rPr>
          <w:rFonts w:ascii="Times New Roman" w:hAnsi="Times New Roman" w:eastAsia="宋体" w:cs="宋体"/>
          <w:kern w:val="2"/>
          <w:sz w:val="24"/>
          <w:szCs w:val="24"/>
          <w:vertAlign w:val="subscript"/>
          <w:lang w:val="en-US" w:eastAsia="zh-CN" w:bidi="ar-SA"/>
        </w:rPr>
        <w:t>总</w:t>
      </w:r>
      <w:r>
        <w:rPr>
          <w:rFonts w:ascii="Times New Roman" w:hAnsi="Times New Roman" w:eastAsia="宋体" w:cs="宋体"/>
          <w:kern w:val="2"/>
          <w:sz w:val="24"/>
          <w:szCs w:val="24"/>
          <w:lang w:val="en-US" w:eastAsia="zh-CN" w:bidi="ar-SA"/>
        </w:rPr>
        <w:t>=（V</w:t>
      </w:r>
      <w:r>
        <w:rPr>
          <w:rFonts w:ascii="Times New Roman" w:hAnsi="Times New Roman" w:eastAsia="宋体" w:cs="宋体"/>
          <w:kern w:val="2"/>
          <w:sz w:val="24"/>
          <w:szCs w:val="24"/>
          <w:vertAlign w:val="subscript"/>
          <w:lang w:val="en-US" w:eastAsia="zh-CN" w:bidi="ar-SA"/>
        </w:rPr>
        <w:t>1</w:t>
      </w:r>
      <w:r>
        <w:rPr>
          <w:rFonts w:ascii="Times New Roman" w:hAnsi="Times New Roman" w:eastAsia="宋体" w:cs="宋体"/>
          <w:kern w:val="2"/>
          <w:sz w:val="24"/>
          <w:szCs w:val="24"/>
          <w:lang w:val="en-US" w:eastAsia="zh-CN" w:bidi="ar-SA"/>
        </w:rPr>
        <w:t>+V</w:t>
      </w:r>
      <w:r>
        <w:rPr>
          <w:rFonts w:ascii="Times New Roman" w:hAnsi="Times New Roman" w:eastAsia="宋体" w:cs="宋体"/>
          <w:kern w:val="2"/>
          <w:sz w:val="24"/>
          <w:szCs w:val="24"/>
          <w:vertAlign w:val="subscript"/>
          <w:lang w:val="en-US" w:eastAsia="zh-CN" w:bidi="ar-SA"/>
        </w:rPr>
        <w:t>2</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V</w:t>
      </w:r>
      <w:r>
        <w:rPr>
          <w:rFonts w:ascii="Times New Roman" w:hAnsi="Times New Roman" w:eastAsia="宋体" w:cs="宋体"/>
          <w:kern w:val="2"/>
          <w:sz w:val="24"/>
          <w:szCs w:val="24"/>
          <w:vertAlign w:val="subscript"/>
          <w:lang w:val="en-US" w:eastAsia="zh-CN" w:bidi="ar-SA"/>
        </w:rPr>
        <w:t>3</w:t>
      </w:r>
      <w:r>
        <w:rPr>
          <w:rFonts w:hint="eastAsia"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vertAlign w:val="subscript"/>
          <w:lang w:val="en-US" w:eastAsia="zh-CN" w:bidi="ar-SA"/>
        </w:rPr>
        <w:t>max</w:t>
      </w:r>
      <w:r>
        <w:rPr>
          <w:rFonts w:ascii="Times New Roman" w:hAnsi="Times New Roman" w:eastAsia="宋体" w:cs="宋体"/>
          <w:kern w:val="2"/>
          <w:sz w:val="24"/>
          <w:szCs w:val="24"/>
          <w:lang w:val="en-US" w:eastAsia="zh-CN" w:bidi="ar-SA"/>
        </w:rPr>
        <w:t>+ V</w:t>
      </w:r>
      <w:r>
        <w:rPr>
          <w:rFonts w:ascii="Times New Roman" w:hAnsi="Times New Roman" w:eastAsia="宋体" w:cs="宋体"/>
          <w:kern w:val="2"/>
          <w:sz w:val="24"/>
          <w:szCs w:val="24"/>
          <w:vertAlign w:val="subscript"/>
          <w:lang w:val="en-US" w:eastAsia="zh-CN" w:bidi="ar-SA"/>
        </w:rPr>
        <w:t>4</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V</w:t>
      </w:r>
      <w:r>
        <w:rPr>
          <w:rFonts w:ascii="Times New Roman" w:hAnsi="Times New Roman" w:eastAsia="宋体" w:cs="宋体"/>
          <w:kern w:val="2"/>
          <w:sz w:val="24"/>
          <w:szCs w:val="24"/>
          <w:vertAlign w:val="subscript"/>
          <w:lang w:val="en-US" w:eastAsia="zh-CN" w:bidi="ar-SA"/>
        </w:rPr>
        <w:t>5</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注：（V</w:t>
      </w:r>
      <w:r>
        <w:rPr>
          <w:rFonts w:ascii="Times New Roman" w:hAnsi="Times New Roman" w:eastAsia="宋体" w:cs="宋体"/>
          <w:kern w:val="2"/>
          <w:sz w:val="24"/>
          <w:szCs w:val="24"/>
          <w:vertAlign w:val="subscript"/>
          <w:lang w:val="en-US" w:eastAsia="zh-CN" w:bidi="ar-SA"/>
        </w:rPr>
        <w:t>1</w:t>
      </w:r>
      <w:r>
        <w:rPr>
          <w:rFonts w:ascii="Times New Roman" w:hAnsi="Times New Roman" w:eastAsia="宋体" w:cs="宋体"/>
          <w:kern w:val="2"/>
          <w:sz w:val="24"/>
          <w:szCs w:val="24"/>
          <w:lang w:val="en-US" w:eastAsia="zh-CN" w:bidi="ar-SA"/>
        </w:rPr>
        <w:t>+V</w:t>
      </w:r>
      <w:r>
        <w:rPr>
          <w:rFonts w:ascii="Times New Roman" w:hAnsi="Times New Roman" w:eastAsia="宋体" w:cs="宋体"/>
          <w:kern w:val="2"/>
          <w:sz w:val="24"/>
          <w:szCs w:val="24"/>
          <w:vertAlign w:val="subscript"/>
          <w:lang w:val="en-US" w:eastAsia="zh-CN" w:bidi="ar-SA"/>
        </w:rPr>
        <w:t>2</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V</w:t>
      </w:r>
      <w:r>
        <w:rPr>
          <w:rFonts w:ascii="Times New Roman" w:hAnsi="Times New Roman" w:eastAsia="宋体" w:cs="宋体"/>
          <w:kern w:val="2"/>
          <w:sz w:val="24"/>
          <w:szCs w:val="24"/>
          <w:vertAlign w:val="subscript"/>
          <w:lang w:val="en-US" w:eastAsia="zh-CN" w:bidi="ar-SA"/>
        </w:rPr>
        <w:t>3</w:t>
      </w:r>
      <w:r>
        <w:rPr>
          <w:rFonts w:hint="eastAsia"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vertAlign w:val="subscript"/>
          <w:lang w:val="en-US" w:eastAsia="zh-CN" w:bidi="ar-SA"/>
        </w:rPr>
        <w:t>max</w:t>
      </w:r>
      <w:r>
        <w:rPr>
          <w:rFonts w:hint="eastAsia" w:ascii="Times New Roman" w:hAnsi="Times New Roman" w:eastAsia="宋体" w:cs="宋体"/>
          <w:kern w:val="2"/>
          <w:sz w:val="24"/>
          <w:szCs w:val="24"/>
          <w:lang w:val="en-US" w:eastAsia="zh-CN" w:bidi="ar-SA"/>
        </w:rPr>
        <w:t>是指对收集系统范围内不同罐组或装置分别计算</w:t>
      </w:r>
      <w:r>
        <w:rPr>
          <w:rFonts w:ascii="Times New Roman" w:hAnsi="Times New Roman" w:eastAsia="宋体" w:cs="宋体"/>
          <w:kern w:val="2"/>
          <w:sz w:val="24"/>
          <w:szCs w:val="24"/>
          <w:lang w:val="en-US" w:eastAsia="zh-CN" w:bidi="ar-SA"/>
        </w:rPr>
        <w:t>V</w:t>
      </w:r>
      <w:r>
        <w:rPr>
          <w:rFonts w:ascii="Times New Roman" w:hAnsi="Times New Roman" w:eastAsia="宋体" w:cs="宋体"/>
          <w:kern w:val="2"/>
          <w:sz w:val="24"/>
          <w:szCs w:val="24"/>
          <w:vertAlign w:val="subscript"/>
          <w:lang w:val="en-US" w:eastAsia="zh-CN" w:bidi="ar-SA"/>
        </w:rPr>
        <w:t>1</w:t>
      </w:r>
      <w:r>
        <w:rPr>
          <w:rFonts w:ascii="Times New Roman" w:hAnsi="Times New Roman" w:eastAsia="宋体" w:cs="宋体"/>
          <w:kern w:val="2"/>
          <w:sz w:val="24"/>
          <w:szCs w:val="24"/>
          <w:lang w:val="en-US" w:eastAsia="zh-CN" w:bidi="ar-SA"/>
        </w:rPr>
        <w:t>+V</w:t>
      </w:r>
      <w:r>
        <w:rPr>
          <w:rFonts w:ascii="Times New Roman" w:hAnsi="Times New Roman" w:eastAsia="宋体" w:cs="宋体"/>
          <w:kern w:val="2"/>
          <w:sz w:val="24"/>
          <w:szCs w:val="24"/>
          <w:vertAlign w:val="subscript"/>
          <w:lang w:val="en-US" w:eastAsia="zh-CN" w:bidi="ar-SA"/>
        </w:rPr>
        <w:t>2</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V</w:t>
      </w:r>
      <w:r>
        <w:rPr>
          <w:rFonts w:ascii="Times New Roman" w:hAnsi="Times New Roman" w:eastAsia="宋体" w:cs="宋体"/>
          <w:kern w:val="2"/>
          <w:sz w:val="24"/>
          <w:szCs w:val="24"/>
          <w:vertAlign w:val="subscript"/>
          <w:lang w:val="en-US" w:eastAsia="zh-CN" w:bidi="ar-SA"/>
        </w:rPr>
        <w:t>3</w:t>
      </w:r>
      <w:r>
        <w:rPr>
          <w:rFonts w:hint="eastAsia" w:ascii="Times New Roman" w:hAnsi="Times New Roman" w:eastAsia="宋体" w:cs="宋体"/>
          <w:kern w:val="2"/>
          <w:sz w:val="24"/>
          <w:szCs w:val="24"/>
          <w:lang w:val="en-US" w:eastAsia="zh-CN" w:bidi="ar-SA"/>
        </w:rPr>
        <w:t>，取其中最大值</w:t>
      </w:r>
      <w:r>
        <w:rPr>
          <w:rFonts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V</w:t>
      </w:r>
      <w:r>
        <w:rPr>
          <w:rFonts w:ascii="Times New Roman" w:hAnsi="Times New Roman" w:eastAsia="宋体" w:cs="宋体"/>
          <w:kern w:val="2"/>
          <w:sz w:val="24"/>
          <w:szCs w:val="24"/>
          <w:vertAlign w:val="subscript"/>
          <w:lang w:val="en-US" w:eastAsia="zh-CN" w:bidi="ar-SA"/>
        </w:rPr>
        <w:t>1</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最大一个容量的设备或贮罐。收集系统范围内发生事故的1个罐组或1套装置的物料量（储存相同物料的罐组按1个最大储罐计，装置物料量按存留最大物料量的一台反应器或中间储罐计）；本项目V</w:t>
      </w:r>
      <w:r>
        <w:rPr>
          <w:rFonts w:ascii="Times New Roman" w:hAnsi="Times New Roman" w:eastAsia="宋体" w:cs="宋体"/>
          <w:kern w:val="2"/>
          <w:sz w:val="24"/>
          <w:szCs w:val="24"/>
          <w:vertAlign w:val="subscript"/>
          <w:lang w:val="en-US" w:eastAsia="zh-CN" w:bidi="ar-SA"/>
        </w:rPr>
        <w:t>1</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0.2</w:t>
      </w:r>
      <w:r>
        <w:rPr>
          <w:rFonts w:ascii="Times New Roman" w:hAnsi="Times New Roman" w:eastAsia="宋体" w:cs="宋体"/>
          <w:kern w:val="2"/>
          <w:sz w:val="24"/>
          <w:szCs w:val="24"/>
          <w:lang w:val="en-US" w:eastAsia="zh-CN" w:bidi="ar-SA"/>
        </w:rPr>
        <w:t>m</w:t>
      </w:r>
      <w:r>
        <w:rPr>
          <w:rFonts w:ascii="Times New Roman" w:hAnsi="Times New Roman" w:eastAsia="宋体" w:cs="宋体"/>
          <w:kern w:val="2"/>
          <w:sz w:val="24"/>
          <w:szCs w:val="24"/>
          <w:vertAlign w:val="superscript"/>
          <w:lang w:val="en-US" w:eastAsia="zh-CN" w:bidi="ar-SA"/>
        </w:rPr>
        <w:t>3</w:t>
      </w:r>
      <w:r>
        <w:rPr>
          <w:rFonts w:hint="eastAsia" w:ascii="Times New Roman" w:hAnsi="Times New Roman" w:eastAsia="宋体" w:cs="宋体"/>
          <w:kern w:val="2"/>
          <w:sz w:val="24"/>
          <w:szCs w:val="24"/>
          <w:lang w:val="en-US" w:eastAsia="zh-CN" w:bidi="ar-SA"/>
        </w:rPr>
        <w:t>（多亚甲基多苯基异氰酸酯金属桶的容积0.2m</w:t>
      </w:r>
      <w:r>
        <w:rPr>
          <w:rFonts w:hint="eastAsia" w:ascii="Times New Roman" w:hAnsi="Times New Roman" w:eastAsia="宋体" w:cs="宋体"/>
          <w:kern w:val="2"/>
          <w:sz w:val="24"/>
          <w:szCs w:val="24"/>
          <w:vertAlign w:val="superscript"/>
          <w:lang w:val="en-US" w:eastAsia="zh-CN" w:bidi="ar-SA"/>
        </w:rPr>
        <w:t>3</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V</w:t>
      </w:r>
      <w:r>
        <w:rPr>
          <w:rFonts w:ascii="Times New Roman" w:hAnsi="Times New Roman" w:eastAsia="宋体" w:cs="宋体"/>
          <w:kern w:val="2"/>
          <w:sz w:val="24"/>
          <w:szCs w:val="24"/>
          <w:vertAlign w:val="subscript"/>
          <w:lang w:val="en-US" w:eastAsia="zh-CN" w:bidi="ar-SA"/>
        </w:rPr>
        <w:t>2</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旦发生火灾、爆炸时的消防用水量，包括扑灭火灾所需用水量和保护临近设备或贮罐（最少三个）的喷淋水量。发生事故时的消防水量，m</w:t>
      </w:r>
      <w:r>
        <w:rPr>
          <w:rFonts w:ascii="Times New Roman" w:hAnsi="Times New Roman" w:eastAsia="宋体" w:cs="宋体"/>
          <w:kern w:val="2"/>
          <w:sz w:val="24"/>
          <w:szCs w:val="24"/>
          <w:vertAlign w:val="superscript"/>
          <w:lang w:val="en-US" w:eastAsia="zh-CN" w:bidi="ar-SA"/>
        </w:rPr>
        <w:t>3</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（本项目消防水池按照消防规程另行设计，不计入事故池容量当中）。</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V</w:t>
      </w:r>
      <w:r>
        <w:rPr>
          <w:rFonts w:ascii="Times New Roman" w:hAnsi="Times New Roman" w:eastAsia="宋体" w:cs="宋体"/>
          <w:kern w:val="2"/>
          <w:sz w:val="24"/>
          <w:szCs w:val="24"/>
          <w:vertAlign w:val="subscript"/>
          <w:lang w:val="en-US" w:eastAsia="zh-CN" w:bidi="ar-SA"/>
        </w:rPr>
        <w:t>3</w:t>
      </w:r>
      <w:r>
        <w:rPr>
          <w:rFonts w:hint="eastAsia" w:ascii="Times New Roman" w:hAnsi="Times New Roman" w:eastAsia="宋体" w:cs="宋体"/>
          <w:kern w:val="2"/>
          <w:sz w:val="24"/>
          <w:szCs w:val="24"/>
          <w:lang w:val="en-US" w:eastAsia="zh-CN" w:bidi="ar-SA"/>
        </w:rPr>
        <w:t>——发生事故时可以转输到其他存储或处理设施的物料量，</w:t>
      </w:r>
      <w:r>
        <w:rPr>
          <w:rFonts w:ascii="Times New Roman" w:hAnsi="Times New Roman" w:eastAsia="宋体" w:cs="宋体"/>
          <w:kern w:val="2"/>
          <w:sz w:val="24"/>
          <w:szCs w:val="24"/>
          <w:lang w:val="en-US" w:eastAsia="zh-CN" w:bidi="ar-SA"/>
        </w:rPr>
        <w:t>m</w:t>
      </w:r>
      <w:r>
        <w:rPr>
          <w:rFonts w:ascii="Times New Roman" w:hAnsi="Times New Roman" w:eastAsia="宋体" w:cs="宋体"/>
          <w:kern w:val="2"/>
          <w:sz w:val="24"/>
          <w:szCs w:val="24"/>
          <w:vertAlign w:val="superscript"/>
          <w:lang w:val="en-US" w:eastAsia="zh-CN" w:bidi="ar-SA"/>
        </w:rPr>
        <w:t>3</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本项目为0。</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V</w:t>
      </w:r>
      <w:r>
        <w:rPr>
          <w:rFonts w:hint="eastAsia" w:ascii="Times New Roman" w:hAnsi="Times New Roman" w:eastAsia="宋体" w:cs="宋体"/>
          <w:kern w:val="2"/>
          <w:sz w:val="24"/>
          <w:szCs w:val="24"/>
          <w:vertAlign w:val="subscript"/>
          <w:lang w:val="en-US" w:eastAsia="zh-CN" w:bidi="ar-SA"/>
        </w:rPr>
        <w:t>4</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发生事故时可能进入该收集系统的降雨量。本项目初期雨水量约为</w:t>
      </w:r>
      <w:r>
        <w:rPr>
          <w:rFonts w:hint="eastAsia" w:ascii="Times New Roman" w:hAnsi="Times New Roman" w:eastAsia="宋体" w:cs="宋体"/>
          <w:kern w:val="2"/>
          <w:sz w:val="24"/>
          <w:szCs w:val="24"/>
          <w:lang w:val="en-US" w:eastAsia="zh-CN" w:bidi="ar-SA"/>
        </w:rPr>
        <w:t>20</w:t>
      </w:r>
      <w:r>
        <w:rPr>
          <w:rFonts w:ascii="Times New Roman" w:hAnsi="Times New Roman" w:eastAsia="宋体" w:cs="宋体"/>
          <w:kern w:val="2"/>
          <w:sz w:val="24"/>
          <w:szCs w:val="24"/>
          <w:lang w:val="en-US" w:eastAsia="zh-CN" w:bidi="ar-SA"/>
        </w:rPr>
        <w:t>m</w:t>
      </w:r>
      <w:r>
        <w:rPr>
          <w:rFonts w:ascii="Times New Roman" w:hAnsi="Times New Roman" w:eastAsia="宋体" w:cs="宋体"/>
          <w:kern w:val="2"/>
          <w:sz w:val="24"/>
          <w:szCs w:val="24"/>
          <w:vertAlign w:val="superscript"/>
          <w:lang w:val="en-US" w:eastAsia="zh-CN" w:bidi="ar-SA"/>
        </w:rPr>
        <w:t>3</w:t>
      </w:r>
      <w:r>
        <w:rPr>
          <w:rFonts w:ascii="Times New Roman" w:hAnsi="Times New Roman" w:eastAsia="宋体" w:cs="宋体"/>
          <w:kern w:val="2"/>
          <w:sz w:val="24"/>
          <w:szCs w:val="24"/>
          <w:lang w:val="en-US" w:eastAsia="zh-CN" w:bidi="ar-SA"/>
        </w:rPr>
        <w:t>/次；</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V</w:t>
      </w:r>
      <w:r>
        <w:rPr>
          <w:rFonts w:hint="eastAsia" w:ascii="Times New Roman" w:hAnsi="Times New Roman" w:eastAsia="宋体" w:cs="宋体"/>
          <w:kern w:val="2"/>
          <w:sz w:val="24"/>
          <w:szCs w:val="24"/>
          <w:vertAlign w:val="subscript"/>
          <w:lang w:val="en-US" w:eastAsia="zh-CN" w:bidi="ar-SA"/>
        </w:rPr>
        <w:t>5</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发生事故时仍必须进入该收集系统的生产废水量；本项目V</w:t>
      </w:r>
      <w:r>
        <w:rPr>
          <w:rFonts w:ascii="Times New Roman" w:hAnsi="Times New Roman" w:eastAsia="宋体" w:cs="宋体"/>
          <w:kern w:val="2"/>
          <w:sz w:val="24"/>
          <w:szCs w:val="24"/>
          <w:vertAlign w:val="subscript"/>
          <w:lang w:val="en-US" w:eastAsia="zh-CN" w:bidi="ar-SA"/>
        </w:rPr>
        <w:t>4</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0.16</w:t>
      </w:r>
      <w:r>
        <w:rPr>
          <w:rFonts w:ascii="Times New Roman" w:hAnsi="Times New Roman" w:eastAsia="宋体" w:cs="宋体"/>
          <w:kern w:val="2"/>
          <w:sz w:val="24"/>
          <w:szCs w:val="24"/>
          <w:lang w:val="en-US" w:eastAsia="zh-CN" w:bidi="ar-SA"/>
        </w:rPr>
        <w:t>m</w:t>
      </w:r>
      <w:r>
        <w:rPr>
          <w:rFonts w:ascii="Times New Roman" w:hAnsi="Times New Roman" w:eastAsia="宋体" w:cs="宋体"/>
          <w:kern w:val="2"/>
          <w:sz w:val="24"/>
          <w:szCs w:val="24"/>
          <w:vertAlign w:val="superscript"/>
          <w:lang w:val="en-US" w:eastAsia="zh-CN" w:bidi="ar-SA"/>
        </w:rPr>
        <w:t>3</w:t>
      </w:r>
      <w:r>
        <w:rPr>
          <w:rFonts w:hint="eastAsia" w:ascii="Times New Roman" w:hAnsi="Times New Roman" w:eastAsia="宋体" w:cs="宋体"/>
          <w:kern w:val="2"/>
          <w:sz w:val="24"/>
          <w:szCs w:val="24"/>
          <w:lang w:val="en-US" w:eastAsia="zh-CN" w:bidi="ar-SA"/>
        </w:rPr>
        <w:t>（1天废水量）</w:t>
      </w:r>
      <w:r>
        <w:rPr>
          <w:rFonts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经计算得V</w:t>
      </w:r>
      <w:r>
        <w:rPr>
          <w:rFonts w:ascii="Times New Roman" w:hAnsi="Times New Roman" w:eastAsia="宋体" w:cs="宋体"/>
          <w:kern w:val="2"/>
          <w:sz w:val="24"/>
          <w:szCs w:val="24"/>
          <w:vertAlign w:val="subscript"/>
          <w:lang w:val="en-US" w:eastAsia="zh-CN" w:bidi="ar-SA"/>
        </w:rPr>
        <w:t>总</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20.36</w:t>
      </w:r>
      <w:r>
        <w:rPr>
          <w:rFonts w:ascii="Times New Roman" w:hAnsi="Times New Roman" w:eastAsia="宋体" w:cs="宋体"/>
          <w:kern w:val="2"/>
          <w:sz w:val="24"/>
          <w:szCs w:val="24"/>
          <w:lang w:val="en-US" w:eastAsia="zh-CN" w:bidi="ar-SA"/>
        </w:rPr>
        <w:t>m</w:t>
      </w:r>
      <w:r>
        <w:rPr>
          <w:rFonts w:ascii="Times New Roman" w:hAnsi="Times New Roman" w:eastAsia="宋体" w:cs="宋体"/>
          <w:kern w:val="2"/>
          <w:sz w:val="24"/>
          <w:szCs w:val="24"/>
          <w:vertAlign w:val="superscript"/>
          <w:lang w:val="en-US" w:eastAsia="zh-CN" w:bidi="ar-SA"/>
        </w:rPr>
        <w:t>3</w:t>
      </w:r>
      <w:r>
        <w:rPr>
          <w:rFonts w:ascii="Times New Roman" w:hAnsi="Times New Roman" w:eastAsia="宋体" w:cs="宋体"/>
          <w:kern w:val="2"/>
          <w:sz w:val="24"/>
          <w:szCs w:val="24"/>
          <w:lang w:val="en-US" w:eastAsia="zh-CN" w:bidi="ar-SA"/>
        </w:rPr>
        <w:t>，根据计算结果，本次环评建议废水事故池有效容积应为</w:t>
      </w:r>
      <w:r>
        <w:rPr>
          <w:rFonts w:hint="eastAsia" w:ascii="Times New Roman" w:hAnsi="Times New Roman" w:eastAsia="宋体" w:cs="宋体"/>
          <w:kern w:val="2"/>
          <w:sz w:val="24"/>
          <w:szCs w:val="24"/>
          <w:lang w:val="en-US" w:eastAsia="zh-CN" w:bidi="ar-SA"/>
        </w:rPr>
        <w:t>30</w:t>
      </w:r>
      <w:r>
        <w:rPr>
          <w:rFonts w:ascii="Times New Roman" w:hAnsi="Times New Roman" w:eastAsia="宋体" w:cs="宋体"/>
          <w:kern w:val="2"/>
          <w:sz w:val="24"/>
          <w:szCs w:val="24"/>
          <w:lang w:val="en-US" w:eastAsia="zh-CN" w:bidi="ar-SA"/>
        </w:rPr>
        <w:t>m</w:t>
      </w:r>
      <w:r>
        <w:rPr>
          <w:rFonts w:ascii="Times New Roman" w:hAnsi="Times New Roman" w:eastAsia="宋体" w:cs="宋体"/>
          <w:kern w:val="2"/>
          <w:sz w:val="24"/>
          <w:szCs w:val="24"/>
          <w:vertAlign w:val="superscript"/>
          <w:lang w:val="en-US" w:eastAsia="zh-CN" w:bidi="ar-SA"/>
        </w:rPr>
        <w:t>3</w:t>
      </w:r>
      <w:r>
        <w:rPr>
          <w:rFonts w:ascii="Times New Roman" w:hAnsi="Times New Roman" w:eastAsia="宋体" w:cs="宋体"/>
          <w:kern w:val="2"/>
          <w:sz w:val="24"/>
          <w:szCs w:val="24"/>
          <w:lang w:val="en-US" w:eastAsia="zh-CN" w:bidi="ar-SA"/>
        </w:rPr>
        <w:t>。兼做初期雨水收集池，放置于厂区污水处理站边。事故池应采取安全措施，且事故池在平时不得占用，以保证可以随时容纳可能发生的事故废水。</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（6）危险化学品车辆运输安全对策措施</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危险化学品，如</w:t>
      </w:r>
      <w:r>
        <w:rPr>
          <w:rFonts w:hint="eastAsia" w:ascii="Times New Roman" w:hAnsi="Times New Roman" w:eastAsia="宋体" w:cs="宋体"/>
          <w:kern w:val="2"/>
          <w:sz w:val="24"/>
          <w:szCs w:val="24"/>
          <w:lang w:val="en-US" w:eastAsia="zh-CN" w:bidi="ar-SA"/>
        </w:rPr>
        <w:t>多亚甲基多苯基异氰酸酯</w:t>
      </w:r>
      <w:r>
        <w:rPr>
          <w:rFonts w:ascii="Times New Roman" w:hAnsi="Times New Roman" w:eastAsia="宋体" w:cs="宋体"/>
          <w:kern w:val="2"/>
          <w:sz w:val="24"/>
          <w:szCs w:val="24"/>
          <w:lang w:val="en-US" w:eastAsia="zh-CN" w:bidi="ar-SA"/>
        </w:rPr>
        <w:t>、三乙烯二胺和辛酸亚锡等储运项目在长距离运输、装卸过程中，存在多处风险源项，因此储运过程危险化学品的泄漏会造成的生命危险及环境污染。造成事件的故障有：运输容器故障、储罐故障、阀门故障等。运输车应根据</w:t>
      </w:r>
      <w:r>
        <w:rPr>
          <w:rFonts w:hint="eastAsia" w:ascii="Times New Roman" w:hAnsi="Times New Roman" w:eastAsia="宋体" w:cs="宋体"/>
          <w:kern w:val="2"/>
          <w:sz w:val="24"/>
          <w:szCs w:val="24"/>
          <w:lang w:val="en-US" w:eastAsia="zh-CN" w:bidi="ar-SA"/>
        </w:rPr>
        <w:t>多亚甲基多苯基异氰酸酯</w:t>
      </w:r>
      <w:r>
        <w:rPr>
          <w:rFonts w:ascii="Times New Roman" w:hAnsi="Times New Roman" w:eastAsia="宋体" w:cs="宋体"/>
          <w:kern w:val="2"/>
          <w:sz w:val="24"/>
          <w:szCs w:val="24"/>
          <w:lang w:val="en-US" w:eastAsia="zh-CN" w:bidi="ar-SA"/>
        </w:rPr>
        <w:t>、三乙烯二胺和辛酸亚锡等的理化性质进行了防腐设计，保证在使用年限内的防腐能力满足存储要求，严格执行危险品运输各项规定，运输车辆需挂有明显的标志，以便引起其它车辆的重视。</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降低危险化学品运输风险及减少危害的措施包括工艺设备、管理措施及应急措施等几个方面。</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①在执行的法律法规及标准方面：在危险品的经营、运输、储存过程中必须严格执行《 危险化学品安全管理条例》、《 港口危险货物管理暂行规定》 等有关规定。</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②在运输途中方面，应防曝晒、雨淋，防高温，公路运输时要按规定路线行驶，勿在居民区和人口稠密区停留。</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③在生产工艺、设备材质方面：设计符合国家标准的</w:t>
      </w:r>
      <w:r>
        <w:rPr>
          <w:rFonts w:hint="eastAsia" w:ascii="Times New Roman" w:hAnsi="Times New Roman" w:eastAsia="宋体" w:cs="宋体"/>
          <w:kern w:val="2"/>
          <w:sz w:val="24"/>
          <w:szCs w:val="24"/>
          <w:lang w:val="en-US" w:eastAsia="zh-CN" w:bidi="ar-SA"/>
        </w:rPr>
        <w:t>二苯基甲烷二异氰酸酯、改性二苯基甲烷二异氰酸酯和多亚甲基多苯基异氰酸酯</w:t>
      </w:r>
      <w:r>
        <w:rPr>
          <w:rFonts w:ascii="Times New Roman" w:hAnsi="Times New Roman" w:eastAsia="宋体" w:cs="宋体"/>
          <w:kern w:val="2"/>
          <w:sz w:val="24"/>
          <w:szCs w:val="24"/>
          <w:lang w:val="en-US" w:eastAsia="zh-CN" w:bidi="ar-SA"/>
        </w:rPr>
        <w:t>储运工艺、设备及设施等，管道、阀门的材质必须符合</w:t>
      </w:r>
      <w:r>
        <w:rPr>
          <w:rFonts w:hint="eastAsia" w:ascii="Times New Roman" w:hAnsi="Times New Roman" w:eastAsia="宋体" w:cs="宋体"/>
          <w:kern w:val="2"/>
          <w:sz w:val="24"/>
          <w:szCs w:val="24"/>
          <w:lang w:val="en-US" w:eastAsia="zh-CN" w:bidi="ar-SA"/>
        </w:rPr>
        <w:t>二苯基甲烷二异氰酸酯、改性二苯基甲烷二异氰酸酯和多亚甲基多苯基异氰酸酯</w:t>
      </w:r>
      <w:r>
        <w:rPr>
          <w:rFonts w:ascii="Times New Roman" w:hAnsi="Times New Roman" w:eastAsia="宋体" w:cs="宋体"/>
          <w:kern w:val="2"/>
          <w:sz w:val="24"/>
          <w:szCs w:val="24"/>
          <w:lang w:val="en-US" w:eastAsia="zh-CN" w:bidi="ar-SA"/>
        </w:rPr>
        <w:t>储运的要求；另外包装材料，必须是不与化学危险物品发生反应的材料，对有毒物品包装的外皮上要有毒物标签，注明产品名称、毒性级别、侵入人体途径、中毒的急救办法，防护措施等，化学危险物品的包装必须有明显的包装标志，其图形应遵守《危险货物包装标志》（GB190-1990）的规定。运</w:t>
      </w:r>
      <w:r>
        <w:rPr>
          <w:rFonts w:hint="eastAsia" w:ascii="Times New Roman" w:hAnsi="Times New Roman" w:eastAsia="宋体" w:cs="宋体"/>
          <w:kern w:val="2"/>
          <w:sz w:val="24"/>
          <w:szCs w:val="24"/>
          <w:lang w:val="en-US" w:eastAsia="zh-CN" w:bidi="ar-SA"/>
        </w:rPr>
        <w:t>二苯基甲烷二异氰酸酯、改性二苯基甲烷二异氰酸酯和多亚甲基多苯基异氰酸酯</w:t>
      </w:r>
      <w:r>
        <w:rPr>
          <w:rFonts w:ascii="Times New Roman" w:hAnsi="Times New Roman" w:eastAsia="宋体" w:cs="宋体"/>
          <w:kern w:val="2"/>
          <w:sz w:val="24"/>
          <w:szCs w:val="24"/>
          <w:lang w:val="en-US" w:eastAsia="zh-CN" w:bidi="ar-SA"/>
        </w:rPr>
        <w:t>的轮船、火车和汽车的容器材质为耐高、低温耐硫酸的专门材料，并定期检修和检测。</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④在管理方面：制定完善的安全管理制度及各岗位责任制， 将责任落实到部门和个人；公司管理人员、技术人员、运输人员必须接受有关危险化学品的法律、 法规、规章和安全知识、专业技术、职业卫生防护和应急知识的培训，并经考核合格，方可上岗作业；加强设备的维修、保养，加强容器、管道的安全监控，按规定进行定期检验；加强危险目标的保卫工作，防止破坏事故发生。</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⑤应急计划方面：制定本单位完善的事故应急救援预案，成立应急事故指挥小组，落实责任，具体分工；配备应急救援人员和必要的应急救援器材、设备， 如防酸衣、防腐防毒面具等；建立应急通讯网络、应急安全及保卫、应急医学救援、应急撤离等系统。</w:t>
      </w:r>
    </w:p>
    <w:p>
      <w:pPr>
        <w:widowControl w:val="0"/>
        <w:spacing w:line="360" w:lineRule="auto"/>
        <w:jc w:val="center"/>
        <w:rPr>
          <w:rFonts w:ascii="Times New Roman" w:hAnsi="Times New Roman" w:eastAsia="宋体" w:cs="Times New Roman"/>
          <w:b/>
          <w:kern w:val="2"/>
          <w:sz w:val="21"/>
          <w:szCs w:val="21"/>
          <w:lang w:val="en-US" w:eastAsia="zh-CN" w:bidi="ar-SA"/>
        </w:rPr>
        <w:sectPr>
          <w:pgSz w:w="11906" w:h="16838"/>
          <w:pgMar w:top="1417" w:right="1417" w:bottom="1134" w:left="1701"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pPr>
        <w:widowControl w:val="0"/>
        <w:spacing w:line="360" w:lineRule="auto"/>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8</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14</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风险工程防范措施与建议</w:t>
      </w:r>
    </w:p>
    <w:tbl>
      <w:tblPr>
        <w:tblStyle w:val="22"/>
        <w:tblW w:w="94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1380"/>
        <w:gridCol w:w="3859"/>
        <w:gridCol w:w="24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33"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事故类型</w:t>
            </w:r>
          </w:p>
        </w:tc>
        <w:tc>
          <w:tcPr>
            <w:tcW w:w="5239" w:type="dxa"/>
            <w:gridSpan w:val="2"/>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工程防范对策</w:t>
            </w:r>
          </w:p>
        </w:tc>
        <w:tc>
          <w:tcPr>
            <w:tcW w:w="244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应急措施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1733"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化学品泄露</w:t>
            </w:r>
          </w:p>
        </w:tc>
        <w:tc>
          <w:tcPr>
            <w:tcW w:w="1380"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泄露监测</w:t>
            </w:r>
          </w:p>
        </w:tc>
        <w:tc>
          <w:tcPr>
            <w:tcW w:w="385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(1)化学品按性质分类储存，储存条件应与贮料相适应。</w:t>
            </w:r>
          </w:p>
        </w:tc>
        <w:tc>
          <w:tcPr>
            <w:tcW w:w="2445"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 xml:space="preserve">(1)紧急处理泄露的容器。(2)紧急关闭防火堤内排水等有可能泄漏的阀门。(3)防火措施。(4)事故池。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1733"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380"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385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(2) 定期对原料桶（袋）装外部检查，及时发现破损和漏处</w:t>
            </w:r>
          </w:p>
        </w:tc>
        <w:tc>
          <w:tcPr>
            <w:tcW w:w="2445"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33"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废气净化设施</w:t>
            </w:r>
          </w:p>
        </w:tc>
        <w:tc>
          <w:tcPr>
            <w:tcW w:w="1380"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自动管理</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与监测</w:t>
            </w:r>
          </w:p>
        </w:tc>
        <w:tc>
          <w:tcPr>
            <w:tcW w:w="385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(1)严格规章制度，专人负责制度。</w:t>
            </w:r>
          </w:p>
        </w:tc>
        <w:tc>
          <w:tcPr>
            <w:tcW w:w="2445"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及时更正。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1733"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380"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385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(2)定期监测，出现超标，立即停止排放。</w:t>
            </w:r>
          </w:p>
        </w:tc>
        <w:tc>
          <w:tcPr>
            <w:tcW w:w="2445"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33"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废水处理设施</w:t>
            </w:r>
          </w:p>
        </w:tc>
        <w:tc>
          <w:tcPr>
            <w:tcW w:w="1380"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自动管理</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与监测</w:t>
            </w:r>
          </w:p>
        </w:tc>
        <w:tc>
          <w:tcPr>
            <w:tcW w:w="385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(1)严格规章制度，专人负责制度。</w:t>
            </w:r>
          </w:p>
        </w:tc>
        <w:tc>
          <w:tcPr>
            <w:tcW w:w="2445"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必要时停止生产。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1733"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380"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385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(2)定期监测，出现超标，立即停止排放。</w:t>
            </w:r>
          </w:p>
        </w:tc>
        <w:tc>
          <w:tcPr>
            <w:tcW w:w="2445"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1733"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运输系统</w:t>
            </w:r>
          </w:p>
        </w:tc>
        <w:tc>
          <w:tcPr>
            <w:tcW w:w="1380"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严格控制</w:t>
            </w:r>
          </w:p>
        </w:tc>
        <w:tc>
          <w:tcPr>
            <w:tcW w:w="385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(1)需要其它供应商供货的，应要求其提供资质证明。</w:t>
            </w:r>
          </w:p>
        </w:tc>
        <w:tc>
          <w:tcPr>
            <w:tcW w:w="2445"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出现事故，及时报告并疏散人群。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1733"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380"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385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(2)使用合格运输工具及聘请有资质的运输人员。</w:t>
            </w:r>
          </w:p>
        </w:tc>
        <w:tc>
          <w:tcPr>
            <w:tcW w:w="2445"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安全管理措施</w:t>
      </w:r>
      <w:bookmarkEnd w:id="1577"/>
      <w:bookmarkEnd w:id="1578"/>
      <w:bookmarkEnd w:id="1579"/>
      <w:bookmarkEnd w:id="1580"/>
      <w:bookmarkEnd w:id="1581"/>
      <w:bookmarkEnd w:id="1582"/>
      <w:bookmarkEnd w:id="1583"/>
      <w:bookmarkEnd w:id="1584"/>
      <w:r>
        <w:rPr>
          <w:rFonts w:hint="eastAsia"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1585" w:name="_Toc169409761"/>
      <w:bookmarkStart w:id="1586" w:name="_Toc130791064"/>
      <w:bookmarkStart w:id="1587" w:name="_Toc169409094"/>
      <w:bookmarkStart w:id="1588" w:name="_Toc7766_WPSOffice_Level3"/>
      <w:bookmarkStart w:id="1589" w:name="_Toc170311295"/>
      <w:bookmarkStart w:id="1590" w:name="_Toc170204846"/>
      <w:bookmarkStart w:id="1591" w:name="_Toc30244_WPSOffice_Level3"/>
      <w:r>
        <w:rPr>
          <w:rFonts w:ascii="Times New Roman" w:hAnsi="Times New Roman" w:eastAsia="宋体" w:cs="宋体"/>
          <w:kern w:val="2"/>
          <w:sz w:val="24"/>
          <w:szCs w:val="24"/>
          <w:lang w:val="en-US" w:eastAsia="zh-CN" w:bidi="ar-SA"/>
        </w:rPr>
        <w:t>1、严格人员管理</w:t>
      </w:r>
      <w:bookmarkEnd w:id="1585"/>
      <w:bookmarkEnd w:id="1586"/>
      <w:bookmarkEnd w:id="1587"/>
      <w:bookmarkEnd w:id="1588"/>
      <w:bookmarkEnd w:id="1589"/>
      <w:bookmarkEnd w:id="1590"/>
      <w:bookmarkEnd w:id="1591"/>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人为因素往往是事故发生的主要原因，因此严格管理，做好人的工作是预防事故发生的重要环节。主要内容包括：</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（1）加强全厂干部、</w:t>
      </w:r>
      <w:r>
        <w:rPr>
          <w:rFonts w:hint="eastAsia" w:ascii="Times New Roman" w:hAnsi="Times New Roman" w:eastAsia="宋体" w:cs="宋体"/>
          <w:kern w:val="2"/>
          <w:sz w:val="24"/>
          <w:szCs w:val="24"/>
          <w:lang w:val="en-US" w:eastAsia="zh-CN" w:bidi="ar-SA"/>
        </w:rPr>
        <w:t>员工</w:t>
      </w:r>
      <w:r>
        <w:rPr>
          <w:rFonts w:ascii="Times New Roman" w:hAnsi="Times New Roman" w:eastAsia="宋体" w:cs="宋体"/>
          <w:kern w:val="2"/>
          <w:sz w:val="24"/>
          <w:szCs w:val="24"/>
          <w:lang w:val="en-US" w:eastAsia="zh-CN" w:bidi="ar-SA"/>
        </w:rPr>
        <w:t>的风险意识和环境意识教育，增强安全、环境意识。提高工作人员的责任心和工作主动性；</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（2）强化岗位责任制，严格各项操作规程和奖惩制度，对操作人员进行系统的岗位培训，使每个操作人员都能够熟悉工作岗位责任及操作规程；</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（3）严格遵守开、停工规程；严禁明火，如需动火，应按规章申办动火批件，并应有严格安全措施，经检查可行后方可动火；</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（4）施工、设备、材料应按规章进行认真的检查、验收。设计、工艺、管理三部门通力合作，严防不合格设备、材料蒙混过关；</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5）除设置专门环保机构外，各生产单位都要设专人具体负责本单位的安全和环保问题。对事故易发部位、易泄漏地点，除本岗操作人员及时检查外，应设安全员巡检。对易发事故的各生产环节必须经常检查，杜绝事故隐患，发现问题及时处置并立即向有关部门报告；</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6）从技术、工艺和管理方法三方面入手，采取综合措施，预防有毒化学品的意外泄漏事故。必须强调管理工作对预防事故的重要作用，工厂设计、工艺设计和工艺控制监测等都必须纳入预防事故的工作中。提高自动化水平，保证装置在正常和安全状态下进行操作；</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（7）总结经验，吸取教训。对各种典型的事故要注意研究，特别是与项目相关事故，更应充分吸取教训，并注意在技术措施上的改进和防范，尽可能减少人为的操作过程。预防化学品的意外泄漏事故。</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1592" w:name="_Toc170311296"/>
      <w:bookmarkStart w:id="1593" w:name="_Toc26522_WPSOffice_Level3"/>
      <w:bookmarkStart w:id="1594" w:name="_Toc169409762"/>
      <w:bookmarkStart w:id="1595" w:name="_Toc170204847"/>
      <w:bookmarkStart w:id="1596" w:name="_Toc18620_WPSOffice_Level3"/>
      <w:bookmarkStart w:id="1597" w:name="_Toc169409095"/>
      <w:bookmarkStart w:id="1598" w:name="_Toc130791065"/>
      <w:r>
        <w:rPr>
          <w:rFonts w:ascii="Times New Roman" w:hAnsi="Times New Roman" w:eastAsia="宋体" w:cs="宋体"/>
          <w:kern w:val="2"/>
          <w:sz w:val="24"/>
          <w:szCs w:val="24"/>
          <w:lang w:val="en-US" w:eastAsia="zh-CN" w:bidi="ar-SA"/>
        </w:rPr>
        <w:t>2、完善安全措施</w:t>
      </w:r>
      <w:bookmarkEnd w:id="1592"/>
      <w:bookmarkEnd w:id="1593"/>
      <w:bookmarkEnd w:id="1594"/>
      <w:bookmarkEnd w:id="1595"/>
      <w:bookmarkEnd w:id="1596"/>
      <w:bookmarkEnd w:id="1597"/>
      <w:bookmarkEnd w:id="1598"/>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完善的安全管理是保障装置施工质量和安全生产的重要组成部分，因此对项目实行全员、全过程、全方位的安全管理，按照公司的安全生产要求，结合项目装置特点，制定安全管理规章和安全管理措施。建议公司在安全生产管理方面参照执行职业安全健康管理体系（OSHMS标准体系）。</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（1）工程的所有操作人员均应经过培训和严格训练，并取得合格证，才能允许上岗操作。制定应急预案并加强演练，保证装置安全运行。</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（2）开、停车和检修状况下，需要排空的设备和管道应严格按照设计要求，将排放物料予以收集和处置，严禁乱堆放。高度重视、认真进行设备和管道的检查和及时维修等工作。</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3）项目设备，机械设备和管线，应从设计制造、采购、安装、使用等五个方面严格把关。对所有设备从采购－使用－维护－报废等建立全程档案。关键设备都应该进行试压试漏，确认无误方可安装。消除事故隐患。</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4）建议进一步强化安全监督措施和手段。特别要注意加强施工单位与生产单位的联系，一定要建立事故状态下安全连锁和停止作业的制度。要有一定的权威机构协调工程扩建中的有关事宜，避免因施工酿成重大事故。</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（5）施工中要严格设备和管线法兰垫片管理，对使用的弯头、三通等要把好质量关和焊接关，规范焊接工艺和配件，确保在投产后设备、管线安全运行。</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（6）安全阀在安装前应进行全面检查调校，压力容器均需技术监督部门检验，投用前一定要按照国家有关标准规范要求进行不同压力等级的试压，焊接工艺、材质均应符合压力容器管理的有关规定。</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（7）公司应建立事故应急处理队伍，如输送管道、阀门爆裂出现泄漏时，应急处理人员必须及时进行相应处置。</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（8）发生物料泄漏时，迅速切断易燃、有毒物质源头，视情况组织无关人员及周围居民迅速撤离泄漏污染区至安全地带，并对厂区进行隔离，严格限制出入。</w:t>
      </w:r>
    </w:p>
    <w:p>
      <w:pPr>
        <w:pStyle w:val="2"/>
        <w:bidi w:val="0"/>
        <w:rPr>
          <w:lang w:val="en-US" w:eastAsia="zh-CN"/>
        </w:rPr>
      </w:pPr>
      <w:bookmarkStart w:id="1599" w:name="_Toc28889"/>
      <w:bookmarkStart w:id="1600" w:name="_Toc30678_WPSOffice_Level2"/>
      <w:bookmarkStart w:id="1601" w:name="_Toc372124964"/>
      <w:bookmarkStart w:id="1602" w:name="_Toc307210677"/>
      <w:bookmarkStart w:id="1603" w:name="_Toc1232_WPSOffice_Level2"/>
      <w:bookmarkStart w:id="1604" w:name="_Toc169409096"/>
      <w:bookmarkStart w:id="1605" w:name="_Toc25075"/>
      <w:bookmarkStart w:id="1606" w:name="_Toc13422"/>
      <w:bookmarkStart w:id="1607" w:name="_Toc1251"/>
      <w:bookmarkStart w:id="1608" w:name="_Toc10374"/>
      <w:bookmarkStart w:id="1609" w:name="_Toc755"/>
      <w:bookmarkStart w:id="1610" w:name="_Toc32635"/>
      <w:bookmarkStart w:id="1611" w:name="_Toc2311"/>
      <w:bookmarkStart w:id="1612" w:name="_Toc2045_WPSOffice_Level2"/>
      <w:bookmarkStart w:id="1613" w:name="_Toc170311297"/>
      <w:bookmarkStart w:id="1614" w:name="_Toc16022_WPSOffice_Level2"/>
      <w:bookmarkStart w:id="1615" w:name="_Toc30828"/>
      <w:bookmarkStart w:id="1616" w:name="_Toc170376451"/>
      <w:bookmarkStart w:id="1617" w:name="_Toc142666694"/>
      <w:r>
        <w:rPr>
          <w:lang w:val="en-US" w:eastAsia="zh-CN"/>
        </w:rPr>
        <w:t>应急预案</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1618" w:name="_Toc8373"/>
      <w:bookmarkStart w:id="1619" w:name="_Toc808"/>
      <w:bookmarkStart w:id="1620" w:name="_Toc307210678"/>
      <w:bookmarkStart w:id="1621" w:name="_Toc142666707"/>
      <w:bookmarkStart w:id="1622" w:name="_Toc170311332"/>
      <w:bookmarkStart w:id="1623" w:name="_Toc169409131"/>
      <w:bookmarkStart w:id="1624" w:name="_Toc372124965"/>
      <w:bookmarkStart w:id="1625" w:name="_Toc6268"/>
      <w:bookmarkStart w:id="1626" w:name="_Toc1410"/>
      <w:bookmarkStart w:id="1627" w:name="_Toc170376464"/>
      <w:bookmarkStart w:id="1628" w:name="_Toc18721"/>
      <w:r>
        <w:rPr>
          <w:rFonts w:ascii="Times New Roman" w:hAnsi="Times New Roman" w:eastAsia="宋体" w:cs="宋体"/>
          <w:kern w:val="2"/>
          <w:sz w:val="24"/>
          <w:szCs w:val="24"/>
          <w:lang w:val="en-US" w:eastAsia="zh-CN" w:bidi="ar-SA"/>
        </w:rPr>
        <w:t>制定风险事故应急预案的目的是为了在发生风险事故时，能以最快的速度发挥最大的效能，有序的实施救援，尽快控制事态的发展，降低事故造成的危害，减少事故造成的损失。为了减少或者避免风险事故的发生，必须贯彻</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以防为主</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的方针，企业的生产管理部门应加强安全生产管理。</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1、应急预案衔接</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本预案与</w:t>
      </w:r>
      <w:r>
        <w:rPr>
          <w:rFonts w:hint="eastAsia" w:ascii="Times New Roman" w:hAnsi="Times New Roman" w:eastAsia="宋体" w:cs="宋体"/>
          <w:kern w:val="2"/>
          <w:sz w:val="24"/>
          <w:szCs w:val="24"/>
          <w:lang w:val="en-US" w:eastAsia="zh-CN" w:bidi="ar-SA"/>
        </w:rPr>
        <w:t>湘阴县</w:t>
      </w:r>
      <w:r>
        <w:rPr>
          <w:rFonts w:ascii="Times New Roman" w:hAnsi="Times New Roman" w:eastAsia="宋体" w:cs="宋体"/>
          <w:kern w:val="2"/>
          <w:sz w:val="24"/>
          <w:szCs w:val="24"/>
          <w:lang w:val="en-US" w:eastAsia="zh-CN" w:bidi="ar-SA"/>
        </w:rPr>
        <w:t>突发公共事件总体应急预案相衔接，增加突发环境事故的救援能力。</w:t>
      </w:r>
      <w:r>
        <w:rPr>
          <w:rFonts w:hint="eastAsia" w:ascii="Times New Roman" w:hAnsi="Times New Roman" w:eastAsia="宋体" w:cs="宋体"/>
          <w:kern w:val="2"/>
          <w:sz w:val="24"/>
          <w:szCs w:val="24"/>
          <w:lang w:val="en-US" w:eastAsia="zh-CN" w:bidi="ar-SA"/>
        </w:rPr>
        <w:t>湖南聚特新材料有限公司</w:t>
      </w:r>
      <w:r>
        <w:rPr>
          <w:rFonts w:ascii="Times New Roman" w:hAnsi="Times New Roman" w:eastAsia="宋体" w:cs="宋体"/>
          <w:kern w:val="2"/>
          <w:sz w:val="24"/>
          <w:szCs w:val="24"/>
          <w:lang w:val="en-US" w:eastAsia="zh-CN" w:bidi="ar-SA"/>
        </w:rPr>
        <w:t>位于湖南湘阴县金龙新区工业区内，在突发环境事件事态较严重（对应本预案中的一级响应）需要启动外部应急预案时，将由区、市一级政府部门负责具体处置工作。因此，本部分主要分析本应急预案与</w:t>
      </w:r>
      <w:r>
        <w:rPr>
          <w:rFonts w:hint="eastAsia" w:ascii="Times New Roman" w:hAnsi="Times New Roman" w:eastAsia="宋体" w:cs="宋体"/>
          <w:kern w:val="2"/>
          <w:sz w:val="24"/>
          <w:szCs w:val="24"/>
          <w:lang w:val="en-US" w:eastAsia="zh-CN" w:bidi="ar-SA"/>
        </w:rPr>
        <w:t>湘阴县</w:t>
      </w:r>
      <w:r>
        <w:rPr>
          <w:rFonts w:ascii="Times New Roman" w:hAnsi="Times New Roman" w:eastAsia="宋体" w:cs="宋体"/>
          <w:kern w:val="2"/>
          <w:sz w:val="24"/>
          <w:szCs w:val="24"/>
          <w:lang w:val="en-US" w:eastAsia="zh-CN" w:bidi="ar-SA"/>
        </w:rPr>
        <w:t>政府部门发布的应急预案的衔接性。《</w:t>
      </w:r>
      <w:r>
        <w:rPr>
          <w:rFonts w:hint="eastAsia" w:ascii="Times New Roman" w:hAnsi="Times New Roman" w:eastAsia="宋体" w:cs="宋体"/>
          <w:kern w:val="2"/>
          <w:sz w:val="24"/>
          <w:szCs w:val="24"/>
          <w:lang w:val="en-US" w:eastAsia="zh-CN" w:bidi="ar-SA"/>
        </w:rPr>
        <w:t>湘阴县</w:t>
      </w:r>
      <w:r>
        <w:rPr>
          <w:rFonts w:ascii="Times New Roman" w:hAnsi="Times New Roman" w:eastAsia="宋体" w:cs="宋体"/>
          <w:kern w:val="2"/>
          <w:sz w:val="24"/>
          <w:szCs w:val="24"/>
          <w:lang w:val="en-US" w:eastAsia="zh-CN" w:bidi="ar-SA"/>
        </w:rPr>
        <w:t>突发环境事件应急预案》适用于</w:t>
      </w:r>
      <w:r>
        <w:rPr>
          <w:rFonts w:hint="eastAsia" w:ascii="Times New Roman" w:hAnsi="Times New Roman" w:eastAsia="宋体" w:cs="宋体"/>
          <w:kern w:val="2"/>
          <w:sz w:val="24"/>
          <w:szCs w:val="24"/>
          <w:lang w:val="en-US" w:eastAsia="zh-CN" w:bidi="ar-SA"/>
        </w:rPr>
        <w:t>湘阴县</w:t>
      </w:r>
      <w:r>
        <w:rPr>
          <w:rFonts w:ascii="Times New Roman" w:hAnsi="Times New Roman" w:eastAsia="宋体" w:cs="宋体"/>
          <w:kern w:val="2"/>
          <w:sz w:val="24"/>
          <w:szCs w:val="24"/>
          <w:lang w:val="en-US" w:eastAsia="zh-CN" w:bidi="ar-SA"/>
        </w:rPr>
        <w:t>辖区内突发环境事件的紧急处置。</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企业预案和其它预案的衔接的方式可以分为常态和非常态两种方式，具体又分别有多种形式，可以供不同组织机构编制应急预案时参考，从而可以在一定程度上增强应急预案的科学性、针对性、实效性和可操作性。</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当企业发生厂外级环境事件时，应急总指挥同时上报</w:t>
      </w:r>
      <w:r>
        <w:rPr>
          <w:rFonts w:hint="eastAsia" w:ascii="Times New Roman" w:hAnsi="Times New Roman" w:eastAsia="宋体" w:cs="宋体"/>
          <w:kern w:val="2"/>
          <w:sz w:val="24"/>
          <w:szCs w:val="24"/>
          <w:lang w:val="en-US" w:eastAsia="zh-CN" w:bidi="ar-SA"/>
        </w:rPr>
        <w:t>湘阴县</w:t>
      </w:r>
      <w:r>
        <w:rPr>
          <w:rFonts w:ascii="Times New Roman" w:hAnsi="Times New Roman" w:eastAsia="宋体" w:cs="宋体"/>
          <w:kern w:val="2"/>
          <w:sz w:val="24"/>
          <w:szCs w:val="24"/>
          <w:lang w:val="en-US" w:eastAsia="zh-CN" w:bidi="ar-SA"/>
        </w:rPr>
        <w:t>环境保护局并启动相应级别的应急预案。</w:t>
      </w:r>
      <w:r>
        <w:rPr>
          <w:rFonts w:hint="eastAsia" w:ascii="Times New Roman" w:hAnsi="Times New Roman" w:eastAsia="宋体" w:cs="宋体"/>
          <w:kern w:val="2"/>
          <w:sz w:val="24"/>
          <w:szCs w:val="24"/>
          <w:lang w:val="en-US" w:eastAsia="zh-CN" w:bidi="ar-SA"/>
        </w:rPr>
        <w:t>湘阴县</w:t>
      </w:r>
      <w:r>
        <w:rPr>
          <w:rFonts w:ascii="Times New Roman" w:hAnsi="Times New Roman" w:eastAsia="宋体" w:cs="宋体"/>
          <w:kern w:val="2"/>
          <w:sz w:val="24"/>
          <w:szCs w:val="24"/>
          <w:lang w:val="en-US" w:eastAsia="zh-CN" w:bidi="ar-SA"/>
        </w:rPr>
        <w:t>环境保护局接报后，应及时向岳阳市环境保护局和</w:t>
      </w:r>
      <w:r>
        <w:rPr>
          <w:rFonts w:hint="eastAsia" w:ascii="Times New Roman" w:hAnsi="Times New Roman" w:eastAsia="宋体" w:cs="宋体"/>
          <w:kern w:val="2"/>
          <w:sz w:val="24"/>
          <w:szCs w:val="24"/>
          <w:lang w:val="en-US" w:eastAsia="zh-CN" w:bidi="ar-SA"/>
        </w:rPr>
        <w:t>湘阴县</w:t>
      </w:r>
      <w:r>
        <w:rPr>
          <w:rFonts w:ascii="Times New Roman" w:hAnsi="Times New Roman" w:eastAsia="宋体" w:cs="宋体"/>
          <w:kern w:val="2"/>
          <w:sz w:val="24"/>
          <w:szCs w:val="24"/>
          <w:lang w:val="en-US" w:eastAsia="zh-CN" w:bidi="ar-SA"/>
        </w:rPr>
        <w:t>人民政府进行报告，应急指挥权利集中至</w:t>
      </w:r>
      <w:r>
        <w:rPr>
          <w:rFonts w:hint="eastAsia" w:ascii="Times New Roman" w:hAnsi="Times New Roman" w:eastAsia="宋体" w:cs="宋体"/>
          <w:kern w:val="2"/>
          <w:sz w:val="24"/>
          <w:szCs w:val="24"/>
          <w:lang w:val="en-US" w:eastAsia="zh-CN" w:bidi="ar-SA"/>
        </w:rPr>
        <w:t>湘阴县</w:t>
      </w:r>
      <w:r>
        <w:rPr>
          <w:rFonts w:ascii="Times New Roman" w:hAnsi="Times New Roman" w:eastAsia="宋体" w:cs="宋体"/>
          <w:kern w:val="2"/>
          <w:sz w:val="24"/>
          <w:szCs w:val="24"/>
          <w:lang w:val="en-US" w:eastAsia="zh-CN" w:bidi="ar-SA"/>
        </w:rPr>
        <w:t>突发环境事件指挥中心或市突发环境事件指挥中心，由相应级别的指挥中心统一指挥，协调各方面的力量，组织现场处置工作。</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（1）应急组织机构的联动</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一旦企业发生I级突发环境事件，通讯联络组应及时与</w:t>
      </w:r>
      <w:r>
        <w:rPr>
          <w:rFonts w:hint="eastAsia" w:ascii="Times New Roman" w:hAnsi="Times New Roman" w:eastAsia="宋体" w:cs="宋体"/>
          <w:kern w:val="2"/>
          <w:sz w:val="24"/>
          <w:szCs w:val="24"/>
          <w:lang w:val="en-US" w:eastAsia="zh-CN" w:bidi="ar-SA"/>
        </w:rPr>
        <w:t>湘阴县</w:t>
      </w:r>
      <w:r>
        <w:rPr>
          <w:rFonts w:ascii="Times New Roman" w:hAnsi="Times New Roman" w:eastAsia="宋体" w:cs="宋体"/>
          <w:kern w:val="2"/>
          <w:sz w:val="24"/>
          <w:szCs w:val="24"/>
          <w:lang w:val="en-US" w:eastAsia="zh-CN" w:bidi="ar-SA"/>
        </w:rPr>
        <w:t>应急救援指挥中心、</w:t>
      </w:r>
      <w:r>
        <w:rPr>
          <w:rFonts w:hint="eastAsia" w:ascii="Times New Roman" w:hAnsi="Times New Roman" w:eastAsia="宋体" w:cs="宋体"/>
          <w:kern w:val="2"/>
          <w:sz w:val="24"/>
          <w:szCs w:val="24"/>
          <w:lang w:val="en-US" w:eastAsia="zh-CN" w:bidi="ar-SA"/>
        </w:rPr>
        <w:t>湘阴县</w:t>
      </w:r>
      <w:r>
        <w:rPr>
          <w:rFonts w:ascii="Times New Roman" w:hAnsi="Times New Roman" w:eastAsia="宋体" w:cs="宋体"/>
          <w:kern w:val="2"/>
          <w:sz w:val="24"/>
          <w:szCs w:val="24"/>
          <w:lang w:val="en-US" w:eastAsia="zh-CN" w:bidi="ar-SA"/>
        </w:rPr>
        <w:t>人民政府、</w:t>
      </w:r>
      <w:r>
        <w:rPr>
          <w:rFonts w:hint="eastAsia" w:ascii="Times New Roman" w:hAnsi="Times New Roman" w:eastAsia="宋体" w:cs="宋体"/>
          <w:kern w:val="2"/>
          <w:sz w:val="24"/>
          <w:szCs w:val="24"/>
          <w:lang w:val="en-US" w:eastAsia="zh-CN" w:bidi="ar-SA"/>
        </w:rPr>
        <w:t>湘阴县</w:t>
      </w:r>
      <w:r>
        <w:rPr>
          <w:rFonts w:ascii="Times New Roman" w:hAnsi="Times New Roman" w:eastAsia="宋体" w:cs="宋体"/>
          <w:kern w:val="2"/>
          <w:sz w:val="24"/>
          <w:szCs w:val="24"/>
          <w:lang w:val="en-US" w:eastAsia="zh-CN" w:bidi="ar-SA"/>
        </w:rPr>
        <w:t>环境保护局以及相关的职能管理部门的应急指挥机构联系，及时将环境事件发生情况及最新进展向有关部门汇报，并将上级指挥机构的命令及时向企业内应急救援指挥中心汇报。</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（2）预案分级响应的联动</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重大事件：企业应急指挥小组在接到事故报警后，及时向</w:t>
      </w:r>
      <w:r>
        <w:rPr>
          <w:rFonts w:hint="eastAsia" w:ascii="Times New Roman" w:hAnsi="Times New Roman" w:eastAsia="宋体" w:cs="宋体"/>
          <w:kern w:val="2"/>
          <w:sz w:val="24"/>
          <w:szCs w:val="24"/>
          <w:lang w:val="en-US" w:eastAsia="zh-CN" w:bidi="ar-SA"/>
        </w:rPr>
        <w:t>湘阴县</w:t>
      </w:r>
      <w:r>
        <w:rPr>
          <w:rFonts w:ascii="Times New Roman" w:hAnsi="Times New Roman" w:eastAsia="宋体" w:cs="宋体"/>
          <w:kern w:val="2"/>
          <w:sz w:val="24"/>
          <w:szCs w:val="24"/>
          <w:lang w:val="en-US" w:eastAsia="zh-CN" w:bidi="ar-SA"/>
        </w:rPr>
        <w:t>应急救援指挥中心报告，并请求支援。</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（3）应急救援保障的联动</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①公共援助力量：可以联系湖南省岳阳市</w:t>
      </w:r>
      <w:r>
        <w:rPr>
          <w:rFonts w:hint="eastAsia" w:ascii="Times New Roman" w:hAnsi="Times New Roman" w:eastAsia="宋体" w:cs="宋体"/>
          <w:kern w:val="2"/>
          <w:sz w:val="24"/>
          <w:szCs w:val="24"/>
          <w:lang w:val="en-US" w:eastAsia="zh-CN" w:bidi="ar-SA"/>
        </w:rPr>
        <w:t>湘阴县</w:t>
      </w:r>
      <w:r>
        <w:rPr>
          <w:rFonts w:ascii="Times New Roman" w:hAnsi="Times New Roman" w:eastAsia="宋体" w:cs="宋体"/>
          <w:kern w:val="2"/>
          <w:sz w:val="24"/>
          <w:szCs w:val="24"/>
          <w:lang w:val="en-US" w:eastAsia="zh-CN" w:bidi="ar-SA"/>
        </w:rPr>
        <w:t>人民政府、</w:t>
      </w:r>
      <w:r>
        <w:rPr>
          <w:rFonts w:hint="eastAsia" w:ascii="Times New Roman" w:hAnsi="Times New Roman" w:eastAsia="宋体" w:cs="宋体"/>
          <w:kern w:val="2"/>
          <w:sz w:val="24"/>
          <w:szCs w:val="24"/>
          <w:lang w:val="en-US" w:eastAsia="zh-CN" w:bidi="ar-SA"/>
        </w:rPr>
        <w:t>湘阴县</w:t>
      </w:r>
      <w:r>
        <w:rPr>
          <w:rFonts w:ascii="Times New Roman" w:hAnsi="Times New Roman" w:eastAsia="宋体" w:cs="宋体"/>
          <w:kern w:val="2"/>
          <w:sz w:val="24"/>
          <w:szCs w:val="24"/>
          <w:lang w:val="en-US" w:eastAsia="zh-CN" w:bidi="ar-SA"/>
        </w:rPr>
        <w:t>消防大队、</w:t>
      </w:r>
      <w:r>
        <w:rPr>
          <w:rFonts w:hint="eastAsia" w:ascii="Times New Roman" w:hAnsi="Times New Roman" w:eastAsia="宋体" w:cs="宋体"/>
          <w:kern w:val="2"/>
          <w:sz w:val="24"/>
          <w:szCs w:val="24"/>
          <w:lang w:val="en-US" w:eastAsia="zh-CN" w:bidi="ar-SA"/>
        </w:rPr>
        <w:t>湘阴县</w:t>
      </w:r>
      <w:r>
        <w:rPr>
          <w:rFonts w:ascii="Times New Roman" w:hAnsi="Times New Roman" w:eastAsia="宋体" w:cs="宋体"/>
          <w:kern w:val="2"/>
          <w:sz w:val="24"/>
          <w:szCs w:val="24"/>
          <w:lang w:val="en-US" w:eastAsia="zh-CN" w:bidi="ar-SA"/>
        </w:rPr>
        <w:t>人民医院、</w:t>
      </w:r>
      <w:r>
        <w:rPr>
          <w:rFonts w:hint="eastAsia" w:ascii="Times New Roman" w:hAnsi="Times New Roman" w:eastAsia="宋体" w:cs="宋体"/>
          <w:kern w:val="2"/>
          <w:sz w:val="24"/>
          <w:szCs w:val="24"/>
          <w:lang w:val="en-US" w:eastAsia="zh-CN" w:bidi="ar-SA"/>
        </w:rPr>
        <w:t>湘阴县</w:t>
      </w:r>
      <w:r>
        <w:rPr>
          <w:rFonts w:ascii="Times New Roman" w:hAnsi="Times New Roman" w:eastAsia="宋体" w:cs="宋体"/>
          <w:kern w:val="2"/>
          <w:sz w:val="24"/>
          <w:szCs w:val="24"/>
          <w:lang w:val="en-US" w:eastAsia="zh-CN" w:bidi="ar-SA"/>
        </w:rPr>
        <w:t>环境保护局、</w:t>
      </w:r>
      <w:r>
        <w:rPr>
          <w:rFonts w:hint="eastAsia" w:ascii="Times New Roman" w:hAnsi="Times New Roman" w:eastAsia="宋体" w:cs="宋体"/>
          <w:kern w:val="2"/>
          <w:sz w:val="24"/>
          <w:szCs w:val="24"/>
          <w:lang w:val="en-US" w:eastAsia="zh-CN" w:bidi="ar-SA"/>
        </w:rPr>
        <w:t>湘阴县</w:t>
      </w:r>
      <w:r>
        <w:rPr>
          <w:rFonts w:ascii="Times New Roman" w:hAnsi="Times New Roman" w:eastAsia="宋体" w:cs="宋体"/>
          <w:kern w:val="2"/>
          <w:sz w:val="24"/>
          <w:szCs w:val="24"/>
          <w:lang w:val="en-US" w:eastAsia="zh-CN" w:bidi="ar-SA"/>
        </w:rPr>
        <w:t>环境监测站、岳阳市环境监测站、</w:t>
      </w:r>
      <w:r>
        <w:rPr>
          <w:rFonts w:hint="eastAsia" w:ascii="Times New Roman" w:hAnsi="Times New Roman" w:eastAsia="宋体" w:cs="宋体"/>
          <w:kern w:val="2"/>
          <w:sz w:val="24"/>
          <w:szCs w:val="24"/>
          <w:lang w:val="en-US" w:eastAsia="zh-CN" w:bidi="ar-SA"/>
        </w:rPr>
        <w:t>湘阴县</w:t>
      </w:r>
      <w:r>
        <w:rPr>
          <w:rFonts w:ascii="Times New Roman" w:hAnsi="Times New Roman" w:eastAsia="宋体" w:cs="宋体"/>
          <w:kern w:val="2"/>
          <w:sz w:val="24"/>
          <w:szCs w:val="24"/>
          <w:lang w:val="en-US" w:eastAsia="zh-CN" w:bidi="ar-SA"/>
        </w:rPr>
        <w:t>公安局等相关职能部门，请求救援力量、设备的支持。</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②专家援助：应与应急专家组内专家加强日常联络，应急演练及紧急情况下可以寻求技术支持，事件发生第一时间请求技术支持。</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（4）应急培训计划的衔接</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企业在开展应急培训计划的同时，还应积极配合</w:t>
      </w:r>
      <w:r>
        <w:rPr>
          <w:rFonts w:hint="eastAsia" w:ascii="Times New Roman" w:hAnsi="Times New Roman" w:eastAsia="宋体" w:cs="宋体"/>
          <w:kern w:val="2"/>
          <w:sz w:val="24"/>
          <w:szCs w:val="24"/>
          <w:lang w:val="en-US" w:eastAsia="zh-CN" w:bidi="ar-SA"/>
        </w:rPr>
        <w:t>湘阴县</w:t>
      </w:r>
      <w:r>
        <w:rPr>
          <w:rFonts w:ascii="Times New Roman" w:hAnsi="Times New Roman" w:eastAsia="宋体" w:cs="宋体"/>
          <w:kern w:val="2"/>
          <w:sz w:val="24"/>
          <w:szCs w:val="24"/>
          <w:lang w:val="en-US" w:eastAsia="zh-CN" w:bidi="ar-SA"/>
        </w:rPr>
        <w:t>人民政府、</w:t>
      </w:r>
      <w:r>
        <w:rPr>
          <w:rFonts w:hint="eastAsia" w:ascii="Times New Roman" w:hAnsi="Times New Roman" w:eastAsia="宋体" w:cs="宋体"/>
          <w:kern w:val="2"/>
          <w:sz w:val="24"/>
          <w:szCs w:val="24"/>
          <w:lang w:val="en-US" w:eastAsia="zh-CN" w:bidi="ar-SA"/>
        </w:rPr>
        <w:t>湘阴县</w:t>
      </w:r>
      <w:r>
        <w:rPr>
          <w:rFonts w:ascii="Times New Roman" w:hAnsi="Times New Roman" w:eastAsia="宋体" w:cs="宋体"/>
          <w:kern w:val="2"/>
          <w:sz w:val="24"/>
          <w:szCs w:val="24"/>
          <w:lang w:val="en-US" w:eastAsia="zh-CN" w:bidi="ar-SA"/>
        </w:rPr>
        <w:t>环境保护局等开展的应急培训计划。</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2</w:t>
      </w:r>
      <w:r>
        <w:rPr>
          <w:rFonts w:ascii="Times New Roman" w:hAnsi="Times New Roman" w:eastAsia="宋体" w:cs="宋体"/>
          <w:kern w:val="2"/>
          <w:sz w:val="24"/>
          <w:szCs w:val="24"/>
          <w:lang w:val="en-US" w:eastAsia="zh-CN" w:bidi="ar-SA"/>
        </w:rPr>
        <w:t>、指挥结构：设置环境管理机构和专门的应急领导小组，由企业负责人任组长，并配专职环保管理人员。</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1）一旦发生风险事故，岗位人员应立即报告装置应急领导小组，发现人员受伤，应拨打120急救电话，向医院报警，并说明具体位置和现场情况，上述单位进入现场救护时应配备好自身护具，并根据报警情况，选择好救护路线。</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（2）各级应急指挥领导、成员接到报告后，立即赶赴现场按照各自的职责分工和应急处理程序进行应急处理。</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（3）处理期间根据事态的发展，应急领导小组现场对事故险情进行评估，根据评估结果确定是否需要上级主管部门的协助救援。</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3</w:t>
      </w:r>
      <w:r>
        <w:rPr>
          <w:rFonts w:ascii="Times New Roman" w:hAnsi="Times New Roman" w:eastAsia="宋体" w:cs="宋体"/>
          <w:kern w:val="2"/>
          <w:sz w:val="24"/>
          <w:szCs w:val="24"/>
          <w:lang w:val="en-US" w:eastAsia="zh-CN" w:bidi="ar-SA"/>
        </w:rPr>
        <w:t>、信息传递：按照从紧急情况现场与指挥线路一致的线路上报和下传，确保企业管理层及当地环保门及时得到信息。</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4</w:t>
      </w:r>
      <w:r>
        <w:rPr>
          <w:rFonts w:ascii="Times New Roman" w:hAnsi="Times New Roman" w:eastAsia="宋体" w:cs="宋体"/>
          <w:kern w:val="2"/>
          <w:sz w:val="24"/>
          <w:szCs w:val="24"/>
          <w:lang w:val="en-US" w:eastAsia="zh-CN" w:bidi="ar-SA"/>
        </w:rPr>
        <w:t>、现场警戒和疏散措施</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1）由环境管理机构和应急领导小组根据现场实际情况指挥事故单位划定警戒区域，并用警戒绳圈定，并安排人员负责把守，警戒人员必须佩带安全防护用具。禁止无关人员进入危险区域，同时通知公安保卫处禁止无关人员及车辆进入危险区域。</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（2）紧急疏散时，由环境管理机构指挥带领人员撤离到警戒区域以外。</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5</w:t>
      </w:r>
      <w:r>
        <w:rPr>
          <w:rFonts w:ascii="Times New Roman" w:hAnsi="Times New Roman" w:eastAsia="宋体" w:cs="宋体"/>
          <w:kern w:val="2"/>
          <w:sz w:val="24"/>
          <w:szCs w:val="24"/>
          <w:lang w:val="en-US" w:eastAsia="zh-CN" w:bidi="ar-SA"/>
        </w:rPr>
        <w:t>、事故上报程序和内容</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（1）报告程序：事故发生后24h内将事故概况迅速上报环保、劳动、卫生等相关部门。</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（2）报告内容：发生事故的单位、时间、地点、事故原因、对环境影响、灾情损失情况和抢险情况。</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6</w:t>
      </w:r>
      <w:r>
        <w:rPr>
          <w:rFonts w:ascii="Times New Roman" w:hAnsi="Times New Roman" w:eastAsia="宋体" w:cs="宋体"/>
          <w:kern w:val="2"/>
          <w:sz w:val="24"/>
          <w:szCs w:val="24"/>
          <w:lang w:val="en-US" w:eastAsia="zh-CN" w:bidi="ar-SA"/>
        </w:rPr>
        <w:t>、善后处理</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（1）突发事件结束后，由有关部门迅速成立事故调查小组，进行调查处理。</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（2）组织恢复生产，做好恢复生产的各项措施。</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（3）突发事件结束后，根据突发事件的影响范围由企业办公室或指定人员统一对外发布信息。</w:t>
      </w:r>
    </w:p>
    <w:p>
      <w:pPr>
        <w:pStyle w:val="2"/>
        <w:bidi w:val="0"/>
        <w:rPr>
          <w:lang w:val="en-US" w:eastAsia="zh-CN"/>
        </w:rPr>
      </w:pPr>
      <w:bookmarkStart w:id="1629" w:name="_Toc31849"/>
      <w:bookmarkStart w:id="1630" w:name="_Toc4095_WPSOffice_Level2"/>
      <w:bookmarkStart w:id="1631" w:name="_Toc20586"/>
      <w:bookmarkStart w:id="1632" w:name="_Toc16268_WPSOffice_Level2"/>
      <w:bookmarkStart w:id="1633" w:name="_Toc28459_WPSOffice_Level2"/>
      <w:bookmarkStart w:id="1634" w:name="_Toc16629"/>
      <w:bookmarkStart w:id="1635" w:name="_Toc11781_WPSOffice_Level2"/>
      <w:bookmarkStart w:id="1636" w:name="_Toc24528"/>
      <w:r>
        <w:rPr>
          <w:lang w:val="en-US" w:eastAsia="zh-CN"/>
        </w:rPr>
        <w:t>环境风险评价结论</w:t>
      </w:r>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采用成熟可靠的生产工艺和先进的设备，通过采取一系列环境保护措施，在项目建成后能够有效防止生产废气事故排放及危险化学品泄漏事故发生，一旦发生事故，依靠拟定的安全防护设施和事故应急措施也能及时控制事故，防止事故的蔓延。</w:t>
      </w:r>
      <w:r>
        <w:rPr>
          <w:rFonts w:ascii="Times New Roman" w:hAnsi="Times New Roman" w:eastAsia="宋体" w:cs="宋体"/>
          <w:kern w:val="2"/>
          <w:sz w:val="24"/>
          <w:szCs w:val="24"/>
          <w:lang w:val="en-US" w:eastAsia="zh-CN" w:bidi="ar-SA"/>
        </w:rPr>
        <w:t>因此，在建设单位制定严格的生产运行管理、加强</w:t>
      </w:r>
      <w:r>
        <w:rPr>
          <w:rFonts w:hint="eastAsia" w:ascii="Times New Roman" w:hAnsi="Times New Roman" w:eastAsia="宋体" w:cs="宋体"/>
          <w:kern w:val="2"/>
          <w:sz w:val="24"/>
          <w:szCs w:val="24"/>
          <w:lang w:val="en-US" w:eastAsia="zh-CN" w:bidi="ar-SA"/>
        </w:rPr>
        <w:t>员工</w:t>
      </w:r>
      <w:r>
        <w:rPr>
          <w:rFonts w:ascii="Times New Roman" w:hAnsi="Times New Roman" w:eastAsia="宋体" w:cs="宋体"/>
          <w:kern w:val="2"/>
          <w:sz w:val="24"/>
          <w:szCs w:val="24"/>
          <w:lang w:val="en-US" w:eastAsia="zh-CN" w:bidi="ar-SA"/>
        </w:rPr>
        <w:t>的安全生产教育、提高风险意识，严格落实相关风险防范措施和安全应急措施的前提下，并制度详细的风险应急预案基础上，项目环境风险影响可接受。</w:t>
      </w:r>
    </w:p>
    <w:p>
      <w:pPr>
        <w:widowControl w:val="0"/>
        <w:bidi w:val="0"/>
        <w:spacing w:line="360" w:lineRule="auto"/>
        <w:ind w:firstLine="480" w:firstLineChars="200"/>
        <w:jc w:val="left"/>
        <w:rPr>
          <w:rFonts w:hint="default"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环境风险评价自查表见附表4。</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bidi w:val="0"/>
        <w:rPr>
          <w:rFonts w:hint="eastAsia"/>
        </w:rPr>
        <w:sectPr>
          <w:pgSz w:w="11906" w:h="16838"/>
          <w:pgMar w:top="1417" w:right="1417" w:bottom="1134" w:left="1701"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3"/>
        <w:bidi w:val="0"/>
        <w:rPr>
          <w:lang w:val="en-US" w:eastAsia="zh-CN"/>
        </w:rPr>
      </w:pPr>
      <w:bookmarkStart w:id="1637" w:name="_Toc22145"/>
      <w:bookmarkStart w:id="1638" w:name="_Toc11320"/>
      <w:bookmarkStart w:id="1639" w:name="_Toc26378"/>
      <w:r>
        <w:rPr>
          <w:lang w:val="en-US" w:eastAsia="zh-CN"/>
        </w:rPr>
        <w:t>总量控制分析</w:t>
      </w:r>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637"/>
      <w:bookmarkEnd w:id="1638"/>
      <w:bookmarkEnd w:id="1639"/>
    </w:p>
    <w:p>
      <w:pPr>
        <w:pStyle w:val="2"/>
        <w:bidi w:val="0"/>
        <w:rPr>
          <w:lang w:val="en-US" w:eastAsia="zh-CN"/>
        </w:rPr>
      </w:pPr>
      <w:bookmarkStart w:id="1640" w:name="_Toc11825_WPSOffice_Level2"/>
      <w:bookmarkStart w:id="1641" w:name="_Toc305827704"/>
      <w:bookmarkStart w:id="1642" w:name="_Toc307236482"/>
      <w:bookmarkStart w:id="1643" w:name="_Toc10586"/>
      <w:bookmarkStart w:id="1644" w:name="_Toc4726_WPSOffice_Level2"/>
      <w:bookmarkStart w:id="1645" w:name="_Toc232225583"/>
      <w:bookmarkStart w:id="1646" w:name="_Toc18886"/>
      <w:bookmarkStart w:id="1647" w:name="_Toc305828067"/>
      <w:bookmarkStart w:id="1648" w:name="_Toc14375"/>
      <w:bookmarkStart w:id="1649" w:name="_Toc27093_WPSOffice_Level2"/>
      <w:bookmarkStart w:id="1650" w:name="_Toc15026"/>
      <w:bookmarkStart w:id="1651" w:name="_Toc305827568"/>
      <w:bookmarkStart w:id="1652" w:name="_Toc307293893"/>
      <w:bookmarkStart w:id="1653" w:name="_Toc305827399"/>
      <w:bookmarkStart w:id="1654" w:name="_Toc15937_WPSOffice_Level2"/>
      <w:bookmarkStart w:id="1655" w:name="_Toc46736876"/>
      <w:bookmarkStart w:id="1656" w:name="_Toc305826785"/>
      <w:bookmarkStart w:id="1657" w:name="_Toc304349321"/>
      <w:bookmarkStart w:id="1658" w:name="_Toc305826962"/>
      <w:bookmarkStart w:id="1659" w:name="_Toc305827057"/>
      <w:bookmarkStart w:id="1660" w:name="_Toc15605"/>
      <w:bookmarkStart w:id="1661" w:name="_Toc26017"/>
      <w:bookmarkStart w:id="1662" w:name="_Toc13296"/>
      <w:bookmarkStart w:id="1663" w:name="_Toc29348_WPSOffice_Level2"/>
      <w:bookmarkStart w:id="1664" w:name="_Toc12540"/>
      <w:bookmarkStart w:id="1665" w:name="_Toc38377275"/>
      <w:bookmarkStart w:id="1666" w:name="_Toc31148"/>
      <w:bookmarkStart w:id="1667" w:name="_Toc305828164"/>
      <w:bookmarkStart w:id="1668" w:name="_Toc232414623"/>
      <w:bookmarkStart w:id="1669" w:name="_Toc243124331"/>
      <w:bookmarkStart w:id="1670" w:name="_Toc305827799"/>
      <w:bookmarkStart w:id="1671" w:name="_Toc3462"/>
      <w:bookmarkStart w:id="1672" w:name="_Toc232414517"/>
      <w:bookmarkStart w:id="1673" w:name="_Toc54491315"/>
      <w:r>
        <w:rPr>
          <w:lang w:val="en-US" w:eastAsia="zh-CN"/>
        </w:rPr>
        <w:t>总量控制因子</w:t>
      </w:r>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bookmarkStart w:id="1674" w:name="_Toc6926"/>
      <w:bookmarkStart w:id="1675" w:name="_Toc312999501"/>
      <w:r>
        <w:rPr>
          <w:rFonts w:ascii="Times New Roman" w:hAnsi="Times New Roman" w:eastAsia="宋体" w:cs="宋体"/>
          <w:kern w:val="2"/>
          <w:sz w:val="24"/>
          <w:szCs w:val="24"/>
          <w:lang w:val="en-US" w:eastAsia="zh-CN" w:bidi="ar-SA"/>
        </w:rPr>
        <w:t>根据国家环境保护部对实施污染物排放总量控制的要求</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《国民经济和社会发展第十三个五年规划纲要》环保规划要求</w:t>
      </w:r>
      <w:r>
        <w:rPr>
          <w:rFonts w:hint="eastAsia" w:ascii="Times New Roman" w:hAnsi="Times New Roman" w:eastAsia="宋体" w:cs="宋体"/>
          <w:kern w:val="2"/>
          <w:sz w:val="24"/>
          <w:szCs w:val="24"/>
          <w:lang w:val="en-US" w:eastAsia="zh-CN" w:bidi="ar-SA"/>
        </w:rPr>
        <w:t>和《湖南省“十三五”主要污染物减排规划》</w:t>
      </w:r>
      <w:r>
        <w:rPr>
          <w:rFonts w:ascii="Times New Roman" w:hAnsi="Times New Roman" w:eastAsia="宋体" w:cs="宋体"/>
          <w:kern w:val="2"/>
          <w:sz w:val="24"/>
          <w:szCs w:val="24"/>
          <w:lang w:val="en-US" w:eastAsia="zh-CN" w:bidi="ar-SA"/>
        </w:rPr>
        <w:t>，根据本工程的污染特点和环保部门的要求，根据国家总量控制有关规定，结合公司生产实际情况，</w:t>
      </w:r>
      <w:r>
        <w:rPr>
          <w:rFonts w:ascii="Times New Roman" w:hAnsi="Times New Roman" w:eastAsia="宋体" w:cs="宋体"/>
          <w:kern w:val="2"/>
          <w:sz w:val="24"/>
          <w:szCs w:val="24"/>
          <w:u w:val="single"/>
          <w:lang w:val="en-US" w:eastAsia="zh-CN" w:bidi="ar-SA"/>
        </w:rPr>
        <w:t>确定本工程总量控制因子为：</w:t>
      </w:r>
      <w:r>
        <w:rPr>
          <w:rFonts w:hint="eastAsia" w:cs="宋体"/>
          <w:kern w:val="2"/>
          <w:sz w:val="24"/>
          <w:szCs w:val="24"/>
          <w:u w:val="single"/>
          <w:lang w:val="en-US" w:eastAsia="zh-CN" w:bidi="ar-SA"/>
        </w:rPr>
        <w:t>VOCs</w:t>
      </w:r>
      <w:r>
        <w:rPr>
          <w:rFonts w:hint="eastAsia" w:ascii="Times New Roman" w:hAnsi="Times New Roman" w:eastAsia="宋体" w:cs="宋体"/>
          <w:kern w:val="2"/>
          <w:sz w:val="24"/>
          <w:szCs w:val="24"/>
          <w:lang w:val="en-US" w:eastAsia="zh-CN" w:bidi="ar-SA"/>
        </w:rPr>
        <w:t>。</w:t>
      </w:r>
    </w:p>
    <w:bookmarkEnd w:id="1674"/>
    <w:bookmarkEnd w:id="1675"/>
    <w:p>
      <w:pPr>
        <w:pStyle w:val="2"/>
        <w:bidi w:val="0"/>
        <w:rPr>
          <w:lang w:val="en-US" w:eastAsia="zh-CN"/>
        </w:rPr>
      </w:pPr>
      <w:bookmarkStart w:id="1676" w:name="_Toc17486"/>
      <w:bookmarkStart w:id="1677" w:name="_Toc29270"/>
      <w:bookmarkStart w:id="1678" w:name="_Toc15340_WPSOffice_Level2"/>
      <w:bookmarkStart w:id="1679" w:name="_Toc13616"/>
      <w:bookmarkStart w:id="1680" w:name="_Toc19715"/>
      <w:bookmarkStart w:id="1681" w:name="_Toc4078_WPSOffice_Level2"/>
      <w:bookmarkStart w:id="1682" w:name="_Toc1628_WPSOffice_Level2"/>
      <w:bookmarkStart w:id="1683" w:name="_Toc28074"/>
      <w:bookmarkStart w:id="1684" w:name="_Toc7042"/>
      <w:bookmarkStart w:id="1685" w:name="_Toc17391_WPSOffice_Level2"/>
      <w:bookmarkStart w:id="1686" w:name="_Toc20754"/>
      <w:bookmarkStart w:id="1687" w:name="_Toc3530"/>
      <w:bookmarkStart w:id="1688" w:name="_Toc5448_WPSOffice_Level2"/>
      <w:bookmarkStart w:id="1689" w:name="_Toc21703"/>
      <w:bookmarkStart w:id="1690" w:name="_Toc4076_WPSOffice_Level2"/>
      <w:bookmarkStart w:id="1691" w:name="_Toc31520"/>
      <w:bookmarkStart w:id="1692" w:name="_Toc18147_WPSOffice_Level2"/>
      <w:bookmarkStart w:id="1693" w:name="_Toc24493"/>
      <w:bookmarkStart w:id="1694" w:name="_Toc9873"/>
      <w:bookmarkStart w:id="1695" w:name="_Toc29192"/>
      <w:bookmarkStart w:id="1696" w:name="_Toc29787"/>
      <w:bookmarkStart w:id="1697" w:name="_Toc23572_WPSOffice_Level2"/>
      <w:bookmarkStart w:id="1698" w:name="_Toc8713"/>
      <w:bookmarkStart w:id="1699" w:name="_Toc11033_WPSOffice_Level2"/>
      <w:bookmarkStart w:id="1700" w:name="_Toc29715_WPSOffice_Level2"/>
      <w:r>
        <w:rPr>
          <w:lang w:val="en-US" w:eastAsia="zh-CN"/>
        </w:rPr>
        <w:t>废</w:t>
      </w:r>
      <w:r>
        <w:rPr>
          <w:rFonts w:hint="eastAsia"/>
          <w:lang w:val="en-US" w:eastAsia="zh-CN"/>
        </w:rPr>
        <w:t>气</w:t>
      </w:r>
      <w:r>
        <w:rPr>
          <w:lang w:val="en-US" w:eastAsia="zh-CN"/>
        </w:rPr>
        <w:t>污染物排放总量控制分析</w:t>
      </w:r>
      <w:bookmarkEnd w:id="1676"/>
      <w:bookmarkEnd w:id="1677"/>
      <w:bookmarkEnd w:id="1678"/>
      <w:bookmarkEnd w:id="1679"/>
      <w:bookmarkEnd w:id="1680"/>
      <w:bookmarkEnd w:id="1681"/>
      <w:bookmarkEnd w:id="1682"/>
      <w:bookmarkEnd w:id="1683"/>
      <w:bookmarkEnd w:id="1684"/>
      <w:bookmarkEnd w:id="1685"/>
      <w:bookmarkEnd w:id="1686"/>
      <w:bookmarkEnd w:id="1687"/>
      <w:bookmarkEnd w:id="1688"/>
    </w:p>
    <w:p>
      <w:pPr>
        <w:keepNext w:val="0"/>
        <w:keepLines w:val="0"/>
        <w:pageBreakBefore w:val="0"/>
        <w:widowControl w:val="0"/>
        <w:numPr>
          <w:ilvl w:val="0"/>
          <w:numId w:val="0"/>
        </w:numPr>
        <w:tabs>
          <w:tab w:val="left" w:pos="3824"/>
        </w:tabs>
        <w:kinsoku/>
        <w:wordWrap/>
        <w:overflowPunct/>
        <w:topLinePunct w:val="0"/>
        <w:autoSpaceDE/>
        <w:autoSpaceDN/>
        <w:bidi w:val="0"/>
        <w:adjustRightInd/>
        <w:snapToGrid/>
        <w:spacing w:line="480" w:lineRule="exact"/>
        <w:ind w:leftChars="0" w:firstLine="480" w:firstLineChars="200"/>
        <w:jc w:val="left"/>
        <w:textAlignment w:val="auto"/>
        <w:outlineLvl w:val="9"/>
        <w:rPr>
          <w:u w:val="single"/>
        </w:rPr>
      </w:pPr>
      <w:bookmarkStart w:id="1701" w:name="_Toc19559"/>
      <w:r>
        <w:rPr>
          <w:rFonts w:hint="eastAsia"/>
          <w:u w:val="single"/>
        </w:rPr>
        <w:t>根据工程分析，项目排放的特征污染物为VOCs，排放量为</w:t>
      </w:r>
      <w:r>
        <w:rPr>
          <w:rFonts w:hint="eastAsia"/>
          <w:u w:val="single"/>
          <w:lang w:val="en-US" w:eastAsia="zh-CN"/>
        </w:rPr>
        <w:t>0.31</w:t>
      </w:r>
      <w:r>
        <w:rPr>
          <w:rFonts w:hint="eastAsia"/>
          <w:u w:val="single"/>
        </w:rPr>
        <w:t>t/a，以实际排放浓度为总量控制指标依据。本项目污染物排放总量指标汇总</w:t>
      </w:r>
      <w:r>
        <w:rPr>
          <w:rFonts w:hint="eastAsia" w:ascii="Times New Roman" w:eastAsia="宋体"/>
          <w:u w:val="single"/>
          <w:lang w:val="en-US" w:eastAsia="zh-CN"/>
        </w:rPr>
        <w:t>详</w:t>
      </w:r>
      <w:r>
        <w:rPr>
          <w:rFonts w:hint="eastAsia" w:eastAsia="宋体"/>
          <w:u w:val="single"/>
          <w:lang w:eastAsia="zh-CN"/>
        </w:rPr>
        <w:t>见</w:t>
      </w:r>
      <w:r>
        <w:rPr>
          <w:rFonts w:hint="eastAsia"/>
          <w:u w:val="single"/>
        </w:rPr>
        <w:fldChar w:fldCharType="begin"/>
      </w:r>
      <w:r>
        <w:rPr>
          <w:rFonts w:hint="eastAsia"/>
          <w:u w:val="single"/>
        </w:rPr>
        <w:instrText xml:space="preserve"> REF _Ref13532 \h </w:instrText>
      </w:r>
      <w:r>
        <w:rPr>
          <w:rFonts w:hint="eastAsia"/>
          <w:u w:val="single"/>
        </w:rPr>
        <w:fldChar w:fldCharType="separate"/>
      </w:r>
      <w:r>
        <w:rPr>
          <w:u w:val="single"/>
        </w:rPr>
        <w:t xml:space="preserve">表 </w:t>
      </w:r>
      <w:r>
        <w:rPr>
          <w:u w:val="single"/>
        </w:rPr>
        <w:fldChar w:fldCharType="begin"/>
      </w:r>
      <w:r>
        <w:rPr>
          <w:u w:val="single"/>
        </w:rPr>
        <w:instrText xml:space="preserve"> STYLEREF 1 \s </w:instrText>
      </w:r>
      <w:r>
        <w:rPr>
          <w:u w:val="single"/>
        </w:rPr>
        <w:fldChar w:fldCharType="separate"/>
      </w:r>
      <w:r>
        <w:rPr>
          <w:u w:val="single"/>
        </w:rPr>
        <w:t>9</w:t>
      </w:r>
      <w:r>
        <w:rPr>
          <w:u w:val="single"/>
        </w:rPr>
        <w:fldChar w:fldCharType="end"/>
      </w:r>
      <w:r>
        <w:rPr>
          <w:rFonts w:hint="eastAsia" w:eastAsia="宋体"/>
          <w:u w:val="single"/>
          <w:lang w:eastAsia="zh-CN"/>
        </w:rPr>
        <w:t>-</w:t>
      </w:r>
      <w:r>
        <w:rPr>
          <w:u w:val="single"/>
        </w:rPr>
        <w:t>1</w:t>
      </w:r>
      <w:r>
        <w:rPr>
          <w:rFonts w:hint="eastAsia"/>
          <w:u w:val="single"/>
        </w:rPr>
        <w:fldChar w:fldCharType="end"/>
      </w:r>
      <w:r>
        <w:rPr>
          <w:u w:val="single"/>
        </w:rPr>
        <w:t>。</w:t>
      </w:r>
    </w:p>
    <w:p>
      <w:pPr>
        <w:widowControl w:val="0"/>
        <w:spacing w:line="360" w:lineRule="auto"/>
        <w:jc w:val="center"/>
        <w:rPr>
          <w:rFonts w:ascii="Times New Roman" w:hAnsi="Times New Roman" w:eastAsia="宋体" w:cs="Times New Roman"/>
          <w:b/>
          <w:kern w:val="2"/>
          <w:sz w:val="21"/>
          <w:szCs w:val="21"/>
          <w:lang w:val="en-US" w:eastAsia="zh-CN" w:bidi="ar-SA"/>
        </w:rPr>
      </w:pPr>
      <w:bookmarkStart w:id="1702" w:name="_Ref13532"/>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9</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bookmarkEnd w:id="1702"/>
      <w:r>
        <w:rPr>
          <w:rFonts w:hint="eastAsia" w:ascii="Times New Roman" w:hAnsi="Times New Roman" w:eastAsia="宋体" w:cs="Times New Roman"/>
          <w:b/>
          <w:kern w:val="2"/>
          <w:sz w:val="21"/>
          <w:szCs w:val="21"/>
          <w:lang w:val="en-US" w:eastAsia="zh-CN" w:bidi="ar-SA"/>
        </w:rPr>
        <w:t>水</w:t>
      </w:r>
      <w:r>
        <w:rPr>
          <w:rFonts w:ascii="Times New Roman" w:hAnsi="Times New Roman" w:eastAsia="宋体" w:cs="Times New Roman"/>
          <w:b/>
          <w:kern w:val="2"/>
          <w:sz w:val="21"/>
          <w:szCs w:val="21"/>
          <w:lang w:val="en-US" w:eastAsia="zh-CN" w:bidi="ar-SA"/>
        </w:rPr>
        <w:t>污染物排放总量指标 单位：t/a</w:t>
      </w:r>
    </w:p>
    <w:tbl>
      <w:tblPr>
        <w:tblStyle w:val="2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79"/>
        <w:gridCol w:w="1529"/>
        <w:gridCol w:w="2520"/>
        <w:gridCol w:w="357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7" w:hRule="atLeast"/>
          <w:jc w:val="center"/>
        </w:trPr>
        <w:tc>
          <w:tcPr>
            <w:tcW w:w="2408" w:type="dxa"/>
            <w:gridSpan w:val="2"/>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u w:val="single"/>
                <w:lang w:val="en-US" w:eastAsia="zh-CN" w:bidi="ar-SA"/>
              </w:rPr>
            </w:pPr>
            <w:r>
              <w:rPr>
                <w:rFonts w:ascii="Times New Roman" w:hAnsi="Times New Roman" w:eastAsia="宋体" w:cs="Times New Roman"/>
                <w:kern w:val="2"/>
                <w:sz w:val="24"/>
                <w:szCs w:val="24"/>
                <w:u w:val="single"/>
                <w:lang w:val="en-US" w:eastAsia="zh-CN" w:bidi="ar-SA"/>
              </w:rPr>
              <w:t>污染物</w:t>
            </w:r>
          </w:p>
        </w:tc>
        <w:tc>
          <w:tcPr>
            <w:tcW w:w="252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排放量</w:t>
            </w:r>
          </w:p>
        </w:tc>
        <w:tc>
          <w:tcPr>
            <w:tcW w:w="3576"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u w:val="single"/>
                <w:lang w:val="en-US" w:eastAsia="zh-CN" w:bidi="ar-SA"/>
              </w:rPr>
            </w:pPr>
            <w:r>
              <w:rPr>
                <w:rFonts w:ascii="Times New Roman" w:hAnsi="Times New Roman" w:eastAsia="宋体" w:cs="Times New Roman"/>
                <w:kern w:val="2"/>
                <w:sz w:val="24"/>
                <w:szCs w:val="24"/>
                <w:u w:val="single"/>
                <w:lang w:val="en-US" w:eastAsia="zh-CN" w:bidi="ar-SA"/>
              </w:rPr>
              <w:t>建议排放总量指标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7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u w:val="single"/>
                <w:lang w:val="en-US" w:eastAsia="zh-CN" w:bidi="ar-SA"/>
              </w:rPr>
            </w:pPr>
            <w:r>
              <w:rPr>
                <w:rFonts w:ascii="Times New Roman" w:hAnsi="Times New Roman" w:eastAsia="宋体" w:cs="Times New Roman"/>
                <w:kern w:val="2"/>
                <w:sz w:val="24"/>
                <w:szCs w:val="24"/>
                <w:u w:val="single"/>
                <w:lang w:val="en-US" w:eastAsia="zh-CN" w:bidi="ar-SA"/>
              </w:rPr>
              <w:t>废</w:t>
            </w:r>
            <w:r>
              <w:rPr>
                <w:rFonts w:hint="eastAsia" w:cs="Times New Roman"/>
                <w:kern w:val="2"/>
                <w:sz w:val="24"/>
                <w:szCs w:val="24"/>
                <w:u w:val="single"/>
                <w:lang w:val="en-US" w:eastAsia="zh-CN" w:bidi="ar-SA"/>
              </w:rPr>
              <w:t>气</w:t>
            </w:r>
          </w:p>
        </w:tc>
        <w:tc>
          <w:tcPr>
            <w:tcW w:w="152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VOCs</w:t>
            </w:r>
          </w:p>
        </w:tc>
        <w:tc>
          <w:tcPr>
            <w:tcW w:w="2520"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u w:val="single"/>
                <w:lang w:val="en-US" w:eastAsia="zh-CN" w:bidi="ar-SA"/>
              </w:rPr>
            </w:pPr>
            <w:r>
              <w:rPr>
                <w:rFonts w:hint="eastAsia" w:cs="Times New Roman"/>
                <w:kern w:val="2"/>
                <w:sz w:val="24"/>
                <w:szCs w:val="24"/>
                <w:u w:val="single"/>
                <w:lang w:val="en-US" w:eastAsia="zh-CN" w:bidi="ar-SA"/>
              </w:rPr>
              <w:t>0.31</w:t>
            </w:r>
          </w:p>
        </w:tc>
        <w:tc>
          <w:tcPr>
            <w:tcW w:w="3576"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u w:val="single"/>
                <w:lang w:val="en-US" w:eastAsia="zh-CN" w:bidi="ar-SA"/>
              </w:rPr>
            </w:pPr>
            <w:r>
              <w:rPr>
                <w:rFonts w:hint="eastAsia" w:cs="Times New Roman"/>
                <w:kern w:val="2"/>
                <w:sz w:val="24"/>
                <w:szCs w:val="24"/>
                <w:u w:val="single"/>
                <w:lang w:val="en-US" w:eastAsia="zh-CN" w:bidi="ar-SA"/>
              </w:rPr>
              <w:t>0.31</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1703" w:name="_Toc20835"/>
    </w:p>
    <w:bookmarkEnd w:id="1701"/>
    <w:bookmarkEnd w:id="1703"/>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u w:val="single"/>
          <w:lang w:val="en-US" w:eastAsia="zh-CN" w:bidi="ar-SA"/>
        </w:rPr>
        <w:t>项目</w:t>
      </w:r>
      <w:r>
        <w:rPr>
          <w:rFonts w:hint="eastAsia" w:ascii="Times New Roman" w:hAnsi="Times New Roman" w:eastAsia="宋体" w:cs="宋体"/>
          <w:kern w:val="2"/>
          <w:sz w:val="24"/>
          <w:szCs w:val="24"/>
          <w:u w:val="single"/>
          <w:lang w:val="en-US" w:eastAsia="zh-CN" w:bidi="ar-SA"/>
        </w:rPr>
        <w:t>废</w:t>
      </w:r>
      <w:r>
        <w:rPr>
          <w:rFonts w:hint="eastAsia" w:cs="宋体"/>
          <w:kern w:val="2"/>
          <w:sz w:val="24"/>
          <w:szCs w:val="24"/>
          <w:u w:val="single"/>
          <w:lang w:val="en-US" w:eastAsia="zh-CN" w:bidi="ar-SA"/>
        </w:rPr>
        <w:t>气</w:t>
      </w:r>
      <w:r>
        <w:rPr>
          <w:rFonts w:hint="eastAsia" w:ascii="Times New Roman" w:hAnsi="Times New Roman" w:eastAsia="宋体" w:cs="宋体"/>
          <w:kern w:val="2"/>
          <w:sz w:val="24"/>
          <w:szCs w:val="24"/>
          <w:u w:val="single"/>
          <w:lang w:val="en-US" w:eastAsia="zh-CN" w:bidi="ar-SA"/>
        </w:rPr>
        <w:t>污染物</w:t>
      </w:r>
      <w:r>
        <w:rPr>
          <w:rFonts w:ascii="Times New Roman" w:hAnsi="Times New Roman" w:eastAsia="宋体" w:cs="宋体"/>
          <w:kern w:val="2"/>
          <w:sz w:val="24"/>
          <w:szCs w:val="24"/>
          <w:u w:val="single"/>
          <w:lang w:val="en-US" w:eastAsia="zh-CN" w:bidi="ar-SA"/>
        </w:rPr>
        <w:t>排放总量指标</w:t>
      </w:r>
      <w:r>
        <w:rPr>
          <w:rFonts w:hint="eastAsia"/>
          <w:u w:val="single"/>
        </w:rPr>
        <w:t>VOCs</w:t>
      </w:r>
      <w:r>
        <w:rPr>
          <w:rFonts w:ascii="Times New Roman" w:hAnsi="Times New Roman" w:eastAsia="宋体" w:cs="宋体"/>
          <w:kern w:val="2"/>
          <w:sz w:val="24"/>
          <w:szCs w:val="24"/>
          <w:u w:val="single"/>
          <w:lang w:val="en-US" w:eastAsia="zh-CN" w:bidi="ar-SA"/>
        </w:rPr>
        <w:t>：</w:t>
      </w:r>
      <w:r>
        <w:rPr>
          <w:rFonts w:hint="eastAsia" w:cs="宋体"/>
          <w:kern w:val="2"/>
          <w:sz w:val="24"/>
          <w:szCs w:val="24"/>
          <w:u w:val="single"/>
          <w:lang w:val="en-US" w:eastAsia="zh-CN" w:bidi="ar-SA"/>
        </w:rPr>
        <w:t>0.31</w:t>
      </w:r>
      <w:r>
        <w:rPr>
          <w:rFonts w:ascii="Times New Roman" w:hAnsi="Times New Roman" w:eastAsia="宋体" w:cs="宋体"/>
          <w:kern w:val="2"/>
          <w:sz w:val="24"/>
          <w:szCs w:val="24"/>
          <w:u w:val="single"/>
          <w:lang w:val="en-US" w:eastAsia="zh-CN" w:bidi="ar-SA"/>
        </w:rPr>
        <w:t>t/a</w:t>
      </w:r>
      <w:r>
        <w:rPr>
          <w:rFonts w:hint="eastAsia" w:ascii="Times New Roman" w:hAnsi="Times New Roman" w:eastAsia="宋体" w:cs="宋体"/>
          <w:kern w:val="2"/>
          <w:sz w:val="24"/>
          <w:szCs w:val="24"/>
          <w:u w:val="single"/>
          <w:lang w:val="en-US" w:eastAsia="zh-CN" w:bidi="ar-SA"/>
        </w:rPr>
        <w:t>。</w:t>
      </w:r>
      <w:r>
        <w:rPr>
          <w:rFonts w:ascii="Times New Roman" w:hAnsi="Times New Roman" w:eastAsia="宋体" w:cs="宋体"/>
          <w:kern w:val="2"/>
          <w:sz w:val="24"/>
          <w:szCs w:val="24"/>
          <w:lang w:val="en-US" w:eastAsia="zh-CN" w:bidi="ar-SA"/>
        </w:rPr>
        <w:t>总量指标由建设单位通过交易平台申请</w:t>
      </w:r>
      <w:r>
        <w:rPr>
          <w:rFonts w:hint="eastAsia" w:ascii="Times New Roman" w:hAnsi="Times New Roman" w:eastAsia="宋体" w:cs="宋体"/>
          <w:kern w:val="2"/>
          <w:sz w:val="24"/>
          <w:szCs w:val="24"/>
          <w:lang w:val="en-US" w:eastAsia="zh-CN" w:bidi="ar-SA"/>
        </w:rPr>
        <w:t>购买</w:t>
      </w:r>
      <w:r>
        <w:rPr>
          <w:rFonts w:ascii="Times New Roman" w:hAnsi="Times New Roman" w:eastAsia="宋体" w:cs="宋体"/>
          <w:kern w:val="2"/>
          <w:sz w:val="24"/>
          <w:szCs w:val="24"/>
          <w:lang w:val="en-US" w:eastAsia="zh-CN" w:bidi="ar-SA"/>
        </w:rPr>
        <w:t>。</w:t>
      </w:r>
      <w:bookmarkEnd w:id="1689"/>
      <w:bookmarkEnd w:id="1690"/>
      <w:bookmarkEnd w:id="1691"/>
      <w:bookmarkEnd w:id="1692"/>
      <w:bookmarkEnd w:id="1693"/>
      <w:bookmarkEnd w:id="1694"/>
      <w:bookmarkEnd w:id="1695"/>
      <w:bookmarkEnd w:id="1696"/>
      <w:bookmarkEnd w:id="1697"/>
      <w:bookmarkEnd w:id="1698"/>
      <w:bookmarkEnd w:id="1699"/>
      <w:bookmarkEnd w:id="1700"/>
    </w:p>
    <w:p>
      <w:pPr>
        <w:rPr>
          <w:rFonts w:hint="default"/>
        </w:rPr>
      </w:pPr>
      <w:bookmarkStart w:id="1704" w:name="_Toc22230"/>
      <w:r>
        <w:rPr>
          <w:rFonts w:hint="default"/>
        </w:rPr>
        <w:br w:type="page"/>
      </w:r>
    </w:p>
    <w:p>
      <w:pPr>
        <w:pStyle w:val="3"/>
        <w:bidi w:val="0"/>
        <w:rPr>
          <w:rFonts w:hint="default"/>
          <w:lang w:val="en-US" w:eastAsia="zh-CN"/>
        </w:rPr>
      </w:pPr>
      <w:bookmarkStart w:id="1705" w:name="_Toc27342"/>
      <w:bookmarkStart w:id="1706" w:name="_Toc24148"/>
      <w:r>
        <w:rPr>
          <w:rFonts w:hint="default"/>
          <w:lang w:val="en-US" w:eastAsia="zh-CN"/>
        </w:rPr>
        <w:t>环境经济损益分析</w:t>
      </w:r>
      <w:bookmarkEnd w:id="1704"/>
      <w:bookmarkEnd w:id="1705"/>
      <w:bookmarkEnd w:id="1706"/>
    </w:p>
    <w:p>
      <w:pPr>
        <w:pStyle w:val="2"/>
        <w:bidi w:val="0"/>
        <w:rPr>
          <w:lang w:val="en-US" w:eastAsia="zh-CN"/>
        </w:rPr>
      </w:pPr>
      <w:bookmarkStart w:id="1707" w:name="_Toc7497_WPSOffice_Level2"/>
      <w:bookmarkStart w:id="1708" w:name="_Toc10567"/>
      <w:bookmarkStart w:id="1709" w:name="_Toc10140"/>
      <w:bookmarkStart w:id="1710" w:name="_Toc9231"/>
      <w:bookmarkStart w:id="1711" w:name="_Toc32201"/>
      <w:bookmarkStart w:id="1712" w:name="_Toc30012_WPSOffice_Level2"/>
      <w:bookmarkStart w:id="1713" w:name="_Toc13945"/>
      <w:bookmarkStart w:id="1714" w:name="_Toc372124980"/>
      <w:bookmarkStart w:id="1715" w:name="_Toc343691373"/>
      <w:bookmarkStart w:id="1716" w:name="_Toc16539_WPSOffice_Level2"/>
      <w:bookmarkStart w:id="1717" w:name="_Toc6262"/>
      <w:bookmarkStart w:id="1718" w:name="_Toc2011"/>
      <w:bookmarkStart w:id="1719" w:name="_Toc1196"/>
      <w:bookmarkStart w:id="1720" w:name="_Toc24255_WPSOffice_Level2"/>
      <w:bookmarkStart w:id="1721" w:name="_Toc27434_WPSOffice_Level2"/>
      <w:bookmarkStart w:id="1722" w:name="_Toc481738548"/>
      <w:r>
        <w:rPr>
          <w:lang w:val="en-US" w:eastAsia="zh-CN"/>
        </w:rPr>
        <w:t>环境效益分析</w:t>
      </w:r>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1723" w:name="_Toc201127323"/>
      <w:bookmarkStart w:id="1724" w:name="_Toc31222_WPSOffice_Level2"/>
      <w:bookmarkStart w:id="1725" w:name="_Toc2947"/>
      <w:bookmarkStart w:id="1726" w:name="_Toc372124982"/>
      <w:bookmarkStart w:id="1727" w:name="_Toc219109476"/>
      <w:bookmarkStart w:id="1728" w:name="_Toc574_WPSOffice_Level2"/>
      <w:bookmarkStart w:id="1729" w:name="_Toc12459_WPSOffice_Level2"/>
      <w:bookmarkStart w:id="1730" w:name="_Toc6508"/>
      <w:bookmarkStart w:id="1731" w:name="_Toc9431"/>
      <w:bookmarkStart w:id="1732" w:name="_Toc289857468"/>
      <w:bookmarkStart w:id="1733" w:name="_Toc13609_WPSOffice_Level2"/>
      <w:bookmarkStart w:id="1734" w:name="_Toc28501"/>
      <w:bookmarkStart w:id="1735" w:name="_Toc29188_WPSOffice_Level2"/>
      <w:bookmarkStart w:id="1736" w:name="_Toc23961"/>
      <w:bookmarkStart w:id="1737" w:name="_Toc343691375"/>
      <w:r>
        <w:rPr>
          <w:rFonts w:ascii="Times New Roman" w:hAnsi="Times New Roman" w:eastAsia="宋体" w:cs="宋体"/>
          <w:kern w:val="2"/>
          <w:sz w:val="24"/>
          <w:szCs w:val="24"/>
          <w:lang w:val="en-US" w:eastAsia="zh-CN" w:bidi="ar-SA"/>
        </w:rPr>
        <w:t>企业应采取的环保措施及其投资估算见下表，项目总投资约</w:t>
      </w:r>
      <w:r>
        <w:rPr>
          <w:rFonts w:hint="eastAsia" w:ascii="Times New Roman" w:hAnsi="Times New Roman" w:eastAsia="宋体" w:cs="宋体"/>
          <w:kern w:val="2"/>
          <w:sz w:val="24"/>
          <w:szCs w:val="24"/>
          <w:lang w:val="en-US" w:eastAsia="zh-CN" w:bidi="ar-SA"/>
        </w:rPr>
        <w:t>5000</w:t>
      </w:r>
      <w:r>
        <w:rPr>
          <w:rFonts w:ascii="Times New Roman" w:hAnsi="Times New Roman" w:eastAsia="宋体" w:cs="宋体"/>
          <w:kern w:val="2"/>
          <w:sz w:val="24"/>
          <w:szCs w:val="24"/>
          <w:lang w:val="en-US" w:eastAsia="zh-CN" w:bidi="ar-SA"/>
        </w:rPr>
        <w:t>万元，环保投资</w:t>
      </w:r>
      <w:r>
        <w:rPr>
          <w:rFonts w:hint="eastAsia" w:ascii="Times New Roman" w:hAnsi="Times New Roman" w:eastAsia="宋体" w:cs="宋体"/>
          <w:kern w:val="2"/>
          <w:sz w:val="24"/>
          <w:szCs w:val="24"/>
          <w:lang w:val="en-US" w:eastAsia="zh-CN" w:bidi="ar-SA"/>
        </w:rPr>
        <w:t>34</w:t>
      </w:r>
      <w:r>
        <w:rPr>
          <w:rFonts w:ascii="Times New Roman" w:hAnsi="Times New Roman" w:eastAsia="宋体" w:cs="宋体"/>
          <w:kern w:val="2"/>
          <w:sz w:val="24"/>
          <w:szCs w:val="24"/>
          <w:lang w:val="en-US" w:eastAsia="zh-CN" w:bidi="ar-SA"/>
        </w:rPr>
        <w:t>万元，占项目建设投资的比例为</w:t>
      </w:r>
      <w:r>
        <w:rPr>
          <w:rFonts w:hint="eastAsia" w:ascii="Times New Roman" w:hAnsi="Times New Roman" w:eastAsia="宋体" w:cs="宋体"/>
          <w:kern w:val="2"/>
          <w:sz w:val="24"/>
          <w:szCs w:val="24"/>
          <w:lang w:val="en-US" w:eastAsia="zh-CN" w:bidi="ar-SA"/>
        </w:rPr>
        <w:t>0.68％</w:t>
      </w:r>
      <w:r>
        <w:rPr>
          <w:rFonts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kern w:val="2"/>
          <w:sz w:val="21"/>
          <w:szCs w:val="21"/>
          <w:highlight w:val="none"/>
          <w:lang w:val="en-US" w:eastAsia="zh-CN" w:bidi="ar-SA"/>
        </w:rPr>
      </w:pPr>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10</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highlight w:val="none"/>
          <w:lang w:val="en-US" w:eastAsia="zh-CN" w:bidi="ar-SA"/>
        </w:rPr>
        <w:t>环保设施投资估算表</w:t>
      </w:r>
    </w:p>
    <w:tbl>
      <w:tblPr>
        <w:tblStyle w:val="23"/>
        <w:tblW w:w="538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301"/>
        <w:gridCol w:w="1186"/>
        <w:gridCol w:w="2726"/>
        <w:gridCol w:w="37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序号</w:t>
            </w:r>
          </w:p>
        </w:tc>
        <w:tc>
          <w:tcPr>
            <w:tcW w:w="130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项目名称</w:t>
            </w:r>
          </w:p>
        </w:tc>
        <w:tc>
          <w:tcPr>
            <w:tcW w:w="118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费用</w:t>
            </w:r>
          </w:p>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（万元）</w:t>
            </w:r>
          </w:p>
        </w:tc>
        <w:tc>
          <w:tcPr>
            <w:tcW w:w="272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投资内容</w:t>
            </w:r>
          </w:p>
        </w:tc>
        <w:tc>
          <w:tcPr>
            <w:tcW w:w="3705" w:type="dxa"/>
            <w:tcBorders>
              <w:tl2br w:val="nil"/>
              <w:tr2bl w:val="nil"/>
            </w:tcBorders>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78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1</w:t>
            </w:r>
          </w:p>
        </w:tc>
        <w:tc>
          <w:tcPr>
            <w:tcW w:w="130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废气治理措施</w:t>
            </w:r>
          </w:p>
        </w:tc>
        <w:tc>
          <w:tcPr>
            <w:tcW w:w="118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30</w:t>
            </w:r>
          </w:p>
        </w:tc>
        <w:tc>
          <w:tcPr>
            <w:tcW w:w="272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集气</w:t>
            </w:r>
            <w:r>
              <w:rPr>
                <w:rFonts w:hint="eastAsia" w:ascii="Times New Roman" w:hAnsi="Times New Roman" w:eastAsia="宋体" w:cs="Times New Roman"/>
                <w:kern w:val="2"/>
                <w:sz w:val="24"/>
                <w:szCs w:val="24"/>
                <w:lang w:val="en-US" w:eastAsia="zh-CN" w:bidi="ar-SA"/>
              </w:rPr>
              <w:t>系统</w:t>
            </w:r>
            <w:r>
              <w:rPr>
                <w:rFonts w:hint="default" w:ascii="Times New Roman" w:hAnsi="Times New Roman" w:eastAsia="宋体" w:cs="Times New Roman"/>
                <w:kern w:val="2"/>
                <w:sz w:val="24"/>
                <w:szCs w:val="24"/>
                <w:lang w:val="en-US" w:eastAsia="zh-CN" w:bidi="ar-SA"/>
              </w:rPr>
              <w:t>、</w:t>
            </w:r>
            <w:r>
              <w:rPr>
                <w:rFonts w:hint="eastAsia" w:cs="Times New Roman"/>
                <w:kern w:val="2"/>
                <w:sz w:val="24"/>
                <w:szCs w:val="24"/>
                <w:lang w:val="en-US" w:eastAsia="zh-CN" w:bidi="ar-SA"/>
              </w:rPr>
              <w:t>UV光解净化器、</w:t>
            </w:r>
            <w:r>
              <w:rPr>
                <w:rFonts w:hint="eastAsia" w:ascii="Times New Roman" w:hAnsi="Times New Roman" w:eastAsia="宋体" w:cs="Times New Roman"/>
                <w:kern w:val="2"/>
                <w:sz w:val="24"/>
                <w:szCs w:val="24"/>
                <w:lang w:val="en-US" w:eastAsia="zh-CN" w:bidi="ar-SA"/>
              </w:rPr>
              <w:t>活性炭处理装置、</w:t>
            </w:r>
            <w:r>
              <w:rPr>
                <w:rFonts w:hint="default" w:ascii="Times New Roman" w:hAnsi="Times New Roman" w:eastAsia="宋体" w:cs="Times New Roman"/>
                <w:kern w:val="2"/>
                <w:sz w:val="24"/>
                <w:szCs w:val="24"/>
                <w:lang w:val="en-US" w:eastAsia="zh-CN" w:bidi="ar-SA"/>
              </w:rPr>
              <w:t>排气筒</w:t>
            </w:r>
          </w:p>
        </w:tc>
        <w:tc>
          <w:tcPr>
            <w:tcW w:w="370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宋体"/>
                <w:kern w:val="2"/>
                <w:sz w:val="24"/>
                <w:szCs w:val="24"/>
                <w:lang w:val="en-US" w:eastAsia="zh-CN" w:bidi="ar-SA"/>
              </w:rPr>
              <w:t>天津市《工业企业挥发性有机物排放控制标准》（DB12/524-2014）表2中塑料制品制造业标准限值及表5厂界浓度限值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8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2</w:t>
            </w:r>
          </w:p>
        </w:tc>
        <w:tc>
          <w:tcPr>
            <w:tcW w:w="130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废水治理措施</w:t>
            </w:r>
          </w:p>
        </w:tc>
        <w:tc>
          <w:tcPr>
            <w:tcW w:w="118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0.5</w:t>
            </w:r>
          </w:p>
        </w:tc>
        <w:tc>
          <w:tcPr>
            <w:tcW w:w="272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排水管网</w:t>
            </w:r>
          </w:p>
        </w:tc>
        <w:tc>
          <w:tcPr>
            <w:tcW w:w="370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《污水综合排放标准》（GB8978-1996）中表4三级标准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8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3</w:t>
            </w:r>
          </w:p>
        </w:tc>
        <w:tc>
          <w:tcPr>
            <w:tcW w:w="130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噪声治理措施</w:t>
            </w:r>
          </w:p>
        </w:tc>
        <w:tc>
          <w:tcPr>
            <w:tcW w:w="118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0.5</w:t>
            </w:r>
          </w:p>
        </w:tc>
        <w:tc>
          <w:tcPr>
            <w:tcW w:w="272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隔声、设备减振等</w:t>
            </w:r>
          </w:p>
        </w:tc>
        <w:tc>
          <w:tcPr>
            <w:tcW w:w="370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《工业企业厂界噪声排放标准》（GB12348-2008）</w:t>
            </w:r>
            <w:r>
              <w:rPr>
                <w:rFonts w:hint="eastAsia" w:ascii="Times New Roman" w:hAnsi="Times New Roman" w:eastAsia="宋体" w:cs="Times New Roman"/>
                <w:kern w:val="2"/>
                <w:sz w:val="24"/>
                <w:szCs w:val="24"/>
                <w:lang w:val="en-US" w:eastAsia="zh-CN" w:bidi="ar-SA"/>
              </w:rPr>
              <w:t>3</w:t>
            </w:r>
            <w:r>
              <w:rPr>
                <w:rFonts w:hint="default" w:ascii="Times New Roman" w:hAnsi="Times New Roman" w:eastAsia="宋体" w:cs="Times New Roman"/>
                <w:kern w:val="2"/>
                <w:sz w:val="24"/>
                <w:szCs w:val="24"/>
                <w:lang w:val="en-US" w:eastAsia="zh-CN" w:bidi="ar-SA"/>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w:t>
            </w:r>
          </w:p>
        </w:tc>
        <w:tc>
          <w:tcPr>
            <w:tcW w:w="130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固废治理措施</w:t>
            </w:r>
          </w:p>
        </w:tc>
        <w:tc>
          <w:tcPr>
            <w:tcW w:w="118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272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固废存放室，</w:t>
            </w:r>
            <w:r>
              <w:rPr>
                <w:rFonts w:hint="default" w:ascii="Times New Roman" w:hAnsi="Times New Roman" w:eastAsia="宋体" w:cs="Times New Roman"/>
                <w:kern w:val="2"/>
                <w:sz w:val="24"/>
                <w:szCs w:val="24"/>
                <w:lang w:val="en-US" w:eastAsia="zh-CN" w:bidi="ar-SA"/>
              </w:rPr>
              <w:t>生活垃圾</w:t>
            </w:r>
            <w:r>
              <w:rPr>
                <w:rFonts w:hint="eastAsia" w:ascii="Times New Roman" w:hAnsi="Times New Roman" w:eastAsia="宋体" w:cs="Times New Roman"/>
                <w:kern w:val="2"/>
                <w:sz w:val="24"/>
                <w:szCs w:val="24"/>
                <w:lang w:val="en-US" w:eastAsia="zh-CN" w:bidi="ar-SA"/>
              </w:rPr>
              <w:t>、破损包装桶</w:t>
            </w:r>
            <w:r>
              <w:rPr>
                <w:rFonts w:hint="eastAsia"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原料桶标签纸</w:t>
            </w:r>
            <w:r>
              <w:rPr>
                <w:rFonts w:hint="eastAsia" w:cs="Times New Roman"/>
                <w:kern w:val="2"/>
                <w:sz w:val="24"/>
                <w:szCs w:val="24"/>
                <w:lang w:val="en-US" w:eastAsia="zh-CN" w:bidi="ar-SA"/>
              </w:rPr>
              <w:t>和实验室固废</w:t>
            </w:r>
            <w:r>
              <w:rPr>
                <w:rFonts w:hint="default" w:ascii="Times New Roman" w:hAnsi="Times New Roman" w:eastAsia="宋体" w:cs="Times New Roman"/>
                <w:kern w:val="2"/>
                <w:sz w:val="24"/>
                <w:szCs w:val="24"/>
                <w:lang w:val="en-US" w:eastAsia="zh-CN" w:bidi="ar-SA"/>
              </w:rPr>
              <w:t>委托清运</w:t>
            </w:r>
            <w:r>
              <w:rPr>
                <w:rFonts w:hint="eastAsia" w:ascii="Times New Roman" w:hAnsi="Times New Roman" w:eastAsia="宋体" w:cs="Times New Roman"/>
                <w:kern w:val="2"/>
                <w:sz w:val="24"/>
                <w:szCs w:val="24"/>
                <w:lang w:val="en-US" w:eastAsia="zh-CN" w:bidi="ar-SA"/>
              </w:rPr>
              <w:t>；废活性炭</w:t>
            </w:r>
            <w:r>
              <w:rPr>
                <w:rFonts w:hint="eastAsia" w:cs="Times New Roman"/>
                <w:kern w:val="2"/>
                <w:sz w:val="24"/>
                <w:szCs w:val="24"/>
                <w:lang w:val="en-US" w:eastAsia="zh-CN" w:bidi="ar-SA"/>
              </w:rPr>
              <w:t>和</w:t>
            </w:r>
            <w:r>
              <w:rPr>
                <w:rFonts w:hint="eastAsia" w:cs="宋体"/>
                <w:kern w:val="2"/>
                <w:sz w:val="24"/>
                <w:szCs w:val="24"/>
                <w:lang w:val="en-US" w:eastAsia="zh-CN" w:bidi="ar-SA"/>
              </w:rPr>
              <w:t>电动叉车废弃电瓶</w:t>
            </w:r>
            <w:r>
              <w:rPr>
                <w:rFonts w:hint="default" w:ascii="Times New Roman" w:hAnsi="Times New Roman" w:eastAsia="宋体" w:cs="Times New Roman"/>
                <w:kern w:val="2"/>
                <w:sz w:val="24"/>
                <w:szCs w:val="24"/>
                <w:lang w:val="en-US" w:eastAsia="zh-CN" w:bidi="ar-SA"/>
              </w:rPr>
              <w:t>委托</w:t>
            </w:r>
            <w:r>
              <w:rPr>
                <w:rFonts w:hint="eastAsia" w:ascii="Times New Roman" w:hAnsi="Times New Roman" w:eastAsia="宋体" w:cs="Times New Roman"/>
                <w:kern w:val="2"/>
                <w:sz w:val="24"/>
                <w:szCs w:val="24"/>
                <w:lang w:val="en-US" w:eastAsia="zh-CN" w:bidi="ar-SA"/>
              </w:rPr>
              <w:t>危废公司处理</w:t>
            </w:r>
          </w:p>
        </w:tc>
        <w:tc>
          <w:tcPr>
            <w:tcW w:w="370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《一般工业固体废物贮存、处置场污染控制标准》（GB18599-2001）及其2013年修改的相关规定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w:t>
            </w:r>
          </w:p>
        </w:tc>
        <w:tc>
          <w:tcPr>
            <w:tcW w:w="130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厂周绿化</w:t>
            </w:r>
          </w:p>
        </w:tc>
        <w:tc>
          <w:tcPr>
            <w:tcW w:w="118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p>
        </w:tc>
        <w:tc>
          <w:tcPr>
            <w:tcW w:w="272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绿化面积40m</w:t>
            </w:r>
            <w:r>
              <w:rPr>
                <w:rFonts w:hint="eastAsia" w:ascii="Times New Roman" w:hAnsi="Times New Roman" w:eastAsia="宋体" w:cs="Times New Roman"/>
                <w:kern w:val="2"/>
                <w:sz w:val="24"/>
                <w:szCs w:val="24"/>
                <w:vertAlign w:val="superscript"/>
                <w:lang w:val="en-US" w:eastAsia="zh-CN" w:bidi="ar-SA"/>
              </w:rPr>
              <w:t>2</w:t>
            </w:r>
          </w:p>
        </w:tc>
        <w:tc>
          <w:tcPr>
            <w:tcW w:w="370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w:t>
            </w:r>
          </w:p>
        </w:tc>
        <w:tc>
          <w:tcPr>
            <w:tcW w:w="1301"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总计</w:t>
            </w:r>
          </w:p>
        </w:tc>
        <w:tc>
          <w:tcPr>
            <w:tcW w:w="118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34</w:t>
            </w:r>
          </w:p>
        </w:tc>
        <w:tc>
          <w:tcPr>
            <w:tcW w:w="2726"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w:t>
            </w:r>
          </w:p>
        </w:tc>
        <w:tc>
          <w:tcPr>
            <w:tcW w:w="3705" w:type="dxa"/>
            <w:tcBorders>
              <w:tl2br w:val="nil"/>
              <w:tr2bl w:val="nil"/>
            </w:tcBorders>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环境影响预测结果表明工程投产后，废气、废水、噪声以及</w:t>
      </w:r>
      <w:r>
        <w:rPr>
          <w:rFonts w:hint="eastAsia" w:ascii="Times New Roman" w:hAnsi="Times New Roman" w:eastAsia="宋体" w:cs="宋体"/>
          <w:kern w:val="2"/>
          <w:sz w:val="24"/>
          <w:szCs w:val="24"/>
          <w:lang w:val="en-US" w:eastAsia="zh-CN" w:bidi="ar-SA"/>
        </w:rPr>
        <w:t>固废</w:t>
      </w:r>
      <w:r>
        <w:rPr>
          <w:rFonts w:ascii="Times New Roman" w:hAnsi="Times New Roman" w:eastAsia="宋体" w:cs="宋体"/>
          <w:kern w:val="2"/>
          <w:sz w:val="24"/>
          <w:szCs w:val="24"/>
          <w:lang w:val="en-US" w:eastAsia="zh-CN" w:bidi="ar-SA"/>
        </w:rPr>
        <w:t>对外环境影响较小，工程环保投资合理，污染防治措施合理有效。</w:t>
      </w:r>
    </w:p>
    <w:p>
      <w:pPr>
        <w:pStyle w:val="2"/>
        <w:bidi w:val="0"/>
        <w:rPr>
          <w:lang w:val="en-US" w:eastAsia="zh-CN"/>
        </w:rPr>
      </w:pPr>
      <w:bookmarkStart w:id="1738" w:name="_Toc32271"/>
      <w:bookmarkStart w:id="1739" w:name="_Toc24734"/>
      <w:bookmarkStart w:id="1740" w:name="_Toc20410"/>
      <w:r>
        <w:rPr>
          <w:lang w:val="en-US" w:eastAsia="zh-CN"/>
        </w:rPr>
        <w:t>社会效益分析</w:t>
      </w:r>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本项目建成运营后，将对当地基础设施和公共服务带来新的要求，这种要求能够促进当地基础设施和公共服务的改善，其影响也是积极的。</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工程的建设能促进当地经济的发展，为企业未来自身的发展奠定基础。因此，本工程具有显著的社会效益。</w:t>
      </w:r>
    </w:p>
    <w:p>
      <w:pPr>
        <w:pStyle w:val="2"/>
        <w:bidi w:val="0"/>
        <w:rPr>
          <w:lang w:val="en-US" w:eastAsia="zh-CN"/>
        </w:rPr>
      </w:pPr>
      <w:bookmarkStart w:id="1741" w:name="_Toc13949"/>
      <w:bookmarkStart w:id="1742" w:name="_Toc18007_WPSOffice_Level2"/>
      <w:bookmarkStart w:id="1743" w:name="_Toc343691376"/>
      <w:bookmarkStart w:id="1744" w:name="_Toc19093"/>
      <w:bookmarkStart w:id="1745" w:name="_Toc5348"/>
      <w:bookmarkStart w:id="1746" w:name="_Toc17638"/>
      <w:bookmarkStart w:id="1747" w:name="_Toc28515"/>
      <w:bookmarkStart w:id="1748" w:name="_Toc30088_WPSOffice_Level2"/>
      <w:bookmarkStart w:id="1749" w:name="_Toc6978_WPSOffice_Level2"/>
      <w:bookmarkStart w:id="1750" w:name="_Toc29255_WPSOffice_Level2"/>
      <w:bookmarkStart w:id="1751" w:name="_Toc23901"/>
      <w:bookmarkStart w:id="1752" w:name="_Toc18868"/>
      <w:bookmarkStart w:id="1753" w:name="_Toc4221"/>
      <w:bookmarkStart w:id="1754" w:name="_Toc372124983"/>
      <w:bookmarkStart w:id="1755" w:name="_Toc26455_WPSOffice_Level2"/>
      <w:r>
        <w:rPr>
          <w:lang w:val="en-US" w:eastAsia="zh-CN"/>
        </w:rPr>
        <w:t>综合分析</w:t>
      </w:r>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由以上分析可知，本次工程环保投资估算为</w:t>
      </w:r>
      <w:r>
        <w:rPr>
          <w:rFonts w:hint="eastAsia" w:ascii="Times New Roman" w:hAnsi="Times New Roman" w:eastAsia="宋体" w:cs="宋体"/>
          <w:kern w:val="2"/>
          <w:sz w:val="24"/>
          <w:szCs w:val="24"/>
          <w:lang w:val="en-US" w:eastAsia="zh-CN" w:bidi="ar-SA"/>
        </w:rPr>
        <w:t>34</w:t>
      </w:r>
      <w:r>
        <w:rPr>
          <w:rFonts w:ascii="Times New Roman" w:hAnsi="Times New Roman" w:eastAsia="宋体" w:cs="宋体"/>
          <w:kern w:val="2"/>
          <w:sz w:val="24"/>
          <w:szCs w:val="24"/>
          <w:lang w:val="en-US" w:eastAsia="zh-CN" w:bidi="ar-SA"/>
        </w:rPr>
        <w:t>万元，占项目建设投资的比例为</w:t>
      </w:r>
      <w:r>
        <w:rPr>
          <w:rFonts w:hint="eastAsia" w:ascii="Times New Roman" w:hAnsi="Times New Roman" w:eastAsia="宋体" w:cs="宋体"/>
          <w:kern w:val="2"/>
          <w:sz w:val="24"/>
          <w:szCs w:val="24"/>
          <w:lang w:val="en-US" w:eastAsia="zh-CN" w:bidi="ar-SA"/>
        </w:rPr>
        <w:t>0.68％</w:t>
      </w:r>
      <w:r>
        <w:rPr>
          <w:rFonts w:ascii="Times New Roman" w:hAnsi="Times New Roman" w:eastAsia="宋体" w:cs="宋体"/>
          <w:kern w:val="2"/>
          <w:sz w:val="24"/>
          <w:szCs w:val="24"/>
          <w:lang w:val="en-US" w:eastAsia="zh-CN" w:bidi="ar-SA"/>
        </w:rPr>
        <w:t>。本次项目为</w:t>
      </w:r>
      <w:r>
        <w:rPr>
          <w:rFonts w:hint="eastAsia" w:ascii="Times New Roman" w:hAnsi="Times New Roman" w:eastAsia="宋体" w:cs="宋体"/>
          <w:kern w:val="2"/>
          <w:sz w:val="24"/>
          <w:szCs w:val="24"/>
          <w:lang w:val="en-US" w:eastAsia="zh-CN" w:bidi="ar-SA"/>
        </w:rPr>
        <w:t>新建</w:t>
      </w:r>
      <w:r>
        <w:rPr>
          <w:rFonts w:ascii="Times New Roman" w:hAnsi="Times New Roman" w:eastAsia="宋体" w:cs="宋体"/>
          <w:kern w:val="2"/>
          <w:sz w:val="24"/>
          <w:szCs w:val="24"/>
          <w:lang w:val="en-US" w:eastAsia="zh-CN" w:bidi="ar-SA"/>
        </w:rPr>
        <w:t>项目，环保投资占项目总投资的比例不大，企业能够接受，厂方通过采取一系列的环保措施可以使废水、废气做到达标排放，固废得到合理处置，外排的污染物可达到国家排放标准，具有较好的环境效益。因此项目采取的环保措施是经济可行的。</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综上</w:t>
      </w:r>
      <w:r>
        <w:rPr>
          <w:rFonts w:ascii="Times New Roman" w:hAnsi="Times New Roman" w:eastAsia="宋体" w:cs="宋体"/>
          <w:kern w:val="2"/>
          <w:sz w:val="24"/>
          <w:szCs w:val="24"/>
          <w:lang w:val="en-US" w:eastAsia="zh-CN" w:bidi="ar-SA"/>
        </w:rPr>
        <w:t>，该建设项目的建成具有较好的经济效益、社会效益和环境效益，从环境经济角度来看本项目是可行的。</w:t>
      </w:r>
    </w:p>
    <w:p>
      <w:pPr>
        <w:rPr>
          <w:rFonts w:hint="default"/>
        </w:rPr>
      </w:pPr>
      <w:bookmarkStart w:id="1756" w:name="_Toc21803"/>
      <w:bookmarkStart w:id="1757" w:name="_Toc28714_WPSOffice_Level1"/>
      <w:bookmarkStart w:id="1758" w:name="_Toc22646_WPSOffice_Level1"/>
      <w:bookmarkStart w:id="1759" w:name="_Toc8385_WPSOffice_Level1"/>
      <w:bookmarkStart w:id="1760" w:name="_Toc32721"/>
      <w:bookmarkStart w:id="1761" w:name="_Toc6877_WPSOffice_Level1"/>
      <w:bookmarkStart w:id="1762" w:name="_Toc1935"/>
      <w:bookmarkStart w:id="1763" w:name="_Toc20813"/>
      <w:bookmarkStart w:id="1764" w:name="_Toc23780_WPSOffice_Level1"/>
      <w:r>
        <w:rPr>
          <w:rFonts w:hint="default"/>
        </w:rPr>
        <w:br w:type="page"/>
      </w:r>
    </w:p>
    <w:p>
      <w:pPr>
        <w:pStyle w:val="3"/>
        <w:bidi w:val="0"/>
        <w:rPr>
          <w:rFonts w:hint="default"/>
          <w:lang w:val="en-US" w:eastAsia="zh-CN"/>
        </w:rPr>
      </w:pPr>
      <w:bookmarkStart w:id="1765" w:name="_Toc6691"/>
      <w:bookmarkStart w:id="1766" w:name="_Toc22239"/>
      <w:r>
        <w:rPr>
          <w:rFonts w:hint="default"/>
          <w:lang w:val="en-US" w:eastAsia="zh-CN"/>
        </w:rPr>
        <w:t>环境管理与监测</w:t>
      </w:r>
      <w:bookmarkEnd w:id="1722"/>
      <w:bookmarkEnd w:id="1756"/>
      <w:bookmarkEnd w:id="1757"/>
      <w:bookmarkEnd w:id="1758"/>
      <w:bookmarkEnd w:id="1759"/>
      <w:bookmarkEnd w:id="1760"/>
      <w:bookmarkEnd w:id="1761"/>
      <w:bookmarkEnd w:id="1762"/>
      <w:bookmarkEnd w:id="1763"/>
      <w:bookmarkEnd w:id="1764"/>
      <w:bookmarkEnd w:id="1765"/>
      <w:bookmarkEnd w:id="1766"/>
    </w:p>
    <w:p>
      <w:pPr>
        <w:pStyle w:val="2"/>
        <w:bidi w:val="0"/>
        <w:rPr>
          <w:lang w:val="en-US" w:eastAsia="zh-CN"/>
        </w:rPr>
      </w:pPr>
      <w:bookmarkStart w:id="1767" w:name="_Toc6152_WPSOffice_Level2"/>
      <w:bookmarkStart w:id="1768" w:name="_Toc30993_WPSOffice_Level2"/>
      <w:bookmarkStart w:id="1769" w:name="_Toc25168"/>
      <w:bookmarkStart w:id="1770" w:name="_Toc6519"/>
      <w:bookmarkStart w:id="1771" w:name="_Toc4353"/>
      <w:bookmarkStart w:id="1772" w:name="_Toc31144"/>
      <w:bookmarkStart w:id="1773" w:name="_Toc1141"/>
      <w:bookmarkStart w:id="1774" w:name="_Toc29117_WPSOffice_Level2"/>
      <w:bookmarkStart w:id="1775" w:name="_Toc6804_WPSOffice_Level2"/>
      <w:bookmarkStart w:id="1776" w:name="_Toc28656"/>
      <w:bookmarkStart w:id="1777" w:name="_Toc2635_WPSOffice_Level1"/>
      <w:bookmarkStart w:id="1778" w:name="_Toc23706"/>
      <w:bookmarkStart w:id="1779" w:name="_Toc13975"/>
      <w:r>
        <w:rPr>
          <w:lang w:val="en-US" w:eastAsia="zh-CN"/>
        </w:rPr>
        <w:t>环境管理</w:t>
      </w:r>
      <w:bookmarkEnd w:id="1767"/>
      <w:bookmarkEnd w:id="1768"/>
      <w:bookmarkEnd w:id="1769"/>
      <w:bookmarkEnd w:id="1770"/>
      <w:bookmarkEnd w:id="1771"/>
      <w:bookmarkEnd w:id="1772"/>
      <w:bookmarkEnd w:id="1773"/>
      <w:bookmarkEnd w:id="1774"/>
      <w:bookmarkEnd w:id="1775"/>
      <w:bookmarkEnd w:id="1776"/>
    </w:p>
    <w:p>
      <w:pPr>
        <w:pStyle w:val="4"/>
        <w:bidi w:val="0"/>
        <w:rPr>
          <w:lang w:val="en-US" w:eastAsia="zh-CN"/>
        </w:rPr>
      </w:pPr>
      <w:bookmarkStart w:id="1780" w:name="_Toc11282_WPSOffice_Level3"/>
      <w:bookmarkStart w:id="1781" w:name="_Toc30351"/>
      <w:bookmarkStart w:id="1782" w:name="_Toc16844"/>
      <w:bookmarkStart w:id="1783" w:name="_Toc17700_WPSOffice_Level3"/>
      <w:bookmarkStart w:id="1784" w:name="_Toc19659"/>
      <w:bookmarkStart w:id="1785" w:name="_Toc30960"/>
      <w:r>
        <w:rPr>
          <w:lang w:val="en-US" w:eastAsia="zh-CN"/>
        </w:rPr>
        <w:t>环境管理的重要性</w:t>
      </w:r>
      <w:bookmarkEnd w:id="1780"/>
      <w:bookmarkEnd w:id="1781"/>
      <w:bookmarkEnd w:id="1782"/>
      <w:bookmarkEnd w:id="1783"/>
      <w:bookmarkEnd w:id="1784"/>
      <w:bookmarkEnd w:id="1785"/>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环境是经济发展的物质基础，环境的污染和破坏是人类经济发展过程中带来的，环境问题的解决在依靠科学技术手段的同时，必须辅以严格、合理的管理制度。工业企业环境管理的含义是以管理工程与环境科学的理论为基础，运用技术、经济、教育、法律和行政手段，对损害环境质量的生产经营活动施加影响，正确处理发展生产与保护环境的关系，达到生产目标与环境目标的统一、经济效益与环境效益的统一。</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随着环境保护工作日益深入，环境管理日益严格，从政府宏观调控到企业环境管理体系，从市场经济条件下资源优化配置到实施清洁生产，环境保护必须以新观念、新思想、新战略来迎接新世纪的挑战，环境管理也必须从管理观念、管理手段等方面进行改进，实现环境管理现代化。为企业实现可持续发展奠定坚实的基础。</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公司在建设该项目时，必须建立完善的环境管理制度及环境监测计划，按环评所规定的制度与计划进行组织安排，实施监测，真正做好厂区的环境保护。本次环评在制定公司管理制度与监测计划时，依照该项目的主要环境问题，结合现代化企业环境管理的经验进行制定。由于企业建设施工期时间较短，所以，本次环评环境管理工作只针对运营期进行，环境管理工作主要针对以下三方面的内容进行。</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①环境计划管理：包括企业污染防治计划、企业日常环境管理工作计划、环境保护投资计划等，还包括完成区域环境污染控制所确定的指标计划；</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②环境质量管理：根据上级环境管理部门的具体意见及企业的实际情况，对企业范围内的污染排放进行严格的监督检查，积极组织进行日常的环境监测，保证区域环境质量的建设目标；</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③环境技术管理：确定防止企业污染和破坏的技术路线，积极执行有关的污染控制政策，组织环境保护方面的技术服务，促进企业环境科学技术手段的提升。</w:t>
      </w:r>
    </w:p>
    <w:p>
      <w:pPr>
        <w:pStyle w:val="4"/>
        <w:bidi w:val="0"/>
        <w:rPr>
          <w:lang w:val="en-US" w:eastAsia="zh-CN"/>
        </w:rPr>
      </w:pPr>
      <w:bookmarkStart w:id="1786" w:name="_Toc321"/>
      <w:bookmarkStart w:id="1787" w:name="_Toc22484"/>
      <w:bookmarkStart w:id="1788" w:name="_Toc12362"/>
      <w:bookmarkStart w:id="1789" w:name="_Toc18007_WPSOffice_Level3"/>
      <w:bookmarkStart w:id="1790" w:name="_Toc7999"/>
      <w:bookmarkStart w:id="1791" w:name="_Toc32469_WPSOffice_Level3"/>
      <w:r>
        <w:rPr>
          <w:lang w:val="en-US" w:eastAsia="zh-CN"/>
        </w:rPr>
        <w:t>环境管理体系建立的原则</w:t>
      </w:r>
      <w:bookmarkEnd w:id="1786"/>
      <w:bookmarkEnd w:id="1787"/>
      <w:bookmarkEnd w:id="1788"/>
      <w:bookmarkEnd w:id="1789"/>
      <w:bookmarkEnd w:id="1790"/>
      <w:bookmarkEnd w:id="1791"/>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（1）企业环境管理体系的建立要与工程的运行特点相配套，做到与生产管理工作有机地结合；</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（2）环境管理体系的建立要遵照国家和地方有关的法律、法规和标准；</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（3）企业的环境管理体系要与地方</w:t>
      </w:r>
      <w:r>
        <w:rPr>
          <w:rFonts w:hint="eastAsia" w:ascii="Times New Roman" w:hAnsi="Times New Roman" w:eastAsia="宋体" w:cs="宋体"/>
          <w:kern w:val="2"/>
          <w:sz w:val="24"/>
          <w:szCs w:val="24"/>
          <w:lang w:val="en-US" w:eastAsia="zh-CN" w:bidi="ar-SA"/>
        </w:rPr>
        <w:t>生态环境局</w:t>
      </w:r>
      <w:r>
        <w:rPr>
          <w:rFonts w:ascii="Times New Roman" w:hAnsi="Times New Roman" w:eastAsia="宋体" w:cs="宋体"/>
          <w:kern w:val="2"/>
          <w:sz w:val="24"/>
          <w:szCs w:val="24"/>
          <w:lang w:val="en-US" w:eastAsia="zh-CN" w:bidi="ar-SA"/>
        </w:rPr>
        <w:t>的有关环境管理体系相衔接，做到信息的及时反馈；</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（4）环境管理要充分重视宣传教育的功能，使环保法规，环保知识和保护环境的概念深入人心，树立企业在社会中的良好形象；</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（5）企业的环境管理体系应体现经济杠杆的作用。</w:t>
      </w:r>
    </w:p>
    <w:p>
      <w:pPr>
        <w:pStyle w:val="4"/>
        <w:bidi w:val="0"/>
        <w:rPr>
          <w:lang w:val="en-US" w:eastAsia="zh-CN"/>
        </w:rPr>
      </w:pPr>
      <w:bookmarkStart w:id="1792" w:name="_Toc8597"/>
      <w:bookmarkStart w:id="1793" w:name="_Toc18541_WPSOffice_Level3"/>
      <w:bookmarkStart w:id="1794" w:name="_Toc24887_WPSOffice_Level3"/>
      <w:bookmarkStart w:id="1795" w:name="_Toc2709"/>
      <w:r>
        <w:rPr>
          <w:lang w:val="en-US" w:eastAsia="zh-CN"/>
        </w:rPr>
        <w:t>环境管理机构设置</w:t>
      </w:r>
      <w:bookmarkEnd w:id="1792"/>
      <w:bookmarkEnd w:id="1793"/>
      <w:bookmarkEnd w:id="1794"/>
      <w:bookmarkEnd w:id="1795"/>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根据项目的实际情况，应设置环境管理机构，其基本任务是以保护环境和风险防范为目标，采用技术、经济、法律和行政等手段相结合的办法，保证污染治理设施的建设和正常运行，促进生产的发展。</w:t>
      </w:r>
    </w:p>
    <w:p>
      <w:pPr>
        <w:pStyle w:val="4"/>
        <w:bidi w:val="0"/>
        <w:rPr>
          <w:lang w:val="en-US" w:eastAsia="zh-CN"/>
        </w:rPr>
      </w:pPr>
      <w:bookmarkStart w:id="1796" w:name="_Toc5388"/>
      <w:bookmarkStart w:id="1797" w:name="_Toc4917"/>
      <w:bookmarkStart w:id="1798" w:name="_Toc4125_WPSOffice_Level3"/>
      <w:bookmarkStart w:id="1799" w:name="_Toc21305"/>
      <w:bookmarkStart w:id="1800" w:name="_Toc2409_WPSOffice_Level3"/>
      <w:bookmarkStart w:id="1801" w:name="_Toc10761"/>
      <w:r>
        <w:rPr>
          <w:lang w:val="en-US" w:eastAsia="zh-CN"/>
        </w:rPr>
        <w:t>环境管理制度与环境管理计划</w:t>
      </w:r>
      <w:bookmarkEnd w:id="1796"/>
      <w:bookmarkEnd w:id="1797"/>
      <w:bookmarkEnd w:id="1798"/>
      <w:bookmarkEnd w:id="1799"/>
      <w:bookmarkEnd w:id="1800"/>
      <w:bookmarkEnd w:id="1801"/>
    </w:p>
    <w:p>
      <w:r>
        <w:t>（1）环境管理制度</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企业在健全了环境管理体制与管理机构的基础上，还必须健全环保管理规章制度，做到</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有法可依、有章可循</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，才能保证环保工作健康、持续的运转。各项规章制度应体现环境管理的任务、内容和准则，使环境管理的特点和要求渗透到企业的各项管理工作中。</w:t>
      </w:r>
    </w:p>
    <w:p>
      <w:r>
        <w:t>（2）环境管理计划</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一般情况下，各企业在各阶段都要有环境管理的具体内容，工程环境管理体系及程序具体情况</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_Ref15959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11</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w:t>
      </w:r>
      <w:r>
        <w:rPr>
          <w:rFonts w:hint="default"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kern w:val="2"/>
          <w:sz w:val="21"/>
          <w:szCs w:val="21"/>
          <w:lang w:val="en-US" w:eastAsia="zh-CN" w:bidi="ar-SA"/>
        </w:rPr>
      </w:pPr>
      <w:bookmarkStart w:id="1802" w:name="_Ref15959"/>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11</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bookmarkEnd w:id="1802"/>
      <w:r>
        <w:rPr>
          <w:rFonts w:ascii="Times New Roman" w:hAnsi="Times New Roman" w:eastAsia="宋体" w:cs="Times New Roman"/>
          <w:b/>
          <w:kern w:val="2"/>
          <w:sz w:val="21"/>
          <w:szCs w:val="21"/>
          <w:lang w:val="en-US" w:eastAsia="zh-CN" w:bidi="ar-SA"/>
        </w:rPr>
        <w:t>工程环境管理体系及程序示意表</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83"/>
        <w:gridCol w:w="3398"/>
        <w:gridCol w:w="2256"/>
        <w:gridCol w:w="22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1183"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项目阶段</w:t>
            </w:r>
          </w:p>
        </w:tc>
        <w:tc>
          <w:tcPr>
            <w:tcW w:w="339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环境保护内容</w:t>
            </w:r>
          </w:p>
        </w:tc>
        <w:tc>
          <w:tcPr>
            <w:tcW w:w="2256"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环保措施执行单位</w:t>
            </w:r>
          </w:p>
        </w:tc>
        <w:tc>
          <w:tcPr>
            <w:tcW w:w="2290"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环境保护管理</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监督部门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4" w:hRule="atLeast"/>
          <w:jc w:val="center"/>
        </w:trPr>
        <w:tc>
          <w:tcPr>
            <w:tcW w:w="1183"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运营期</w:t>
            </w:r>
          </w:p>
        </w:tc>
        <w:tc>
          <w:tcPr>
            <w:tcW w:w="339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u w:val="single"/>
                <w:lang w:val="en-US" w:eastAsia="zh-CN" w:bidi="ar-SA"/>
              </w:rPr>
            </w:pPr>
            <w:r>
              <w:rPr>
                <w:rFonts w:ascii="Times New Roman" w:hAnsi="Times New Roman" w:eastAsia="宋体" w:cs="Times New Roman"/>
                <w:kern w:val="2"/>
                <w:sz w:val="24"/>
                <w:szCs w:val="24"/>
                <w:u w:val="single"/>
                <w:lang w:val="en-US" w:eastAsia="zh-CN" w:bidi="ar-SA"/>
              </w:rPr>
              <w:t>实施</w:t>
            </w:r>
            <w:r>
              <w:rPr>
                <w:rFonts w:hint="eastAsia" w:ascii="Times New Roman" w:hAnsi="Times New Roman" w:eastAsia="宋体" w:cs="Times New Roman"/>
                <w:kern w:val="2"/>
                <w:sz w:val="24"/>
                <w:szCs w:val="24"/>
                <w:u w:val="single"/>
                <w:lang w:val="en-US" w:eastAsia="zh-CN" w:bidi="ar-SA"/>
              </w:rPr>
              <w:t>运营期</w:t>
            </w:r>
            <w:r>
              <w:rPr>
                <w:rFonts w:ascii="Times New Roman" w:hAnsi="Times New Roman" w:eastAsia="宋体" w:cs="Times New Roman"/>
                <w:kern w:val="2"/>
                <w:sz w:val="24"/>
                <w:szCs w:val="24"/>
                <w:u w:val="single"/>
                <w:lang w:val="en-US" w:eastAsia="zh-CN" w:bidi="ar-SA"/>
              </w:rPr>
              <w:t>环保措施、保证环保设施的正常稳定运行，负责搞好全厂环境，委托监测及环境管理</w:t>
            </w:r>
          </w:p>
        </w:tc>
        <w:tc>
          <w:tcPr>
            <w:tcW w:w="2256"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u w:val="single"/>
                <w:lang w:val="en-US" w:eastAsia="zh-CN" w:bidi="ar-SA"/>
              </w:rPr>
            </w:pPr>
            <w:r>
              <w:rPr>
                <w:rFonts w:ascii="Times New Roman" w:hAnsi="Times New Roman" w:eastAsia="宋体" w:cs="Times New Roman"/>
                <w:kern w:val="2"/>
                <w:sz w:val="24"/>
                <w:szCs w:val="24"/>
                <w:u w:val="single"/>
                <w:lang w:val="en-US" w:eastAsia="zh-CN" w:bidi="ar-SA"/>
              </w:rPr>
              <w:t>建设单位环保机构、地方环境管理部门</w:t>
            </w:r>
          </w:p>
        </w:tc>
        <w:tc>
          <w:tcPr>
            <w:tcW w:w="2290"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u w:val="single"/>
                <w:lang w:val="en-US" w:eastAsia="zh-CN" w:bidi="ar-SA"/>
              </w:rPr>
            </w:pPr>
            <w:r>
              <w:rPr>
                <w:rFonts w:ascii="Times New Roman" w:hAnsi="Times New Roman" w:eastAsia="宋体" w:cs="Times New Roman"/>
                <w:kern w:val="2"/>
                <w:sz w:val="24"/>
                <w:szCs w:val="24"/>
                <w:u w:val="single"/>
                <w:lang w:val="en-US" w:eastAsia="zh-CN" w:bidi="ar-SA"/>
              </w:rPr>
              <w:t>地方环境管理部门</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sectPr>
          <w:pgSz w:w="11906" w:h="16838"/>
          <w:pgMar w:top="1417" w:right="1417" w:bottom="1134" w:left="1701"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环境管理方案</w:t>
      </w:r>
      <w:r>
        <w:rPr>
          <w:rFonts w:hint="eastAsia" w:ascii="Times New Roman" w:hAnsi="Times New Roman" w:eastAsia="宋体" w:cs="宋体"/>
          <w:kern w:val="2"/>
          <w:sz w:val="24"/>
          <w:szCs w:val="24"/>
          <w:lang w:val="en-US" w:eastAsia="zh-CN" w:bidi="ar-SA"/>
        </w:rPr>
        <w:t>见</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_Ref16024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11</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2</w:t>
      </w:r>
      <w:r>
        <w:rPr>
          <w:rFonts w:hint="eastAsia"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kern w:val="2"/>
          <w:sz w:val="21"/>
          <w:szCs w:val="21"/>
          <w:lang w:val="en-US" w:eastAsia="zh-CN" w:bidi="ar-SA"/>
        </w:rPr>
      </w:pPr>
      <w:bookmarkStart w:id="1803" w:name="_Ref16024"/>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11</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fldChar w:fldCharType="end"/>
      </w:r>
      <w:bookmarkEnd w:id="1803"/>
      <w:r>
        <w:rPr>
          <w:rFonts w:ascii="Times New Roman" w:hAnsi="Times New Roman" w:eastAsia="宋体" w:cs="Times New Roman"/>
          <w:b/>
          <w:kern w:val="2"/>
          <w:sz w:val="21"/>
          <w:szCs w:val="21"/>
          <w:lang w:val="en-US" w:eastAsia="zh-CN" w:bidi="ar-SA"/>
        </w:rPr>
        <w:t>主要环境管理方案表</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69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1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环境问题</w:t>
            </w:r>
          </w:p>
        </w:tc>
        <w:tc>
          <w:tcPr>
            <w:tcW w:w="698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防治措施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0" w:hRule="atLeast"/>
          <w:jc w:val="center"/>
        </w:trPr>
        <w:tc>
          <w:tcPr>
            <w:tcW w:w="1515"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废气排放</w:t>
            </w:r>
          </w:p>
        </w:tc>
        <w:tc>
          <w:tcPr>
            <w:tcW w:w="6989" w:type="dxa"/>
            <w:noWrap w:val="0"/>
            <w:vAlign w:val="center"/>
          </w:tcPr>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加强废气治理系统的维护保养，使运行效率不低于设计标准和废气达标，具体要求为有组织有机废气</w:t>
            </w:r>
            <w:r>
              <w:rPr>
                <w:rFonts w:hint="eastAsia" w:ascii="Times New Roman" w:hAnsi="Times New Roman" w:eastAsia="宋体" w:cs="Times New Roman"/>
                <w:kern w:val="2"/>
                <w:sz w:val="24"/>
                <w:szCs w:val="24"/>
                <w:lang w:val="en-US" w:eastAsia="zh-CN" w:bidi="ar-SA"/>
              </w:rPr>
              <w:t>执行</w:t>
            </w:r>
            <w:r>
              <w:rPr>
                <w:rFonts w:hint="eastAsia" w:ascii="Times New Roman" w:hAnsi="Times New Roman" w:eastAsia="宋体" w:cs="宋体"/>
                <w:kern w:val="2"/>
                <w:sz w:val="24"/>
                <w:szCs w:val="24"/>
                <w:lang w:val="en-US" w:eastAsia="zh-CN" w:bidi="ar-SA"/>
              </w:rPr>
              <w:t>天津市《工业企业挥发性有机物排放控制标准》（DB12/524-2014）表2中塑料制品制造业标准限值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1515"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6989" w:type="dxa"/>
            <w:noWrap w:val="0"/>
            <w:vAlign w:val="center"/>
          </w:tcPr>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制定合理的绿化方案，选择滞尘、降噪、对生产中废气排放污染物有较强抵抗和吸收能力的树种进行种植。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1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废水排放</w:t>
            </w:r>
          </w:p>
        </w:tc>
        <w:tc>
          <w:tcPr>
            <w:tcW w:w="6989" w:type="dxa"/>
            <w:noWrap w:val="0"/>
            <w:vAlign w:val="center"/>
          </w:tcPr>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严格清污分流、雨污分流管理。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151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固体废物</w:t>
            </w:r>
          </w:p>
        </w:tc>
        <w:tc>
          <w:tcPr>
            <w:tcW w:w="6989" w:type="dxa"/>
            <w:noWrap w:val="0"/>
            <w:vAlign w:val="center"/>
          </w:tcPr>
          <w:p>
            <w:pPr>
              <w:widowControl w:val="0"/>
              <w:bidi w:val="0"/>
              <w:adjustRightInd w:val="0"/>
              <w:snapToGrid w:val="0"/>
              <w:spacing w:line="240" w:lineRule="auto"/>
              <w:jc w:val="left"/>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厂区内划出暂存区，对不能及时运走的固体废物暂时贮存，防止废物泄漏。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1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环境绿化</w:t>
            </w:r>
          </w:p>
        </w:tc>
        <w:tc>
          <w:tcPr>
            <w:tcW w:w="6989" w:type="dxa"/>
            <w:noWrap w:val="0"/>
            <w:vAlign w:val="center"/>
          </w:tcPr>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加强绿化工作，规划出厂区绿化带。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1515"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环境风险</w:t>
            </w:r>
          </w:p>
        </w:tc>
        <w:tc>
          <w:tcPr>
            <w:tcW w:w="6989" w:type="dxa"/>
            <w:noWrap w:val="0"/>
            <w:vAlign w:val="center"/>
          </w:tcPr>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定期进行生产知识及环保知识培训，提高操作人员文化素质及环保意识。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1515"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6989" w:type="dxa"/>
            <w:noWrap w:val="0"/>
            <w:vAlign w:val="center"/>
          </w:tcPr>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加强危险化学品泄漏事故风险的预防和控制，杜绝危化品环境风险事故发生。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15"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698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加强事故风险的预防和控制，杜绝环境风险事故发生。</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sectPr>
          <w:pgSz w:w="11906" w:h="16838"/>
          <w:pgMar w:top="1417" w:right="1417" w:bottom="1134" w:left="1701"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各阶段环境管理工作的具体内容见</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REF _Ref16115 \h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11</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3</w:t>
      </w:r>
      <w:r>
        <w:rPr>
          <w:rFonts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kern w:val="2"/>
          <w:sz w:val="21"/>
          <w:szCs w:val="21"/>
          <w:lang w:val="en-US" w:eastAsia="zh-CN" w:bidi="ar-SA"/>
        </w:rPr>
      </w:pPr>
      <w:bookmarkStart w:id="1804" w:name="_Ref16115"/>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11</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3</w:t>
      </w:r>
      <w:r>
        <w:rPr>
          <w:rFonts w:ascii="Times New Roman" w:hAnsi="Times New Roman" w:eastAsia="宋体" w:cs="Times New Roman"/>
          <w:b/>
          <w:kern w:val="2"/>
          <w:sz w:val="21"/>
          <w:szCs w:val="21"/>
          <w:lang w:val="en-US" w:eastAsia="zh-CN" w:bidi="ar-SA"/>
        </w:rPr>
        <w:fldChar w:fldCharType="end"/>
      </w:r>
      <w:bookmarkEnd w:id="1804"/>
      <w:r>
        <w:rPr>
          <w:rFonts w:ascii="Times New Roman" w:hAnsi="Times New Roman" w:eastAsia="宋体" w:cs="Times New Roman"/>
          <w:b/>
          <w:kern w:val="2"/>
          <w:sz w:val="21"/>
          <w:szCs w:val="21"/>
          <w:lang w:val="en-US" w:eastAsia="zh-CN" w:bidi="ar-SA"/>
        </w:rPr>
        <w:t>各阶段环境管理工作的具体内容</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74"/>
        <w:gridCol w:w="673"/>
        <w:gridCol w:w="73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67" w:hRule="atLeast"/>
          <w:tblHeader/>
          <w:jc w:val="center"/>
        </w:trPr>
        <w:tc>
          <w:tcPr>
            <w:tcW w:w="1147" w:type="dxa"/>
            <w:gridSpan w:val="2"/>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阶段</w:t>
            </w:r>
          </w:p>
        </w:tc>
        <w:tc>
          <w:tcPr>
            <w:tcW w:w="7357"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环境管理工作计划的具体内容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41" w:hRule="atLeast"/>
          <w:jc w:val="center"/>
        </w:trPr>
        <w:tc>
          <w:tcPr>
            <w:tcW w:w="1147" w:type="dxa"/>
            <w:gridSpan w:val="2"/>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企业环</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境管理</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总要求</w:t>
            </w:r>
          </w:p>
        </w:tc>
        <w:tc>
          <w:tcPr>
            <w:tcW w:w="7357" w:type="dxa"/>
            <w:noWrap w:val="0"/>
            <w:vAlign w:val="center"/>
          </w:tcPr>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①可研阶段，委托评价单位进行环境影响评价；</w:t>
            </w:r>
          </w:p>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②开工前，履行</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三同时</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手续；</w:t>
            </w:r>
          </w:p>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③项目投运试生产达到稳定状态后，尽快进行环保设施竣工验收；</w:t>
            </w:r>
          </w:p>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④营运阶段，定期请当地环保部门监督、检查，协助作好环境管理工作，对不达标装置及时整改；</w:t>
            </w:r>
          </w:p>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⑤配合当地环境监测站搞好监测工作，及时交纳排污费。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74"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竣工验收阶段</w:t>
            </w:r>
          </w:p>
        </w:tc>
        <w:tc>
          <w:tcPr>
            <w:tcW w:w="673"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自检</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准备</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阶段</w:t>
            </w:r>
          </w:p>
        </w:tc>
        <w:tc>
          <w:tcPr>
            <w:tcW w:w="7357" w:type="dxa"/>
            <w:noWrap w:val="0"/>
            <w:vAlign w:val="center"/>
          </w:tcPr>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①检查施工项目是否按设计规定全部完工；</w:t>
            </w:r>
          </w:p>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②向环保部门申请试运行；组织检查试车前的各项准备工作；</w:t>
            </w:r>
          </w:p>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③检查操作技术文件和管理制度是否健全；整理技术文件资料档案；</w:t>
            </w:r>
          </w:p>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④建立环保档案。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74"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673"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预</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验收</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阶段</w:t>
            </w:r>
          </w:p>
        </w:tc>
        <w:tc>
          <w:tcPr>
            <w:tcW w:w="7357" w:type="dxa"/>
            <w:noWrap w:val="0"/>
            <w:vAlign w:val="center"/>
          </w:tcPr>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①检查污染治理效果和各污染源污染物排放情况；</w:t>
            </w:r>
          </w:p>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②对问题，提出解决或补救措施，落实投资，确保按期完成；</w:t>
            </w:r>
          </w:p>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③邀请环境监测站按环评选定的监测点或断面，有重点地考核生产设施、环保设施运行情况，污染物产生、治理和排污情况及环境污染水平，并提交《建设项目环境保护竣工验收监测报告》，回答环保工程是否满足竣工验收要求和具备验收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74"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673"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正式</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验收</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阶段</w:t>
            </w:r>
          </w:p>
        </w:tc>
        <w:tc>
          <w:tcPr>
            <w:tcW w:w="7357" w:type="dxa"/>
            <w:noWrap w:val="0"/>
            <w:vAlign w:val="center"/>
          </w:tcPr>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建设单位完成《环境保护工程竣工验收监测报告》和《环境保护工程竣工验收报告》，申请正式竣工验收；</w:t>
            </w:r>
          </w:p>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②建设单位向</w:t>
            </w:r>
            <w:r>
              <w:rPr>
                <w:rFonts w:hint="eastAsia" w:ascii="Times New Roman" w:hAnsi="Times New Roman" w:eastAsia="宋体" w:cs="Times New Roman"/>
                <w:kern w:val="2"/>
                <w:sz w:val="24"/>
                <w:szCs w:val="24"/>
                <w:lang w:val="en-US" w:eastAsia="zh-CN" w:bidi="ar-SA"/>
              </w:rPr>
              <w:t>生态环境局</w:t>
            </w:r>
            <w:r>
              <w:rPr>
                <w:rFonts w:ascii="Times New Roman" w:hAnsi="Times New Roman" w:eastAsia="宋体" w:cs="Times New Roman"/>
                <w:kern w:val="2"/>
                <w:sz w:val="24"/>
                <w:szCs w:val="24"/>
                <w:lang w:val="en-US" w:eastAsia="zh-CN" w:bidi="ar-SA"/>
              </w:rPr>
              <w:t>申请办理《排污许可证》，转入日常环境保护监督管理。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996" w:hRule="atLeast"/>
          <w:jc w:val="center"/>
        </w:trPr>
        <w:tc>
          <w:tcPr>
            <w:tcW w:w="1147" w:type="dxa"/>
            <w:gridSpan w:val="2"/>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生产运行阶段</w:t>
            </w:r>
          </w:p>
        </w:tc>
        <w:tc>
          <w:tcPr>
            <w:tcW w:w="7357" w:type="dxa"/>
            <w:noWrap w:val="0"/>
            <w:vAlign w:val="center"/>
          </w:tcPr>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①把污染防治和环境管理纳入企业日常经营管理活动，从计划管理、生产管理、技术管理、设备管理到经济成本核算均有控制污染内容和指标，并落实到岗位；</w:t>
            </w:r>
          </w:p>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②企业主要领导负责实行环保责任制，指标逐级分解，奖罚分明；</w:t>
            </w:r>
          </w:p>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③建立健全企业的污染监测系统，为企业环境管理提供依据；</w:t>
            </w:r>
          </w:p>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④建立环境保护信息反馈，接受公众监督；</w:t>
            </w:r>
          </w:p>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⑤建立健全各项环保设施运行操作规则，并有效监督实施，严防跑冒滴漏；</w:t>
            </w:r>
          </w:p>
          <w:p>
            <w:pPr>
              <w:widowControl w:val="0"/>
              <w:bidi w:val="0"/>
              <w:adjustRightInd w:val="0"/>
              <w:snapToGrid w:val="0"/>
              <w:spacing w:line="240" w:lineRule="auto"/>
              <w:jc w:val="left"/>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⑥定期向环保部门汇报情况，配合环保部门的监督、检查。</w:t>
            </w:r>
          </w:p>
        </w:tc>
      </w:tr>
    </w:tbl>
    <w:p>
      <w:bookmarkStart w:id="1805" w:name="_Toc447875882"/>
      <w:bookmarkStart w:id="1806" w:name="_Toc23354"/>
      <w:bookmarkStart w:id="1807" w:name="_Toc745_WPSOffice_Level2"/>
      <w:bookmarkStart w:id="1808" w:name="_Toc14289"/>
      <w:bookmarkStart w:id="1809" w:name="_Toc22719_WPSOffice_Level2"/>
      <w:bookmarkStart w:id="1810" w:name="_Toc23826"/>
      <w:bookmarkStart w:id="1811" w:name="_Toc21800_WPSOffice_Level2"/>
      <w:bookmarkStart w:id="1812" w:name="_Toc6761"/>
      <w:bookmarkStart w:id="1813" w:name="_Toc13301_WPSOffice_Level2"/>
    </w:p>
    <w:p>
      <w:pPr>
        <w:pStyle w:val="2"/>
        <w:bidi w:val="0"/>
        <w:rPr>
          <w:lang w:val="en-US" w:eastAsia="zh-CN"/>
        </w:rPr>
      </w:pPr>
      <w:bookmarkStart w:id="1814" w:name="_Toc15423"/>
      <w:bookmarkStart w:id="1815" w:name="_Toc22616"/>
      <w:r>
        <w:rPr>
          <w:lang w:val="en-US" w:eastAsia="zh-CN"/>
        </w:rPr>
        <w:t>环境监管计划</w:t>
      </w:r>
      <w:bookmarkEnd w:id="1805"/>
      <w:bookmarkEnd w:id="1806"/>
      <w:bookmarkEnd w:id="1807"/>
      <w:bookmarkEnd w:id="1808"/>
      <w:bookmarkEnd w:id="1809"/>
      <w:bookmarkEnd w:id="1810"/>
      <w:bookmarkEnd w:id="1811"/>
      <w:bookmarkEnd w:id="1812"/>
      <w:bookmarkEnd w:id="1813"/>
      <w:bookmarkEnd w:id="1814"/>
      <w:bookmarkEnd w:id="1815"/>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（1）建立健全监测制度，定期开展对废气和厂界噪声的常规性监测。</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（2）排气筒每季监测一次，主要监测</w:t>
      </w:r>
      <w:r>
        <w:rPr>
          <w:rFonts w:hint="eastAsia" w:cs="宋体"/>
          <w:kern w:val="2"/>
          <w:sz w:val="24"/>
          <w:szCs w:val="24"/>
          <w:highlight w:val="none"/>
          <w:lang w:val="en-US" w:eastAsia="zh-CN" w:bidi="ar-SA"/>
        </w:rPr>
        <w:t>VOCs</w:t>
      </w:r>
      <w:r>
        <w:rPr>
          <w:rFonts w:ascii="Times New Roman" w:hAnsi="Times New Roman" w:eastAsia="宋体" w:cs="宋体"/>
          <w:kern w:val="2"/>
          <w:sz w:val="24"/>
          <w:szCs w:val="24"/>
          <w:lang w:val="en-US" w:eastAsia="zh-CN" w:bidi="ar-SA"/>
        </w:rPr>
        <w:t>，同期应监测厂界无组织浓度值；噪声监测因子为Leq(A)，每季监测一次。出现污染投诉和环境纠纷时另行组织开展监测。详见</w:t>
      </w:r>
      <w:r>
        <w:rPr>
          <w:rFonts w:hint="default" w:ascii="Times New Roman" w:hAnsi="Times New Roman" w:eastAsia="宋体" w:cs="宋体"/>
          <w:kern w:val="2"/>
          <w:sz w:val="24"/>
          <w:szCs w:val="24"/>
          <w:lang w:val="en-US" w:eastAsia="zh-CN" w:bidi="ar-SA"/>
        </w:rPr>
        <w:fldChar w:fldCharType="begin"/>
      </w:r>
      <w:r>
        <w:rPr>
          <w:rFonts w:hint="default" w:ascii="Times New Roman" w:hAnsi="Times New Roman" w:eastAsia="宋体" w:cs="宋体"/>
          <w:kern w:val="2"/>
          <w:sz w:val="24"/>
          <w:szCs w:val="24"/>
          <w:lang w:val="en-US" w:eastAsia="zh-CN" w:bidi="ar-SA"/>
        </w:rPr>
        <w:instrText xml:space="preserve"> REF _Ref16230 \h </w:instrText>
      </w:r>
      <w:r>
        <w:rPr>
          <w:rFonts w:hint="default"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11</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4</w:t>
      </w:r>
      <w:r>
        <w:rPr>
          <w:rFonts w:hint="default" w:ascii="Times New Roman" w:hAnsi="Times New Roman" w:eastAsia="宋体" w:cs="宋体"/>
          <w:kern w:val="2"/>
          <w:sz w:val="24"/>
          <w:szCs w:val="24"/>
          <w:lang w:val="en-US" w:eastAsia="zh-CN" w:bidi="ar-SA"/>
        </w:rPr>
        <w:fldChar w:fldCharType="end"/>
      </w:r>
      <w:r>
        <w:rPr>
          <w:rFonts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kern w:val="2"/>
          <w:sz w:val="21"/>
          <w:szCs w:val="21"/>
          <w:lang w:val="en-US" w:eastAsia="zh-CN" w:bidi="ar-SA"/>
        </w:rPr>
      </w:pPr>
      <w:bookmarkStart w:id="1816" w:name="_Ref16230"/>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11</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bookmarkEnd w:id="1816"/>
      <w:r>
        <w:rPr>
          <w:rFonts w:hint="eastAsia" w:ascii="Times New Roman" w:hAnsi="Times New Roman" w:eastAsia="宋体" w:cs="Times New Roman"/>
          <w:b/>
          <w:kern w:val="2"/>
          <w:sz w:val="21"/>
          <w:szCs w:val="21"/>
          <w:lang w:val="en-US" w:eastAsia="zh-CN" w:bidi="ar-SA"/>
        </w:rPr>
        <w:t>运营期</w:t>
      </w:r>
      <w:r>
        <w:rPr>
          <w:rFonts w:ascii="Times New Roman" w:hAnsi="Times New Roman" w:eastAsia="宋体" w:cs="Times New Roman"/>
          <w:b/>
          <w:kern w:val="2"/>
          <w:sz w:val="21"/>
          <w:szCs w:val="21"/>
          <w:lang w:val="en-US" w:eastAsia="zh-CN" w:bidi="ar-SA"/>
        </w:rPr>
        <w:t>环境监测计划</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50"/>
        <w:gridCol w:w="2685"/>
        <w:gridCol w:w="1259"/>
        <w:gridCol w:w="1391"/>
        <w:gridCol w:w="15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50"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项目</w:t>
            </w:r>
          </w:p>
        </w:tc>
        <w:tc>
          <w:tcPr>
            <w:tcW w:w="6854" w:type="dxa"/>
            <w:gridSpan w:val="4"/>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建议内容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50"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268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监测因子</w:t>
            </w:r>
          </w:p>
        </w:tc>
        <w:tc>
          <w:tcPr>
            <w:tcW w:w="125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监测地点</w:t>
            </w:r>
          </w:p>
        </w:tc>
        <w:tc>
          <w:tcPr>
            <w:tcW w:w="139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监测频率</w:t>
            </w:r>
          </w:p>
        </w:tc>
        <w:tc>
          <w:tcPr>
            <w:tcW w:w="151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监测机构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50"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废水</w:t>
            </w:r>
          </w:p>
        </w:tc>
        <w:tc>
          <w:tcPr>
            <w:tcW w:w="268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COD、氨氮</w:t>
            </w:r>
          </w:p>
        </w:tc>
        <w:tc>
          <w:tcPr>
            <w:tcW w:w="125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排放口</w:t>
            </w:r>
          </w:p>
        </w:tc>
        <w:tc>
          <w:tcPr>
            <w:tcW w:w="139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1次/</w:t>
            </w:r>
            <w:r>
              <w:rPr>
                <w:rFonts w:hint="eastAsia" w:ascii="Times New Roman" w:hAnsi="Times New Roman" w:eastAsia="宋体" w:cs="Times New Roman"/>
                <w:kern w:val="2"/>
                <w:sz w:val="24"/>
                <w:szCs w:val="24"/>
                <w:lang w:val="en-US" w:eastAsia="zh-CN" w:bidi="ar-SA"/>
              </w:rPr>
              <w:t>半年</w:t>
            </w:r>
          </w:p>
        </w:tc>
        <w:tc>
          <w:tcPr>
            <w:tcW w:w="1519"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可委托有资质发的单位进行监测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50"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废气</w:t>
            </w:r>
          </w:p>
        </w:tc>
        <w:tc>
          <w:tcPr>
            <w:tcW w:w="268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标干流</w:t>
            </w:r>
            <w:r>
              <w:rPr>
                <w:rFonts w:ascii="Times New Roman" w:hAnsi="Times New Roman" w:eastAsia="宋体" w:cs="Times New Roman"/>
                <w:kern w:val="2"/>
                <w:sz w:val="24"/>
                <w:szCs w:val="24"/>
                <w:lang w:val="en-US" w:eastAsia="zh-CN" w:bidi="ar-SA"/>
              </w:rPr>
              <w:t>量、</w:t>
            </w:r>
            <w:r>
              <w:rPr>
                <w:rFonts w:hint="eastAsia" w:cs="Times New Roman"/>
                <w:kern w:val="2"/>
                <w:sz w:val="24"/>
                <w:szCs w:val="24"/>
                <w:lang w:val="en-US" w:eastAsia="zh-CN" w:bidi="ar-SA"/>
              </w:rPr>
              <w:t>VOCs</w:t>
            </w:r>
          </w:p>
        </w:tc>
        <w:tc>
          <w:tcPr>
            <w:tcW w:w="1259"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排气筒</w:t>
            </w:r>
          </w:p>
        </w:tc>
        <w:tc>
          <w:tcPr>
            <w:tcW w:w="139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1次/</w:t>
            </w:r>
            <w:r>
              <w:rPr>
                <w:rFonts w:hint="eastAsia" w:ascii="Times New Roman" w:hAnsi="Times New Roman" w:eastAsia="宋体" w:cs="Times New Roman"/>
                <w:kern w:val="2"/>
                <w:sz w:val="24"/>
                <w:szCs w:val="24"/>
                <w:lang w:val="en-US" w:eastAsia="zh-CN" w:bidi="ar-SA"/>
              </w:rPr>
              <w:t>半年</w:t>
            </w:r>
          </w:p>
        </w:tc>
        <w:tc>
          <w:tcPr>
            <w:tcW w:w="1519"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50"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268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VOCs</w:t>
            </w:r>
          </w:p>
        </w:tc>
        <w:tc>
          <w:tcPr>
            <w:tcW w:w="125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厂界</w:t>
            </w:r>
          </w:p>
        </w:tc>
        <w:tc>
          <w:tcPr>
            <w:tcW w:w="139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1次/</w:t>
            </w:r>
            <w:r>
              <w:rPr>
                <w:rFonts w:hint="eastAsia" w:ascii="Times New Roman" w:hAnsi="Times New Roman" w:eastAsia="宋体" w:cs="Times New Roman"/>
                <w:kern w:val="2"/>
                <w:sz w:val="24"/>
                <w:szCs w:val="24"/>
                <w:lang w:val="en-US" w:eastAsia="zh-CN" w:bidi="ar-SA"/>
              </w:rPr>
              <w:t>半年</w:t>
            </w:r>
          </w:p>
        </w:tc>
        <w:tc>
          <w:tcPr>
            <w:tcW w:w="1519"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50"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噪声</w:t>
            </w:r>
          </w:p>
        </w:tc>
        <w:tc>
          <w:tcPr>
            <w:tcW w:w="268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Leq（A）（昼、夜）</w:t>
            </w:r>
          </w:p>
        </w:tc>
        <w:tc>
          <w:tcPr>
            <w:tcW w:w="125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厂界</w:t>
            </w:r>
          </w:p>
        </w:tc>
        <w:tc>
          <w:tcPr>
            <w:tcW w:w="139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1次/</w:t>
            </w:r>
            <w:r>
              <w:rPr>
                <w:rFonts w:hint="eastAsia" w:ascii="Times New Roman" w:hAnsi="Times New Roman" w:eastAsia="宋体" w:cs="Times New Roman"/>
                <w:kern w:val="2"/>
                <w:sz w:val="24"/>
                <w:szCs w:val="24"/>
                <w:lang w:val="en-US" w:eastAsia="zh-CN" w:bidi="ar-SA"/>
              </w:rPr>
              <w:t>半年</w:t>
            </w:r>
          </w:p>
        </w:tc>
        <w:tc>
          <w:tcPr>
            <w:tcW w:w="1519"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50"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固废</w:t>
            </w:r>
          </w:p>
        </w:tc>
        <w:tc>
          <w:tcPr>
            <w:tcW w:w="3944" w:type="dxa"/>
            <w:gridSpan w:val="2"/>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危险废物台账</w:t>
            </w:r>
          </w:p>
        </w:tc>
        <w:tc>
          <w:tcPr>
            <w:tcW w:w="139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1次/</w:t>
            </w:r>
            <w:r>
              <w:rPr>
                <w:rFonts w:hint="eastAsia" w:ascii="Times New Roman" w:hAnsi="Times New Roman" w:eastAsia="宋体" w:cs="Times New Roman"/>
                <w:kern w:val="2"/>
                <w:sz w:val="24"/>
                <w:szCs w:val="24"/>
                <w:lang w:val="en-US" w:eastAsia="zh-CN" w:bidi="ar-SA"/>
              </w:rPr>
              <w:t>年</w:t>
            </w:r>
          </w:p>
        </w:tc>
        <w:tc>
          <w:tcPr>
            <w:tcW w:w="1519"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（3）环境监测要为环境管理服务。环境监测中发现非正常情况应及时向公司领导汇报，并做好记录，以便为设施维护、生产管理等提供依据。</w:t>
      </w:r>
    </w:p>
    <w:p>
      <w:pPr>
        <w:pStyle w:val="2"/>
        <w:bidi w:val="0"/>
        <w:rPr>
          <w:lang w:val="en-US" w:eastAsia="zh-CN"/>
        </w:rPr>
      </w:pPr>
      <w:bookmarkStart w:id="1817" w:name="_Toc447875883"/>
      <w:bookmarkStart w:id="1818" w:name="_Toc22477"/>
      <w:bookmarkStart w:id="1819" w:name="_Toc29759"/>
      <w:bookmarkStart w:id="1820" w:name="_Toc10594_WPSOffice_Level2"/>
      <w:bookmarkStart w:id="1821" w:name="_Toc27263_WPSOffice_Level2"/>
      <w:bookmarkStart w:id="1822" w:name="_Toc22308"/>
      <w:bookmarkStart w:id="1823" w:name="_Toc17872_WPSOffice_Level2"/>
      <w:bookmarkStart w:id="1824" w:name="_Toc1296"/>
      <w:bookmarkStart w:id="1825" w:name="_Toc24257_WPSOffice_Level2"/>
      <w:bookmarkStart w:id="1826" w:name="_Toc26328"/>
      <w:bookmarkStart w:id="1827" w:name="_Toc27539"/>
      <w:r>
        <w:rPr>
          <w:lang w:val="en-US" w:eastAsia="zh-CN"/>
        </w:rPr>
        <w:t>排污口管理</w:t>
      </w:r>
      <w:bookmarkEnd w:id="1817"/>
      <w:bookmarkEnd w:id="1818"/>
      <w:bookmarkEnd w:id="1819"/>
      <w:bookmarkEnd w:id="1820"/>
      <w:bookmarkEnd w:id="1821"/>
      <w:bookmarkEnd w:id="1822"/>
      <w:bookmarkEnd w:id="1823"/>
      <w:bookmarkEnd w:id="1824"/>
      <w:bookmarkEnd w:id="1825"/>
      <w:bookmarkEnd w:id="1826"/>
      <w:bookmarkEnd w:id="1827"/>
    </w:p>
    <w:p>
      <w:pPr>
        <w:pStyle w:val="4"/>
        <w:bidi w:val="0"/>
        <w:rPr>
          <w:lang w:val="en-US" w:eastAsia="zh-CN"/>
        </w:rPr>
      </w:pPr>
      <w:bookmarkStart w:id="1828" w:name="_Toc26062"/>
      <w:bookmarkStart w:id="1829" w:name="_Toc23342_WPSOffice_Level3"/>
      <w:bookmarkStart w:id="1830" w:name="_Toc25488_WPSOffice_Level3"/>
      <w:bookmarkStart w:id="1831" w:name="_Toc28875"/>
      <w:bookmarkStart w:id="1832" w:name="_Toc27139"/>
      <w:bookmarkStart w:id="1833" w:name="_Toc29308"/>
      <w:r>
        <w:rPr>
          <w:lang w:val="en-US" w:eastAsia="zh-CN"/>
        </w:rPr>
        <w:t>排污口规范化管理</w:t>
      </w:r>
      <w:bookmarkEnd w:id="1828"/>
      <w:bookmarkEnd w:id="1829"/>
      <w:bookmarkEnd w:id="1830"/>
      <w:bookmarkEnd w:id="1831"/>
      <w:bookmarkEnd w:id="1832"/>
      <w:bookmarkEnd w:id="1833"/>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排污口是企业污染物进入环境、污染环境的通道，强化排污口的管理是实施污染物总量控制的基础工作，也是区域环境管理逐步实现污染物排放科学化、定量化的重要手段，具体管理原则如下：</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（1）列入总量控制的污染物排放口以及行业特征污染物排放口，如含有机废气</w:t>
      </w:r>
      <w:r>
        <w:rPr>
          <w:rFonts w:hint="eastAsia" w:ascii="Times New Roman" w:hAnsi="Times New Roman" w:eastAsia="宋体" w:cs="宋体"/>
          <w:kern w:val="2"/>
          <w:sz w:val="24"/>
          <w:szCs w:val="24"/>
          <w:lang w:val="en-US" w:eastAsia="zh-CN" w:bidi="ar-SA"/>
        </w:rPr>
        <w:t>的</w:t>
      </w:r>
      <w:r>
        <w:rPr>
          <w:rFonts w:ascii="Times New Roman" w:hAnsi="Times New Roman" w:eastAsia="宋体" w:cs="宋体"/>
          <w:kern w:val="2"/>
          <w:sz w:val="24"/>
          <w:szCs w:val="24"/>
          <w:lang w:val="en-US" w:eastAsia="zh-CN" w:bidi="ar-SA"/>
        </w:rPr>
        <w:t>排放口，应列为排污口管理的重点；</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（2）排污口应便于采样与计量监测，便于日常监督检查，应有观测、取样、维修通道，排气筒采样孔和采样平台的设置应符合《污染源监测技术规范》；</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（3）如实向环保管理部门申报排污口数量、位置及所排放的主要污染物种类、数量、浓度、排放去向等情况；</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（4）固体废弃物应分类设置专用堆放场地，并有防扬散、防水土流失措施。</w:t>
      </w:r>
    </w:p>
    <w:p>
      <w:pPr>
        <w:pStyle w:val="4"/>
        <w:bidi w:val="0"/>
        <w:rPr>
          <w:lang w:val="en-US" w:eastAsia="zh-CN"/>
        </w:rPr>
      </w:pPr>
      <w:bookmarkStart w:id="1834" w:name="_Toc1292"/>
      <w:bookmarkStart w:id="1835" w:name="_Toc28340"/>
      <w:bookmarkStart w:id="1836" w:name="_Toc26559_WPSOffice_Level3"/>
      <w:bookmarkStart w:id="1837" w:name="_Toc11514_WPSOffice_Level3"/>
      <w:r>
        <w:rPr>
          <w:lang w:val="en-US" w:eastAsia="zh-CN"/>
        </w:rPr>
        <w:t>排污口标</w:t>
      </w:r>
      <w:r>
        <w:rPr>
          <w:rFonts w:hint="eastAsia"/>
          <w:lang w:val="en-US" w:eastAsia="zh-CN"/>
        </w:rPr>
        <w:t>识</w:t>
      </w:r>
      <w:r>
        <w:rPr>
          <w:lang w:val="en-US" w:eastAsia="zh-CN"/>
        </w:rPr>
        <w:t>管理</w:t>
      </w:r>
      <w:bookmarkEnd w:id="1834"/>
      <w:bookmarkEnd w:id="1835"/>
      <w:bookmarkEnd w:id="1836"/>
      <w:bookmarkEnd w:id="1837"/>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根据国家《环境保护图形标志</w:t>
      </w:r>
      <w:r>
        <w:rPr>
          <w:rFonts w:hint="eastAsia" w:ascii="Times New Roman" w:hAnsi="Times New Roman" w:eastAsia="宋体" w:cs="宋体"/>
          <w:kern w:val="2"/>
          <w:sz w:val="24"/>
          <w:szCs w:val="24"/>
          <w:lang w:val="en-US" w:eastAsia="zh-CN" w:bidi="ar-SA"/>
        </w:rPr>
        <w:t xml:space="preserve"> </w:t>
      </w:r>
      <w:r>
        <w:rPr>
          <w:rFonts w:ascii="Times New Roman" w:hAnsi="Times New Roman" w:eastAsia="宋体" w:cs="宋体"/>
          <w:kern w:val="2"/>
          <w:sz w:val="24"/>
          <w:szCs w:val="24"/>
          <w:lang w:val="en-US" w:eastAsia="zh-CN" w:bidi="ar-SA"/>
        </w:rPr>
        <w:t>排放口(源)》(GB15562.1</w:t>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1995)的规定，本工程针对废气排放口、废水排放口及噪声排放源分别设置国家</w:t>
      </w:r>
      <w:r>
        <w:rPr>
          <w:rFonts w:hint="eastAsia" w:ascii="Times New Roman" w:hAnsi="Times New Roman" w:eastAsia="宋体" w:cs="宋体"/>
          <w:kern w:val="2"/>
          <w:sz w:val="24"/>
          <w:szCs w:val="24"/>
          <w:lang w:val="en-US" w:eastAsia="zh-CN" w:bidi="ar-SA"/>
        </w:rPr>
        <w:t>生态环境局</w:t>
      </w:r>
      <w:r>
        <w:rPr>
          <w:rFonts w:ascii="Times New Roman" w:hAnsi="Times New Roman" w:eastAsia="宋体" w:cs="宋体"/>
          <w:kern w:val="2"/>
          <w:sz w:val="24"/>
          <w:szCs w:val="24"/>
          <w:lang w:val="en-US" w:eastAsia="zh-CN" w:bidi="ar-SA"/>
        </w:rPr>
        <w:t>统一制作的环境保护图形标志牌，并应注意以下几点：</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（1）污染物排放口的环保图形标志牌应设置在靠近采样点的醒目处，标志牌设置高度为其上边缘距离地面约2m；</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（2）污染物排放口和固体废物贮存处置场以设置方式标志牌为主，亦可根据情况设置立面或平面固定式标志牌；</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（3）废水排放口和固定废物堆场，应设置提示性环境保护图形标志牌。</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环境保护图形符号见表</w:t>
      </w:r>
      <w:r>
        <w:rPr>
          <w:rFonts w:hint="eastAsia" w:cs="宋体"/>
          <w:kern w:val="2"/>
          <w:sz w:val="24"/>
          <w:szCs w:val="24"/>
          <w:lang w:val="en-US" w:eastAsia="zh-CN" w:bidi="ar-SA"/>
        </w:rPr>
        <w:t>11-5</w:t>
      </w:r>
      <w:r>
        <w:rPr>
          <w:rFonts w:ascii="Times New Roman" w:hAnsi="Times New Roman" w:eastAsia="宋体" w:cs="宋体"/>
          <w:kern w:val="2"/>
          <w:sz w:val="24"/>
          <w:szCs w:val="24"/>
          <w:lang w:val="en-US" w:eastAsia="zh-CN" w:bidi="ar-SA"/>
        </w:rPr>
        <w:t>，环境保护图形标志的形状及颜色见表</w:t>
      </w:r>
      <w:r>
        <w:rPr>
          <w:rFonts w:hint="eastAsia" w:cs="宋体"/>
          <w:kern w:val="2"/>
          <w:sz w:val="24"/>
          <w:szCs w:val="24"/>
          <w:lang w:val="en-US" w:eastAsia="zh-CN" w:bidi="ar-SA"/>
        </w:rPr>
        <w:t>11-6</w:t>
      </w:r>
      <w:r>
        <w:rPr>
          <w:rFonts w:ascii="Times New Roman" w:hAnsi="Times New Roman" w:eastAsia="宋体" w:cs="宋体"/>
          <w:kern w:val="2"/>
          <w:sz w:val="24"/>
          <w:szCs w:val="24"/>
          <w:lang w:val="en-US" w:eastAsia="zh-CN" w:bidi="ar-SA"/>
        </w:rPr>
        <w:t>。</w:t>
      </w:r>
    </w:p>
    <w:p>
      <w:pPr>
        <w:pStyle w:val="27"/>
        <w:bidi w:val="0"/>
      </w:pPr>
      <w:r>
        <w:rPr>
          <w:lang w:val="en-US" w:eastAsia="zh-CN"/>
        </w:rPr>
        <w:t xml:space="preserve">表 </w:t>
      </w:r>
      <w:r>
        <w:rPr>
          <w:lang w:val="en-US" w:eastAsia="zh-CN"/>
        </w:rPr>
        <w:fldChar w:fldCharType="begin"/>
      </w:r>
      <w:r>
        <w:rPr>
          <w:lang w:val="en-US" w:eastAsia="zh-CN"/>
        </w:rPr>
        <w:instrText xml:space="preserve"> STYLEREF 1 \s </w:instrText>
      </w:r>
      <w:r>
        <w:rPr>
          <w:lang w:val="en-US" w:eastAsia="zh-CN"/>
        </w:rPr>
        <w:fldChar w:fldCharType="separate"/>
      </w:r>
      <w:r>
        <w:rPr>
          <w:lang w:val="en-US" w:eastAsia="zh-CN"/>
        </w:rPr>
        <w:t>11</w:t>
      </w:r>
      <w:r>
        <w:rPr>
          <w:lang w:val="en-US" w:eastAsia="zh-CN"/>
        </w:rPr>
        <w:fldChar w:fldCharType="end"/>
      </w:r>
      <w:r>
        <w:rPr>
          <w:rFonts w:hint="eastAsia"/>
          <w:lang w:val="en-US" w:eastAsia="zh-CN"/>
        </w:rPr>
        <w:t>-5</w:t>
      </w:r>
      <w:r>
        <w:t>环境保护图形符号一览表</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701"/>
        <w:gridCol w:w="1668"/>
        <w:gridCol w:w="1435"/>
        <w:gridCol w:w="30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94" w:type="dxa"/>
            <w:tcBorders>
              <w:tl2br w:val="nil"/>
              <w:tr2bl w:val="nil"/>
            </w:tcBorders>
            <w:noWrap w:val="0"/>
            <w:vAlign w:val="center"/>
          </w:tcPr>
          <w:p>
            <w:pPr>
              <w:pStyle w:val="26"/>
              <w:bidi w:val="0"/>
            </w:pPr>
            <w:r>
              <w:t>序号</w:t>
            </w:r>
          </w:p>
        </w:tc>
        <w:tc>
          <w:tcPr>
            <w:tcW w:w="1701" w:type="dxa"/>
            <w:tcBorders>
              <w:tl2br w:val="nil"/>
              <w:tr2bl w:val="nil"/>
            </w:tcBorders>
            <w:noWrap w:val="0"/>
            <w:vAlign w:val="center"/>
          </w:tcPr>
          <w:p>
            <w:pPr>
              <w:pStyle w:val="26"/>
              <w:bidi w:val="0"/>
            </w:pPr>
            <w:r>
              <w:t>提示图形符号</w:t>
            </w:r>
          </w:p>
        </w:tc>
        <w:tc>
          <w:tcPr>
            <w:tcW w:w="1668" w:type="dxa"/>
            <w:tcBorders>
              <w:tl2br w:val="nil"/>
              <w:tr2bl w:val="nil"/>
            </w:tcBorders>
            <w:noWrap w:val="0"/>
            <w:vAlign w:val="center"/>
          </w:tcPr>
          <w:p>
            <w:pPr>
              <w:pStyle w:val="26"/>
              <w:bidi w:val="0"/>
            </w:pPr>
            <w:r>
              <w:t>警告图形符号</w:t>
            </w:r>
          </w:p>
        </w:tc>
        <w:tc>
          <w:tcPr>
            <w:tcW w:w="1435" w:type="dxa"/>
            <w:tcBorders>
              <w:tl2br w:val="nil"/>
              <w:tr2bl w:val="nil"/>
            </w:tcBorders>
            <w:noWrap w:val="0"/>
            <w:vAlign w:val="center"/>
          </w:tcPr>
          <w:p>
            <w:pPr>
              <w:pStyle w:val="26"/>
              <w:bidi w:val="0"/>
            </w:pPr>
            <w:r>
              <w:t>名称</w:t>
            </w:r>
          </w:p>
        </w:tc>
        <w:tc>
          <w:tcPr>
            <w:tcW w:w="3069" w:type="dxa"/>
            <w:tcBorders>
              <w:tl2br w:val="nil"/>
              <w:tr2bl w:val="nil"/>
            </w:tcBorders>
            <w:noWrap w:val="0"/>
            <w:vAlign w:val="center"/>
          </w:tcPr>
          <w:p>
            <w:pPr>
              <w:pStyle w:val="26"/>
              <w:bidi w:val="0"/>
            </w:pPr>
            <w:r>
              <w:t>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2" w:hRule="atLeast"/>
          <w:jc w:val="center"/>
        </w:trPr>
        <w:tc>
          <w:tcPr>
            <w:tcW w:w="794" w:type="dxa"/>
            <w:tcBorders>
              <w:tl2br w:val="nil"/>
              <w:tr2bl w:val="nil"/>
            </w:tcBorders>
            <w:noWrap w:val="0"/>
            <w:vAlign w:val="center"/>
          </w:tcPr>
          <w:p>
            <w:pPr>
              <w:pStyle w:val="26"/>
              <w:bidi w:val="0"/>
            </w:pPr>
            <w:r>
              <w:t>1</w:t>
            </w:r>
          </w:p>
        </w:tc>
        <w:tc>
          <w:tcPr>
            <w:tcW w:w="1701" w:type="dxa"/>
            <w:tcBorders>
              <w:tl2br w:val="nil"/>
              <w:tr2bl w:val="nil"/>
            </w:tcBorders>
            <w:noWrap w:val="0"/>
            <w:vAlign w:val="center"/>
          </w:tcPr>
          <w:p>
            <w:pPr>
              <w:pStyle w:val="26"/>
              <w:bidi w:val="0"/>
            </w:pPr>
            <w:r>
              <w:drawing>
                <wp:inline distT="0" distB="0" distL="114300" distR="114300">
                  <wp:extent cx="848360" cy="857250"/>
                  <wp:effectExtent l="0" t="0" r="8890" b="0"/>
                  <wp:docPr id="18" name="图片 1" descr="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13001"/>
                          <pic:cNvPicPr>
                            <a:picLocks noChangeAspect="1"/>
                          </pic:cNvPicPr>
                        </pic:nvPicPr>
                        <pic:blipFill>
                          <a:blip r:embed="rId35"/>
                          <a:stretch>
                            <a:fillRect/>
                          </a:stretch>
                        </pic:blipFill>
                        <pic:spPr>
                          <a:xfrm>
                            <a:off x="0" y="0"/>
                            <a:ext cx="848360" cy="857250"/>
                          </a:xfrm>
                          <a:prstGeom prst="rect">
                            <a:avLst/>
                          </a:prstGeom>
                          <a:noFill/>
                          <a:ln>
                            <a:noFill/>
                          </a:ln>
                        </pic:spPr>
                      </pic:pic>
                    </a:graphicData>
                  </a:graphic>
                </wp:inline>
              </w:drawing>
            </w:r>
          </w:p>
        </w:tc>
        <w:tc>
          <w:tcPr>
            <w:tcW w:w="1668" w:type="dxa"/>
            <w:tcBorders>
              <w:tl2br w:val="nil"/>
              <w:tr2bl w:val="nil"/>
            </w:tcBorders>
            <w:noWrap w:val="0"/>
            <w:vAlign w:val="center"/>
          </w:tcPr>
          <w:p>
            <w:pPr>
              <w:pStyle w:val="26"/>
              <w:bidi w:val="0"/>
            </w:pPr>
            <w:r>
              <w:drawing>
                <wp:inline distT="0" distB="0" distL="114300" distR="114300">
                  <wp:extent cx="847090" cy="857250"/>
                  <wp:effectExtent l="0" t="0" r="10160" b="0"/>
                  <wp:docPr id="1" name="图片 2" descr="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3002"/>
                          <pic:cNvPicPr>
                            <a:picLocks noChangeAspect="1"/>
                          </pic:cNvPicPr>
                        </pic:nvPicPr>
                        <pic:blipFill>
                          <a:blip r:embed="rId36"/>
                          <a:stretch>
                            <a:fillRect/>
                          </a:stretch>
                        </pic:blipFill>
                        <pic:spPr>
                          <a:xfrm>
                            <a:off x="0" y="0"/>
                            <a:ext cx="847090" cy="857250"/>
                          </a:xfrm>
                          <a:prstGeom prst="rect">
                            <a:avLst/>
                          </a:prstGeom>
                          <a:noFill/>
                          <a:ln>
                            <a:noFill/>
                          </a:ln>
                        </pic:spPr>
                      </pic:pic>
                    </a:graphicData>
                  </a:graphic>
                </wp:inline>
              </w:drawing>
            </w:r>
          </w:p>
        </w:tc>
        <w:tc>
          <w:tcPr>
            <w:tcW w:w="1435" w:type="dxa"/>
            <w:tcBorders>
              <w:tl2br w:val="nil"/>
              <w:tr2bl w:val="nil"/>
            </w:tcBorders>
            <w:noWrap w:val="0"/>
            <w:vAlign w:val="center"/>
          </w:tcPr>
          <w:p>
            <w:pPr>
              <w:pStyle w:val="26"/>
              <w:bidi w:val="0"/>
            </w:pPr>
            <w:r>
              <w:t>废水</w:t>
            </w:r>
            <w:r>
              <w:rPr>
                <w:rFonts w:hint="eastAsia"/>
              </w:rPr>
              <w:t>排放</w:t>
            </w:r>
            <w:r>
              <w:t>口</w:t>
            </w:r>
          </w:p>
        </w:tc>
        <w:tc>
          <w:tcPr>
            <w:tcW w:w="3069" w:type="dxa"/>
            <w:tcBorders>
              <w:tl2br w:val="nil"/>
              <w:tr2bl w:val="nil"/>
            </w:tcBorders>
            <w:noWrap w:val="0"/>
            <w:vAlign w:val="center"/>
          </w:tcPr>
          <w:p>
            <w:pPr>
              <w:pStyle w:val="26"/>
              <w:bidi w:val="0"/>
            </w:pPr>
            <w:r>
              <w:t>表示废水向水体排放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794" w:type="dxa"/>
            <w:tcBorders>
              <w:tl2br w:val="nil"/>
              <w:tr2bl w:val="nil"/>
            </w:tcBorders>
            <w:noWrap w:val="0"/>
            <w:vAlign w:val="center"/>
          </w:tcPr>
          <w:p>
            <w:pPr>
              <w:pStyle w:val="26"/>
              <w:bidi w:val="0"/>
            </w:pPr>
            <w:r>
              <w:t>2</w:t>
            </w:r>
          </w:p>
        </w:tc>
        <w:tc>
          <w:tcPr>
            <w:tcW w:w="1701" w:type="dxa"/>
            <w:tcBorders>
              <w:tl2br w:val="nil"/>
              <w:tr2bl w:val="nil"/>
            </w:tcBorders>
            <w:noWrap w:val="0"/>
            <w:vAlign w:val="center"/>
          </w:tcPr>
          <w:p>
            <w:pPr>
              <w:pStyle w:val="26"/>
              <w:bidi w:val="0"/>
            </w:pPr>
            <w:r>
              <w:drawing>
                <wp:inline distT="0" distB="0" distL="114300" distR="114300">
                  <wp:extent cx="848360" cy="857250"/>
                  <wp:effectExtent l="0" t="0" r="8890" b="0"/>
                  <wp:docPr id="4" name="图片 3" descr="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3003"/>
                          <pic:cNvPicPr>
                            <a:picLocks noChangeAspect="1"/>
                          </pic:cNvPicPr>
                        </pic:nvPicPr>
                        <pic:blipFill>
                          <a:blip r:embed="rId37"/>
                          <a:stretch>
                            <a:fillRect/>
                          </a:stretch>
                        </pic:blipFill>
                        <pic:spPr>
                          <a:xfrm>
                            <a:off x="0" y="0"/>
                            <a:ext cx="848360" cy="857250"/>
                          </a:xfrm>
                          <a:prstGeom prst="rect">
                            <a:avLst/>
                          </a:prstGeom>
                          <a:noFill/>
                          <a:ln>
                            <a:noFill/>
                          </a:ln>
                        </pic:spPr>
                      </pic:pic>
                    </a:graphicData>
                  </a:graphic>
                </wp:inline>
              </w:drawing>
            </w:r>
          </w:p>
        </w:tc>
        <w:tc>
          <w:tcPr>
            <w:tcW w:w="1668" w:type="dxa"/>
            <w:tcBorders>
              <w:tl2br w:val="nil"/>
              <w:tr2bl w:val="nil"/>
            </w:tcBorders>
            <w:noWrap w:val="0"/>
            <w:vAlign w:val="center"/>
          </w:tcPr>
          <w:p>
            <w:pPr>
              <w:pStyle w:val="26"/>
              <w:bidi w:val="0"/>
            </w:pPr>
            <w:r>
              <w:drawing>
                <wp:inline distT="0" distB="0" distL="114300" distR="114300">
                  <wp:extent cx="885825" cy="886460"/>
                  <wp:effectExtent l="0" t="0" r="9525" b="8890"/>
                  <wp:docPr id="16"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4"/>
                          <pic:cNvPicPr>
                            <a:picLocks noChangeAspect="1"/>
                          </pic:cNvPicPr>
                        </pic:nvPicPr>
                        <pic:blipFill>
                          <a:blip r:embed="rId38"/>
                          <a:stretch>
                            <a:fillRect/>
                          </a:stretch>
                        </pic:blipFill>
                        <pic:spPr>
                          <a:xfrm>
                            <a:off x="0" y="0"/>
                            <a:ext cx="885825" cy="886460"/>
                          </a:xfrm>
                          <a:prstGeom prst="rect">
                            <a:avLst/>
                          </a:prstGeom>
                          <a:noFill/>
                          <a:ln>
                            <a:noFill/>
                          </a:ln>
                        </pic:spPr>
                      </pic:pic>
                    </a:graphicData>
                  </a:graphic>
                </wp:inline>
              </w:drawing>
            </w:r>
          </w:p>
        </w:tc>
        <w:tc>
          <w:tcPr>
            <w:tcW w:w="1435" w:type="dxa"/>
            <w:tcBorders>
              <w:tl2br w:val="nil"/>
              <w:tr2bl w:val="nil"/>
            </w:tcBorders>
            <w:noWrap w:val="0"/>
            <w:vAlign w:val="center"/>
          </w:tcPr>
          <w:p>
            <w:pPr>
              <w:pStyle w:val="26"/>
              <w:bidi w:val="0"/>
            </w:pPr>
            <w:r>
              <w:t>废气排放口</w:t>
            </w:r>
          </w:p>
        </w:tc>
        <w:tc>
          <w:tcPr>
            <w:tcW w:w="3069" w:type="dxa"/>
            <w:tcBorders>
              <w:tl2br w:val="nil"/>
              <w:tr2bl w:val="nil"/>
            </w:tcBorders>
            <w:noWrap w:val="0"/>
            <w:vAlign w:val="center"/>
          </w:tcPr>
          <w:p>
            <w:pPr>
              <w:pStyle w:val="26"/>
              <w:bidi w:val="0"/>
            </w:pPr>
            <w:r>
              <w:t>表示废气向大气环境排放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794" w:type="dxa"/>
            <w:tcBorders>
              <w:tl2br w:val="nil"/>
              <w:tr2bl w:val="nil"/>
            </w:tcBorders>
            <w:noWrap w:val="0"/>
            <w:vAlign w:val="center"/>
          </w:tcPr>
          <w:p>
            <w:pPr>
              <w:pStyle w:val="26"/>
              <w:bidi w:val="0"/>
            </w:pPr>
            <w:r>
              <w:t>3</w:t>
            </w:r>
          </w:p>
        </w:tc>
        <w:tc>
          <w:tcPr>
            <w:tcW w:w="1701" w:type="dxa"/>
            <w:tcBorders>
              <w:tl2br w:val="nil"/>
              <w:tr2bl w:val="nil"/>
            </w:tcBorders>
            <w:noWrap w:val="0"/>
            <w:vAlign w:val="center"/>
          </w:tcPr>
          <w:p>
            <w:pPr>
              <w:pStyle w:val="26"/>
              <w:bidi w:val="0"/>
            </w:pPr>
            <w:r>
              <w:drawing>
                <wp:inline distT="0" distB="0" distL="114300" distR="114300">
                  <wp:extent cx="848360" cy="857250"/>
                  <wp:effectExtent l="0" t="0" r="8890" b="0"/>
                  <wp:docPr id="12" name="图片 5" descr="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14001"/>
                          <pic:cNvPicPr>
                            <a:picLocks noChangeAspect="1"/>
                          </pic:cNvPicPr>
                        </pic:nvPicPr>
                        <pic:blipFill>
                          <a:blip r:embed="rId39"/>
                          <a:stretch>
                            <a:fillRect/>
                          </a:stretch>
                        </pic:blipFill>
                        <pic:spPr>
                          <a:xfrm>
                            <a:off x="0" y="0"/>
                            <a:ext cx="848360" cy="857250"/>
                          </a:xfrm>
                          <a:prstGeom prst="rect">
                            <a:avLst/>
                          </a:prstGeom>
                          <a:noFill/>
                          <a:ln>
                            <a:noFill/>
                          </a:ln>
                        </pic:spPr>
                      </pic:pic>
                    </a:graphicData>
                  </a:graphic>
                </wp:inline>
              </w:drawing>
            </w:r>
          </w:p>
        </w:tc>
        <w:tc>
          <w:tcPr>
            <w:tcW w:w="1668" w:type="dxa"/>
            <w:tcBorders>
              <w:tl2br w:val="nil"/>
              <w:tr2bl w:val="nil"/>
            </w:tcBorders>
            <w:noWrap w:val="0"/>
            <w:vAlign w:val="center"/>
          </w:tcPr>
          <w:p>
            <w:pPr>
              <w:pStyle w:val="26"/>
              <w:bidi w:val="0"/>
            </w:pPr>
            <w:r>
              <w:drawing>
                <wp:inline distT="0" distB="0" distL="114300" distR="114300">
                  <wp:extent cx="914400" cy="857250"/>
                  <wp:effectExtent l="0" t="0" r="0" b="0"/>
                  <wp:docPr id="8" name="图片 6" descr="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14002"/>
                          <pic:cNvPicPr>
                            <a:picLocks noChangeAspect="1"/>
                          </pic:cNvPicPr>
                        </pic:nvPicPr>
                        <pic:blipFill>
                          <a:blip r:embed="rId40"/>
                          <a:stretch>
                            <a:fillRect/>
                          </a:stretch>
                        </pic:blipFill>
                        <pic:spPr>
                          <a:xfrm>
                            <a:off x="0" y="0"/>
                            <a:ext cx="914400" cy="857250"/>
                          </a:xfrm>
                          <a:prstGeom prst="rect">
                            <a:avLst/>
                          </a:prstGeom>
                          <a:noFill/>
                          <a:ln>
                            <a:noFill/>
                          </a:ln>
                        </pic:spPr>
                      </pic:pic>
                    </a:graphicData>
                  </a:graphic>
                </wp:inline>
              </w:drawing>
            </w:r>
          </w:p>
        </w:tc>
        <w:tc>
          <w:tcPr>
            <w:tcW w:w="1435" w:type="dxa"/>
            <w:tcBorders>
              <w:tl2br w:val="nil"/>
              <w:tr2bl w:val="nil"/>
            </w:tcBorders>
            <w:noWrap w:val="0"/>
            <w:vAlign w:val="center"/>
          </w:tcPr>
          <w:p>
            <w:pPr>
              <w:pStyle w:val="26"/>
              <w:bidi w:val="0"/>
            </w:pPr>
            <w:r>
              <w:t>一般固体废物</w:t>
            </w:r>
          </w:p>
        </w:tc>
        <w:tc>
          <w:tcPr>
            <w:tcW w:w="3069" w:type="dxa"/>
            <w:tcBorders>
              <w:tl2br w:val="nil"/>
              <w:tr2bl w:val="nil"/>
            </w:tcBorders>
            <w:noWrap w:val="0"/>
            <w:vAlign w:val="center"/>
          </w:tcPr>
          <w:p>
            <w:pPr>
              <w:pStyle w:val="26"/>
              <w:bidi w:val="0"/>
            </w:pPr>
            <w:r>
              <w:t>表示一般固体废物贮存、处置场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794" w:type="dxa"/>
            <w:tcBorders>
              <w:tl2br w:val="nil"/>
              <w:tr2bl w:val="nil"/>
            </w:tcBorders>
            <w:noWrap w:val="0"/>
            <w:vAlign w:val="center"/>
          </w:tcPr>
          <w:p>
            <w:pPr>
              <w:pStyle w:val="26"/>
              <w:bidi w:val="0"/>
            </w:pPr>
            <w:r>
              <w:t>4</w:t>
            </w:r>
          </w:p>
        </w:tc>
        <w:tc>
          <w:tcPr>
            <w:tcW w:w="1701" w:type="dxa"/>
            <w:tcBorders>
              <w:tl2br w:val="nil"/>
              <w:tr2bl w:val="nil"/>
            </w:tcBorders>
            <w:noWrap w:val="0"/>
            <w:vAlign w:val="center"/>
          </w:tcPr>
          <w:p>
            <w:pPr>
              <w:pStyle w:val="26"/>
              <w:bidi w:val="0"/>
            </w:pPr>
            <w:r>
              <w:drawing>
                <wp:inline distT="0" distB="0" distL="114300" distR="114300">
                  <wp:extent cx="847725" cy="847725"/>
                  <wp:effectExtent l="0" t="0" r="9525" b="9525"/>
                  <wp:docPr id="9" name="图片 7" descr="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200602201518049853"/>
                          <pic:cNvPicPr>
                            <a:picLocks noChangeAspect="1"/>
                          </pic:cNvPicPr>
                        </pic:nvPicPr>
                        <pic:blipFill>
                          <a:blip r:embed="rId41"/>
                          <a:stretch>
                            <a:fillRect/>
                          </a:stretch>
                        </pic:blipFill>
                        <pic:spPr>
                          <a:xfrm>
                            <a:off x="0" y="0"/>
                            <a:ext cx="847725" cy="847725"/>
                          </a:xfrm>
                          <a:prstGeom prst="rect">
                            <a:avLst/>
                          </a:prstGeom>
                          <a:noFill/>
                          <a:ln>
                            <a:noFill/>
                          </a:ln>
                        </pic:spPr>
                      </pic:pic>
                    </a:graphicData>
                  </a:graphic>
                </wp:inline>
              </w:drawing>
            </w:r>
          </w:p>
        </w:tc>
        <w:tc>
          <w:tcPr>
            <w:tcW w:w="1668" w:type="dxa"/>
            <w:tcBorders>
              <w:tl2br w:val="nil"/>
              <w:tr2bl w:val="nil"/>
            </w:tcBorders>
            <w:noWrap w:val="0"/>
            <w:vAlign w:val="center"/>
          </w:tcPr>
          <w:p>
            <w:pPr>
              <w:pStyle w:val="26"/>
              <w:bidi w:val="0"/>
            </w:pPr>
            <w:r>
              <w:drawing>
                <wp:inline distT="0" distB="0" distL="114300" distR="114300">
                  <wp:extent cx="952500" cy="845820"/>
                  <wp:effectExtent l="0" t="0" r="0" b="11430"/>
                  <wp:docPr id="13" name="图片 8" descr="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200602201519018631"/>
                          <pic:cNvPicPr>
                            <a:picLocks noChangeAspect="1"/>
                          </pic:cNvPicPr>
                        </pic:nvPicPr>
                        <pic:blipFill>
                          <a:blip r:embed="rId42"/>
                          <a:stretch>
                            <a:fillRect/>
                          </a:stretch>
                        </pic:blipFill>
                        <pic:spPr>
                          <a:xfrm>
                            <a:off x="0" y="0"/>
                            <a:ext cx="952500" cy="845820"/>
                          </a:xfrm>
                          <a:prstGeom prst="rect">
                            <a:avLst/>
                          </a:prstGeom>
                          <a:noFill/>
                          <a:ln>
                            <a:noFill/>
                          </a:ln>
                        </pic:spPr>
                      </pic:pic>
                    </a:graphicData>
                  </a:graphic>
                </wp:inline>
              </w:drawing>
            </w:r>
          </w:p>
        </w:tc>
        <w:tc>
          <w:tcPr>
            <w:tcW w:w="1435" w:type="dxa"/>
            <w:tcBorders>
              <w:tl2br w:val="nil"/>
              <w:tr2bl w:val="nil"/>
            </w:tcBorders>
            <w:noWrap w:val="0"/>
            <w:vAlign w:val="center"/>
          </w:tcPr>
          <w:p>
            <w:pPr>
              <w:pStyle w:val="26"/>
              <w:bidi w:val="0"/>
            </w:pPr>
            <w:r>
              <w:t>噪声排放源</w:t>
            </w:r>
          </w:p>
        </w:tc>
        <w:tc>
          <w:tcPr>
            <w:tcW w:w="3069" w:type="dxa"/>
            <w:tcBorders>
              <w:tl2br w:val="nil"/>
              <w:tr2bl w:val="nil"/>
            </w:tcBorders>
            <w:noWrap w:val="0"/>
            <w:vAlign w:val="center"/>
          </w:tcPr>
          <w:p>
            <w:pPr>
              <w:pStyle w:val="26"/>
              <w:bidi w:val="0"/>
            </w:pPr>
            <w:r>
              <w:t>表示噪声向外环境排放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7" w:hRule="atLeast"/>
          <w:jc w:val="center"/>
        </w:trPr>
        <w:tc>
          <w:tcPr>
            <w:tcW w:w="794" w:type="dxa"/>
            <w:tcBorders>
              <w:tl2br w:val="nil"/>
              <w:tr2bl w:val="nil"/>
            </w:tcBorders>
            <w:noWrap w:val="0"/>
            <w:vAlign w:val="center"/>
          </w:tcPr>
          <w:p>
            <w:pPr>
              <w:pStyle w:val="26"/>
              <w:bidi w:val="0"/>
            </w:pPr>
            <w:r>
              <w:t>5</w:t>
            </w:r>
          </w:p>
        </w:tc>
        <w:tc>
          <w:tcPr>
            <w:tcW w:w="1701" w:type="dxa"/>
            <w:tcBorders>
              <w:tl2br w:val="nil"/>
              <w:tr2bl w:val="nil"/>
            </w:tcBorders>
            <w:noWrap w:val="0"/>
            <w:vAlign w:val="center"/>
          </w:tcPr>
          <w:p>
            <w:pPr>
              <w:pStyle w:val="26"/>
              <w:bidi w:val="0"/>
            </w:pPr>
          </w:p>
        </w:tc>
        <w:tc>
          <w:tcPr>
            <w:tcW w:w="1668" w:type="dxa"/>
            <w:tcBorders>
              <w:tl2br w:val="nil"/>
              <w:tr2bl w:val="nil"/>
            </w:tcBorders>
            <w:noWrap w:val="0"/>
            <w:vAlign w:val="center"/>
          </w:tcPr>
          <w:p>
            <w:pPr>
              <w:pStyle w:val="26"/>
              <w:bidi w:val="0"/>
            </w:pPr>
            <w:r>
              <w:fldChar w:fldCharType="begin"/>
            </w:r>
            <w:r>
              <w:instrText xml:space="preserve"> INCLUDEPICTURE "E:\\浏阳威斯康环评表资料\\AppData\\Roaming\\Tencent\\Users\\1062051487\\QQ\\WinTemp\\RichOle\\%2560%255b%2560U$G_$V3F3%255bAK%257bNRW(2M6.png" \* MERGEFORMAT \d </w:instrText>
            </w:r>
            <w:r>
              <w:fldChar w:fldCharType="separate"/>
            </w:r>
            <w:r>
              <w:drawing>
                <wp:inline distT="0" distB="0" distL="114300" distR="114300">
                  <wp:extent cx="880110" cy="822325"/>
                  <wp:effectExtent l="0" t="0" r="15240" b="15875"/>
                  <wp:docPr id="17"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IMG_256"/>
                          <pic:cNvPicPr>
                            <a:picLocks noChangeAspect="1"/>
                          </pic:cNvPicPr>
                        </pic:nvPicPr>
                        <pic:blipFill>
                          <a:blip r:embed="rId43"/>
                          <a:stretch>
                            <a:fillRect/>
                          </a:stretch>
                        </pic:blipFill>
                        <pic:spPr>
                          <a:xfrm>
                            <a:off x="0" y="0"/>
                            <a:ext cx="880110" cy="822325"/>
                          </a:xfrm>
                          <a:prstGeom prst="rect">
                            <a:avLst/>
                          </a:prstGeom>
                          <a:noFill/>
                          <a:ln>
                            <a:noFill/>
                          </a:ln>
                        </pic:spPr>
                      </pic:pic>
                    </a:graphicData>
                  </a:graphic>
                </wp:inline>
              </w:drawing>
            </w:r>
            <w:r>
              <w:fldChar w:fldCharType="end"/>
            </w:r>
          </w:p>
          <w:p>
            <w:pPr>
              <w:pStyle w:val="26"/>
              <w:bidi w:val="0"/>
            </w:pPr>
          </w:p>
        </w:tc>
        <w:tc>
          <w:tcPr>
            <w:tcW w:w="1435" w:type="dxa"/>
            <w:tcBorders>
              <w:tl2br w:val="nil"/>
              <w:tr2bl w:val="nil"/>
            </w:tcBorders>
            <w:noWrap w:val="0"/>
            <w:vAlign w:val="center"/>
          </w:tcPr>
          <w:p>
            <w:pPr>
              <w:pStyle w:val="26"/>
              <w:bidi w:val="0"/>
            </w:pPr>
            <w:r>
              <w:t>危险废物</w:t>
            </w:r>
          </w:p>
        </w:tc>
        <w:tc>
          <w:tcPr>
            <w:tcW w:w="3069" w:type="dxa"/>
            <w:tcBorders>
              <w:tl2br w:val="nil"/>
              <w:tr2bl w:val="nil"/>
            </w:tcBorders>
            <w:noWrap w:val="0"/>
            <w:vAlign w:val="center"/>
          </w:tcPr>
          <w:p>
            <w:pPr>
              <w:pStyle w:val="26"/>
              <w:bidi w:val="0"/>
            </w:pPr>
            <w:r>
              <w:t>表示危险废物贮存、处置场</w:t>
            </w:r>
          </w:p>
        </w:tc>
      </w:tr>
    </w:tbl>
    <w:p>
      <w:pPr>
        <w:pStyle w:val="27"/>
        <w:bidi w:val="0"/>
        <w:rPr>
          <w:lang w:val="en-US" w:eastAsia="zh-CN"/>
        </w:rPr>
      </w:pPr>
    </w:p>
    <w:p>
      <w:pPr>
        <w:pStyle w:val="27"/>
        <w:bidi w:val="0"/>
      </w:pPr>
      <w:r>
        <w:rPr>
          <w:lang w:val="en-US" w:eastAsia="zh-CN"/>
        </w:rPr>
        <w:t xml:space="preserve">表 </w:t>
      </w:r>
      <w:r>
        <w:rPr>
          <w:lang w:val="en-US" w:eastAsia="zh-CN"/>
        </w:rPr>
        <w:fldChar w:fldCharType="begin"/>
      </w:r>
      <w:r>
        <w:rPr>
          <w:lang w:val="en-US" w:eastAsia="zh-CN"/>
        </w:rPr>
        <w:instrText xml:space="preserve"> STYLEREF 1 \s </w:instrText>
      </w:r>
      <w:r>
        <w:rPr>
          <w:lang w:val="en-US" w:eastAsia="zh-CN"/>
        </w:rPr>
        <w:fldChar w:fldCharType="separate"/>
      </w:r>
      <w:r>
        <w:rPr>
          <w:lang w:val="en-US" w:eastAsia="zh-CN"/>
        </w:rPr>
        <w:t>11</w:t>
      </w:r>
      <w:r>
        <w:rPr>
          <w:lang w:val="en-US" w:eastAsia="zh-CN"/>
        </w:rPr>
        <w:fldChar w:fldCharType="end"/>
      </w:r>
      <w:r>
        <w:rPr>
          <w:rFonts w:hint="eastAsia"/>
          <w:lang w:val="en-US" w:eastAsia="zh-CN"/>
        </w:rPr>
        <w:t>-6</w:t>
      </w:r>
      <w:r>
        <w:t>环境保护图形标志的形状及颜色表</w:t>
      </w:r>
    </w:p>
    <w:tbl>
      <w:tblPr>
        <w:tblStyle w:val="2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076"/>
        <w:gridCol w:w="2075"/>
        <w:gridCol w:w="2076"/>
        <w:gridCol w:w="207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076" w:type="dxa"/>
            <w:tcBorders>
              <w:tl2br w:val="nil"/>
              <w:tr2bl w:val="nil"/>
            </w:tcBorders>
            <w:noWrap w:val="0"/>
            <w:vAlign w:val="center"/>
          </w:tcPr>
          <w:p>
            <w:pPr>
              <w:pStyle w:val="26"/>
              <w:bidi w:val="0"/>
            </w:pPr>
            <w:r>
              <w:t>标志名称</w:t>
            </w:r>
          </w:p>
        </w:tc>
        <w:tc>
          <w:tcPr>
            <w:tcW w:w="2075" w:type="dxa"/>
            <w:tcBorders>
              <w:tl2br w:val="nil"/>
              <w:tr2bl w:val="nil"/>
            </w:tcBorders>
            <w:noWrap w:val="0"/>
            <w:vAlign w:val="center"/>
          </w:tcPr>
          <w:p>
            <w:pPr>
              <w:pStyle w:val="26"/>
              <w:bidi w:val="0"/>
            </w:pPr>
            <w:r>
              <w:t>形状</w:t>
            </w:r>
          </w:p>
        </w:tc>
        <w:tc>
          <w:tcPr>
            <w:tcW w:w="2076" w:type="dxa"/>
            <w:tcBorders>
              <w:tl2br w:val="nil"/>
              <w:tr2bl w:val="nil"/>
            </w:tcBorders>
            <w:noWrap w:val="0"/>
            <w:vAlign w:val="center"/>
          </w:tcPr>
          <w:p>
            <w:pPr>
              <w:pStyle w:val="26"/>
              <w:bidi w:val="0"/>
            </w:pPr>
            <w:r>
              <w:t>背景颜色</w:t>
            </w:r>
          </w:p>
        </w:tc>
        <w:tc>
          <w:tcPr>
            <w:tcW w:w="2075" w:type="dxa"/>
            <w:tcBorders>
              <w:tl2br w:val="nil"/>
              <w:tr2bl w:val="nil"/>
            </w:tcBorders>
            <w:noWrap w:val="0"/>
            <w:vAlign w:val="center"/>
          </w:tcPr>
          <w:p>
            <w:pPr>
              <w:pStyle w:val="26"/>
              <w:bidi w:val="0"/>
            </w:pPr>
            <w:r>
              <w:t>图形颜色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076" w:type="dxa"/>
            <w:tcBorders>
              <w:tl2br w:val="nil"/>
              <w:tr2bl w:val="nil"/>
            </w:tcBorders>
            <w:noWrap w:val="0"/>
            <w:vAlign w:val="center"/>
          </w:tcPr>
          <w:p>
            <w:pPr>
              <w:pStyle w:val="26"/>
              <w:bidi w:val="0"/>
            </w:pPr>
            <w:r>
              <w:t>警告标志</w:t>
            </w:r>
          </w:p>
        </w:tc>
        <w:tc>
          <w:tcPr>
            <w:tcW w:w="2075" w:type="dxa"/>
            <w:tcBorders>
              <w:tl2br w:val="nil"/>
              <w:tr2bl w:val="nil"/>
            </w:tcBorders>
            <w:noWrap w:val="0"/>
            <w:vAlign w:val="center"/>
          </w:tcPr>
          <w:p>
            <w:pPr>
              <w:pStyle w:val="26"/>
              <w:bidi w:val="0"/>
            </w:pPr>
            <w:r>
              <w:t>三角形边框</w:t>
            </w:r>
          </w:p>
        </w:tc>
        <w:tc>
          <w:tcPr>
            <w:tcW w:w="2076" w:type="dxa"/>
            <w:tcBorders>
              <w:tl2br w:val="nil"/>
              <w:tr2bl w:val="nil"/>
            </w:tcBorders>
            <w:noWrap w:val="0"/>
            <w:vAlign w:val="center"/>
          </w:tcPr>
          <w:p>
            <w:pPr>
              <w:pStyle w:val="26"/>
              <w:bidi w:val="0"/>
            </w:pPr>
            <w:r>
              <w:t>黄色</w:t>
            </w:r>
          </w:p>
        </w:tc>
        <w:tc>
          <w:tcPr>
            <w:tcW w:w="2075" w:type="dxa"/>
            <w:tcBorders>
              <w:tl2br w:val="nil"/>
              <w:tr2bl w:val="nil"/>
            </w:tcBorders>
            <w:noWrap w:val="0"/>
            <w:vAlign w:val="center"/>
          </w:tcPr>
          <w:p>
            <w:pPr>
              <w:pStyle w:val="26"/>
              <w:bidi w:val="0"/>
            </w:pPr>
            <w:r>
              <w:t>黑色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076" w:type="dxa"/>
            <w:tcBorders>
              <w:tl2br w:val="nil"/>
              <w:tr2bl w:val="nil"/>
            </w:tcBorders>
            <w:noWrap w:val="0"/>
            <w:vAlign w:val="center"/>
          </w:tcPr>
          <w:p>
            <w:pPr>
              <w:pStyle w:val="26"/>
              <w:bidi w:val="0"/>
            </w:pPr>
            <w:r>
              <w:t>提示标志</w:t>
            </w:r>
          </w:p>
        </w:tc>
        <w:tc>
          <w:tcPr>
            <w:tcW w:w="2075" w:type="dxa"/>
            <w:tcBorders>
              <w:tl2br w:val="nil"/>
              <w:tr2bl w:val="nil"/>
            </w:tcBorders>
            <w:noWrap w:val="0"/>
            <w:vAlign w:val="center"/>
          </w:tcPr>
          <w:p>
            <w:pPr>
              <w:pStyle w:val="26"/>
              <w:bidi w:val="0"/>
            </w:pPr>
            <w:r>
              <w:t>正方形边框</w:t>
            </w:r>
          </w:p>
        </w:tc>
        <w:tc>
          <w:tcPr>
            <w:tcW w:w="2076" w:type="dxa"/>
            <w:tcBorders>
              <w:tl2br w:val="nil"/>
              <w:tr2bl w:val="nil"/>
            </w:tcBorders>
            <w:noWrap w:val="0"/>
            <w:vAlign w:val="center"/>
          </w:tcPr>
          <w:p>
            <w:pPr>
              <w:pStyle w:val="26"/>
              <w:bidi w:val="0"/>
            </w:pPr>
            <w:r>
              <w:t>绿色</w:t>
            </w:r>
          </w:p>
        </w:tc>
        <w:tc>
          <w:tcPr>
            <w:tcW w:w="2075" w:type="dxa"/>
            <w:tcBorders>
              <w:tl2br w:val="nil"/>
              <w:tr2bl w:val="nil"/>
            </w:tcBorders>
            <w:noWrap w:val="0"/>
            <w:vAlign w:val="center"/>
          </w:tcPr>
          <w:p>
            <w:pPr>
              <w:pStyle w:val="26"/>
              <w:bidi w:val="0"/>
            </w:pPr>
            <w:r>
              <w:t>白色</w:t>
            </w:r>
          </w:p>
        </w:tc>
      </w:tr>
    </w:tbl>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p>
    <w:p>
      <w:pPr>
        <w:pStyle w:val="4"/>
        <w:bidi w:val="0"/>
        <w:rPr>
          <w:lang w:val="en-US" w:eastAsia="zh-CN"/>
        </w:rPr>
      </w:pPr>
      <w:bookmarkStart w:id="1838" w:name="_Toc31401"/>
      <w:bookmarkStart w:id="1839" w:name="_Toc21224_WPSOffice_Level3"/>
      <w:bookmarkStart w:id="1840" w:name="_Toc26464_WPSOffice_Level3"/>
      <w:bookmarkStart w:id="1841" w:name="_Toc31885"/>
      <w:bookmarkStart w:id="1842" w:name="_Toc21566"/>
      <w:bookmarkStart w:id="1843" w:name="_Toc2691"/>
      <w:r>
        <w:rPr>
          <w:lang w:val="en-US" w:eastAsia="zh-CN"/>
        </w:rPr>
        <w:t>排污口建档管理</w:t>
      </w:r>
      <w:bookmarkEnd w:id="1838"/>
      <w:bookmarkEnd w:id="1839"/>
      <w:bookmarkEnd w:id="1840"/>
      <w:bookmarkEnd w:id="1841"/>
      <w:bookmarkEnd w:id="1842"/>
      <w:bookmarkEnd w:id="1843"/>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（1）本项目应使用国家</w:t>
      </w:r>
      <w:r>
        <w:rPr>
          <w:rFonts w:hint="eastAsia" w:ascii="Times New Roman" w:hAnsi="Times New Roman" w:eastAsia="宋体" w:cs="宋体"/>
          <w:kern w:val="2"/>
          <w:sz w:val="24"/>
          <w:szCs w:val="24"/>
          <w:lang w:val="en-US" w:eastAsia="zh-CN" w:bidi="ar-SA"/>
        </w:rPr>
        <w:t>生态环境局</w:t>
      </w:r>
      <w:r>
        <w:rPr>
          <w:rFonts w:ascii="Times New Roman" w:hAnsi="Times New Roman" w:eastAsia="宋体" w:cs="宋体"/>
          <w:kern w:val="2"/>
          <w:sz w:val="24"/>
          <w:szCs w:val="24"/>
          <w:lang w:val="en-US" w:eastAsia="zh-CN" w:bidi="ar-SA"/>
        </w:rPr>
        <w:t>统一印制的《中华人民共和国规范化排污口标志登记证》，并按要求填写有关内容；</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（2）根据排污口管理内容要求，项目建成投产后，应将主要污染物种类、数量、浓度、排放去向、立标情况及设施运行情况记录于档案。</w:t>
      </w:r>
      <w:bookmarkStart w:id="1844" w:name="_Toc1152"/>
      <w:bookmarkStart w:id="1845" w:name="_Toc22003"/>
      <w:bookmarkStart w:id="1846" w:name="_Toc8988"/>
    </w:p>
    <w:bookmarkEnd w:id="1844"/>
    <w:bookmarkEnd w:id="1845"/>
    <w:bookmarkEnd w:id="1846"/>
    <w:p>
      <w:pPr>
        <w:pStyle w:val="2"/>
        <w:bidi w:val="0"/>
        <w:rPr>
          <w:lang w:val="en-US" w:eastAsia="zh-CN"/>
        </w:rPr>
      </w:pPr>
      <w:bookmarkStart w:id="1847" w:name="_Toc32113"/>
      <w:bookmarkStart w:id="1848" w:name="_Toc9881"/>
      <w:bookmarkStart w:id="1849" w:name="_Toc26784"/>
      <w:bookmarkStart w:id="1850" w:name="_Toc3282_WPSOffice_Level2"/>
      <w:bookmarkStart w:id="1851" w:name="_Toc5835"/>
      <w:bookmarkStart w:id="1852" w:name="_Toc26912_WPSOffice_Level2"/>
      <w:bookmarkStart w:id="1853" w:name="_Toc24128"/>
      <w:bookmarkStart w:id="1854" w:name="_Toc29936_WPSOffice_Level2"/>
      <w:bookmarkStart w:id="1855" w:name="_Toc447875884"/>
      <w:bookmarkStart w:id="1856" w:name="_Toc18116"/>
      <w:bookmarkStart w:id="1857" w:name="_Toc32140_WPSOffice_Level2"/>
      <w:r>
        <w:rPr>
          <w:lang w:val="en-US" w:eastAsia="zh-CN"/>
        </w:rPr>
        <w:t>环保设施竣工验收</w:t>
      </w:r>
      <w:bookmarkEnd w:id="1847"/>
      <w:bookmarkEnd w:id="1848"/>
      <w:bookmarkEnd w:id="1849"/>
      <w:bookmarkEnd w:id="1850"/>
      <w:bookmarkEnd w:id="1851"/>
      <w:bookmarkEnd w:id="1852"/>
      <w:bookmarkEnd w:id="1853"/>
      <w:bookmarkEnd w:id="1854"/>
      <w:bookmarkEnd w:id="1855"/>
      <w:bookmarkEnd w:id="1856"/>
      <w:bookmarkEnd w:id="1857"/>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本建设项目环境保护设施竣工验收项目内容见</w:t>
      </w:r>
      <w:r>
        <w:rPr>
          <w:rFonts w:ascii="Times New Roman" w:hAnsi="Times New Roman" w:eastAsia="宋体" w:cs="宋体"/>
          <w:kern w:val="2"/>
          <w:sz w:val="24"/>
          <w:szCs w:val="24"/>
          <w:highlight w:val="cyan"/>
          <w:lang w:val="en-US" w:eastAsia="zh-CN" w:bidi="ar-SA"/>
        </w:rPr>
        <w:fldChar w:fldCharType="begin"/>
      </w:r>
      <w:r>
        <w:rPr>
          <w:rFonts w:ascii="Times New Roman" w:hAnsi="Times New Roman" w:eastAsia="宋体" w:cs="宋体"/>
          <w:kern w:val="2"/>
          <w:sz w:val="24"/>
          <w:szCs w:val="24"/>
          <w:highlight w:val="cyan"/>
          <w:lang w:val="en-US" w:eastAsia="zh-CN" w:bidi="ar-SA"/>
        </w:rPr>
        <w:instrText xml:space="preserve"> REF _Ref16461 \h </w:instrText>
      </w:r>
      <w:r>
        <w:rPr>
          <w:rFonts w:ascii="Times New Roman" w:hAnsi="Times New Roman" w:eastAsia="宋体" w:cs="宋体"/>
          <w:kern w:val="2"/>
          <w:sz w:val="24"/>
          <w:szCs w:val="24"/>
          <w:highlight w:val="cyan"/>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11</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hint="eastAsia" w:cs="宋体"/>
          <w:kern w:val="2"/>
          <w:sz w:val="24"/>
          <w:szCs w:val="24"/>
          <w:lang w:val="en-US" w:eastAsia="zh-CN" w:bidi="ar-SA"/>
        </w:rPr>
        <w:t>7</w:t>
      </w:r>
      <w:r>
        <w:rPr>
          <w:rFonts w:ascii="Times New Roman" w:hAnsi="Times New Roman" w:eastAsia="宋体" w:cs="宋体"/>
          <w:kern w:val="2"/>
          <w:sz w:val="24"/>
          <w:szCs w:val="24"/>
          <w:highlight w:val="cyan"/>
          <w:lang w:val="en-US" w:eastAsia="zh-CN" w:bidi="ar-SA"/>
        </w:rPr>
        <w:fldChar w:fldCharType="end"/>
      </w:r>
      <w:r>
        <w:rPr>
          <w:rFonts w:ascii="Times New Roman" w:hAnsi="Times New Roman" w:eastAsia="宋体" w:cs="宋体"/>
          <w:kern w:val="2"/>
          <w:sz w:val="24"/>
          <w:szCs w:val="24"/>
          <w:lang w:val="en-US" w:eastAsia="zh-CN" w:bidi="ar-SA"/>
        </w:rPr>
        <w:t>。</w:t>
      </w:r>
    </w:p>
    <w:p>
      <w:pPr>
        <w:widowControl w:val="0"/>
        <w:spacing w:line="360" w:lineRule="auto"/>
        <w:jc w:val="center"/>
        <w:rPr>
          <w:rFonts w:ascii="Times New Roman" w:hAnsi="Times New Roman" w:eastAsia="宋体" w:cs="Times New Roman"/>
          <w:b/>
          <w:kern w:val="2"/>
          <w:sz w:val="21"/>
          <w:szCs w:val="21"/>
          <w:highlight w:val="none"/>
          <w:lang w:val="en-US" w:eastAsia="zh-CN" w:bidi="ar-SA"/>
        </w:rPr>
      </w:pPr>
      <w:bookmarkStart w:id="1858" w:name="_Ref16461"/>
      <w:r>
        <w:rPr>
          <w:rFonts w:ascii="Times New Roman" w:hAnsi="Times New Roman" w:eastAsia="宋体" w:cs="Times New Roman"/>
          <w:b/>
          <w:kern w:val="2"/>
          <w:sz w:val="21"/>
          <w:szCs w:val="21"/>
          <w:highlight w:val="none"/>
          <w:lang w:val="en-US" w:eastAsia="zh-CN" w:bidi="ar-SA"/>
        </w:rPr>
        <w:t xml:space="preserve">表 </w:t>
      </w:r>
      <w:r>
        <w:rPr>
          <w:rFonts w:ascii="Times New Roman" w:hAnsi="Times New Roman" w:eastAsia="宋体" w:cs="Times New Roman"/>
          <w:b/>
          <w:kern w:val="2"/>
          <w:sz w:val="21"/>
          <w:szCs w:val="21"/>
          <w:highlight w:val="none"/>
          <w:lang w:val="en-US" w:eastAsia="zh-CN" w:bidi="ar-SA"/>
        </w:rPr>
        <w:fldChar w:fldCharType="begin"/>
      </w:r>
      <w:r>
        <w:rPr>
          <w:rFonts w:ascii="Times New Roman" w:hAnsi="Times New Roman" w:eastAsia="宋体" w:cs="Times New Roman"/>
          <w:b/>
          <w:kern w:val="2"/>
          <w:sz w:val="21"/>
          <w:szCs w:val="21"/>
          <w:highlight w:val="none"/>
          <w:lang w:val="en-US" w:eastAsia="zh-CN" w:bidi="ar-SA"/>
        </w:rPr>
        <w:instrText xml:space="preserve"> STYLEREF 1 \s </w:instrText>
      </w:r>
      <w:r>
        <w:rPr>
          <w:rFonts w:ascii="Times New Roman" w:hAnsi="Times New Roman" w:eastAsia="宋体" w:cs="Times New Roman"/>
          <w:b/>
          <w:kern w:val="2"/>
          <w:sz w:val="21"/>
          <w:szCs w:val="21"/>
          <w:highlight w:val="none"/>
          <w:lang w:val="en-US" w:eastAsia="zh-CN" w:bidi="ar-SA"/>
        </w:rPr>
        <w:fldChar w:fldCharType="separate"/>
      </w:r>
      <w:r>
        <w:rPr>
          <w:rFonts w:ascii="Times New Roman" w:hAnsi="Times New Roman" w:eastAsia="宋体" w:cs="Times New Roman"/>
          <w:b/>
          <w:kern w:val="2"/>
          <w:sz w:val="21"/>
          <w:szCs w:val="21"/>
          <w:highlight w:val="none"/>
          <w:lang w:val="en-US" w:eastAsia="zh-CN" w:bidi="ar-SA"/>
        </w:rPr>
        <w:t>11</w:t>
      </w:r>
      <w:r>
        <w:rPr>
          <w:rFonts w:ascii="Times New Roman" w:hAnsi="Times New Roman" w:eastAsia="宋体" w:cs="Times New Roman"/>
          <w:b/>
          <w:kern w:val="2"/>
          <w:sz w:val="21"/>
          <w:szCs w:val="21"/>
          <w:highlight w:val="none"/>
          <w:lang w:val="en-US" w:eastAsia="zh-CN" w:bidi="ar-SA"/>
        </w:rPr>
        <w:fldChar w:fldCharType="end"/>
      </w:r>
      <w:r>
        <w:rPr>
          <w:rFonts w:hint="eastAsia" w:ascii="Times New Roman" w:hAnsi="Times New Roman" w:eastAsia="宋体" w:cs="Times New Roman"/>
          <w:b/>
          <w:kern w:val="2"/>
          <w:sz w:val="21"/>
          <w:szCs w:val="21"/>
          <w:highlight w:val="none"/>
          <w:lang w:val="en-US" w:eastAsia="zh-CN" w:bidi="ar-SA"/>
        </w:rPr>
        <w:t>-</w:t>
      </w:r>
      <w:r>
        <w:rPr>
          <w:rFonts w:hint="eastAsia" w:cs="Times New Roman"/>
          <w:b/>
          <w:kern w:val="2"/>
          <w:sz w:val="21"/>
          <w:szCs w:val="21"/>
          <w:highlight w:val="none"/>
          <w:lang w:val="en-US" w:eastAsia="zh-CN" w:bidi="ar-SA"/>
        </w:rPr>
        <w:t>7</w:t>
      </w:r>
      <w:bookmarkEnd w:id="1858"/>
      <w:r>
        <w:rPr>
          <w:rFonts w:ascii="Times New Roman" w:hAnsi="Times New Roman" w:eastAsia="宋体" w:cs="Times New Roman"/>
          <w:b/>
          <w:kern w:val="2"/>
          <w:sz w:val="21"/>
          <w:szCs w:val="21"/>
          <w:highlight w:val="none"/>
          <w:lang w:val="en-US" w:eastAsia="zh-CN" w:bidi="ar-SA"/>
        </w:rPr>
        <w:t>项目</w:t>
      </w:r>
      <w:r>
        <w:rPr>
          <w:rFonts w:hint="eastAsia" w:ascii="Times New Roman" w:hAnsi="Times New Roman" w:eastAsia="宋体" w:cs="Times New Roman"/>
          <w:b/>
          <w:kern w:val="2"/>
          <w:sz w:val="21"/>
          <w:szCs w:val="21"/>
          <w:highlight w:val="none"/>
          <w:lang w:val="en-US" w:eastAsia="zh-CN" w:bidi="ar-SA"/>
        </w:rPr>
        <w:t>“</w:t>
      </w:r>
      <w:r>
        <w:rPr>
          <w:rFonts w:ascii="Times New Roman" w:hAnsi="Times New Roman" w:eastAsia="宋体" w:cs="Times New Roman"/>
          <w:b/>
          <w:kern w:val="2"/>
          <w:sz w:val="21"/>
          <w:szCs w:val="21"/>
          <w:highlight w:val="none"/>
          <w:lang w:val="en-US" w:eastAsia="zh-CN" w:bidi="ar-SA"/>
        </w:rPr>
        <w:t>环保竣工验收监测一览表</w:t>
      </w:r>
    </w:p>
    <w:tbl>
      <w:tblPr>
        <w:tblStyle w:val="22"/>
        <w:tblW w:w="995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13"/>
        <w:gridCol w:w="1272"/>
        <w:gridCol w:w="1562"/>
        <w:gridCol w:w="2378"/>
        <w:gridCol w:w="342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13"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污染类型</w:t>
            </w:r>
          </w:p>
        </w:tc>
        <w:tc>
          <w:tcPr>
            <w:tcW w:w="127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排放源</w:t>
            </w:r>
          </w:p>
        </w:tc>
        <w:tc>
          <w:tcPr>
            <w:tcW w:w="156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监测因子</w:t>
            </w:r>
          </w:p>
        </w:tc>
        <w:tc>
          <w:tcPr>
            <w:tcW w:w="237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防治措施</w:t>
            </w:r>
          </w:p>
        </w:tc>
        <w:tc>
          <w:tcPr>
            <w:tcW w:w="342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验收执行标准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621" w:hRule="atLeast"/>
          <w:jc w:val="center"/>
        </w:trPr>
        <w:tc>
          <w:tcPr>
            <w:tcW w:w="1313"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大气</w:t>
            </w:r>
          </w:p>
        </w:tc>
        <w:tc>
          <w:tcPr>
            <w:tcW w:w="127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生产区域</w:t>
            </w:r>
          </w:p>
        </w:tc>
        <w:tc>
          <w:tcPr>
            <w:tcW w:w="156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cs="Times New Roman"/>
                <w:kern w:val="2"/>
                <w:sz w:val="24"/>
                <w:szCs w:val="24"/>
                <w:lang w:val="en-US" w:eastAsia="zh-CN" w:bidi="ar-SA"/>
              </w:rPr>
              <w:t>VOCs</w:t>
            </w:r>
          </w:p>
        </w:tc>
        <w:tc>
          <w:tcPr>
            <w:tcW w:w="237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集气罩+</w:t>
            </w:r>
            <w:r>
              <w:rPr>
                <w:color w:val="000000"/>
              </w:rPr>
              <w:t>UV光解净化器</w:t>
            </w:r>
            <w:r>
              <w:rPr>
                <w:rFonts w:hint="eastAsia"/>
                <w:color w:val="000000"/>
                <w:lang w:val="en-US" w:eastAsia="zh-CN"/>
              </w:rPr>
              <w:t>+</w:t>
            </w:r>
            <w:r>
              <w:rPr>
                <w:rFonts w:hint="eastAsia" w:ascii="Times New Roman" w:hAnsi="Times New Roman" w:eastAsia="宋体" w:cs="Times New Roman"/>
                <w:kern w:val="2"/>
                <w:sz w:val="24"/>
                <w:szCs w:val="24"/>
                <w:lang w:val="en-US" w:eastAsia="zh-CN" w:bidi="ar-SA"/>
              </w:rPr>
              <w:t>活性炭吸附装置+</w:t>
            </w:r>
            <w:r>
              <w:rPr>
                <w:rFonts w:hint="eastAsia" w:cs="Times New Roman"/>
                <w:kern w:val="2"/>
                <w:sz w:val="24"/>
                <w:szCs w:val="24"/>
                <w:lang w:val="en-US" w:eastAsia="zh-CN" w:bidi="ar-SA"/>
              </w:rPr>
              <w:t>21m排气筒</w:t>
            </w:r>
            <w:r>
              <w:rPr>
                <w:rFonts w:hint="eastAsia" w:ascii="Times New Roman" w:hAnsi="Times New Roman" w:eastAsia="宋体" w:cs="Times New Roman"/>
                <w:kern w:val="2"/>
                <w:sz w:val="24"/>
                <w:szCs w:val="24"/>
                <w:lang w:val="en-US" w:eastAsia="zh-CN" w:bidi="ar-SA"/>
              </w:rPr>
              <w:t>（高于屋顶3m）</w:t>
            </w:r>
          </w:p>
        </w:tc>
        <w:tc>
          <w:tcPr>
            <w:tcW w:w="342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宋体"/>
                <w:kern w:val="2"/>
                <w:sz w:val="24"/>
                <w:szCs w:val="24"/>
                <w:lang w:val="en-US" w:eastAsia="zh-CN" w:bidi="ar-SA"/>
              </w:rPr>
              <w:t>天津市《工业企业挥发性有机物排放控制标准》（DB12/524-2014）表2中塑料制品制造业标准限值及表5厂界浓度限值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606" w:hRule="atLeast"/>
          <w:jc w:val="center"/>
        </w:trPr>
        <w:tc>
          <w:tcPr>
            <w:tcW w:w="1313"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废水</w:t>
            </w:r>
          </w:p>
        </w:tc>
        <w:tc>
          <w:tcPr>
            <w:tcW w:w="127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生活污水</w:t>
            </w:r>
          </w:p>
        </w:tc>
        <w:tc>
          <w:tcPr>
            <w:tcW w:w="156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s-ES" w:eastAsia="zh-CN" w:bidi="ar-SA"/>
              </w:rPr>
            </w:pPr>
            <w:r>
              <w:rPr>
                <w:rFonts w:ascii="Times New Roman" w:hAnsi="Times New Roman" w:eastAsia="宋体" w:cs="Times New Roman"/>
                <w:kern w:val="2"/>
                <w:sz w:val="24"/>
                <w:szCs w:val="24"/>
                <w:lang w:val="es-ES" w:eastAsia="zh-CN" w:bidi="ar-SA"/>
              </w:rPr>
              <w:t>COD</w:t>
            </w:r>
            <w:r>
              <w:rPr>
                <w:rFonts w:hint="eastAsia" w:ascii="Times New Roman" w:hAnsi="Times New Roman" w:eastAsia="宋体" w:cs="Times New Roman"/>
                <w:kern w:val="2"/>
                <w:sz w:val="24"/>
                <w:szCs w:val="24"/>
                <w:lang w:val="en-US" w:eastAsia="zh-CN" w:bidi="ar-SA"/>
              </w:rPr>
              <w:t>cr</w:t>
            </w:r>
            <w:r>
              <w:rPr>
                <w:rFonts w:ascii="Times New Roman" w:hAnsi="Times New Roman" w:eastAsia="宋体" w:cs="Times New Roman"/>
                <w:kern w:val="2"/>
                <w:sz w:val="24"/>
                <w:szCs w:val="24"/>
                <w:lang w:val="es-ES" w:eastAsia="zh-CN" w:bidi="ar-SA"/>
              </w:rPr>
              <w:t>、氨氮</w:t>
            </w:r>
          </w:p>
        </w:tc>
        <w:tc>
          <w:tcPr>
            <w:tcW w:w="2378"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化粪池</w:t>
            </w:r>
          </w:p>
        </w:tc>
        <w:tc>
          <w:tcPr>
            <w:tcW w:w="3425"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生活污水</w:t>
            </w:r>
            <w:r>
              <w:rPr>
                <w:rFonts w:hint="eastAsia" w:cs="Times New Roman"/>
                <w:kern w:val="2"/>
                <w:sz w:val="24"/>
                <w:szCs w:val="24"/>
                <w:lang w:val="en-US" w:eastAsia="zh-CN" w:bidi="ar-SA"/>
              </w:rPr>
              <w:t>经园区化粪池处理后达到《污水综合排放标准》（GB8978-1996）三级后</w:t>
            </w:r>
            <w:r>
              <w:rPr>
                <w:rFonts w:hint="eastAsia" w:ascii="Times New Roman" w:hAnsi="Times New Roman" w:eastAsia="宋体" w:cs="Times New Roman"/>
                <w:kern w:val="2"/>
                <w:sz w:val="24"/>
                <w:szCs w:val="24"/>
                <w:lang w:val="en-US" w:eastAsia="zh-CN" w:bidi="ar-SA"/>
              </w:rPr>
              <w:t>由卓达金谷创业园污水处理站处理后达到</w:t>
            </w:r>
            <w:r>
              <w:rPr>
                <w:rFonts w:hint="eastAsia" w:ascii="Times New Roman" w:hAnsi="Times New Roman" w:eastAsia="宋体" w:cs="宋体"/>
                <w:kern w:val="2"/>
                <w:sz w:val="24"/>
                <w:szCs w:val="24"/>
                <w:lang w:val="en-US" w:eastAsia="zh-CN" w:bidi="ar-SA"/>
              </w:rPr>
              <w:t>《城镇污水处理厂污染物排放标准》（GB18918-2002）一级A类标准</w:t>
            </w:r>
            <w:r>
              <w:rPr>
                <w:rFonts w:hint="eastAsia" w:ascii="Times New Roman" w:hAnsi="Times New Roman" w:eastAsia="宋体" w:cs="Times New Roman"/>
                <w:kern w:val="2"/>
                <w:sz w:val="24"/>
                <w:szCs w:val="24"/>
                <w:lang w:val="en-US" w:eastAsia="zh-CN" w:bidi="ar-SA"/>
              </w:rPr>
              <w:t>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313"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固体废物</w:t>
            </w:r>
          </w:p>
        </w:tc>
        <w:tc>
          <w:tcPr>
            <w:tcW w:w="127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办公生活</w:t>
            </w:r>
          </w:p>
        </w:tc>
        <w:tc>
          <w:tcPr>
            <w:tcW w:w="156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生活垃圾</w:t>
            </w:r>
          </w:p>
        </w:tc>
        <w:tc>
          <w:tcPr>
            <w:tcW w:w="237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垃圾收集桶、</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环卫定期清运</w:t>
            </w:r>
          </w:p>
        </w:tc>
        <w:tc>
          <w:tcPr>
            <w:tcW w:w="3425"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综合利用，合理处置、</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达到环保要求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313"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272" w:type="dxa"/>
            <w:vMerge w:val="restart"/>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生产区域</w:t>
            </w:r>
          </w:p>
        </w:tc>
        <w:tc>
          <w:tcPr>
            <w:tcW w:w="156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一般废物</w:t>
            </w:r>
          </w:p>
        </w:tc>
        <w:tc>
          <w:tcPr>
            <w:tcW w:w="237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暂存后外售处理</w:t>
            </w:r>
          </w:p>
        </w:tc>
        <w:tc>
          <w:tcPr>
            <w:tcW w:w="3425"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313"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272"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c>
          <w:tcPr>
            <w:tcW w:w="156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危险废物</w:t>
            </w:r>
          </w:p>
        </w:tc>
        <w:tc>
          <w:tcPr>
            <w:tcW w:w="237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暂存于</w:t>
            </w:r>
            <w:r>
              <w:rPr>
                <w:rFonts w:hint="eastAsia" w:ascii="Times New Roman" w:hAnsi="Times New Roman" w:eastAsia="宋体" w:cs="Times New Roman"/>
                <w:kern w:val="2"/>
                <w:sz w:val="24"/>
                <w:szCs w:val="24"/>
                <w:lang w:val="en-US" w:eastAsia="zh-CN" w:bidi="ar-SA"/>
              </w:rPr>
              <w:t>危废暂存区</w:t>
            </w:r>
            <w:r>
              <w:rPr>
                <w:rFonts w:ascii="Times New Roman" w:hAnsi="Times New Roman" w:eastAsia="宋体" w:cs="Times New Roman"/>
                <w:kern w:val="2"/>
                <w:sz w:val="24"/>
                <w:szCs w:val="24"/>
                <w:lang w:val="en-US" w:eastAsia="zh-CN" w:bidi="ar-SA"/>
              </w:rPr>
              <w:t>后交由资质单位处理</w:t>
            </w:r>
          </w:p>
        </w:tc>
        <w:tc>
          <w:tcPr>
            <w:tcW w:w="3425" w:type="dxa"/>
            <w:vMerge w:val="continue"/>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20" w:hRule="atLeast"/>
          <w:jc w:val="center"/>
        </w:trPr>
        <w:tc>
          <w:tcPr>
            <w:tcW w:w="1313"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噪声</w:t>
            </w:r>
          </w:p>
        </w:tc>
        <w:tc>
          <w:tcPr>
            <w:tcW w:w="1272"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生产</w:t>
            </w:r>
            <w:r>
              <w:rPr>
                <w:rFonts w:hint="eastAsia" w:ascii="Times New Roman" w:hAnsi="Times New Roman" w:eastAsia="宋体" w:cs="Times New Roman"/>
                <w:kern w:val="2"/>
                <w:sz w:val="24"/>
                <w:szCs w:val="24"/>
                <w:lang w:val="en-US" w:eastAsia="zh-CN" w:bidi="ar-SA"/>
              </w:rPr>
              <w:t>区域</w:t>
            </w:r>
          </w:p>
        </w:tc>
        <w:tc>
          <w:tcPr>
            <w:tcW w:w="1562"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LeqA</w:t>
            </w:r>
          </w:p>
        </w:tc>
        <w:tc>
          <w:tcPr>
            <w:tcW w:w="2378"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设备减振底座、</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加强绿化</w:t>
            </w:r>
          </w:p>
        </w:tc>
        <w:tc>
          <w:tcPr>
            <w:tcW w:w="3425"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《工业企业厂界环境噪声排放标准》（GB12348-2008）</w:t>
            </w:r>
          </w:p>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w:t>
            </w:r>
            <w:r>
              <w:rPr>
                <w:rFonts w:ascii="Times New Roman" w:hAnsi="Times New Roman" w:eastAsia="宋体" w:cs="Times New Roman"/>
                <w:kern w:val="2"/>
                <w:sz w:val="24"/>
                <w:szCs w:val="24"/>
                <w:lang w:val="en-US" w:eastAsia="zh-CN" w:bidi="ar-SA"/>
              </w:rPr>
              <w:t>类标准</w:t>
            </w:r>
          </w:p>
        </w:tc>
      </w:tr>
    </w:tbl>
    <w:p/>
    <w:p>
      <w:pPr>
        <w:sectPr>
          <w:pgSz w:w="11906" w:h="16838"/>
          <w:pgMar w:top="1417" w:right="1417" w:bottom="1134" w:left="1701"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3"/>
        <w:bidi w:val="0"/>
        <w:rPr>
          <w:rFonts w:hint="default"/>
          <w:lang w:val="en-US" w:eastAsia="zh-CN"/>
        </w:rPr>
      </w:pPr>
      <w:bookmarkStart w:id="1859" w:name="_Toc31080_WPSOffice_Level1"/>
      <w:bookmarkStart w:id="1860" w:name="_Toc22426"/>
      <w:bookmarkStart w:id="1861" w:name="_Toc32651_WPSOffice_Level1"/>
      <w:bookmarkStart w:id="1862" w:name="_Toc16514"/>
      <w:bookmarkStart w:id="1863" w:name="_Toc29078_WPSOffice_Level1"/>
      <w:bookmarkStart w:id="1864" w:name="_Toc2726"/>
      <w:bookmarkStart w:id="1865" w:name="_Toc23563_WPSOffice_Level1"/>
      <w:bookmarkStart w:id="1866" w:name="_Toc3855"/>
      <w:r>
        <w:rPr>
          <w:rFonts w:hint="default"/>
          <w:lang w:val="en-US" w:eastAsia="zh-CN"/>
        </w:rPr>
        <w:t>建议及结论</w:t>
      </w:r>
      <w:bookmarkEnd w:id="1777"/>
      <w:bookmarkEnd w:id="1778"/>
      <w:bookmarkEnd w:id="1779"/>
      <w:bookmarkEnd w:id="1859"/>
      <w:bookmarkEnd w:id="1860"/>
      <w:bookmarkEnd w:id="1861"/>
      <w:bookmarkEnd w:id="1862"/>
      <w:bookmarkEnd w:id="1863"/>
      <w:bookmarkEnd w:id="1864"/>
      <w:bookmarkEnd w:id="1865"/>
      <w:bookmarkEnd w:id="1866"/>
    </w:p>
    <w:p>
      <w:pPr>
        <w:pStyle w:val="2"/>
        <w:bidi w:val="0"/>
        <w:rPr>
          <w:lang w:val="en-US" w:eastAsia="zh-CN"/>
        </w:rPr>
      </w:pPr>
      <w:bookmarkStart w:id="1867" w:name="_Toc27935"/>
      <w:bookmarkStart w:id="1868" w:name="_Toc23457"/>
      <w:bookmarkStart w:id="1869" w:name="_Toc5198"/>
      <w:bookmarkStart w:id="1870" w:name="_Toc27536_WPSOffice_Level2"/>
      <w:bookmarkStart w:id="1871" w:name="_Toc393721005"/>
      <w:bookmarkStart w:id="1872" w:name="_Toc27173_WPSOffice_Level2"/>
      <w:bookmarkStart w:id="1873" w:name="_Toc26874"/>
      <w:bookmarkStart w:id="1874" w:name="_Toc30380_WPSOffice_Level2"/>
      <w:bookmarkStart w:id="1875" w:name="_Toc25235"/>
      <w:bookmarkStart w:id="1876" w:name="_Toc32253_WPSOffice_Level2"/>
      <w:bookmarkStart w:id="1877" w:name="_Toc11835_WPSOffice_Level2"/>
      <w:bookmarkStart w:id="1878" w:name="_Toc15529"/>
      <w:r>
        <w:rPr>
          <w:lang w:val="en-US" w:eastAsia="zh-CN"/>
        </w:rPr>
        <w:t>项目概况</w:t>
      </w:r>
      <w:bookmarkEnd w:id="1867"/>
      <w:bookmarkEnd w:id="1868"/>
      <w:bookmarkEnd w:id="1869"/>
      <w:bookmarkEnd w:id="1870"/>
      <w:bookmarkEnd w:id="1871"/>
      <w:bookmarkEnd w:id="1872"/>
      <w:bookmarkEnd w:id="1873"/>
      <w:bookmarkEnd w:id="1874"/>
      <w:bookmarkEnd w:id="1875"/>
      <w:bookmarkEnd w:id="1876"/>
      <w:bookmarkEnd w:id="1877"/>
      <w:bookmarkEnd w:id="1878"/>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1879" w:name="_Toc393721006"/>
      <w:bookmarkStart w:id="1880" w:name="_Toc1534"/>
      <w:bookmarkStart w:id="1881" w:name="_Toc17115_WPSOffice_Level2"/>
      <w:bookmarkStart w:id="1882" w:name="_Toc28609"/>
      <w:bookmarkStart w:id="1883" w:name="_Toc28367_WPSOffice_Level2"/>
      <w:bookmarkStart w:id="1884" w:name="_Toc5332_WPSOffice_Level2"/>
      <w:bookmarkStart w:id="1885" w:name="_Toc25315_WPSOffice_Level2"/>
      <w:bookmarkStart w:id="1886" w:name="_Toc19987_WPSOffice_Level2"/>
      <w:bookmarkStart w:id="1887" w:name="_Toc28607"/>
      <w:r>
        <w:rPr>
          <w:rFonts w:ascii="Times New Roman" w:hAnsi="Times New Roman" w:eastAsia="宋体" w:cs="宋体"/>
          <w:kern w:val="2"/>
          <w:sz w:val="24"/>
          <w:szCs w:val="24"/>
          <w:lang w:val="en-US" w:eastAsia="zh-CN" w:bidi="ar-SA"/>
        </w:rPr>
        <w:t>项目名称：</w:t>
      </w:r>
      <w:r>
        <w:rPr>
          <w:rFonts w:hint="eastAsia" w:ascii="Times New Roman" w:hAnsi="Times New Roman" w:eastAsia="宋体" w:cs="宋体"/>
          <w:kern w:val="2"/>
          <w:sz w:val="24"/>
          <w:szCs w:val="24"/>
          <w:lang w:val="en-US" w:eastAsia="zh-CN" w:bidi="ar-SA"/>
        </w:rPr>
        <w:t>年产6500吨</w:t>
      </w:r>
      <w:r>
        <w:rPr>
          <w:rFonts w:hint="eastAsia" w:cs="宋体"/>
          <w:kern w:val="2"/>
          <w:sz w:val="24"/>
          <w:szCs w:val="24"/>
          <w:lang w:val="en-US" w:eastAsia="zh-CN" w:bidi="ar-SA"/>
        </w:rPr>
        <w:t>聚氨酯发泡胶材料</w:t>
      </w:r>
      <w:r>
        <w:rPr>
          <w:rFonts w:hint="eastAsia" w:ascii="Times New Roman" w:hAnsi="Times New Roman" w:eastAsia="宋体" w:cs="宋体"/>
          <w:kern w:val="2"/>
          <w:sz w:val="24"/>
          <w:szCs w:val="24"/>
          <w:lang w:val="en-US" w:eastAsia="zh-CN" w:bidi="ar-SA"/>
        </w:rPr>
        <w:t>生产项目</w:t>
      </w:r>
      <w:r>
        <w:rPr>
          <w:rFonts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建设单位</w:t>
      </w:r>
      <w:r>
        <w:rPr>
          <w:rFonts w:hint="eastAsia" w:ascii="Times New Roman" w:hAnsi="Times New Roman" w:eastAsia="宋体" w:cs="宋体"/>
          <w:kern w:val="2"/>
          <w:sz w:val="24"/>
          <w:szCs w:val="24"/>
          <w:lang w:val="en-US" w:eastAsia="zh-CN" w:bidi="ar-SA"/>
        </w:rPr>
        <w:t>：湖南聚特新材料有限公司</w:t>
      </w:r>
      <w:r>
        <w:rPr>
          <w:rFonts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拟建地点：</w:t>
      </w:r>
      <w:r>
        <w:rPr>
          <w:rFonts w:hint="eastAsia" w:ascii="Times New Roman" w:hAnsi="Times New Roman" w:eastAsia="宋体" w:cs="宋体"/>
          <w:kern w:val="2"/>
          <w:sz w:val="24"/>
          <w:szCs w:val="24"/>
          <w:lang w:val="en-US" w:eastAsia="zh-CN" w:bidi="ar-SA"/>
        </w:rPr>
        <w:t>湖南湘阴县金龙新区工业区卓达金谷创业园8栋空置厂房</w:t>
      </w:r>
      <w:r>
        <w:rPr>
          <w:rFonts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建设性质</w:t>
      </w:r>
      <w:r>
        <w:rPr>
          <w:rFonts w:hint="eastAsia" w:ascii="Times New Roman" w:hAnsi="Times New Roman" w:eastAsia="宋体" w:cs="宋体"/>
          <w:kern w:val="2"/>
          <w:sz w:val="24"/>
          <w:szCs w:val="24"/>
          <w:lang w:val="en-US" w:eastAsia="zh-CN" w:bidi="ar-SA"/>
        </w:rPr>
        <w:t>：新建</w:t>
      </w:r>
      <w:r>
        <w:rPr>
          <w:rFonts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生产规模：</w:t>
      </w:r>
      <w:r>
        <w:rPr>
          <w:rFonts w:hint="eastAsia" w:ascii="Times New Roman" w:hAnsi="Times New Roman" w:eastAsia="宋体" w:cs="宋体"/>
          <w:kern w:val="2"/>
          <w:sz w:val="24"/>
          <w:szCs w:val="24"/>
          <w:lang w:val="en-US" w:eastAsia="zh-CN" w:bidi="ar-SA"/>
        </w:rPr>
        <w:t>年产6500吨</w:t>
      </w:r>
      <w:r>
        <w:rPr>
          <w:rFonts w:hint="eastAsia" w:cs="宋体"/>
          <w:kern w:val="2"/>
          <w:sz w:val="24"/>
          <w:szCs w:val="24"/>
          <w:lang w:val="en-US" w:eastAsia="zh-CN" w:bidi="ar-SA"/>
        </w:rPr>
        <w:t>聚氨酯发泡胶材料</w:t>
      </w:r>
      <w:r>
        <w:rPr>
          <w:rFonts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w:t>
      </w:r>
      <w:r>
        <w:rPr>
          <w:rFonts w:hint="eastAsia" w:ascii="Times New Roman" w:hAnsi="Times New Roman" w:eastAsia="宋体" w:cs="宋体"/>
          <w:kern w:val="2"/>
          <w:sz w:val="24"/>
          <w:szCs w:val="24"/>
          <w:lang w:val="en-US" w:eastAsia="zh-CN" w:bidi="ar-SA"/>
        </w:rPr>
        <w:t>建筑</w:t>
      </w:r>
      <w:r>
        <w:rPr>
          <w:rFonts w:ascii="Times New Roman" w:hAnsi="Times New Roman" w:eastAsia="宋体" w:cs="宋体"/>
          <w:kern w:val="2"/>
          <w:sz w:val="24"/>
          <w:szCs w:val="24"/>
          <w:lang w:val="en-US" w:eastAsia="zh-CN" w:bidi="ar-SA"/>
        </w:rPr>
        <w:t>面积</w:t>
      </w:r>
      <w:r>
        <w:rPr>
          <w:rFonts w:hint="eastAsia" w:ascii="Times New Roman" w:hAnsi="Times New Roman" w:eastAsia="宋体" w:cs="宋体"/>
          <w:kern w:val="2"/>
          <w:sz w:val="24"/>
          <w:szCs w:val="24"/>
          <w:lang w:val="en-US" w:eastAsia="zh-CN" w:bidi="ar-SA"/>
        </w:rPr>
        <w:t>：2400</w:t>
      </w:r>
      <w:r>
        <w:rPr>
          <w:rFonts w:ascii="Times New Roman" w:hAnsi="Times New Roman" w:eastAsia="宋体" w:cs="宋体"/>
          <w:kern w:val="2"/>
          <w:sz w:val="24"/>
          <w:szCs w:val="24"/>
          <w:lang w:val="en-US" w:eastAsia="zh-CN" w:bidi="ar-SA"/>
        </w:rPr>
        <w:t>m</w:t>
      </w:r>
      <w:r>
        <w:rPr>
          <w:rFonts w:ascii="Times New Roman" w:hAnsi="Times New Roman" w:eastAsia="宋体" w:cs="宋体"/>
          <w:kern w:val="2"/>
          <w:sz w:val="24"/>
          <w:szCs w:val="24"/>
          <w:vertAlign w:val="superscript"/>
          <w:lang w:val="en-US" w:eastAsia="zh-CN" w:bidi="ar-SA"/>
        </w:rPr>
        <w:t>2</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投资情况：本项目建设投资</w:t>
      </w:r>
      <w:r>
        <w:rPr>
          <w:rFonts w:hint="eastAsia" w:ascii="Times New Roman" w:hAnsi="Times New Roman" w:eastAsia="宋体" w:cs="宋体"/>
          <w:kern w:val="2"/>
          <w:sz w:val="24"/>
          <w:szCs w:val="24"/>
          <w:lang w:val="en-US" w:eastAsia="zh-CN" w:bidi="ar-SA"/>
        </w:rPr>
        <w:t>5000万元</w:t>
      </w:r>
      <w:r>
        <w:rPr>
          <w:rFonts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项目建设周期：本项目计划总工期</w:t>
      </w:r>
      <w:r>
        <w:rPr>
          <w:rFonts w:hint="eastAsia" w:ascii="Times New Roman" w:hAnsi="Times New Roman" w:eastAsia="宋体" w:cs="宋体"/>
          <w:kern w:val="2"/>
          <w:sz w:val="24"/>
          <w:szCs w:val="24"/>
          <w:lang w:val="en-US" w:eastAsia="zh-CN" w:bidi="ar-SA"/>
        </w:rPr>
        <w:t>2个月</w:t>
      </w:r>
      <w:r>
        <w:rPr>
          <w:rFonts w:ascii="Times New Roman" w:hAnsi="Times New Roman" w:eastAsia="宋体" w:cs="宋体"/>
          <w:kern w:val="2"/>
          <w:sz w:val="24"/>
          <w:szCs w:val="24"/>
          <w:lang w:val="en-US" w:eastAsia="zh-CN" w:bidi="ar-SA"/>
        </w:rPr>
        <w:t>；</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r>
        <w:rPr>
          <w:rFonts w:ascii="Times New Roman" w:hAnsi="Times New Roman" w:eastAsia="宋体" w:cs="宋体"/>
          <w:kern w:val="2"/>
          <w:sz w:val="24"/>
          <w:szCs w:val="24"/>
          <w:lang w:val="en-US" w:eastAsia="zh-CN" w:bidi="ar-SA"/>
        </w:rPr>
        <w:t>项目</w:t>
      </w:r>
      <w:r>
        <w:rPr>
          <w:rFonts w:hint="eastAsia" w:ascii="Times New Roman" w:hAnsi="Times New Roman" w:eastAsia="宋体" w:cs="宋体"/>
          <w:kern w:val="2"/>
          <w:sz w:val="24"/>
          <w:szCs w:val="24"/>
          <w:lang w:val="en-US" w:eastAsia="zh-CN" w:bidi="ar-SA"/>
        </w:rPr>
        <w:t>厂房</w:t>
      </w:r>
      <w:r>
        <w:rPr>
          <w:rFonts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t>为空置厂房，之前未被使用。</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ascii="Times New Roman" w:hAnsi="Times New Roman" w:eastAsia="宋体" w:cs="宋体"/>
          <w:kern w:val="2"/>
          <w:sz w:val="24"/>
          <w:szCs w:val="24"/>
          <w:highlight w:val="none"/>
          <w:lang w:val="en-US" w:eastAsia="zh-CN" w:bidi="ar-SA"/>
        </w:rPr>
        <w:t>项目四周情况：</w:t>
      </w:r>
      <w:r>
        <w:rPr>
          <w:rFonts w:hint="eastAsia" w:ascii="Times New Roman" w:hAnsi="Times New Roman" w:eastAsia="宋体" w:cs="宋体"/>
          <w:color w:val="auto"/>
          <w:kern w:val="2"/>
          <w:sz w:val="24"/>
          <w:szCs w:val="24"/>
          <w:highlight w:val="none"/>
          <w:lang w:val="en-US" w:eastAsia="zh-CN" w:bidi="ar-SA"/>
        </w:rPr>
        <w:t>东面为湖南斯迪儿展览展示有限责任公司（11A栋，生产展览展示柜），南面为湖南木之玖家具有限公司（9A栋，生产家具），西面为湖南威邦新材料有限公司（1A栋、2A栋，生产新型</w:t>
      </w:r>
      <w:r>
        <w:rPr>
          <w:rFonts w:ascii="Times New Roman" w:hAnsi="Times New Roman" w:eastAsia="宋体" w:cs="宋体"/>
          <w:color w:val="auto"/>
          <w:kern w:val="2"/>
          <w:sz w:val="24"/>
          <w:szCs w:val="21"/>
          <w:lang w:val="en-US" w:eastAsia="zh-CN" w:bidi="ar-SA"/>
        </w:rPr>
        <w:t>干混建材</w:t>
      </w:r>
      <w:r>
        <w:rPr>
          <w:rFonts w:hint="eastAsia" w:ascii="Times New Roman" w:hAnsi="Times New Roman" w:eastAsia="宋体" w:cs="宋体"/>
          <w:color w:val="auto"/>
          <w:kern w:val="2"/>
          <w:sz w:val="24"/>
          <w:szCs w:val="24"/>
          <w:highlight w:val="none"/>
          <w:lang w:val="en-US" w:eastAsia="zh-CN" w:bidi="ar-SA"/>
        </w:rPr>
        <w:t>），北面为空置厂房（7A栋），越过空置厂房为湖南创盛自动化设备公司和湖南精益印包装公司共用的3A栋厂房。</w:t>
      </w:r>
    </w:p>
    <w:bookmarkEnd w:id="1879"/>
    <w:p>
      <w:pPr>
        <w:pStyle w:val="2"/>
        <w:bidi w:val="0"/>
        <w:rPr>
          <w:lang w:val="en-US" w:eastAsia="zh-CN"/>
        </w:rPr>
      </w:pPr>
      <w:bookmarkStart w:id="1888" w:name="_Toc14168"/>
      <w:bookmarkStart w:id="1889" w:name="_Toc32741"/>
      <w:bookmarkStart w:id="1890" w:name="_Toc28662"/>
      <w:r>
        <w:rPr>
          <w:lang w:val="en-US" w:eastAsia="zh-CN"/>
        </w:rPr>
        <w:t>项目由来</w:t>
      </w:r>
      <w:bookmarkEnd w:id="1880"/>
      <w:bookmarkEnd w:id="1881"/>
      <w:bookmarkEnd w:id="1882"/>
      <w:bookmarkEnd w:id="1883"/>
      <w:bookmarkEnd w:id="1884"/>
      <w:bookmarkEnd w:id="1885"/>
      <w:bookmarkEnd w:id="1886"/>
      <w:bookmarkEnd w:id="1887"/>
      <w:bookmarkEnd w:id="1888"/>
      <w:bookmarkEnd w:id="1889"/>
      <w:bookmarkEnd w:id="1890"/>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bookmarkStart w:id="1891" w:name="_Toc5096"/>
      <w:bookmarkStart w:id="1892" w:name="_Toc5285_WPSOffice_Level2"/>
      <w:bookmarkStart w:id="1893" w:name="_Toc5883_WPSOffice_Level2"/>
      <w:bookmarkStart w:id="1894" w:name="_Toc18091"/>
      <w:bookmarkStart w:id="1895" w:name="_Toc3233_WPSOffice_Level2"/>
      <w:bookmarkStart w:id="1896" w:name="_Toc19630_WPSOffice_Level2"/>
      <w:bookmarkStart w:id="1897" w:name="_Toc14347"/>
      <w:bookmarkStart w:id="1898" w:name="_Toc20680"/>
      <w:bookmarkStart w:id="1899" w:name="_Toc1985_WPSOffice_Level2"/>
      <w:r>
        <w:rPr>
          <w:rFonts w:hint="eastAsia" w:ascii="Times New Roman" w:hAnsi="Times New Roman" w:eastAsia="宋体" w:cs="宋体"/>
          <w:kern w:val="2"/>
          <w:sz w:val="24"/>
          <w:szCs w:val="24"/>
          <w:lang w:val="en-US" w:eastAsia="zh-CN" w:bidi="ar-SA"/>
        </w:rPr>
        <w:t>湖南聚特新材料有限公司主要从事塑料制品研发和合成橡胶制造。为了扩大聚氨酯泡沫塑料的生产，公司拟在湘阴金龙新区卓达金谷创业园投资新建年产6500吨</w:t>
      </w:r>
      <w:r>
        <w:rPr>
          <w:rFonts w:hint="eastAsia" w:cs="宋体"/>
          <w:kern w:val="2"/>
          <w:sz w:val="24"/>
          <w:szCs w:val="24"/>
          <w:lang w:val="en-US" w:eastAsia="zh-CN" w:bidi="ar-SA"/>
        </w:rPr>
        <w:t>聚氨酯发泡胶材料</w:t>
      </w:r>
      <w:r>
        <w:rPr>
          <w:rFonts w:hint="eastAsia" w:ascii="Times New Roman" w:hAnsi="Times New Roman" w:eastAsia="宋体" w:cs="宋体"/>
          <w:kern w:val="2"/>
          <w:sz w:val="24"/>
          <w:szCs w:val="24"/>
          <w:lang w:val="en-US" w:eastAsia="zh-CN" w:bidi="ar-SA"/>
        </w:rPr>
        <w:t>生产项目。本项目建筑面积约为2400m</w:t>
      </w:r>
      <w:r>
        <w:rPr>
          <w:rFonts w:hint="eastAsia" w:ascii="Times New Roman" w:hAnsi="Times New Roman" w:eastAsia="宋体" w:cs="宋体"/>
          <w:kern w:val="2"/>
          <w:sz w:val="24"/>
          <w:szCs w:val="24"/>
          <w:vertAlign w:val="superscript"/>
          <w:lang w:val="en-US" w:eastAsia="zh-CN" w:bidi="ar-SA"/>
        </w:rPr>
        <w:t>2</w:t>
      </w:r>
      <w:r>
        <w:rPr>
          <w:rFonts w:hint="eastAsia" w:ascii="Times New Roman" w:hAnsi="Times New Roman" w:eastAsia="宋体" w:cs="宋体"/>
          <w:kern w:val="2"/>
          <w:sz w:val="24"/>
          <w:szCs w:val="24"/>
          <w:vertAlign w:val="baseline"/>
          <w:lang w:val="en-US" w:eastAsia="zh-CN" w:bidi="ar-SA"/>
        </w:rPr>
        <w:t>，</w:t>
      </w:r>
      <w:r>
        <w:rPr>
          <w:rFonts w:hint="eastAsia" w:ascii="Times New Roman" w:hAnsi="Times New Roman" w:eastAsia="宋体" w:cs="宋体"/>
          <w:kern w:val="2"/>
          <w:sz w:val="24"/>
          <w:szCs w:val="24"/>
          <w:lang w:val="en-US" w:eastAsia="zh-CN" w:bidi="ar-SA"/>
        </w:rPr>
        <w:t>本项目总投资5000万元，其中环保投资34万元，占总投资的0.68%。</w:t>
      </w:r>
    </w:p>
    <w:p>
      <w:pPr>
        <w:pStyle w:val="2"/>
        <w:bidi w:val="0"/>
        <w:rPr>
          <w:lang w:val="en-US" w:eastAsia="zh-CN"/>
        </w:rPr>
      </w:pPr>
      <w:bookmarkStart w:id="1900" w:name="_Toc21184"/>
      <w:bookmarkStart w:id="1901" w:name="_Toc24943"/>
      <w:bookmarkStart w:id="1902" w:name="_Toc1393"/>
      <w:r>
        <w:rPr>
          <w:lang w:val="en-US" w:eastAsia="zh-CN"/>
        </w:rPr>
        <w:t>环境</w:t>
      </w:r>
      <w:bookmarkStart w:id="1903" w:name="_Toc331278443"/>
      <w:r>
        <w:rPr>
          <w:lang w:val="en-US" w:eastAsia="zh-CN"/>
        </w:rPr>
        <w:t>质量现状</w:t>
      </w:r>
      <w:bookmarkEnd w:id="1891"/>
      <w:bookmarkEnd w:id="1892"/>
      <w:bookmarkEnd w:id="1893"/>
      <w:bookmarkEnd w:id="1894"/>
      <w:bookmarkEnd w:id="1895"/>
      <w:bookmarkEnd w:id="1896"/>
      <w:bookmarkEnd w:id="1897"/>
      <w:bookmarkEnd w:id="1898"/>
      <w:bookmarkEnd w:id="1899"/>
      <w:bookmarkEnd w:id="1900"/>
      <w:bookmarkEnd w:id="1901"/>
      <w:bookmarkEnd w:id="1902"/>
    </w:p>
    <w:bookmarkEnd w:id="1903"/>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bookmarkStart w:id="1904" w:name="_Toc6218_WPSOffice_Level3"/>
      <w:bookmarkStart w:id="1905" w:name="_Toc1254_WPSOffice_Level3"/>
      <w:r>
        <w:rPr>
          <w:rFonts w:hint="eastAsia" w:ascii="Times New Roman" w:hAnsi="Times New Roman" w:eastAsia="宋体" w:cs="宋体"/>
          <w:kern w:val="2"/>
          <w:sz w:val="24"/>
          <w:szCs w:val="24"/>
          <w:lang w:val="en-US" w:eastAsia="zh-CN" w:bidi="ar-SA"/>
        </w:rPr>
        <w:t>（1）地表水环境</w:t>
      </w:r>
      <w:bookmarkEnd w:id="1904"/>
      <w:bookmarkEnd w:id="1905"/>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地表水监测结果表明，各断面、监测因子浓度均符合《地表水环境质量标准》（GB3838-2002）中的Ⅲ类标准。</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bookmarkStart w:id="1906" w:name="_Toc25149_WPSOffice_Level3"/>
      <w:bookmarkStart w:id="1907" w:name="_Toc23410_WPSOffice_Level3"/>
      <w:r>
        <w:rPr>
          <w:rFonts w:hint="eastAsia" w:ascii="Times New Roman" w:hAnsi="Times New Roman" w:eastAsia="宋体" w:cs="宋体"/>
          <w:kern w:val="2"/>
          <w:sz w:val="24"/>
          <w:szCs w:val="24"/>
          <w:lang w:val="en-US" w:eastAsia="zh-CN" w:bidi="ar-SA"/>
        </w:rPr>
        <w:t>（2）大气环境</w:t>
      </w:r>
      <w:bookmarkEnd w:id="1906"/>
      <w:bookmarkEnd w:id="1907"/>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根据2019年湘阴县环境空气监测数据，对比《环境空气质量标准》（GB3095-2012）中的二级标准，PM</w:t>
      </w:r>
      <w:r>
        <w:rPr>
          <w:rFonts w:hint="eastAsia" w:ascii="Times New Roman" w:hAnsi="Times New Roman" w:eastAsia="宋体" w:cs="宋体"/>
          <w:kern w:val="2"/>
          <w:sz w:val="24"/>
          <w:szCs w:val="24"/>
          <w:vertAlign w:val="subscript"/>
          <w:lang w:val="en-US" w:eastAsia="zh-CN" w:bidi="ar-SA"/>
        </w:rPr>
        <w:t>2.5</w:t>
      </w:r>
      <w:r>
        <w:rPr>
          <w:rFonts w:hint="eastAsia" w:ascii="Times New Roman" w:hAnsi="Times New Roman" w:eastAsia="宋体" w:cs="宋体"/>
          <w:kern w:val="2"/>
          <w:sz w:val="24"/>
          <w:szCs w:val="24"/>
          <w:lang w:val="en-US" w:eastAsia="zh-CN" w:bidi="ar-SA"/>
        </w:rPr>
        <w:t>出现超标，项目所在区域为环境空气质量不达标区。湘阴县近期采取产业和能源结构调整措施、大气污染治理的措施等一系列措施，湘阴县环境空气质量正在逐步改善。现场监测期间各大气监测点环境空气中</w:t>
      </w:r>
      <w:r>
        <w:rPr>
          <w:rFonts w:hint="eastAsia" w:cs="宋体"/>
          <w:kern w:val="2"/>
          <w:sz w:val="24"/>
          <w:szCs w:val="24"/>
          <w:highlight w:val="none"/>
          <w:lang w:val="en-US" w:eastAsia="zh-CN" w:bidi="ar-SA"/>
        </w:rPr>
        <w:t>VOCs</w:t>
      </w:r>
      <w:r>
        <w:rPr>
          <w:rFonts w:hint="eastAsia" w:ascii="Times New Roman" w:hAnsi="Times New Roman" w:eastAsia="宋体" w:cs="宋体"/>
          <w:kern w:val="2"/>
          <w:sz w:val="24"/>
          <w:szCs w:val="24"/>
          <w:lang w:val="en-US" w:eastAsia="zh-CN" w:bidi="ar-SA"/>
        </w:rPr>
        <w:t>可以满足天津市《工业企业挥发性有机物排放控制标准》（DB12/524-2014）表2中塑料制品制造业标准限值。</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bookmarkStart w:id="1908" w:name="_Toc16020_WPSOffice_Level3"/>
      <w:bookmarkStart w:id="1909" w:name="_Toc13549_WPSOffice_Level3"/>
      <w:r>
        <w:rPr>
          <w:rFonts w:hint="eastAsia" w:ascii="Times New Roman" w:hAnsi="Times New Roman" w:eastAsia="宋体" w:cs="宋体"/>
          <w:kern w:val="2"/>
          <w:sz w:val="24"/>
          <w:szCs w:val="24"/>
          <w:lang w:val="en-US" w:eastAsia="zh-CN" w:bidi="ar-SA"/>
        </w:rPr>
        <w:t>（3）声环境</w:t>
      </w:r>
      <w:bookmarkEnd w:id="1908"/>
      <w:bookmarkEnd w:id="1909"/>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评价区各监测点昼夜环境噪声质量现状符合《声环境质量标准》（GB3096-2008）3类标准要求。</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bookmarkStart w:id="1910" w:name="_Toc23985_WPSOffice_Level3"/>
      <w:bookmarkStart w:id="1911" w:name="_Toc18892_WPSOffice_Level3"/>
      <w:r>
        <w:rPr>
          <w:rFonts w:hint="eastAsia" w:ascii="Times New Roman" w:hAnsi="Times New Roman" w:eastAsia="宋体" w:cs="宋体"/>
          <w:kern w:val="2"/>
          <w:sz w:val="24"/>
          <w:szCs w:val="24"/>
          <w:lang w:val="en-US" w:eastAsia="zh-CN" w:bidi="ar-SA"/>
        </w:rPr>
        <w:t>（4）地下水环境现状</w:t>
      </w:r>
      <w:bookmarkEnd w:id="1910"/>
      <w:bookmarkEnd w:id="1911"/>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各监测点监测因子除个别监测点总大群菌群超标外，其余均符合《地下水质量标准》（GB/T14848-2017）中的Ⅲ类标准要求。</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bookmarkStart w:id="1912" w:name="_Toc10653_WPSOffice_Level3"/>
      <w:bookmarkStart w:id="1913" w:name="_Toc3959_WPSOffice_Level3"/>
      <w:r>
        <w:rPr>
          <w:rFonts w:hint="eastAsia" w:ascii="Times New Roman" w:hAnsi="Times New Roman" w:eastAsia="宋体" w:cs="宋体"/>
          <w:kern w:val="2"/>
          <w:sz w:val="24"/>
          <w:szCs w:val="24"/>
          <w:lang w:val="en-US" w:eastAsia="zh-CN" w:bidi="ar-SA"/>
        </w:rPr>
        <w:t>（5）土壤环境质量现状</w:t>
      </w:r>
      <w:bookmarkEnd w:id="1912"/>
      <w:bookmarkEnd w:id="1913"/>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项目所在地各监测点各监测因子均满足《土壤环境质量 建设用地土壤污染风险管控标准（试行）》（GB15618-2018）表1中建设用地土壤筛选值污染风险筛选值。</w:t>
      </w:r>
    </w:p>
    <w:p>
      <w:pPr>
        <w:pStyle w:val="2"/>
        <w:bidi w:val="0"/>
        <w:rPr>
          <w:lang w:val="en-US" w:eastAsia="zh-CN"/>
        </w:rPr>
      </w:pPr>
      <w:bookmarkStart w:id="1914" w:name="_Toc15003"/>
      <w:bookmarkStart w:id="1915" w:name="_Toc26542"/>
      <w:bookmarkStart w:id="1916" w:name="_Toc14579_WPSOffice_Level2"/>
      <w:bookmarkStart w:id="1917" w:name="_Toc31876_WPSOffice_Level2"/>
      <w:bookmarkStart w:id="1918" w:name="_Toc27791_WPSOffice_Level2"/>
      <w:bookmarkStart w:id="1919" w:name="_Toc14624_WPSOffice_Level2"/>
      <w:bookmarkStart w:id="1920" w:name="_Toc25353"/>
      <w:bookmarkStart w:id="1921" w:name="_Toc30089_WPSOffice_Level2"/>
      <w:bookmarkStart w:id="1922" w:name="_Toc8255"/>
      <w:bookmarkStart w:id="1923" w:name="_Toc13710"/>
      <w:bookmarkStart w:id="1924" w:name="_Toc804"/>
      <w:bookmarkStart w:id="1925" w:name="_Toc13792"/>
      <w:bookmarkStart w:id="1926" w:name="_Toc331278444"/>
      <w:r>
        <w:rPr>
          <w:lang w:val="en-US" w:eastAsia="zh-CN"/>
        </w:rPr>
        <w:t>环境影响结论</w:t>
      </w:r>
      <w:bookmarkEnd w:id="1914"/>
      <w:bookmarkEnd w:id="1915"/>
      <w:bookmarkEnd w:id="1916"/>
      <w:bookmarkEnd w:id="1917"/>
      <w:bookmarkEnd w:id="1918"/>
      <w:bookmarkEnd w:id="1919"/>
      <w:bookmarkEnd w:id="1920"/>
      <w:bookmarkEnd w:id="1921"/>
      <w:bookmarkEnd w:id="1922"/>
      <w:bookmarkEnd w:id="1923"/>
      <w:bookmarkEnd w:id="1924"/>
      <w:bookmarkEnd w:id="1925"/>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bookmarkStart w:id="1927" w:name="_Toc7926_WPSOffice_Level3"/>
      <w:bookmarkStart w:id="1928" w:name="_Toc31675_WPSOffice_Level3"/>
      <w:r>
        <w:rPr>
          <w:rFonts w:hint="eastAsia" w:ascii="Times New Roman" w:hAnsi="Times New Roman" w:eastAsia="宋体" w:cs="宋体"/>
          <w:kern w:val="2"/>
          <w:sz w:val="24"/>
          <w:szCs w:val="24"/>
          <w:lang w:val="en-US" w:eastAsia="zh-CN" w:bidi="ar-SA"/>
        </w:rPr>
        <w:t>1、施工期</w:t>
      </w:r>
      <w:bookmarkEnd w:id="1927"/>
      <w:bookmarkEnd w:id="1928"/>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bookmarkStart w:id="1929" w:name="_Toc10652_WPSOffice_Level3"/>
      <w:bookmarkStart w:id="1930" w:name="_Toc9672_WPSOffice_Level3"/>
      <w:r>
        <w:rPr>
          <w:rFonts w:hint="eastAsia" w:ascii="Times New Roman" w:hAnsi="Times New Roman" w:eastAsia="宋体" w:cs="宋体"/>
          <w:kern w:val="2"/>
          <w:sz w:val="24"/>
          <w:szCs w:val="24"/>
          <w:lang w:val="en-US" w:eastAsia="zh-CN" w:bidi="ar-SA"/>
        </w:rPr>
        <w:t xml:space="preserve"> 本项目施工期间产生的污染包括施工扬尘、施工噪声、施工垃圾、施工废水等，但主要集中在施工现场及附近区域，也集中在施工时段发生，将随着施工作业的结束而减轻、消失。只要在保证安全、环保的施工时，对居民的影响较小。</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2、运营期</w:t>
      </w:r>
      <w:bookmarkEnd w:id="1929"/>
      <w:bookmarkEnd w:id="1930"/>
    </w:p>
    <w:bookmarkEnd w:id="1926"/>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（1）废水：项目建成后，生活污水</w:t>
      </w:r>
      <w:r>
        <w:rPr>
          <w:rFonts w:hint="eastAsia" w:cs="宋体"/>
          <w:kern w:val="2"/>
          <w:sz w:val="24"/>
          <w:szCs w:val="24"/>
          <w:lang w:val="en-US" w:eastAsia="zh-CN" w:bidi="ar-SA"/>
        </w:rPr>
        <w:t>经园区化粪池处理后达到《污水综合排放标准》（GB8978-1996）三级后</w:t>
      </w:r>
      <w:r>
        <w:rPr>
          <w:rFonts w:hint="eastAsia" w:ascii="Times New Roman" w:hAnsi="Times New Roman" w:eastAsia="宋体" w:cs="宋体"/>
          <w:kern w:val="2"/>
          <w:sz w:val="24"/>
          <w:szCs w:val="24"/>
          <w:lang w:val="en-US" w:eastAsia="zh-CN" w:bidi="ar-SA"/>
        </w:rPr>
        <w:t>，进入卓达金谷创业园污水处理站处理达到《城镇污水处理厂污染物排放标准》（GB18918-2002）一级A类标准，排入洋沙河至洋沙湖，最终受纳水体为湘江。</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（2）废气：本项目运营期排放的有机废气包括</w:t>
      </w:r>
      <w:r>
        <w:rPr>
          <w:rFonts w:hint="eastAsia" w:cs="宋体"/>
          <w:kern w:val="2"/>
          <w:sz w:val="24"/>
          <w:szCs w:val="24"/>
          <w:lang w:val="en-US" w:eastAsia="zh-CN" w:bidi="ar-SA"/>
        </w:rPr>
        <w:t>VOCs</w:t>
      </w:r>
      <w:r>
        <w:rPr>
          <w:rFonts w:hint="eastAsia" w:ascii="Times New Roman" w:hAnsi="Times New Roman" w:eastAsia="宋体" w:cs="宋体"/>
          <w:kern w:val="2"/>
          <w:sz w:val="24"/>
          <w:szCs w:val="24"/>
          <w:lang w:val="en-US" w:eastAsia="zh-CN" w:bidi="ar-SA"/>
        </w:rPr>
        <w:t>。根据废气产生的情况，有机废气采用集气罩+</w:t>
      </w:r>
      <w:r>
        <w:rPr>
          <w:color w:val="000000"/>
        </w:rPr>
        <w:t>UV光解净化器</w:t>
      </w:r>
      <w:r>
        <w:rPr>
          <w:rFonts w:hint="eastAsia"/>
          <w:color w:val="000000"/>
          <w:lang w:val="en-US" w:eastAsia="zh-CN"/>
        </w:rPr>
        <w:t>+</w:t>
      </w:r>
      <w:r>
        <w:rPr>
          <w:rFonts w:hint="eastAsia" w:ascii="Times New Roman" w:hAnsi="Times New Roman" w:eastAsia="宋体" w:cs="宋体"/>
          <w:kern w:val="2"/>
          <w:sz w:val="24"/>
          <w:szCs w:val="24"/>
          <w:lang w:val="en-US" w:eastAsia="zh-CN" w:bidi="ar-SA"/>
        </w:rPr>
        <w:t>活性炭吸附装置处理后由</w:t>
      </w:r>
      <w:r>
        <w:rPr>
          <w:rFonts w:hint="eastAsia" w:cs="宋体"/>
          <w:kern w:val="2"/>
          <w:sz w:val="24"/>
          <w:szCs w:val="24"/>
          <w:lang w:val="en-US" w:eastAsia="zh-CN" w:bidi="ar-SA"/>
        </w:rPr>
        <w:t>21米</w:t>
      </w:r>
      <w:r>
        <w:rPr>
          <w:rFonts w:hint="eastAsia" w:ascii="Times New Roman" w:hAnsi="Times New Roman" w:eastAsia="宋体" w:cs="宋体"/>
          <w:kern w:val="2"/>
          <w:sz w:val="24"/>
          <w:szCs w:val="24"/>
          <w:lang w:val="en-US" w:eastAsia="zh-CN" w:bidi="ar-SA"/>
        </w:rPr>
        <w:t>高排气筒排放。根据原辅材料用量和操作时数预测污染物浓度和排放数量，</w:t>
      </w:r>
      <w:r>
        <w:rPr>
          <w:rFonts w:hint="eastAsia" w:cs="宋体"/>
          <w:kern w:val="2"/>
          <w:sz w:val="24"/>
          <w:szCs w:val="24"/>
          <w:lang w:val="en-US" w:eastAsia="zh-CN" w:bidi="ar-SA"/>
        </w:rPr>
        <w:t>VOCs</w:t>
      </w:r>
      <w:r>
        <w:rPr>
          <w:rFonts w:hint="eastAsia" w:ascii="Times New Roman" w:hAnsi="Times New Roman" w:eastAsia="宋体" w:cs="宋体"/>
          <w:kern w:val="2"/>
          <w:sz w:val="24"/>
          <w:szCs w:val="24"/>
          <w:lang w:val="en-US" w:eastAsia="zh-CN" w:bidi="ar-SA"/>
        </w:rPr>
        <w:t>参照执行天津市《工业企业挥发性有机物排放控制标准》（DB12/524-2014）表2中塑料制品制造业标准限值及表5厂界浓度限值</w:t>
      </w:r>
      <w:r>
        <w:rPr>
          <w:rFonts w:hint="eastAsia" w:ascii="Times New Roman" w:hAnsi="Times New Roman" w:cs="宋体"/>
          <w:kern w:val="2"/>
          <w:sz w:val="24"/>
          <w:szCs w:val="24"/>
          <w:lang w:val="en-US" w:eastAsia="zh-CN" w:bidi="ar-SA"/>
        </w:rPr>
        <w:t>。</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（3）地下水环境影响</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本项目已从工艺装置的设计、地面硬化等各方面对本项目所在装置区域进行了较为全面的防渗措施，不会发生废水对地下水渗漏，影响地下水。在规范排污及加强监管等前提下，本项目对项目区地下水影响不大。</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（4）声环境影响</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项目建成后噪声源贡献值昼间小于65dB(A)，夜间小于55dB(A)，均符合《声环境质量标准》（GB3096-2008）中的3类标准要求；由于项目本底噪声值较低且敏感目标距离本项目所在地有一定距离，项目建成后主要噪声源对厂界噪声和敏感目标的影响范围和程度均较小。</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（5）固体废物环境影响</w:t>
      </w:r>
    </w:p>
    <w:p>
      <w:pPr>
        <w:widowControl w:val="0"/>
        <w:bidi w:val="0"/>
        <w:spacing w:line="360" w:lineRule="auto"/>
        <w:ind w:firstLine="480" w:firstLineChars="200"/>
        <w:jc w:val="left"/>
        <w:rPr>
          <w:rFonts w:ascii="Times New Roman" w:hAnsi="Times New Roman" w:eastAsia="宋体" w:cs="宋体"/>
          <w:kern w:val="2"/>
          <w:sz w:val="24"/>
          <w:szCs w:val="24"/>
          <w:lang w:val="en-US" w:eastAsia="zh-CN" w:bidi="ar-SA"/>
        </w:rPr>
      </w:pPr>
      <w:bookmarkStart w:id="1931" w:name="_Toc9300"/>
      <w:bookmarkStart w:id="1932" w:name="_Toc24952_WPSOffice_Level2"/>
      <w:bookmarkStart w:id="1933" w:name="_Toc20269"/>
      <w:bookmarkStart w:id="1934" w:name="_Toc30160"/>
      <w:bookmarkStart w:id="1935" w:name="_Toc18436_WPSOffice_Level2"/>
      <w:bookmarkStart w:id="1936" w:name="_Toc16721_WPSOffice_Level2"/>
      <w:bookmarkStart w:id="1937" w:name="_Toc21544_WPSOffice_Level2"/>
      <w:bookmarkStart w:id="1938" w:name="_Toc5421"/>
      <w:bookmarkStart w:id="1939" w:name="_Toc25176_WPSOffice_Level2"/>
      <w:r>
        <w:rPr>
          <w:rFonts w:hint="eastAsia" w:ascii="Times New Roman" w:hAnsi="Times New Roman" w:eastAsia="宋体" w:cs="宋体"/>
          <w:kern w:val="2"/>
          <w:sz w:val="24"/>
          <w:szCs w:val="24"/>
          <w:lang w:val="en-US" w:eastAsia="zh-CN" w:bidi="ar-SA"/>
        </w:rPr>
        <w:t>本项目固体废物分类收集，其中生活垃圾由环卫部门及时收集和清运，一般工业废物可以回收利用的，回用于生产，其余分类收集后外售处理，危险废物在厂内危废库内分类暂存后委托有资质的专门单位收集处理。各类固体废物均有成熟可靠的处理措施，企业能够实施有效管理，不会对区域环境产生影响，可做到安全处置。</w:t>
      </w:r>
    </w:p>
    <w:p>
      <w:pPr>
        <w:pStyle w:val="2"/>
        <w:bidi w:val="0"/>
        <w:rPr>
          <w:lang w:val="en-US" w:eastAsia="zh-CN"/>
        </w:rPr>
      </w:pPr>
      <w:bookmarkStart w:id="1940" w:name="_Toc12619"/>
      <w:bookmarkStart w:id="1941" w:name="_Toc31121"/>
      <w:bookmarkStart w:id="1942" w:name="_Toc11170"/>
      <w:r>
        <w:rPr>
          <w:lang w:val="en-US" w:eastAsia="zh-CN"/>
        </w:rPr>
        <w:t>项目</w:t>
      </w:r>
      <w:bookmarkStart w:id="1943" w:name="_Toc331278445"/>
      <w:r>
        <w:rPr>
          <w:lang w:val="en-US" w:eastAsia="zh-CN"/>
        </w:rPr>
        <w:t>环境可行性</w:t>
      </w:r>
      <w:bookmarkEnd w:id="1931"/>
      <w:bookmarkEnd w:id="1932"/>
      <w:bookmarkEnd w:id="1933"/>
      <w:bookmarkEnd w:id="1934"/>
      <w:bookmarkEnd w:id="1935"/>
      <w:bookmarkEnd w:id="1936"/>
      <w:bookmarkEnd w:id="1937"/>
      <w:bookmarkEnd w:id="1938"/>
      <w:bookmarkEnd w:id="1939"/>
      <w:bookmarkEnd w:id="1940"/>
      <w:bookmarkEnd w:id="1941"/>
      <w:bookmarkEnd w:id="1942"/>
    </w:p>
    <w:bookmarkEnd w:id="1943"/>
    <w:p>
      <w:pPr>
        <w:pStyle w:val="4"/>
        <w:bidi w:val="0"/>
        <w:rPr>
          <w:rFonts w:hint="eastAsia"/>
          <w:lang w:val="en-US" w:eastAsia="zh-CN"/>
        </w:rPr>
      </w:pPr>
      <w:bookmarkStart w:id="1944" w:name="_Toc18650_WPSOffice_Level3"/>
      <w:bookmarkStart w:id="1945" w:name="_Toc26902"/>
      <w:bookmarkStart w:id="1946" w:name="_Toc26526"/>
      <w:bookmarkStart w:id="1947" w:name="_Toc16821"/>
      <w:bookmarkStart w:id="1948" w:name="_Toc24103_WPSOffice_Level3"/>
      <w:r>
        <w:rPr>
          <w:rFonts w:hint="eastAsia"/>
          <w:lang w:val="en-US" w:eastAsia="zh-CN"/>
        </w:rPr>
        <w:t>产业政策符合性</w:t>
      </w:r>
      <w:bookmarkEnd w:id="1944"/>
      <w:bookmarkEnd w:id="1945"/>
      <w:bookmarkEnd w:id="1946"/>
      <w:bookmarkEnd w:id="1947"/>
      <w:bookmarkEnd w:id="1948"/>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bookmarkStart w:id="1949" w:name="_Toc257532635"/>
      <w:bookmarkStart w:id="1950" w:name="_Toc619_WPSOffice_Level3"/>
      <w:bookmarkStart w:id="1951" w:name="_Toc10544"/>
      <w:bookmarkStart w:id="1952" w:name="_Toc11140_WPSOffice_Level3"/>
      <w:r>
        <w:rPr>
          <w:rFonts w:hint="eastAsia" w:ascii="Times New Roman" w:hAnsi="Times New Roman" w:eastAsia="宋体" w:cs="宋体"/>
          <w:kern w:val="2"/>
          <w:sz w:val="24"/>
          <w:szCs w:val="24"/>
          <w:lang w:val="en-US" w:eastAsia="zh-CN" w:bidi="ar-SA"/>
        </w:rPr>
        <w:t>（1）与</w:t>
      </w:r>
      <w:r>
        <w:rPr>
          <w:rFonts w:hint="eastAsia" w:cs="宋体"/>
          <w:kern w:val="2"/>
          <w:sz w:val="24"/>
          <w:szCs w:val="24"/>
          <w:lang w:val="en-US" w:eastAsia="zh-CN" w:bidi="ar-SA"/>
        </w:rPr>
        <w:t>《产业结构调整指导目录》（2019年本）</w:t>
      </w:r>
      <w:r>
        <w:rPr>
          <w:rFonts w:hint="eastAsia" w:ascii="Times New Roman" w:hAnsi="Times New Roman" w:eastAsia="宋体" w:cs="宋体"/>
          <w:kern w:val="2"/>
          <w:sz w:val="24"/>
          <w:szCs w:val="24"/>
          <w:lang w:val="en-US" w:eastAsia="zh-CN" w:bidi="ar-SA"/>
        </w:rPr>
        <w:t>相符性</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本项目主要产品为</w:t>
      </w:r>
      <w:r>
        <w:rPr>
          <w:rFonts w:hint="eastAsia" w:cs="宋体"/>
          <w:kern w:val="2"/>
          <w:sz w:val="24"/>
          <w:szCs w:val="24"/>
          <w:lang w:val="en-US" w:eastAsia="zh-CN" w:bidi="ar-SA"/>
        </w:rPr>
        <w:t>聚氨酯发泡胶材料</w:t>
      </w:r>
      <w:r>
        <w:rPr>
          <w:rFonts w:hint="eastAsia" w:ascii="Times New Roman" w:hAnsi="Times New Roman" w:eastAsia="宋体" w:cs="宋体"/>
          <w:kern w:val="2"/>
          <w:sz w:val="24"/>
          <w:szCs w:val="24"/>
          <w:lang w:val="en-US" w:eastAsia="zh-CN" w:bidi="ar-SA"/>
        </w:rPr>
        <w:t xml:space="preserve">，主要设备清单见表 </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STYLEREF 1 \s </w:instrText>
      </w:r>
      <w:r>
        <w:rPr>
          <w:rFonts w:hint="eastAsia" w:ascii="Times New Roman" w:hAnsi="Times New Roman" w:eastAsia="宋体" w:cs="宋体"/>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3</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SEQ 表 \* ARABIC \s 1 </w:instrText>
      </w:r>
      <w:r>
        <w:rPr>
          <w:rFonts w:hint="eastAsia" w:ascii="Times New Roman" w:hAnsi="Times New Roman" w:eastAsia="宋体" w:cs="宋体"/>
          <w:kern w:val="2"/>
          <w:sz w:val="24"/>
          <w:szCs w:val="24"/>
          <w:lang w:val="en-US" w:eastAsia="zh-CN" w:bidi="ar-SA"/>
        </w:rPr>
        <w:fldChar w:fldCharType="separate"/>
      </w:r>
      <w:r>
        <w:rPr>
          <w:rFonts w:hint="eastAsia" w:ascii="Times New Roman" w:hAnsi="Times New Roman" w:eastAsia="宋体" w:cs="宋体"/>
          <w:kern w:val="2"/>
          <w:sz w:val="24"/>
          <w:szCs w:val="24"/>
          <w:lang w:val="en-US" w:eastAsia="zh-CN" w:bidi="ar-SA"/>
        </w:rPr>
        <w:t>1</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。由</w:t>
      </w:r>
      <w:r>
        <w:rPr>
          <w:rFonts w:hint="eastAsia" w:cs="宋体"/>
          <w:kern w:val="2"/>
          <w:sz w:val="24"/>
          <w:szCs w:val="24"/>
          <w:lang w:val="en-US" w:eastAsia="zh-CN" w:bidi="ar-SA"/>
        </w:rPr>
        <w:t>《产业结构调整指导目录》（2019年本）</w:t>
      </w:r>
      <w:r>
        <w:rPr>
          <w:rFonts w:hint="eastAsia" w:ascii="Times New Roman" w:hAnsi="Times New Roman" w:eastAsia="宋体" w:cs="宋体"/>
          <w:kern w:val="2"/>
          <w:sz w:val="24"/>
          <w:szCs w:val="24"/>
          <w:lang w:val="en-US" w:eastAsia="zh-CN" w:bidi="ar-SA"/>
        </w:rPr>
        <w:t>和《部分工业行业淘汰落后生产工艺装备和产品指导目录（2010年本）》可知，本项目不属于国家限制及淘汰类中提及的内容。因此项目建设符合国家现行产业政策。</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（2）与《环境保护综合名录（2017年版）》相符性分析</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本项目不属于《环境保护综合名录（2017年版）》中“一、高污染、高环境风险产品名录”之类，符合《环境保护综合名录（2017年版）》相关要求。</w:t>
      </w:r>
    </w:p>
    <w:p>
      <w:pPr>
        <w:pStyle w:val="4"/>
        <w:bidi w:val="0"/>
        <w:rPr>
          <w:rFonts w:hint="eastAsia"/>
          <w:lang w:val="en-US" w:eastAsia="zh-CN"/>
        </w:rPr>
      </w:pPr>
      <w:bookmarkStart w:id="1953" w:name="_Toc14416"/>
      <w:bookmarkStart w:id="1954" w:name="_Toc4863"/>
      <w:r>
        <w:rPr>
          <w:rFonts w:hint="eastAsia"/>
          <w:lang w:val="en-US" w:eastAsia="zh-CN"/>
        </w:rPr>
        <w:t>项目选址合理性</w:t>
      </w:r>
      <w:bookmarkEnd w:id="1949"/>
      <w:bookmarkEnd w:id="1950"/>
      <w:bookmarkEnd w:id="1951"/>
      <w:bookmarkEnd w:id="1952"/>
      <w:bookmarkEnd w:id="1953"/>
      <w:bookmarkEnd w:id="1954"/>
    </w:p>
    <w:p>
      <w:pPr>
        <w:widowControl w:val="0"/>
        <w:bidi w:val="0"/>
        <w:spacing w:line="360" w:lineRule="auto"/>
        <w:ind w:firstLine="480" w:firstLineChars="200"/>
        <w:jc w:val="left"/>
        <w:rPr>
          <w:rFonts w:hint="eastAsia" w:ascii="Times New Roman" w:hAnsi="Times New Roman" w:eastAsia="宋体" w:cs="宋体"/>
          <w:kern w:val="2"/>
          <w:sz w:val="24"/>
          <w:szCs w:val="24"/>
          <w:highlight w:val="cyan"/>
          <w:lang w:val="en-US" w:eastAsia="zh-CN" w:bidi="ar-SA"/>
        </w:rPr>
      </w:pPr>
      <w:r>
        <w:rPr>
          <w:rFonts w:hint="eastAsia" w:ascii="Times New Roman" w:hAnsi="Times New Roman" w:eastAsia="宋体" w:cs="宋体"/>
          <w:kern w:val="2"/>
          <w:sz w:val="24"/>
          <w:szCs w:val="24"/>
          <w:lang w:val="en-US" w:eastAsia="zh-CN" w:bidi="ar-SA"/>
        </w:rPr>
        <w:t>本项目位于湖南湘阴县金龙新区工业区卓达金谷创业园8栋，所在厂房为建设方所购置，其为空置场地和厂房，根据工业区区域土地利用规划图可知，建设用地为二类工业用地，未占用基本农业用地和林地，符合国家现行的土地使用政策。根据《湘阴县金龙新区工业区规划环境影响报告书》可知园区禁止引进多晶硅、单晶硅，造纸、石化、</w:t>
      </w:r>
      <w:r>
        <w:rPr>
          <w:rFonts w:hint="eastAsia" w:cs="宋体"/>
          <w:kern w:val="2"/>
          <w:sz w:val="24"/>
          <w:szCs w:val="24"/>
          <w:lang w:val="en-US" w:eastAsia="zh-CN" w:bidi="ar-SA"/>
        </w:rPr>
        <w:t>冶金</w:t>
      </w:r>
      <w:r>
        <w:rPr>
          <w:rFonts w:hint="eastAsia" w:ascii="Times New Roman" w:hAnsi="Times New Roman" w:eastAsia="宋体" w:cs="宋体"/>
          <w:kern w:val="2"/>
          <w:sz w:val="24"/>
          <w:szCs w:val="24"/>
          <w:lang w:val="en-US" w:eastAsia="zh-CN" w:bidi="ar-SA"/>
        </w:rPr>
        <w:t>、皮革、医药、纺织印染、酒类、畜禽初加工、电镀和火力发电等行业，限制发展食品制造、饲料加工行业；本项目为塑料制品制造行业中的发泡胶产业，不属于上述禁止及限制类产业，且已取得各个部门的联审意见，故本项目与园区的产业定位无冲突。</w:t>
      </w:r>
    </w:p>
    <w:p>
      <w:pPr>
        <w:pStyle w:val="4"/>
        <w:bidi w:val="0"/>
        <w:rPr>
          <w:rFonts w:hint="eastAsia"/>
          <w:lang w:val="en-US" w:eastAsia="zh-CN"/>
        </w:rPr>
      </w:pPr>
      <w:bookmarkStart w:id="1955" w:name="_Toc9149"/>
      <w:bookmarkStart w:id="1956" w:name="_Toc29465"/>
      <w:r>
        <w:rPr>
          <w:rFonts w:hint="eastAsia"/>
          <w:lang w:val="en-US" w:eastAsia="zh-CN"/>
        </w:rPr>
        <w:t>项目平面布置合理性结论</w:t>
      </w:r>
      <w:bookmarkEnd w:id="1955"/>
      <w:bookmarkEnd w:id="1956"/>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bookmarkStart w:id="1957" w:name="_Toc257532637"/>
      <w:r>
        <w:rPr>
          <w:rFonts w:hint="eastAsia" w:ascii="Times New Roman" w:hAnsi="Times New Roman" w:eastAsia="宋体" w:cs="宋体"/>
          <w:kern w:val="2"/>
          <w:sz w:val="24"/>
          <w:szCs w:val="24"/>
          <w:lang w:val="en-US" w:eastAsia="zh-CN" w:bidi="ar-SA"/>
        </w:rPr>
        <w:t>本项目总体布局和功能分区充分考虑了位置、朝向等各个因素，各类污染防治措施布置合理可行，保证了污染物的达标排放及合理处置。总体说来，项目总平面布置基本合理，功能分区明确，人流物流通畅，环保设施齐全，总平面布置基本能够满足项目的需要及环保的要求。</w:t>
      </w:r>
    </w:p>
    <w:bookmarkEnd w:id="1957"/>
    <w:p>
      <w:pPr>
        <w:pStyle w:val="4"/>
        <w:bidi w:val="0"/>
        <w:rPr>
          <w:rFonts w:hint="eastAsia"/>
          <w:lang w:val="en-US" w:eastAsia="zh-CN"/>
        </w:rPr>
      </w:pPr>
      <w:bookmarkStart w:id="1958" w:name="_Toc1080"/>
      <w:bookmarkStart w:id="1959" w:name="_Toc18874"/>
      <w:bookmarkStart w:id="1960" w:name="_Toc2561_WPSOffice_Level3"/>
      <w:bookmarkStart w:id="1961" w:name="_Toc10248_WPSOffice_Level3"/>
      <w:bookmarkStart w:id="1962" w:name="_Toc18076"/>
      <w:r>
        <w:rPr>
          <w:rFonts w:hint="eastAsia"/>
          <w:lang w:val="en-US" w:eastAsia="zh-CN"/>
        </w:rPr>
        <w:t>环境风险分析可接受性</w:t>
      </w:r>
      <w:bookmarkEnd w:id="1958"/>
      <w:bookmarkEnd w:id="1959"/>
      <w:bookmarkEnd w:id="1960"/>
      <w:bookmarkEnd w:id="1961"/>
      <w:bookmarkEnd w:id="1962"/>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采用成熟可靠的生产工艺和先进的设备，通过采取一系列环境保护措施，在项目建成后能够有效防止生产废气事故排放及危险化学品泄漏事故发生，一旦发生事故，依靠拟定的安全防护设施和事故应急措施也能及时控制事故，防止事故的蔓延。因此，在建设单位制定严格的生产运行管理、加强员工的安全生产教育、提高风险意识，严格落实相关风险防范措施和安全应急措施的前提下，并制度详细的风险应急预案基础上，项目环境风险影响可接受。</w:t>
      </w:r>
    </w:p>
    <w:p>
      <w:pPr>
        <w:pStyle w:val="4"/>
        <w:bidi w:val="0"/>
        <w:rPr>
          <w:rFonts w:hint="eastAsia"/>
          <w:lang w:val="en-US" w:eastAsia="zh-CN"/>
        </w:rPr>
      </w:pPr>
      <w:bookmarkStart w:id="1963" w:name="_Toc18588"/>
      <w:bookmarkStart w:id="1964" w:name="_Toc23754_WPSOffice_Level3"/>
      <w:bookmarkStart w:id="1965" w:name="_Toc7107"/>
      <w:bookmarkStart w:id="1966" w:name="_Toc30080"/>
      <w:bookmarkStart w:id="1967" w:name="_Toc14371_WPSOffice_Level3"/>
      <w:r>
        <w:rPr>
          <w:rFonts w:hint="eastAsia"/>
          <w:lang w:val="en-US" w:eastAsia="zh-CN"/>
        </w:rPr>
        <w:t>总量控制</w:t>
      </w:r>
      <w:bookmarkEnd w:id="1963"/>
      <w:bookmarkEnd w:id="1964"/>
      <w:bookmarkEnd w:id="1965"/>
      <w:bookmarkEnd w:id="1966"/>
      <w:bookmarkEnd w:id="1967"/>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bookmarkStart w:id="1968" w:name="_Toc23887_WPSOffice_Level3"/>
      <w:bookmarkStart w:id="1969" w:name="_Toc14885"/>
      <w:bookmarkStart w:id="1970" w:name="_Toc5058_WPSOffice_Level3"/>
      <w:r>
        <w:rPr>
          <w:rFonts w:hint="eastAsia" w:ascii="Times New Roman" w:hAnsi="Times New Roman" w:eastAsia="宋体" w:cs="宋体"/>
          <w:kern w:val="2"/>
          <w:sz w:val="24"/>
          <w:szCs w:val="24"/>
          <w:lang w:val="en-US" w:eastAsia="zh-CN" w:bidi="ar-SA"/>
        </w:rPr>
        <w:t>根据国家环境保护部对实施污染物排放总量控制的要求以及“十三五”环保规划要求，根据拟建工程的污染特点和地方生态环境局的要求，需要实施总量控制的污染物项目为化学需氧量（COD）、氨氮（NH</w:t>
      </w:r>
      <w:r>
        <w:rPr>
          <w:rFonts w:hint="eastAsia" w:ascii="Times New Roman" w:hAnsi="Times New Roman" w:eastAsia="宋体" w:cs="宋体"/>
          <w:kern w:val="2"/>
          <w:sz w:val="24"/>
          <w:szCs w:val="24"/>
          <w:vertAlign w:val="subscript"/>
          <w:lang w:val="en-US" w:eastAsia="zh-CN" w:bidi="ar-SA"/>
        </w:rPr>
        <w:t>3</w:t>
      </w:r>
      <w:r>
        <w:rPr>
          <w:rFonts w:hint="eastAsia" w:ascii="Times New Roman" w:hAnsi="Times New Roman" w:eastAsia="宋体" w:cs="宋体"/>
          <w:kern w:val="2"/>
          <w:sz w:val="24"/>
          <w:szCs w:val="24"/>
          <w:lang w:val="en-US" w:eastAsia="zh-CN" w:bidi="ar-SA"/>
        </w:rPr>
        <w:t>-N）、二氧化硫（SO</w:t>
      </w:r>
      <w:r>
        <w:rPr>
          <w:rFonts w:hint="eastAsia" w:ascii="Times New Roman" w:hAnsi="Times New Roman" w:eastAsia="宋体" w:cs="宋体"/>
          <w:kern w:val="2"/>
          <w:sz w:val="24"/>
          <w:szCs w:val="24"/>
          <w:vertAlign w:val="subscript"/>
          <w:lang w:val="en-US" w:eastAsia="zh-CN" w:bidi="ar-SA"/>
        </w:rPr>
        <w:t>2</w:t>
      </w:r>
      <w:r>
        <w:rPr>
          <w:rFonts w:hint="eastAsia" w:ascii="Times New Roman" w:hAnsi="Times New Roman" w:eastAsia="宋体" w:cs="宋体"/>
          <w:kern w:val="2"/>
          <w:sz w:val="24"/>
          <w:szCs w:val="24"/>
          <w:lang w:val="en-US" w:eastAsia="zh-CN" w:bidi="ar-SA"/>
        </w:rPr>
        <w:t>）、氮氧化物（NO</w:t>
      </w:r>
      <w:r>
        <w:rPr>
          <w:rFonts w:hint="eastAsia" w:ascii="Times New Roman" w:hAnsi="Times New Roman" w:eastAsia="宋体" w:cs="宋体"/>
          <w:kern w:val="2"/>
          <w:sz w:val="24"/>
          <w:szCs w:val="24"/>
          <w:vertAlign w:val="subscript"/>
          <w:lang w:val="en-US" w:eastAsia="zh-CN" w:bidi="ar-SA"/>
        </w:rPr>
        <w:t>X</w:t>
      </w:r>
      <w:r>
        <w:rPr>
          <w:rFonts w:hint="eastAsia" w:ascii="Times New Roman" w:hAnsi="Times New Roman" w:eastAsia="宋体" w:cs="宋体"/>
          <w:kern w:val="2"/>
          <w:sz w:val="24"/>
          <w:szCs w:val="24"/>
          <w:lang w:val="en-US" w:eastAsia="zh-CN" w:bidi="ar-SA"/>
        </w:rPr>
        <w:t>）、特征污染物为挥发性有机物。</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本项目没有二氧化硫和氮氧化物排放，</w:t>
      </w:r>
      <w:r>
        <w:rPr>
          <w:rFonts w:hint="eastAsia" w:cs="宋体"/>
          <w:kern w:val="2"/>
          <w:sz w:val="24"/>
          <w:szCs w:val="24"/>
          <w:u w:val="single"/>
          <w:lang w:val="en-US" w:eastAsia="zh-CN" w:bidi="ar-SA"/>
        </w:rPr>
        <w:t>生活污水中的COD、氨氮</w:t>
      </w:r>
      <w:r>
        <w:rPr>
          <w:rFonts w:hint="eastAsia" w:ascii="Times New Roman" w:hAnsi="Times New Roman" w:eastAsia="宋体" w:cs="宋体"/>
          <w:kern w:val="2"/>
          <w:sz w:val="24"/>
          <w:szCs w:val="24"/>
          <w:u w:val="single"/>
          <w:lang w:val="en-US" w:eastAsia="zh-CN" w:bidi="ar-SA"/>
        </w:rPr>
        <w:t>不计入总量控制指标。本评价确定的污染物排放总量控制因子为</w:t>
      </w:r>
      <w:r>
        <w:rPr>
          <w:rFonts w:hint="eastAsia" w:cs="宋体"/>
          <w:kern w:val="2"/>
          <w:sz w:val="24"/>
          <w:szCs w:val="24"/>
          <w:u w:val="single"/>
          <w:lang w:val="en-US" w:eastAsia="zh-CN" w:bidi="ar-SA"/>
        </w:rPr>
        <w:t>VOCs</w:t>
      </w:r>
      <w:r>
        <w:rPr>
          <w:rFonts w:hint="eastAsia" w:ascii="Times New Roman" w:hAnsi="Times New Roman" w:eastAsia="宋体" w:cs="宋体"/>
          <w:kern w:val="2"/>
          <w:sz w:val="24"/>
          <w:szCs w:val="24"/>
          <w:u w:val="single"/>
          <w:lang w:val="en-US" w:eastAsia="zh-CN" w:bidi="ar-SA"/>
        </w:rPr>
        <w:t>，</w:t>
      </w:r>
      <w:r>
        <w:rPr>
          <w:rFonts w:hint="eastAsia" w:cs="宋体"/>
          <w:kern w:val="2"/>
          <w:sz w:val="24"/>
          <w:szCs w:val="24"/>
          <w:u w:val="single"/>
          <w:lang w:val="en-US" w:eastAsia="zh-CN" w:bidi="ar-SA"/>
        </w:rPr>
        <w:t>0.31</w:t>
      </w:r>
      <w:r>
        <w:rPr>
          <w:rFonts w:hint="eastAsia" w:ascii="Times New Roman" w:hAnsi="Times New Roman" w:eastAsia="宋体" w:cs="宋体"/>
          <w:kern w:val="2"/>
          <w:sz w:val="24"/>
          <w:szCs w:val="24"/>
          <w:u w:val="single"/>
          <w:lang w:val="en-US" w:eastAsia="zh-CN" w:bidi="ar-SA"/>
        </w:rPr>
        <w:t>t/a。</w:t>
      </w:r>
      <w:r>
        <w:rPr>
          <w:rFonts w:hint="eastAsia" w:ascii="Times New Roman" w:hAnsi="Times New Roman" w:eastAsia="宋体" w:cs="宋体"/>
          <w:kern w:val="2"/>
          <w:sz w:val="24"/>
          <w:szCs w:val="24"/>
          <w:lang w:val="en-US" w:eastAsia="zh-CN" w:bidi="ar-SA"/>
        </w:rPr>
        <w:t>本项目污染物排放总量指标汇总见</w:t>
      </w:r>
      <w:r>
        <w:rPr>
          <w:rFonts w:hint="eastAsia" w:ascii="Times New Roman" w:hAnsi="Times New Roman" w:eastAsia="宋体" w:cs="宋体"/>
          <w:kern w:val="2"/>
          <w:sz w:val="24"/>
          <w:szCs w:val="24"/>
          <w:lang w:val="en-US" w:eastAsia="zh-CN" w:bidi="ar-SA"/>
        </w:rPr>
        <w:fldChar w:fldCharType="begin"/>
      </w:r>
      <w:r>
        <w:rPr>
          <w:rFonts w:hint="eastAsia" w:ascii="Times New Roman" w:hAnsi="Times New Roman" w:eastAsia="宋体" w:cs="宋体"/>
          <w:kern w:val="2"/>
          <w:sz w:val="24"/>
          <w:szCs w:val="24"/>
          <w:lang w:val="en-US" w:eastAsia="zh-CN" w:bidi="ar-SA"/>
        </w:rPr>
        <w:instrText xml:space="preserve"> REF _Ref4209 \h </w:instrText>
      </w:r>
      <w:r>
        <w:rPr>
          <w:rFonts w:hint="eastAsia"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 xml:space="preserve">表 </w:t>
      </w:r>
      <w:r>
        <w:rPr>
          <w:rFonts w:ascii="Times New Roman" w:hAnsi="Times New Roman" w:eastAsia="宋体" w:cs="宋体"/>
          <w:kern w:val="2"/>
          <w:sz w:val="24"/>
          <w:szCs w:val="24"/>
          <w:lang w:val="en-US" w:eastAsia="zh-CN" w:bidi="ar-SA"/>
        </w:rPr>
        <w:fldChar w:fldCharType="begin"/>
      </w:r>
      <w:r>
        <w:rPr>
          <w:rFonts w:ascii="Times New Roman" w:hAnsi="Times New Roman" w:eastAsia="宋体" w:cs="宋体"/>
          <w:kern w:val="2"/>
          <w:sz w:val="24"/>
          <w:szCs w:val="24"/>
          <w:lang w:val="en-US" w:eastAsia="zh-CN" w:bidi="ar-SA"/>
        </w:rPr>
        <w:instrText xml:space="preserve"> STYLEREF 1 \s </w:instrText>
      </w:r>
      <w:r>
        <w:rPr>
          <w:rFonts w:ascii="Times New Roman" w:hAnsi="Times New Roman" w:eastAsia="宋体" w:cs="宋体"/>
          <w:kern w:val="2"/>
          <w:sz w:val="24"/>
          <w:szCs w:val="24"/>
          <w:lang w:val="en-US" w:eastAsia="zh-CN" w:bidi="ar-SA"/>
        </w:rPr>
        <w:fldChar w:fldCharType="separate"/>
      </w:r>
      <w:r>
        <w:rPr>
          <w:rFonts w:ascii="Times New Roman" w:hAnsi="Times New Roman" w:eastAsia="宋体" w:cs="宋体"/>
          <w:kern w:val="2"/>
          <w:sz w:val="24"/>
          <w:szCs w:val="24"/>
          <w:lang w:val="en-US" w:eastAsia="zh-CN" w:bidi="ar-SA"/>
        </w:rPr>
        <w:t>12</w:t>
      </w:r>
      <w:r>
        <w:rPr>
          <w:rFonts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r>
        <w:rPr>
          <w:rFonts w:ascii="Times New Roman" w:hAnsi="Times New Roman" w:eastAsia="宋体" w:cs="宋体"/>
          <w:kern w:val="2"/>
          <w:sz w:val="24"/>
          <w:szCs w:val="24"/>
          <w:lang w:val="en-US" w:eastAsia="zh-CN" w:bidi="ar-SA"/>
        </w:rPr>
        <w:t>2</w:t>
      </w:r>
      <w:r>
        <w:rPr>
          <w:rFonts w:hint="eastAsia" w:ascii="Times New Roman" w:hAnsi="Times New Roman" w:eastAsia="宋体" w:cs="宋体"/>
          <w:kern w:val="2"/>
          <w:sz w:val="24"/>
          <w:szCs w:val="24"/>
          <w:lang w:val="en-US" w:eastAsia="zh-CN" w:bidi="ar-SA"/>
        </w:rPr>
        <w:fldChar w:fldCharType="end"/>
      </w:r>
      <w:r>
        <w:rPr>
          <w:rFonts w:hint="eastAsia" w:ascii="Times New Roman" w:hAnsi="Times New Roman" w:eastAsia="宋体" w:cs="宋体"/>
          <w:kern w:val="2"/>
          <w:sz w:val="24"/>
          <w:szCs w:val="24"/>
          <w:lang w:val="en-US" w:eastAsia="zh-CN" w:bidi="ar-SA"/>
        </w:rPr>
        <w:t>。</w:t>
      </w:r>
    </w:p>
    <w:p>
      <w:pPr>
        <w:widowControl w:val="0"/>
        <w:bidi w:val="0"/>
        <w:spacing w:line="360" w:lineRule="auto"/>
        <w:jc w:val="center"/>
        <w:rPr>
          <w:rFonts w:hint="eastAsia" w:ascii="Times New Roman" w:hAnsi="Times New Roman" w:eastAsia="宋体" w:cs="Times New Roman"/>
          <w:b/>
          <w:kern w:val="2"/>
          <w:sz w:val="21"/>
          <w:szCs w:val="21"/>
          <w:lang w:val="en-US" w:eastAsia="zh-CN" w:bidi="ar-SA"/>
        </w:rPr>
      </w:pPr>
      <w:bookmarkStart w:id="1971" w:name="_Ref4209"/>
      <w:r>
        <w:rPr>
          <w:rFonts w:ascii="Times New Roman" w:hAnsi="Times New Roman" w:eastAsia="宋体" w:cs="Times New Roman"/>
          <w:b/>
          <w:kern w:val="2"/>
          <w:sz w:val="21"/>
          <w:szCs w:val="21"/>
          <w:lang w:val="en-US" w:eastAsia="zh-CN" w:bidi="ar-SA"/>
        </w:rPr>
        <w:t xml:space="preserve">表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1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12</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表 \* ARABIC \s 1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fldChar w:fldCharType="end"/>
      </w:r>
      <w:bookmarkEnd w:id="1971"/>
      <w:r>
        <w:rPr>
          <w:rFonts w:hint="eastAsia" w:ascii="Times New Roman" w:hAnsi="Times New Roman" w:eastAsia="宋体" w:cs="Times New Roman"/>
          <w:b/>
          <w:kern w:val="2"/>
          <w:sz w:val="21"/>
          <w:szCs w:val="21"/>
          <w:lang w:val="en-US" w:eastAsia="zh-CN" w:bidi="ar-SA"/>
        </w:rPr>
        <w:t>污染物排放总量指标 单位：t/a</w:t>
      </w:r>
    </w:p>
    <w:tbl>
      <w:tblPr>
        <w:tblStyle w:val="2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143"/>
        <w:gridCol w:w="1247"/>
        <w:gridCol w:w="1883"/>
        <w:gridCol w:w="323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390" w:type="dxa"/>
            <w:gridSpan w:val="2"/>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污染物</w:t>
            </w:r>
          </w:p>
        </w:tc>
        <w:tc>
          <w:tcPr>
            <w:tcW w:w="1883"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排放量</w:t>
            </w:r>
          </w:p>
        </w:tc>
        <w:tc>
          <w:tcPr>
            <w:tcW w:w="3231" w:type="dxa"/>
            <w:noWrap w:val="0"/>
            <w:vAlign w:val="center"/>
          </w:tcPr>
          <w:p>
            <w:pPr>
              <w:widowControl w:val="0"/>
              <w:bidi w:val="0"/>
              <w:adjustRightInd w:val="0"/>
              <w:snapToGrid w:val="0"/>
              <w:spacing w:line="240" w:lineRule="auto"/>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建议排放总量指标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143"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u w:val="single"/>
                <w:lang w:val="en-US" w:eastAsia="zh-CN" w:bidi="ar-SA"/>
              </w:rPr>
            </w:pPr>
            <w:r>
              <w:rPr>
                <w:rFonts w:ascii="Times New Roman" w:hAnsi="Times New Roman" w:eastAsia="宋体" w:cs="Times New Roman"/>
                <w:kern w:val="2"/>
                <w:sz w:val="24"/>
                <w:szCs w:val="24"/>
                <w:u w:val="single"/>
                <w:lang w:val="en-US" w:eastAsia="zh-CN" w:bidi="ar-SA"/>
              </w:rPr>
              <w:t>废</w:t>
            </w:r>
            <w:r>
              <w:rPr>
                <w:rFonts w:hint="eastAsia" w:cs="Times New Roman"/>
                <w:kern w:val="2"/>
                <w:sz w:val="24"/>
                <w:szCs w:val="24"/>
                <w:u w:val="single"/>
                <w:lang w:val="en-US" w:eastAsia="zh-CN" w:bidi="ar-SA"/>
              </w:rPr>
              <w:t>气</w:t>
            </w:r>
          </w:p>
        </w:tc>
        <w:tc>
          <w:tcPr>
            <w:tcW w:w="1247" w:type="dxa"/>
            <w:noWrap w:val="0"/>
            <w:vAlign w:val="center"/>
          </w:tcPr>
          <w:p>
            <w:pPr>
              <w:widowControl w:val="0"/>
              <w:bidi w:val="0"/>
              <w:adjustRightInd w:val="0"/>
              <w:snapToGrid w:val="0"/>
              <w:spacing w:line="240" w:lineRule="auto"/>
              <w:jc w:val="center"/>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VOCs</w:t>
            </w:r>
          </w:p>
        </w:tc>
        <w:tc>
          <w:tcPr>
            <w:tcW w:w="1883"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u w:val="single"/>
                <w:lang w:val="en-US" w:eastAsia="zh-CN" w:bidi="ar-SA"/>
              </w:rPr>
            </w:pPr>
            <w:r>
              <w:rPr>
                <w:rFonts w:hint="eastAsia" w:cs="Times New Roman"/>
                <w:kern w:val="2"/>
                <w:sz w:val="24"/>
                <w:szCs w:val="24"/>
                <w:u w:val="single"/>
                <w:lang w:val="en-US" w:eastAsia="zh-CN" w:bidi="ar-SA"/>
              </w:rPr>
              <w:t>0.31</w:t>
            </w:r>
          </w:p>
        </w:tc>
        <w:tc>
          <w:tcPr>
            <w:tcW w:w="3231" w:type="dxa"/>
            <w:noWrap w:val="0"/>
            <w:vAlign w:val="center"/>
          </w:tcPr>
          <w:p>
            <w:pPr>
              <w:widowControl w:val="0"/>
              <w:bidi w:val="0"/>
              <w:adjustRightInd w:val="0"/>
              <w:snapToGrid w:val="0"/>
              <w:spacing w:line="240" w:lineRule="auto"/>
              <w:jc w:val="center"/>
              <w:rPr>
                <w:rFonts w:hint="default" w:ascii="Times New Roman" w:hAnsi="Times New Roman" w:eastAsia="宋体" w:cs="Times New Roman"/>
                <w:kern w:val="2"/>
                <w:sz w:val="24"/>
                <w:szCs w:val="24"/>
                <w:u w:val="single"/>
                <w:lang w:val="en-US" w:eastAsia="zh-CN" w:bidi="ar-SA"/>
              </w:rPr>
            </w:pPr>
            <w:r>
              <w:rPr>
                <w:rFonts w:hint="eastAsia" w:cs="Times New Roman"/>
                <w:kern w:val="2"/>
                <w:sz w:val="24"/>
                <w:szCs w:val="24"/>
                <w:u w:val="single"/>
                <w:lang w:val="en-US" w:eastAsia="zh-CN" w:bidi="ar-SA"/>
              </w:rPr>
              <w:t>0.31</w:t>
            </w:r>
          </w:p>
        </w:tc>
      </w:tr>
    </w:tbl>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highlight w:val="none"/>
          <w:u w:val="single"/>
          <w:lang w:val="en-US" w:eastAsia="zh-CN" w:bidi="ar-SA"/>
        </w:rPr>
        <w:t>项目废水总量控制指标</w:t>
      </w:r>
      <w:r>
        <w:rPr>
          <w:rFonts w:hint="eastAsia" w:cs="宋体"/>
          <w:kern w:val="2"/>
          <w:sz w:val="24"/>
          <w:szCs w:val="24"/>
          <w:highlight w:val="none"/>
          <w:u w:val="single"/>
          <w:lang w:val="en-US" w:eastAsia="zh-CN" w:bidi="ar-SA"/>
        </w:rPr>
        <w:t>VOCs</w:t>
      </w:r>
      <w:r>
        <w:rPr>
          <w:rFonts w:hint="eastAsia" w:ascii="Times New Roman" w:hAnsi="Times New Roman" w:eastAsia="宋体" w:cs="宋体"/>
          <w:kern w:val="2"/>
          <w:sz w:val="24"/>
          <w:szCs w:val="24"/>
          <w:highlight w:val="none"/>
          <w:u w:val="single"/>
          <w:lang w:val="en-US" w:eastAsia="zh-CN" w:bidi="ar-SA"/>
        </w:rPr>
        <w:t>：</w:t>
      </w:r>
      <w:r>
        <w:rPr>
          <w:rFonts w:hint="eastAsia" w:cs="宋体"/>
          <w:kern w:val="2"/>
          <w:sz w:val="24"/>
          <w:szCs w:val="24"/>
          <w:highlight w:val="none"/>
          <w:u w:val="single"/>
          <w:lang w:val="en-US" w:eastAsia="zh-CN" w:bidi="ar-SA"/>
        </w:rPr>
        <w:t>0.31</w:t>
      </w:r>
      <w:r>
        <w:rPr>
          <w:rFonts w:hint="eastAsia" w:ascii="Times New Roman" w:hAnsi="Times New Roman" w:eastAsia="宋体" w:cs="宋体"/>
          <w:kern w:val="2"/>
          <w:sz w:val="24"/>
          <w:szCs w:val="24"/>
          <w:highlight w:val="none"/>
          <w:u w:val="single"/>
          <w:lang w:val="en-US" w:eastAsia="zh-CN" w:bidi="ar-SA"/>
        </w:rPr>
        <w:t>t/a，</w:t>
      </w:r>
      <w:r>
        <w:rPr>
          <w:rFonts w:hint="eastAsia" w:ascii="Times New Roman" w:hAnsi="Times New Roman" w:eastAsia="宋体" w:cs="宋体"/>
          <w:kern w:val="2"/>
          <w:sz w:val="24"/>
          <w:szCs w:val="24"/>
          <w:highlight w:val="none"/>
          <w:lang w:val="en-US" w:eastAsia="zh-CN" w:bidi="ar-SA"/>
        </w:rPr>
        <w:t>由建设单位通过交易平台申请购买</w:t>
      </w:r>
      <w:r>
        <w:rPr>
          <w:rFonts w:hint="eastAsia" w:ascii="Times New Roman" w:hAnsi="Times New Roman" w:eastAsia="宋体" w:cs="宋体"/>
          <w:kern w:val="2"/>
          <w:sz w:val="24"/>
          <w:szCs w:val="24"/>
          <w:lang w:val="en-US" w:eastAsia="zh-CN" w:bidi="ar-SA"/>
        </w:rPr>
        <w:t>。</w:t>
      </w:r>
    </w:p>
    <w:p>
      <w:pPr>
        <w:pStyle w:val="4"/>
        <w:bidi w:val="0"/>
        <w:rPr>
          <w:rFonts w:hint="eastAsia"/>
          <w:lang w:val="en-US" w:eastAsia="zh-CN"/>
        </w:rPr>
      </w:pPr>
      <w:bookmarkStart w:id="1972" w:name="_Toc5857"/>
      <w:bookmarkStart w:id="1973" w:name="_Toc3456"/>
      <w:r>
        <w:rPr>
          <w:rFonts w:hint="eastAsia"/>
          <w:lang w:val="en-US" w:eastAsia="zh-CN"/>
        </w:rPr>
        <w:t>公众参与结果</w:t>
      </w:r>
      <w:bookmarkEnd w:id="1968"/>
      <w:bookmarkEnd w:id="1969"/>
      <w:bookmarkEnd w:id="1970"/>
      <w:bookmarkEnd w:id="1972"/>
      <w:bookmarkEnd w:id="1973"/>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通过报纸公示、网上公示、现场公示，项目环评期间，建设单位和环评单位均未收到反对本项目建设的意见和相关具体要求，表明项目地公众对本项目的建设基本上是支持的。在建设单位采用先进、成熟的工艺技术，严格落实好环评提出的各项污染防治措施，且环境管理部门严格执法监督的前提下，被调查公众认为本项目的建设是可行的。</w:t>
      </w:r>
    </w:p>
    <w:p>
      <w:pPr>
        <w:pStyle w:val="4"/>
        <w:bidi w:val="0"/>
        <w:rPr>
          <w:rFonts w:hint="eastAsia"/>
          <w:lang w:val="en-US" w:eastAsia="zh-CN"/>
        </w:rPr>
      </w:pPr>
      <w:bookmarkStart w:id="1974" w:name="_Toc21993"/>
      <w:bookmarkStart w:id="1975" w:name="_Toc23828_WPSOffice_Level3"/>
      <w:bookmarkStart w:id="1976" w:name="_Toc31240_WPSOffice_Level3"/>
      <w:bookmarkStart w:id="1977" w:name="_Toc14586"/>
      <w:bookmarkStart w:id="1978" w:name="_Toc11245"/>
      <w:r>
        <w:rPr>
          <w:rFonts w:hint="eastAsia"/>
          <w:lang w:val="en-US" w:eastAsia="zh-CN"/>
        </w:rPr>
        <w:t>环境经济损益分析</w:t>
      </w:r>
      <w:bookmarkEnd w:id="1974"/>
      <w:bookmarkEnd w:id="1975"/>
      <w:bookmarkEnd w:id="1976"/>
      <w:bookmarkEnd w:id="1977"/>
      <w:bookmarkEnd w:id="1978"/>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bookmarkStart w:id="1979" w:name="_Toc30410_WPSOffice_Level2"/>
      <w:bookmarkStart w:id="1980" w:name="_Toc6419_WPSOffice_Level2"/>
      <w:bookmarkStart w:id="1981" w:name="_Toc5674"/>
      <w:bookmarkStart w:id="1982" w:name="_Toc11396_WPSOffice_Level2"/>
      <w:bookmarkStart w:id="1983" w:name="_Toc24137"/>
      <w:bookmarkStart w:id="1984" w:name="_Toc18400"/>
      <w:bookmarkStart w:id="1985" w:name="_Toc25136_WPSOffice_Level2"/>
      <w:bookmarkStart w:id="1986" w:name="_Toc474_WPSOffice_Level2"/>
      <w:bookmarkStart w:id="1987" w:name="_Toc4254"/>
      <w:bookmarkStart w:id="1988" w:name="_Toc331278446"/>
      <w:bookmarkStart w:id="1989" w:name="_Toc252173685"/>
      <w:r>
        <w:rPr>
          <w:rFonts w:hint="eastAsia" w:ascii="Times New Roman" w:hAnsi="Times New Roman" w:eastAsia="宋体" w:cs="宋体"/>
          <w:kern w:val="2"/>
          <w:sz w:val="24"/>
          <w:szCs w:val="24"/>
          <w:lang w:val="en-US" w:eastAsia="zh-CN" w:bidi="ar-SA"/>
        </w:rPr>
        <w:t>项目总投资为5000万元人民币，本次工程环保投资估算为34万元，占项目建设投资的比例为0.68％。因此，从上述数据来看，该项目的经济效益是十分显著，同时项目可给当地提供就业岗位，增加就业，带动地方经济发展，提高国税、地税收入，具有较好的社会效益。</w:t>
      </w:r>
    </w:p>
    <w:p>
      <w:pPr>
        <w:pStyle w:val="2"/>
        <w:bidi w:val="0"/>
        <w:rPr>
          <w:lang w:val="en-US" w:eastAsia="zh-CN"/>
        </w:rPr>
      </w:pPr>
      <w:bookmarkStart w:id="1990" w:name="_Toc4131"/>
      <w:bookmarkStart w:id="1991" w:name="_Toc4399"/>
      <w:bookmarkStart w:id="1992" w:name="_Toc20032"/>
      <w:r>
        <w:rPr>
          <w:lang w:val="en-US" w:eastAsia="zh-CN"/>
        </w:rPr>
        <w:t>总结论</w:t>
      </w:r>
      <w:bookmarkEnd w:id="1979"/>
      <w:bookmarkEnd w:id="1980"/>
      <w:bookmarkEnd w:id="1981"/>
      <w:bookmarkEnd w:id="1982"/>
      <w:bookmarkEnd w:id="1983"/>
      <w:bookmarkEnd w:id="1984"/>
      <w:bookmarkEnd w:id="1985"/>
      <w:bookmarkEnd w:id="1986"/>
      <w:bookmarkEnd w:id="1987"/>
      <w:bookmarkEnd w:id="1990"/>
      <w:bookmarkEnd w:id="1991"/>
      <w:bookmarkEnd w:id="1992"/>
    </w:p>
    <w:bookmarkEnd w:id="1988"/>
    <w:bookmarkEnd w:id="1989"/>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bookmarkStart w:id="1993" w:name="_Toc19674"/>
      <w:bookmarkStart w:id="1994" w:name="_Toc23623"/>
      <w:bookmarkStart w:id="1995" w:name="_Toc20095_WPSOffice_Level2"/>
      <w:bookmarkStart w:id="1996" w:name="_Toc17000_WPSOffice_Level2"/>
      <w:bookmarkStart w:id="1997" w:name="_Toc28420_WPSOffice_Level2"/>
      <w:bookmarkStart w:id="1998" w:name="_Toc29830_WPSOffice_Level2"/>
      <w:bookmarkStart w:id="1999" w:name="_Toc11562_WPSOffice_Level2"/>
      <w:bookmarkStart w:id="2000" w:name="_Toc22010"/>
      <w:bookmarkStart w:id="2001" w:name="_Toc19239"/>
      <w:bookmarkStart w:id="2002" w:name="_Toc252173684"/>
      <w:bookmarkStart w:id="2003" w:name="_Toc331278447"/>
      <w:r>
        <w:rPr>
          <w:rFonts w:hint="eastAsia" w:ascii="Times New Roman" w:hAnsi="Times New Roman" w:eastAsia="宋体" w:cs="宋体"/>
          <w:kern w:val="2"/>
          <w:sz w:val="24"/>
          <w:szCs w:val="24"/>
          <w:lang w:val="en-US" w:eastAsia="zh-CN" w:bidi="ar-SA"/>
        </w:rPr>
        <w:t>本项目的建设符合当前国家产业政策，符合土地利用规划，选址可行；工程工艺合理，工程的建设符合有关规定和要求；在落实报告中的整治措施后，企业生产过程中产生的各种污染物均可实现达标排放，有效的减少了污染物的排放总量，避免了废物对环境的二次污染，具有良好的环境效益，能够满足清洁生产要求，该项目具有明显的社会、经济效益。</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通过分析，本评价认为，只要建设单位能认真贯彻执行国家和地方的环境保护法规政策，加强企业环境管理，严格执行企业环保质量安全规程，控制污染物排放总量，认真落实本评价中提出的各项污染防治对策，严格执行“三同时”政策，则本项目在该址建设，从环保角度来说是可行的。</w:t>
      </w:r>
    </w:p>
    <w:p>
      <w:pPr>
        <w:pStyle w:val="2"/>
        <w:bidi w:val="0"/>
        <w:rPr>
          <w:lang w:val="en-US" w:eastAsia="zh-CN"/>
        </w:rPr>
      </w:pPr>
      <w:bookmarkStart w:id="2004" w:name="_Toc14825"/>
      <w:bookmarkStart w:id="2005" w:name="_Toc25746"/>
      <w:bookmarkStart w:id="2006" w:name="_Toc6409"/>
      <w:r>
        <w:rPr>
          <w:lang w:val="en-US" w:eastAsia="zh-CN"/>
        </w:rPr>
        <w:t>建议</w:t>
      </w:r>
      <w:bookmarkEnd w:id="1993"/>
      <w:bookmarkEnd w:id="1994"/>
      <w:bookmarkEnd w:id="1995"/>
      <w:bookmarkEnd w:id="1996"/>
      <w:bookmarkEnd w:id="1997"/>
      <w:bookmarkEnd w:id="1998"/>
      <w:bookmarkEnd w:id="1999"/>
      <w:bookmarkEnd w:id="2000"/>
      <w:bookmarkEnd w:id="2001"/>
      <w:bookmarkEnd w:id="2004"/>
      <w:bookmarkEnd w:id="2005"/>
      <w:bookmarkEnd w:id="2006"/>
    </w:p>
    <w:bookmarkEnd w:id="2002"/>
    <w:bookmarkEnd w:id="2003"/>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1、建议企业定期委托环境监测单位对各环保治理措施进行跟踪监测，确保所有环保设备的正常稳定运行。</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2、建议企业方严格执行国家“三同时”政策，做到环保设施与主体工程同时设计、同时</w:t>
      </w:r>
      <w:bookmarkStart w:id="2007" w:name="_GoBack"/>
      <w:bookmarkEnd w:id="2007"/>
      <w:r>
        <w:rPr>
          <w:rFonts w:hint="eastAsia" w:ascii="Times New Roman" w:hAnsi="Times New Roman" w:eastAsia="宋体" w:cs="宋体"/>
          <w:kern w:val="2"/>
          <w:sz w:val="24"/>
          <w:szCs w:val="24"/>
          <w:lang w:val="en-US" w:eastAsia="zh-CN" w:bidi="ar-SA"/>
        </w:rPr>
        <w:t>施工、同时运行投产；项目建成，经环保部门验收合格后，方可投入使用。</w:t>
      </w:r>
    </w:p>
    <w:p>
      <w:pPr>
        <w:widowControl w:val="0"/>
        <w:bidi w:val="0"/>
        <w:spacing w:line="360" w:lineRule="auto"/>
        <w:ind w:firstLine="480" w:firstLineChars="200"/>
        <w:jc w:val="left"/>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3、加强有机废气的处理装置的运行管理，保证处理系统的长期高效运转，确保废气中各污染物稳定达标排放</w:t>
      </w:r>
    </w:p>
    <w:p>
      <w:pPr>
        <w:pStyle w:val="25"/>
        <w:bidi w:val="0"/>
      </w:pPr>
      <w:r>
        <w:rPr>
          <w:rFonts w:hint="eastAsia" w:ascii="Times New Roman" w:hAnsi="Times New Roman" w:eastAsia="宋体" w:cs="宋体"/>
          <w:kern w:val="2"/>
          <w:sz w:val="24"/>
          <w:szCs w:val="24"/>
          <w:lang w:val="en-US" w:eastAsia="zh-CN" w:bidi="ar-SA"/>
        </w:rPr>
        <w:t>4、建设单位应尽可能采用环保原料，减少有机溶剂的使用量，以减轻有机废气对周围环境的影响。</w:t>
      </w:r>
    </w:p>
    <w:sectPr>
      <w:headerReference r:id="rId17" w:type="default"/>
      <w:footerReference r:id="rId18" w:type="default"/>
      <w:pgSz w:w="11906" w:h="16838"/>
      <w:pgMar w:top="1134" w:right="1134" w:bottom="1134" w:left="1134" w:header="851" w:footer="992" w:gutter="0"/>
      <w:pgBorders>
        <w:top w:val="none" w:sz="0" w:space="0"/>
        <w:left w:val="none" w:sz="0" w:space="0"/>
        <w:bottom w:val="none" w:sz="0" w:space="0"/>
        <w:right w:val="none" w:sz="0" w:space="0"/>
      </w:pgBorders>
      <w:pgNumType w:fmt="decimal"/>
      <w:cols w:space="0" w:num="1"/>
      <w:rtlGutter w:val="0"/>
      <w:docGrid w:type="lines" w:linePitch="34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auto"/>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MS Mincho">
    <w:panose1 w:val="020206090402050803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57835" cy="26289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457835" cy="262890"/>
                      </a:xfrm>
                      <a:prstGeom prst="rect">
                        <a:avLst/>
                      </a:prstGeom>
                      <a:noFill/>
                      <a:ln>
                        <a:noFill/>
                      </a:ln>
                    </wps:spPr>
                    <wps:txbx>
                      <w:txbxContent>
                        <w:p>
                          <w:pPr>
                            <w:tabs>
                              <w:tab w:val="center" w:pos="4153"/>
                              <w:tab w:val="right" w:pos="8306"/>
                            </w:tabs>
                            <w:ind w:firstLine="360"/>
                          </w:pPr>
                          <w:r>
                            <w:fldChar w:fldCharType="begin"/>
                          </w:r>
                          <w:r>
                            <w:instrText xml:space="preserve">PAGE  </w:instrText>
                          </w:r>
                          <w:r>
                            <w:fldChar w:fldCharType="separate"/>
                          </w:r>
                          <w:r>
                            <w:t>130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20.7pt;width:36.05pt;mso-position-horizontal:center;mso-position-horizontal-relative:margin;mso-wrap-style:none;z-index:251659264;mso-width-relative:page;mso-height-relative:page;" filled="f" stroked="f" coordsize="21600,21600" o:gfxdata="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hn9fm&#10;0QAAAAMBAAAPAAAAAAAAAAEAIAAAACIAAABkcnMvZG93bnJldi54bWxQSwECFAAUAAAACACHTuJA&#10;shwT+bYBAABLAwAADgAAAAAAAAABACAAAAAgAQAAZHJzL2Uyb0RvYy54bWxQSwUGAAAAAAYABgBZ&#10;AQAASAUAAAAA&#10;">
              <v:fill on="f" focussize="0,0"/>
              <v:stroke on="f"/>
              <v:imagedata o:title=""/>
              <o:lock v:ext="edit" aspectratio="f"/>
              <v:textbox inset="0mm,0mm,0mm,0mm" style="mso-fit-shape-to-text:t;">
                <w:txbxContent>
                  <w:p>
                    <w:pPr>
                      <w:tabs>
                        <w:tab w:val="center" w:pos="4153"/>
                        <w:tab w:val="right" w:pos="8306"/>
                      </w:tabs>
                      <w:ind w:firstLine="360"/>
                    </w:pPr>
                    <w:r>
                      <w:fldChar w:fldCharType="begin"/>
                    </w:r>
                    <w:r>
                      <w:instrText xml:space="preserve">PAGE  </w:instrText>
                    </w:r>
                    <w:r>
                      <w:fldChar w:fldCharType="separate"/>
                    </w:r>
                    <w:r>
                      <w:t>130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Mh2d9gbAgAAIwQAAA4A&#10;AAAAAAAAAQAgAAAAHwEAAGRycy9lMm9Eb2MueG1sUEsFBgAAAAAGAAYAWQEAAKwFAAAAAA==&#10;">
              <v:fill on="f" focussize="0,0"/>
              <v:stroke on="f" weight="0.5pt"/>
              <v:imagedata o:title=""/>
              <o:lock v:ext="edit" aspectratio="f"/>
              <v:textbox inset="0mm,0mm,0mm,0mm" style="mso-fit-shape-to-text:t;">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EPZ0ZAgAAIw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DpxD2dGQIAACMEAAAOAAAA&#10;AAAAAAEAIAAAAB8BAABkcnMvZTJvRG9jLnhtbFBLBQYAAAAABgAGAFkBAACqBQAAAAA=&#10;">
              <v:fill on="f" focussize="0,0"/>
              <v:stroke on="f" weight="0.5pt"/>
              <v:imagedata o:title=""/>
              <o:lock v:ext="edit" aspectratio="f"/>
              <v:textbox inset="0mm,0mm,0mm,0mm" style="mso-fit-shape-to-text:t;">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AY5RKHHAIAACMEAAAO&#10;AAAAAAAAAAEAIAAAAB8BAABkcnMvZTJvRG9jLnhtbFBLBQYAAAAABgAGAFkBAACtBQAAAAA=&#10;">
              <v:fill on="f" focussize="0,0"/>
              <v:stroke on="f" weight="0.5pt"/>
              <v:imagedata o:title=""/>
              <o:lock v:ext="edit" aspectratio="f"/>
              <v:textbox inset="0mm,0mm,0mm,0mm" style="mso-fit-shape-to-text:t;">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DkbtzMbAgAAIwQAAA4A&#10;AAAAAAAAAQAgAAAAHwEAAGRycy9lMm9Eb2MueG1sUEsFBgAAAAAGAAYAWQEAAKwFAAAAAA==&#10;">
              <v:fill on="f" focussize="0,0"/>
              <v:stroke on="f" weight="0.5pt"/>
              <v:imagedata o:title=""/>
              <o:lock v:ext="edit" aspectratio="f"/>
              <v:textbox inset="0mm,0mm,0mm,0mm" style="mso-fit-shape-to-text:t;">
                <w:txbxContent>
                  <w:p>
                    <w:pPr>
                      <w:tabs>
                        <w:tab w:val="center" w:pos="4153"/>
                        <w:tab w:val="right" w:pos="8306"/>
                      </w:tabs>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0rSUkaAgAAIw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3StJSRoCAAAjBAAADgAA&#10;AAAAAAABACAAAAAfAQAAZHJzL2Uyb0RvYy54bWxQSwUGAAAAAAYABgBZAQAAqwUAAAAA&#10;">
              <v:fill on="f" focussize="0,0"/>
              <v:stroke on="f" weight="0.5pt"/>
              <v:imagedata o:title=""/>
              <o:lock v:ext="edit" aspectratio="f"/>
              <v:textbox inset="0mm,0mm,0mm,0mm" style="mso-fit-shape-to-text:t;">
                <w:txbxContent>
                  <w:p>
                    <w:pPr>
                      <w:tabs>
                        <w:tab w:val="center" w:pos="4153"/>
                        <w:tab w:val="right" w:pos="8306"/>
                      </w:tabs>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pPr>
    <w:r>
      <w:rPr>
        <w:sz w:val="24"/>
      </w:rPr>
      <mc:AlternateContent>
        <mc:Choice Requires="wps">
          <w:drawing>
            <wp:anchor distT="0" distB="0" distL="114300" distR="114300" simplePos="0" relativeHeight="1338312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338312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SVju0AAAAAUBAAAPAAAA&#10;AAAAAAEAIAAAACIAAABkcnMvZG93bnJldi54bWxQSwECFAAUAAAACACHTuJAa6uG1B0CAAAjBAAA&#10;DgAAAAAAAAABACAAAAAfAQAAZHJzL2Uyb0RvYy54bWxQSwUGAAAAAAYABgBZAQAArgUAAAAA&#10;">
              <v:fill on="f" focussize="0,0"/>
              <v:stroke on="f" weight="0.5pt"/>
              <v:imagedata o:title=""/>
              <o:lock v:ext="edit" aspectratio="f"/>
              <v:textbox inset="0mm,0mm,0mm,0mm" style="mso-fit-shape-to-text:t;">
                <w:txbxContent>
                  <w:p>
                    <w:pPr>
                      <w:tabs>
                        <w:tab w:val="center" w:pos="4153"/>
                        <w:tab w:val="right" w:pos="8306"/>
                      </w:tabs>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pPr>
    <w:r>
      <w:rPr>
        <w:sz w:val="24"/>
      </w:rPr>
      <mc:AlternateContent>
        <mc:Choice Requires="wps">
          <w:drawing>
            <wp:anchor distT="0" distB="0" distL="114300" distR="114300" simplePos="0" relativeHeight="1338303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338303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HNZH34bAgAAIwQAAA4A&#10;AAAAAAAAAQAgAAAAHwEAAGRycy9lMm9Eb2MueG1sUEsFBgAAAAAGAAYAWQEAAKwFAAAAAA==&#10;">
              <v:fill on="f" focussize="0,0"/>
              <v:stroke on="f" weight="0.5pt"/>
              <v:imagedata o:title=""/>
              <o:lock v:ext="edit" aspectratio="f"/>
              <v:textbox inset="0mm,0mm,0mm,0mm" style="mso-fit-shape-to-text:t;">
                <w:txbxContent>
                  <w:p>
                    <w:pPr>
                      <w:tabs>
                        <w:tab w:val="center" w:pos="4153"/>
                        <w:tab w:val="right" w:pos="8306"/>
                      </w:tabs>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right="36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53035" cy="26289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tabs>
                              <w:tab w:val="center" w:pos="4153"/>
                              <w:tab w:val="right" w:pos="8306"/>
                            </w:tabs>
                          </w:pPr>
                          <w:r>
                            <w:fldChar w:fldCharType="begin"/>
                          </w:r>
                          <w:r>
                            <w:instrText xml:space="preserve">PAGE  </w:instrText>
                          </w:r>
                          <w:r>
                            <w:fldChar w:fldCharType="separate"/>
                          </w:r>
                          <w:r>
                            <w:t>47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20.7pt;width:12.05pt;mso-position-horizontal:center;mso-position-horizontal-relative:margin;mso-wrap-style:none;z-index:251658240;mso-width-relative:page;mso-height-relative:page;" filled="f" stroked="f" coordsize="21600,21600" o:gfxdata="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ioC19EAAAADAQAADwAAAAAAAAABACAAAAAiAAAAZHJzL2Rvd25yZXYueG1sUEsBAhQAFAAA&#10;AAgAh07iQIF8RX+9AQAAYgMAAA4AAAAAAAAAAQAgAAAAIAEAAGRycy9lMm9Eb2MueG1sUEsFBgAA&#10;AAAGAAYAWQEAAE8FAAAAAA==&#10;">
              <v:fill on="f" focussize="0,0"/>
              <v:stroke on="f"/>
              <v:imagedata o:title=""/>
              <o:lock v:ext="edit" aspectratio="f"/>
              <v:textbox inset="0mm,0mm,0mm,0mm" style="mso-fit-shape-to-text:t;">
                <w:txbxContent>
                  <w:p>
                    <w:pPr>
                      <w:tabs>
                        <w:tab w:val="center" w:pos="4153"/>
                        <w:tab w:val="right" w:pos="8306"/>
                      </w:tabs>
                    </w:pPr>
                    <w:r>
                      <w:fldChar w:fldCharType="begin"/>
                    </w:r>
                    <w:r>
                      <w:instrText xml:space="preserve">PAGE  </w:instrText>
                    </w:r>
                    <w:r>
                      <w:fldChar w:fldCharType="separate"/>
                    </w:r>
                    <w:r>
                      <w:t>47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bidi w:val="0"/>
      <w:rPr>
        <w:rFonts w:hint="eastAsia"/>
        <w:b w:val="0"/>
        <w:bCs w:val="0"/>
        <w:lang w:val="en-US" w:eastAsia="zh-CN"/>
      </w:rPr>
    </w:pPr>
    <w:r>
      <w:rPr>
        <w:rFonts w:hint="eastAsia"/>
        <w:b w:val="0"/>
        <w:bCs w:val="0"/>
        <w:lang w:eastAsia="zh-CN"/>
      </w:rPr>
      <w:t>湖南聚特新材料有限公司年产</w:t>
    </w:r>
    <w:r>
      <w:rPr>
        <w:rFonts w:hint="eastAsia"/>
        <w:b w:val="0"/>
        <w:bCs w:val="0"/>
        <w:lang w:val="en-US" w:eastAsia="zh-CN"/>
      </w:rPr>
      <w:t>6500吨聚氨酯发泡胶材料生产项目环境影响报告书</w:t>
    </w:r>
  </w:p>
  <w:p>
    <w:pPr>
      <w:tabs>
        <w:tab w:val="center" w:pos="4153"/>
        <w:tab w:val="right"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bidi w:val="0"/>
      <w:rPr>
        <w:rFonts w:hint="eastAsia"/>
        <w:lang w:val="en-US" w:eastAsia="zh-CN"/>
      </w:rPr>
    </w:pPr>
    <w:r>
      <w:rPr>
        <w:rFonts w:hint="eastAsia"/>
        <w:lang w:eastAsia="zh-CN"/>
      </w:rPr>
      <w:t>湖南聚特新材料有限公司年产</w:t>
    </w:r>
    <w:r>
      <w:rPr>
        <w:rFonts w:hint="eastAsia"/>
        <w:lang w:val="en-US" w:eastAsia="zh-CN"/>
      </w:rPr>
      <w:t>6500吨聚氨酯发泡胶材料项目环境影响报告书</w:t>
    </w:r>
  </w:p>
  <w:p>
    <w:pPr>
      <w:tabs>
        <w:tab w:val="center" w:pos="4153"/>
        <w:tab w:val="right" w:pos="830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21E381"/>
    <w:multiLevelType w:val="singleLevel"/>
    <w:tmpl w:val="8021E381"/>
    <w:lvl w:ilvl="0" w:tentative="0">
      <w:start w:val="1"/>
      <w:numFmt w:val="decimal"/>
      <w:suff w:val="nothing"/>
      <w:lvlText w:val="（%1）"/>
      <w:lvlJc w:val="left"/>
    </w:lvl>
  </w:abstractNum>
  <w:abstractNum w:abstractNumId="1">
    <w:nsid w:val="827E798B"/>
    <w:multiLevelType w:val="singleLevel"/>
    <w:tmpl w:val="827E798B"/>
    <w:lvl w:ilvl="0" w:tentative="0">
      <w:start w:val="1"/>
      <w:numFmt w:val="decimal"/>
      <w:lvlText w:val="(%1)"/>
      <w:lvlJc w:val="left"/>
      <w:pPr>
        <w:ind w:left="425" w:hanging="425"/>
      </w:pPr>
      <w:rPr>
        <w:rFonts w:hint="default"/>
      </w:rPr>
    </w:lvl>
  </w:abstractNum>
  <w:abstractNum w:abstractNumId="2">
    <w:nsid w:val="87E4279E"/>
    <w:multiLevelType w:val="singleLevel"/>
    <w:tmpl w:val="87E4279E"/>
    <w:lvl w:ilvl="0" w:tentative="0">
      <w:start w:val="1"/>
      <w:numFmt w:val="decimal"/>
      <w:suff w:val="nothing"/>
      <w:lvlText w:val="（%1）"/>
      <w:lvlJc w:val="left"/>
    </w:lvl>
  </w:abstractNum>
  <w:abstractNum w:abstractNumId="3">
    <w:nsid w:val="BCB0401B"/>
    <w:multiLevelType w:val="multilevel"/>
    <w:tmpl w:val="BCB0401B"/>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ascii="宋体" w:hAnsi="宋体" w:eastAsia="宋体" w:cs="宋体"/>
      </w:rPr>
    </w:lvl>
    <w:lvl w:ilvl="2" w:tentative="0">
      <w:start w:val="1"/>
      <w:numFmt w:val="decimal"/>
      <w:lvlText w:val="%1.%2.%3."/>
      <w:lvlJc w:val="left"/>
      <w:pPr>
        <w:ind w:left="720" w:hanging="720"/>
      </w:pPr>
      <w:rPr>
        <w:rFonts w:hint="default" w:ascii="宋体" w:hAnsi="宋体" w:eastAsia="宋体" w:cs="宋体"/>
      </w:rPr>
    </w:lvl>
    <w:lvl w:ilvl="3" w:tentative="0">
      <w:start w:val="1"/>
      <w:numFmt w:val="decimal"/>
      <w:lvlText w:val="%1.%2.%3.%4."/>
      <w:lvlJc w:val="left"/>
      <w:pPr>
        <w:ind w:left="864" w:hanging="864"/>
      </w:pPr>
      <w:rPr>
        <w:rFonts w:hint="default" w:ascii="宋体" w:hAnsi="宋体" w:eastAsia="宋体" w:cs="宋体"/>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4">
    <w:nsid w:val="C4A9ED45"/>
    <w:multiLevelType w:val="singleLevel"/>
    <w:tmpl w:val="C4A9ED45"/>
    <w:lvl w:ilvl="0" w:tentative="0">
      <w:start w:val="1"/>
      <w:numFmt w:val="decimal"/>
      <w:lvlText w:val="(%1)"/>
      <w:lvlJc w:val="left"/>
      <w:pPr>
        <w:ind w:left="425" w:hanging="425"/>
      </w:pPr>
      <w:rPr>
        <w:rFonts w:hint="default"/>
      </w:rPr>
    </w:lvl>
  </w:abstractNum>
  <w:abstractNum w:abstractNumId="5">
    <w:nsid w:val="D01837C5"/>
    <w:multiLevelType w:val="singleLevel"/>
    <w:tmpl w:val="D01837C5"/>
    <w:lvl w:ilvl="0" w:tentative="0">
      <w:start w:val="1"/>
      <w:numFmt w:val="decimal"/>
      <w:lvlText w:val="(%1)"/>
      <w:lvlJc w:val="left"/>
      <w:pPr>
        <w:ind w:left="425" w:hanging="425"/>
      </w:pPr>
      <w:rPr>
        <w:rFonts w:hint="default"/>
      </w:rPr>
    </w:lvl>
  </w:abstractNum>
  <w:abstractNum w:abstractNumId="6">
    <w:nsid w:val="DE6B4932"/>
    <w:multiLevelType w:val="singleLevel"/>
    <w:tmpl w:val="DE6B4932"/>
    <w:lvl w:ilvl="0" w:tentative="0">
      <w:start w:val="1"/>
      <w:numFmt w:val="decimal"/>
      <w:suff w:val="space"/>
      <w:lvlText w:val="%1."/>
      <w:lvlJc w:val="left"/>
    </w:lvl>
  </w:abstractNum>
  <w:abstractNum w:abstractNumId="7">
    <w:nsid w:val="F18FF831"/>
    <w:multiLevelType w:val="singleLevel"/>
    <w:tmpl w:val="F18FF831"/>
    <w:lvl w:ilvl="0" w:tentative="0">
      <w:start w:val="1"/>
      <w:numFmt w:val="decimal"/>
      <w:lvlText w:val="(%1)"/>
      <w:lvlJc w:val="left"/>
      <w:pPr>
        <w:ind w:left="425" w:hanging="425"/>
      </w:pPr>
      <w:rPr>
        <w:rFonts w:hint="default"/>
      </w:rPr>
    </w:lvl>
  </w:abstractNum>
  <w:abstractNum w:abstractNumId="8">
    <w:nsid w:val="F19977FC"/>
    <w:multiLevelType w:val="singleLevel"/>
    <w:tmpl w:val="F19977FC"/>
    <w:lvl w:ilvl="0" w:tentative="0">
      <w:start w:val="1"/>
      <w:numFmt w:val="decimal"/>
      <w:suff w:val="nothing"/>
      <w:lvlText w:val="（%1）"/>
      <w:lvlJc w:val="left"/>
    </w:lvl>
  </w:abstractNum>
  <w:abstractNum w:abstractNumId="9">
    <w:nsid w:val="00000006"/>
    <w:multiLevelType w:val="multilevel"/>
    <w:tmpl w:val="00000006"/>
    <w:lvl w:ilvl="0" w:tentative="0">
      <w:start w:val="1"/>
      <w:numFmt w:val="decimal"/>
      <w:lvlText w:val="%1."/>
      <w:lvlJc w:val="left"/>
      <w:pPr>
        <w:tabs>
          <w:tab w:val="left" w:pos="780"/>
        </w:tabs>
        <w:ind w:left="780" w:hanging="360"/>
      </w:pPr>
    </w:lvl>
    <w:lvl w:ilvl="1" w:tentative="0">
      <w:start w:val="1"/>
      <w:numFmt w:val="decimal"/>
      <w:lvlText w:val="%2."/>
      <w:lvlJc w:val="left"/>
      <w:pPr>
        <w:ind w:left="0" w:firstLine="0"/>
      </w:pPr>
      <w:rPr>
        <w:rFonts w:hint="eastAsia"/>
        <w:b w:val="0"/>
        <w:i w:val="0"/>
        <w:sz w:val="32"/>
        <w:szCs w:val="32"/>
      </w:rPr>
    </w:lvl>
    <w:lvl w:ilvl="2" w:tentative="0">
      <w:start w:val="1"/>
      <w:numFmt w:val="decimal"/>
      <w:pStyle w:val="32"/>
      <w:suff w:val="nothing"/>
      <w:lvlText w:val="%1%2.%3　"/>
      <w:lvlJc w:val="left"/>
      <w:pPr>
        <w:ind w:left="426" w:firstLine="0"/>
      </w:pPr>
      <w:rPr>
        <w:rFonts w:hint="eastAsia" w:ascii="黑体" w:hAnsi="Times New Roman" w:eastAsia="黑体"/>
        <w:b w:val="0"/>
        <w:i w:val="0"/>
        <w:sz w:val="28"/>
        <w:szCs w:val="28"/>
      </w:rPr>
    </w:lvl>
    <w:lvl w:ilvl="3" w:tentative="0">
      <w:start w:val="1"/>
      <w:numFmt w:val="decimal"/>
      <w:pStyle w:val="31"/>
      <w:suff w:val="nothing"/>
      <w:lvlText w:val="%1%2.%3.%4　"/>
      <w:lvlJc w:val="left"/>
      <w:pPr>
        <w:ind w:left="0" w:firstLine="0"/>
      </w:pPr>
      <w:rPr>
        <w:rFonts w:hint="eastAsia" w:ascii="黑体" w:hAnsi="Times New Roman" w:eastAsia="黑体"/>
        <w:b w:val="0"/>
        <w:i w:val="0"/>
        <w:sz w:val="24"/>
        <w:szCs w:val="24"/>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143E5477"/>
    <w:multiLevelType w:val="singleLevel"/>
    <w:tmpl w:val="143E5477"/>
    <w:lvl w:ilvl="0" w:tentative="0">
      <w:start w:val="2"/>
      <w:numFmt w:val="decimal"/>
      <w:suff w:val="nothing"/>
      <w:lvlText w:val="（%1）"/>
      <w:lvlJc w:val="left"/>
    </w:lvl>
  </w:abstractNum>
  <w:abstractNum w:abstractNumId="11">
    <w:nsid w:val="2322444D"/>
    <w:multiLevelType w:val="singleLevel"/>
    <w:tmpl w:val="2322444D"/>
    <w:lvl w:ilvl="0" w:tentative="0">
      <w:start w:val="3"/>
      <w:numFmt w:val="decimal"/>
      <w:suff w:val="nothing"/>
      <w:lvlText w:val="（%1）"/>
      <w:lvlJc w:val="left"/>
    </w:lvl>
  </w:abstractNum>
  <w:abstractNum w:abstractNumId="12">
    <w:nsid w:val="2E9547E9"/>
    <w:multiLevelType w:val="singleLevel"/>
    <w:tmpl w:val="2E9547E9"/>
    <w:lvl w:ilvl="0" w:tentative="0">
      <w:start w:val="1"/>
      <w:numFmt w:val="decimal"/>
      <w:lvlText w:val="(%1)"/>
      <w:lvlJc w:val="left"/>
      <w:pPr>
        <w:ind w:left="425" w:hanging="425"/>
      </w:pPr>
      <w:rPr>
        <w:rFonts w:hint="default"/>
      </w:rPr>
    </w:lvl>
  </w:abstractNum>
  <w:abstractNum w:abstractNumId="13">
    <w:nsid w:val="3EA7FE7F"/>
    <w:multiLevelType w:val="singleLevel"/>
    <w:tmpl w:val="3EA7FE7F"/>
    <w:lvl w:ilvl="0" w:tentative="0">
      <w:start w:val="1"/>
      <w:numFmt w:val="decimal"/>
      <w:lvlText w:val="(%1)"/>
      <w:lvlJc w:val="left"/>
      <w:pPr>
        <w:ind w:left="425" w:hanging="425"/>
      </w:pPr>
      <w:rPr>
        <w:rFonts w:hint="default"/>
      </w:rPr>
    </w:lvl>
  </w:abstractNum>
  <w:abstractNum w:abstractNumId="14">
    <w:nsid w:val="4517B827"/>
    <w:multiLevelType w:val="multilevel"/>
    <w:tmpl w:val="4517B827"/>
    <w:lvl w:ilvl="0" w:tentative="0">
      <w:start w:val="1"/>
      <w:numFmt w:val="decimal"/>
      <w:pStyle w:val="3"/>
      <w:lvlText w:val="%1."/>
      <w:lvlJc w:val="left"/>
      <w:pPr>
        <w:ind w:left="0" w:leftChars="0" w:firstLine="0" w:firstLineChars="0"/>
      </w:pPr>
      <w:rPr>
        <w:rFonts w:hint="default" w:ascii="宋体" w:hAnsi="宋体" w:eastAsia="宋体" w:cs="宋体"/>
      </w:rPr>
    </w:lvl>
    <w:lvl w:ilvl="1" w:tentative="0">
      <w:start w:val="1"/>
      <w:numFmt w:val="decimal"/>
      <w:pStyle w:val="2"/>
      <w:lvlText w:val="%1.%2."/>
      <w:lvlJc w:val="left"/>
      <w:pPr>
        <w:ind w:left="0" w:leftChars="0" w:firstLine="0" w:firstLineChars="0"/>
      </w:pPr>
      <w:rPr>
        <w:rFonts w:hint="default" w:ascii="宋体" w:hAnsi="宋体" w:eastAsia="宋体" w:cs="宋体"/>
      </w:rPr>
    </w:lvl>
    <w:lvl w:ilvl="2" w:tentative="0">
      <w:start w:val="1"/>
      <w:numFmt w:val="decimal"/>
      <w:pStyle w:val="4"/>
      <w:lvlText w:val="%1.%2.%3."/>
      <w:lvlJc w:val="left"/>
      <w:pPr>
        <w:ind w:left="0" w:leftChars="0" w:firstLine="0" w:firstLineChars="0"/>
      </w:pPr>
      <w:rPr>
        <w:rFonts w:hint="default" w:ascii="宋体" w:hAnsi="宋体" w:eastAsia="宋体" w:cs="宋体"/>
      </w:rPr>
    </w:lvl>
    <w:lvl w:ilvl="3" w:tentative="0">
      <w:start w:val="1"/>
      <w:numFmt w:val="decimal"/>
      <w:pStyle w:val="5"/>
      <w:lvlText w:val="%1.%2.%3.%4."/>
      <w:lvlJc w:val="left"/>
      <w:pPr>
        <w:ind w:left="0" w:leftChars="0" w:firstLine="0" w:firstLineChars="0"/>
      </w:pPr>
      <w:rPr>
        <w:rFonts w:hint="default" w:ascii="宋体" w:hAnsi="宋体" w:eastAsia="宋体" w:cs="宋体"/>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5">
    <w:nsid w:val="494E62B7"/>
    <w:multiLevelType w:val="singleLevel"/>
    <w:tmpl w:val="494E62B7"/>
    <w:lvl w:ilvl="0" w:tentative="0">
      <w:start w:val="1"/>
      <w:numFmt w:val="decimal"/>
      <w:lvlText w:val="(%1)"/>
      <w:lvlJc w:val="left"/>
      <w:pPr>
        <w:ind w:left="425" w:hanging="425"/>
      </w:pPr>
      <w:rPr>
        <w:rFonts w:hint="default"/>
      </w:rPr>
    </w:lvl>
  </w:abstractNum>
  <w:abstractNum w:abstractNumId="16">
    <w:nsid w:val="4A184ECD"/>
    <w:multiLevelType w:val="singleLevel"/>
    <w:tmpl w:val="4A184ECD"/>
    <w:lvl w:ilvl="0" w:tentative="0">
      <w:start w:val="1"/>
      <w:numFmt w:val="decimal"/>
      <w:lvlText w:val="(%1)"/>
      <w:lvlJc w:val="left"/>
      <w:pPr>
        <w:ind w:left="425" w:hanging="425"/>
      </w:pPr>
      <w:rPr>
        <w:rFonts w:hint="default"/>
      </w:rPr>
    </w:lvl>
  </w:abstractNum>
  <w:abstractNum w:abstractNumId="17">
    <w:nsid w:val="4AE04076"/>
    <w:multiLevelType w:val="singleLevel"/>
    <w:tmpl w:val="4AE04076"/>
    <w:lvl w:ilvl="0" w:tentative="0">
      <w:start w:val="1"/>
      <w:numFmt w:val="decimalEnclosedCircleChinese"/>
      <w:suff w:val="nothing"/>
      <w:lvlText w:val="%1　"/>
      <w:lvlJc w:val="left"/>
      <w:pPr>
        <w:ind w:left="0" w:firstLine="400"/>
      </w:pPr>
      <w:rPr>
        <w:rFonts w:hint="eastAsia"/>
      </w:rPr>
    </w:lvl>
  </w:abstractNum>
  <w:abstractNum w:abstractNumId="18">
    <w:nsid w:val="4E9728F2"/>
    <w:multiLevelType w:val="singleLevel"/>
    <w:tmpl w:val="4E9728F2"/>
    <w:lvl w:ilvl="0" w:tentative="0">
      <w:start w:val="1"/>
      <w:numFmt w:val="decimal"/>
      <w:lvlText w:val="(%1)"/>
      <w:lvlJc w:val="left"/>
      <w:pPr>
        <w:ind w:left="425" w:hanging="425"/>
      </w:pPr>
      <w:rPr>
        <w:rFonts w:hint="default"/>
      </w:rPr>
    </w:lvl>
  </w:abstractNum>
  <w:abstractNum w:abstractNumId="19">
    <w:nsid w:val="7C3809C1"/>
    <w:multiLevelType w:val="singleLevel"/>
    <w:tmpl w:val="7C3809C1"/>
    <w:lvl w:ilvl="0" w:tentative="0">
      <w:start w:val="1"/>
      <w:numFmt w:val="decimal"/>
      <w:lvlText w:val="(%1)"/>
      <w:lvlJc w:val="left"/>
      <w:pPr>
        <w:ind w:left="425" w:hanging="425"/>
      </w:pPr>
      <w:rPr>
        <w:rFonts w:hint="default"/>
      </w:rPr>
    </w:lvl>
  </w:abstractNum>
  <w:num w:numId="1">
    <w:abstractNumId w:val="14"/>
  </w:num>
  <w:num w:numId="2">
    <w:abstractNumId w:val="9"/>
  </w:num>
  <w:num w:numId="3">
    <w:abstractNumId w:val="6"/>
  </w:num>
  <w:num w:numId="4">
    <w:abstractNumId w:val="19"/>
  </w:num>
  <w:num w:numId="5">
    <w:abstractNumId w:val="5"/>
  </w:num>
  <w:num w:numId="6">
    <w:abstractNumId w:val="13"/>
  </w:num>
  <w:num w:numId="7">
    <w:abstractNumId w:val="0"/>
  </w:num>
  <w:num w:numId="8">
    <w:abstractNumId w:val="8"/>
  </w:num>
  <w:num w:numId="9">
    <w:abstractNumId w:val="11"/>
  </w:num>
  <w:num w:numId="10">
    <w:abstractNumId w:val="4"/>
  </w:num>
  <w:num w:numId="11">
    <w:abstractNumId w:val="10"/>
  </w:num>
  <w:num w:numId="12">
    <w:abstractNumId w:val="12"/>
  </w:num>
  <w:num w:numId="13">
    <w:abstractNumId w:val="16"/>
  </w:num>
  <w:num w:numId="14">
    <w:abstractNumId w:val="2"/>
  </w:num>
  <w:num w:numId="15">
    <w:abstractNumId w:val="3"/>
  </w:num>
  <w:num w:numId="16">
    <w:abstractNumId w:val="17"/>
  </w:num>
  <w:num w:numId="17">
    <w:abstractNumId w:val="15"/>
  </w:num>
  <w:num w:numId="18">
    <w:abstractNumId w:val="18"/>
  </w:num>
  <w:num w:numId="19">
    <w:abstractNumId w:val="1"/>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72"/>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EFE4CB6"/>
    <w:rsid w:val="001005DD"/>
    <w:rsid w:val="0028017C"/>
    <w:rsid w:val="007C5A83"/>
    <w:rsid w:val="00856614"/>
    <w:rsid w:val="00BE4C99"/>
    <w:rsid w:val="00D51A93"/>
    <w:rsid w:val="01334452"/>
    <w:rsid w:val="01975D59"/>
    <w:rsid w:val="01D91905"/>
    <w:rsid w:val="028C4152"/>
    <w:rsid w:val="02AB498C"/>
    <w:rsid w:val="02B61072"/>
    <w:rsid w:val="02ED43CE"/>
    <w:rsid w:val="030330B1"/>
    <w:rsid w:val="03C01719"/>
    <w:rsid w:val="03C65B67"/>
    <w:rsid w:val="03D61CF7"/>
    <w:rsid w:val="04367BED"/>
    <w:rsid w:val="044863E6"/>
    <w:rsid w:val="04B57F18"/>
    <w:rsid w:val="04F01C60"/>
    <w:rsid w:val="04F07F6F"/>
    <w:rsid w:val="056B273D"/>
    <w:rsid w:val="05CB3B4C"/>
    <w:rsid w:val="06131A3F"/>
    <w:rsid w:val="065C4608"/>
    <w:rsid w:val="066B657C"/>
    <w:rsid w:val="07387332"/>
    <w:rsid w:val="07A07A2D"/>
    <w:rsid w:val="07D3485A"/>
    <w:rsid w:val="081765D3"/>
    <w:rsid w:val="08291780"/>
    <w:rsid w:val="08296BFB"/>
    <w:rsid w:val="086E0DC6"/>
    <w:rsid w:val="08CC666E"/>
    <w:rsid w:val="091A4775"/>
    <w:rsid w:val="09202453"/>
    <w:rsid w:val="093153CE"/>
    <w:rsid w:val="0A066624"/>
    <w:rsid w:val="0A1867F9"/>
    <w:rsid w:val="0A4C637C"/>
    <w:rsid w:val="0A54689A"/>
    <w:rsid w:val="0A5B602A"/>
    <w:rsid w:val="0A815DBC"/>
    <w:rsid w:val="0AE42731"/>
    <w:rsid w:val="0B0C4F4E"/>
    <w:rsid w:val="0BD33D8A"/>
    <w:rsid w:val="0BE730F5"/>
    <w:rsid w:val="0BF84B3F"/>
    <w:rsid w:val="0C9413DA"/>
    <w:rsid w:val="0CF26E20"/>
    <w:rsid w:val="0CFF7061"/>
    <w:rsid w:val="0D641C49"/>
    <w:rsid w:val="0D85456F"/>
    <w:rsid w:val="0DE36B99"/>
    <w:rsid w:val="0DF741FA"/>
    <w:rsid w:val="0E030C55"/>
    <w:rsid w:val="0E512387"/>
    <w:rsid w:val="0E566A62"/>
    <w:rsid w:val="0E635601"/>
    <w:rsid w:val="0E7704F5"/>
    <w:rsid w:val="0E851857"/>
    <w:rsid w:val="0E9E67E2"/>
    <w:rsid w:val="0ED2111F"/>
    <w:rsid w:val="0EE23E04"/>
    <w:rsid w:val="0EE35703"/>
    <w:rsid w:val="0EE44398"/>
    <w:rsid w:val="0F8D2249"/>
    <w:rsid w:val="0FA12B66"/>
    <w:rsid w:val="0FD034EA"/>
    <w:rsid w:val="0FE57426"/>
    <w:rsid w:val="0FF84C8E"/>
    <w:rsid w:val="10BF197B"/>
    <w:rsid w:val="10D369F7"/>
    <w:rsid w:val="10F363B7"/>
    <w:rsid w:val="116B230B"/>
    <w:rsid w:val="11B8601B"/>
    <w:rsid w:val="11B94DC0"/>
    <w:rsid w:val="11D54C38"/>
    <w:rsid w:val="120475E7"/>
    <w:rsid w:val="128C6DFD"/>
    <w:rsid w:val="129E0E1B"/>
    <w:rsid w:val="12AB68FB"/>
    <w:rsid w:val="131C6986"/>
    <w:rsid w:val="132639EB"/>
    <w:rsid w:val="133D2D37"/>
    <w:rsid w:val="13614D14"/>
    <w:rsid w:val="136F349F"/>
    <w:rsid w:val="137E7787"/>
    <w:rsid w:val="13A3380B"/>
    <w:rsid w:val="13B10373"/>
    <w:rsid w:val="13F47B4D"/>
    <w:rsid w:val="14380EF6"/>
    <w:rsid w:val="14C24A1E"/>
    <w:rsid w:val="15103A06"/>
    <w:rsid w:val="15392516"/>
    <w:rsid w:val="15561F2C"/>
    <w:rsid w:val="158D666A"/>
    <w:rsid w:val="15A5226C"/>
    <w:rsid w:val="15AA5BEB"/>
    <w:rsid w:val="15DE661C"/>
    <w:rsid w:val="162D2EA1"/>
    <w:rsid w:val="16B8126A"/>
    <w:rsid w:val="17397364"/>
    <w:rsid w:val="17D36326"/>
    <w:rsid w:val="183F24FF"/>
    <w:rsid w:val="18636F5A"/>
    <w:rsid w:val="1883364C"/>
    <w:rsid w:val="18FF576F"/>
    <w:rsid w:val="192D22DE"/>
    <w:rsid w:val="192D64C6"/>
    <w:rsid w:val="19756057"/>
    <w:rsid w:val="1A381DC5"/>
    <w:rsid w:val="1A4E6BA5"/>
    <w:rsid w:val="1A8D63E9"/>
    <w:rsid w:val="1A8E41FF"/>
    <w:rsid w:val="1AE3178C"/>
    <w:rsid w:val="1AE74673"/>
    <w:rsid w:val="1B071943"/>
    <w:rsid w:val="1B401873"/>
    <w:rsid w:val="1B7E56DE"/>
    <w:rsid w:val="1C142684"/>
    <w:rsid w:val="1C1A22F8"/>
    <w:rsid w:val="1C301263"/>
    <w:rsid w:val="1C411666"/>
    <w:rsid w:val="1CDF4D2B"/>
    <w:rsid w:val="1CE72600"/>
    <w:rsid w:val="1D136161"/>
    <w:rsid w:val="1D1A0832"/>
    <w:rsid w:val="1D24279E"/>
    <w:rsid w:val="1D3269DA"/>
    <w:rsid w:val="1D985FCA"/>
    <w:rsid w:val="1DA22815"/>
    <w:rsid w:val="1DC165BD"/>
    <w:rsid w:val="1DDC0389"/>
    <w:rsid w:val="1DDE0E05"/>
    <w:rsid w:val="1DDF62A4"/>
    <w:rsid w:val="1DE868D0"/>
    <w:rsid w:val="1E057DAC"/>
    <w:rsid w:val="1E5614EB"/>
    <w:rsid w:val="1E5D1EDF"/>
    <w:rsid w:val="1E692CFB"/>
    <w:rsid w:val="1ECC283C"/>
    <w:rsid w:val="1EDA2D66"/>
    <w:rsid w:val="1F5D076A"/>
    <w:rsid w:val="1FAA32CF"/>
    <w:rsid w:val="1FDF066C"/>
    <w:rsid w:val="201A0301"/>
    <w:rsid w:val="202A372C"/>
    <w:rsid w:val="20D6511C"/>
    <w:rsid w:val="20E60E0A"/>
    <w:rsid w:val="213866B5"/>
    <w:rsid w:val="2169068E"/>
    <w:rsid w:val="21C040F4"/>
    <w:rsid w:val="21EA60F9"/>
    <w:rsid w:val="22436E86"/>
    <w:rsid w:val="23551ABC"/>
    <w:rsid w:val="23623561"/>
    <w:rsid w:val="23695A8C"/>
    <w:rsid w:val="236D2BA1"/>
    <w:rsid w:val="24350615"/>
    <w:rsid w:val="24866679"/>
    <w:rsid w:val="24D97338"/>
    <w:rsid w:val="2537592D"/>
    <w:rsid w:val="253E62A2"/>
    <w:rsid w:val="254C47FE"/>
    <w:rsid w:val="25694A91"/>
    <w:rsid w:val="258C0CFE"/>
    <w:rsid w:val="25CE4195"/>
    <w:rsid w:val="25D96A37"/>
    <w:rsid w:val="26061FDF"/>
    <w:rsid w:val="260940D2"/>
    <w:rsid w:val="26301CEE"/>
    <w:rsid w:val="26823590"/>
    <w:rsid w:val="26967DD8"/>
    <w:rsid w:val="26FD17EE"/>
    <w:rsid w:val="278A2759"/>
    <w:rsid w:val="27E51075"/>
    <w:rsid w:val="27E75617"/>
    <w:rsid w:val="27FD3B08"/>
    <w:rsid w:val="28BC270E"/>
    <w:rsid w:val="28EE2FA4"/>
    <w:rsid w:val="28FA6E3E"/>
    <w:rsid w:val="292C5E70"/>
    <w:rsid w:val="29351F31"/>
    <w:rsid w:val="2969108B"/>
    <w:rsid w:val="298A602A"/>
    <w:rsid w:val="29AA2CA2"/>
    <w:rsid w:val="29AA6A6C"/>
    <w:rsid w:val="29CC38F8"/>
    <w:rsid w:val="29D27986"/>
    <w:rsid w:val="2A11258D"/>
    <w:rsid w:val="2A122625"/>
    <w:rsid w:val="2A3464B4"/>
    <w:rsid w:val="2A8A77ED"/>
    <w:rsid w:val="2AC13126"/>
    <w:rsid w:val="2ADD41C4"/>
    <w:rsid w:val="2B801207"/>
    <w:rsid w:val="2C027582"/>
    <w:rsid w:val="2C0F1861"/>
    <w:rsid w:val="2C845CDA"/>
    <w:rsid w:val="2C993C50"/>
    <w:rsid w:val="2D6D1B36"/>
    <w:rsid w:val="2DA17F53"/>
    <w:rsid w:val="2DD33175"/>
    <w:rsid w:val="2DEA0086"/>
    <w:rsid w:val="2E0639A6"/>
    <w:rsid w:val="2E176412"/>
    <w:rsid w:val="2E99344C"/>
    <w:rsid w:val="2EA90A54"/>
    <w:rsid w:val="2EE51A9B"/>
    <w:rsid w:val="2F161332"/>
    <w:rsid w:val="2F255A5E"/>
    <w:rsid w:val="2F4D5472"/>
    <w:rsid w:val="2F5C43D0"/>
    <w:rsid w:val="2F690246"/>
    <w:rsid w:val="2FFA128C"/>
    <w:rsid w:val="30094B7F"/>
    <w:rsid w:val="30462E5A"/>
    <w:rsid w:val="309908B1"/>
    <w:rsid w:val="30AB585A"/>
    <w:rsid w:val="30C8660C"/>
    <w:rsid w:val="31AF384F"/>
    <w:rsid w:val="31E853EC"/>
    <w:rsid w:val="31EF5C46"/>
    <w:rsid w:val="320271CA"/>
    <w:rsid w:val="32163CDC"/>
    <w:rsid w:val="32514354"/>
    <w:rsid w:val="32520354"/>
    <w:rsid w:val="327B74E9"/>
    <w:rsid w:val="329B2EAF"/>
    <w:rsid w:val="32DD3306"/>
    <w:rsid w:val="32E64F1C"/>
    <w:rsid w:val="335F5099"/>
    <w:rsid w:val="33BA699C"/>
    <w:rsid w:val="33FB1550"/>
    <w:rsid w:val="3449226A"/>
    <w:rsid w:val="3450761A"/>
    <w:rsid w:val="345D356B"/>
    <w:rsid w:val="349B6071"/>
    <w:rsid w:val="35164EB6"/>
    <w:rsid w:val="354A5667"/>
    <w:rsid w:val="35781614"/>
    <w:rsid w:val="358D441E"/>
    <w:rsid w:val="35B54B6B"/>
    <w:rsid w:val="366831AF"/>
    <w:rsid w:val="36DB11E0"/>
    <w:rsid w:val="37425F0D"/>
    <w:rsid w:val="37577FF9"/>
    <w:rsid w:val="375D159A"/>
    <w:rsid w:val="37C87330"/>
    <w:rsid w:val="37D76FFC"/>
    <w:rsid w:val="387519F1"/>
    <w:rsid w:val="38982D86"/>
    <w:rsid w:val="38D70497"/>
    <w:rsid w:val="38E26BBA"/>
    <w:rsid w:val="39195A74"/>
    <w:rsid w:val="39275A9D"/>
    <w:rsid w:val="39304C82"/>
    <w:rsid w:val="394044E1"/>
    <w:rsid w:val="39822522"/>
    <w:rsid w:val="3991285F"/>
    <w:rsid w:val="39AB33DE"/>
    <w:rsid w:val="3A1D6E92"/>
    <w:rsid w:val="3A4B03E8"/>
    <w:rsid w:val="3ACE0097"/>
    <w:rsid w:val="3B12435B"/>
    <w:rsid w:val="3B1C272E"/>
    <w:rsid w:val="3B9D6203"/>
    <w:rsid w:val="3BBC1D3E"/>
    <w:rsid w:val="3BDA0999"/>
    <w:rsid w:val="3C125DA4"/>
    <w:rsid w:val="3CBE1B7F"/>
    <w:rsid w:val="3CF31A1F"/>
    <w:rsid w:val="3D3712B8"/>
    <w:rsid w:val="3D617D7E"/>
    <w:rsid w:val="3D917A21"/>
    <w:rsid w:val="3D9D5C8E"/>
    <w:rsid w:val="3DCF010E"/>
    <w:rsid w:val="3DD30BB0"/>
    <w:rsid w:val="3DF67E1B"/>
    <w:rsid w:val="3E0E1935"/>
    <w:rsid w:val="3E226BA0"/>
    <w:rsid w:val="3E375814"/>
    <w:rsid w:val="3E434F65"/>
    <w:rsid w:val="3E7F3749"/>
    <w:rsid w:val="3E8A1664"/>
    <w:rsid w:val="3EC22DF0"/>
    <w:rsid w:val="3F322B63"/>
    <w:rsid w:val="3F4E655A"/>
    <w:rsid w:val="40247E0F"/>
    <w:rsid w:val="40413F48"/>
    <w:rsid w:val="40972F92"/>
    <w:rsid w:val="40A83DE5"/>
    <w:rsid w:val="40AC2418"/>
    <w:rsid w:val="40C80694"/>
    <w:rsid w:val="40D303AD"/>
    <w:rsid w:val="40DC1927"/>
    <w:rsid w:val="412D4B7F"/>
    <w:rsid w:val="41A27C4F"/>
    <w:rsid w:val="42111286"/>
    <w:rsid w:val="421159CA"/>
    <w:rsid w:val="421C3727"/>
    <w:rsid w:val="42515C73"/>
    <w:rsid w:val="42870B82"/>
    <w:rsid w:val="42C2252C"/>
    <w:rsid w:val="43B72FB4"/>
    <w:rsid w:val="43E677C0"/>
    <w:rsid w:val="43F333FD"/>
    <w:rsid w:val="44131EAE"/>
    <w:rsid w:val="44327F0D"/>
    <w:rsid w:val="44446D6D"/>
    <w:rsid w:val="445F55A5"/>
    <w:rsid w:val="44B970B4"/>
    <w:rsid w:val="44E804BC"/>
    <w:rsid w:val="450341CA"/>
    <w:rsid w:val="450D754F"/>
    <w:rsid w:val="4547179A"/>
    <w:rsid w:val="45F16BA8"/>
    <w:rsid w:val="462C7A41"/>
    <w:rsid w:val="464628BD"/>
    <w:rsid w:val="468268ED"/>
    <w:rsid w:val="46D25143"/>
    <w:rsid w:val="46DC701F"/>
    <w:rsid w:val="46FF7D96"/>
    <w:rsid w:val="472E1B44"/>
    <w:rsid w:val="476D4EB9"/>
    <w:rsid w:val="47815B20"/>
    <w:rsid w:val="47922B40"/>
    <w:rsid w:val="47AA4AFA"/>
    <w:rsid w:val="48234F27"/>
    <w:rsid w:val="48674E5A"/>
    <w:rsid w:val="487509EF"/>
    <w:rsid w:val="487B0BFA"/>
    <w:rsid w:val="49050F2A"/>
    <w:rsid w:val="4916658E"/>
    <w:rsid w:val="492F1204"/>
    <w:rsid w:val="497F67BE"/>
    <w:rsid w:val="4A357320"/>
    <w:rsid w:val="4AC34AF6"/>
    <w:rsid w:val="4AC62E66"/>
    <w:rsid w:val="4AE10247"/>
    <w:rsid w:val="4AFB39E9"/>
    <w:rsid w:val="4B0B103E"/>
    <w:rsid w:val="4B2B52DD"/>
    <w:rsid w:val="4B4329AA"/>
    <w:rsid w:val="4B8C3454"/>
    <w:rsid w:val="4BCF7459"/>
    <w:rsid w:val="4BDC5388"/>
    <w:rsid w:val="4C3834A9"/>
    <w:rsid w:val="4C4B03D4"/>
    <w:rsid w:val="4CDE43EF"/>
    <w:rsid w:val="4CE141F2"/>
    <w:rsid w:val="4CF467C9"/>
    <w:rsid w:val="4DB34715"/>
    <w:rsid w:val="4E08107F"/>
    <w:rsid w:val="4E1774B2"/>
    <w:rsid w:val="4E1F4F24"/>
    <w:rsid w:val="4E6F6AE9"/>
    <w:rsid w:val="4E7D7B29"/>
    <w:rsid w:val="4EAC5E33"/>
    <w:rsid w:val="4EBB69C1"/>
    <w:rsid w:val="4F4F2EE5"/>
    <w:rsid w:val="4FB139AD"/>
    <w:rsid w:val="4FEF7835"/>
    <w:rsid w:val="503B72D6"/>
    <w:rsid w:val="506211FF"/>
    <w:rsid w:val="50BF075B"/>
    <w:rsid w:val="50DE73CE"/>
    <w:rsid w:val="50F80F63"/>
    <w:rsid w:val="519C3F37"/>
    <w:rsid w:val="51B8493F"/>
    <w:rsid w:val="51CB2C07"/>
    <w:rsid w:val="526249E3"/>
    <w:rsid w:val="52721AC6"/>
    <w:rsid w:val="528A0B06"/>
    <w:rsid w:val="52A678E0"/>
    <w:rsid w:val="52EC5D32"/>
    <w:rsid w:val="52FB0577"/>
    <w:rsid w:val="5309651C"/>
    <w:rsid w:val="532442DE"/>
    <w:rsid w:val="5354670F"/>
    <w:rsid w:val="53940055"/>
    <w:rsid w:val="53D26E8B"/>
    <w:rsid w:val="547310CD"/>
    <w:rsid w:val="54C94EE5"/>
    <w:rsid w:val="552965C5"/>
    <w:rsid w:val="558B5D38"/>
    <w:rsid w:val="55B3250A"/>
    <w:rsid w:val="56071385"/>
    <w:rsid w:val="56235FA3"/>
    <w:rsid w:val="56280488"/>
    <w:rsid w:val="566E1676"/>
    <w:rsid w:val="56962261"/>
    <w:rsid w:val="56DE30C8"/>
    <w:rsid w:val="5706659B"/>
    <w:rsid w:val="57197AE3"/>
    <w:rsid w:val="57433AA3"/>
    <w:rsid w:val="57D9143B"/>
    <w:rsid w:val="58436BB6"/>
    <w:rsid w:val="58642F3F"/>
    <w:rsid w:val="586B1DEC"/>
    <w:rsid w:val="58AE7A8E"/>
    <w:rsid w:val="590D4A8A"/>
    <w:rsid w:val="590E79A3"/>
    <w:rsid w:val="590F6988"/>
    <w:rsid w:val="59352B80"/>
    <w:rsid w:val="5993317C"/>
    <w:rsid w:val="5997121E"/>
    <w:rsid w:val="59B7736C"/>
    <w:rsid w:val="59F12041"/>
    <w:rsid w:val="5A4D1617"/>
    <w:rsid w:val="5AB65AFF"/>
    <w:rsid w:val="5ABC6234"/>
    <w:rsid w:val="5AEB162A"/>
    <w:rsid w:val="5B9C2E91"/>
    <w:rsid w:val="5BB04B71"/>
    <w:rsid w:val="5BCB1405"/>
    <w:rsid w:val="5BEA746F"/>
    <w:rsid w:val="5C07463C"/>
    <w:rsid w:val="5C105BDB"/>
    <w:rsid w:val="5C223038"/>
    <w:rsid w:val="5C263526"/>
    <w:rsid w:val="5C4E37C6"/>
    <w:rsid w:val="5C6431BC"/>
    <w:rsid w:val="5C805872"/>
    <w:rsid w:val="5C9C6243"/>
    <w:rsid w:val="5D185062"/>
    <w:rsid w:val="5D2E23D6"/>
    <w:rsid w:val="5D734A8C"/>
    <w:rsid w:val="5D7902F0"/>
    <w:rsid w:val="5D9F6F33"/>
    <w:rsid w:val="5DC949EA"/>
    <w:rsid w:val="5DD13C5A"/>
    <w:rsid w:val="5DE31D88"/>
    <w:rsid w:val="5DEC7DE2"/>
    <w:rsid w:val="5E03588B"/>
    <w:rsid w:val="5E1935E9"/>
    <w:rsid w:val="5E4B781B"/>
    <w:rsid w:val="5EFA53A8"/>
    <w:rsid w:val="5F1679D5"/>
    <w:rsid w:val="5F42424E"/>
    <w:rsid w:val="5F7205E7"/>
    <w:rsid w:val="5F75430D"/>
    <w:rsid w:val="5F8E7856"/>
    <w:rsid w:val="5FD90AFE"/>
    <w:rsid w:val="5FE753C1"/>
    <w:rsid w:val="600231A8"/>
    <w:rsid w:val="60025EC3"/>
    <w:rsid w:val="601170FA"/>
    <w:rsid w:val="606F39B2"/>
    <w:rsid w:val="609B1D24"/>
    <w:rsid w:val="60FE2BE0"/>
    <w:rsid w:val="61007DC9"/>
    <w:rsid w:val="6151746D"/>
    <w:rsid w:val="616A7A25"/>
    <w:rsid w:val="61A300AE"/>
    <w:rsid w:val="61AF4665"/>
    <w:rsid w:val="61C33AF9"/>
    <w:rsid w:val="6206727B"/>
    <w:rsid w:val="620B5989"/>
    <w:rsid w:val="635B3020"/>
    <w:rsid w:val="63C27210"/>
    <w:rsid w:val="63DF7542"/>
    <w:rsid w:val="64053ACC"/>
    <w:rsid w:val="640C5EFB"/>
    <w:rsid w:val="647744CD"/>
    <w:rsid w:val="64786CF1"/>
    <w:rsid w:val="64890F57"/>
    <w:rsid w:val="64AE227F"/>
    <w:rsid w:val="64B10FF1"/>
    <w:rsid w:val="65695932"/>
    <w:rsid w:val="658D08F6"/>
    <w:rsid w:val="65E8216F"/>
    <w:rsid w:val="662A7CDE"/>
    <w:rsid w:val="665218B8"/>
    <w:rsid w:val="66AB0EB4"/>
    <w:rsid w:val="66FC4470"/>
    <w:rsid w:val="672269EF"/>
    <w:rsid w:val="67537751"/>
    <w:rsid w:val="67ED1E30"/>
    <w:rsid w:val="67F02247"/>
    <w:rsid w:val="68122B7C"/>
    <w:rsid w:val="681C62D6"/>
    <w:rsid w:val="68202D49"/>
    <w:rsid w:val="6840474B"/>
    <w:rsid w:val="68462EFB"/>
    <w:rsid w:val="687F6D1C"/>
    <w:rsid w:val="6886045C"/>
    <w:rsid w:val="68B32967"/>
    <w:rsid w:val="68B57A06"/>
    <w:rsid w:val="68ED24B8"/>
    <w:rsid w:val="693B5FFC"/>
    <w:rsid w:val="6944342F"/>
    <w:rsid w:val="6962427C"/>
    <w:rsid w:val="69685206"/>
    <w:rsid w:val="69985B89"/>
    <w:rsid w:val="6A002BBB"/>
    <w:rsid w:val="6B570913"/>
    <w:rsid w:val="6B761A51"/>
    <w:rsid w:val="6C524D94"/>
    <w:rsid w:val="6C52612E"/>
    <w:rsid w:val="6C7C4AD7"/>
    <w:rsid w:val="6CAC5389"/>
    <w:rsid w:val="6CEA7939"/>
    <w:rsid w:val="6CF25103"/>
    <w:rsid w:val="6D550C7E"/>
    <w:rsid w:val="6D6409B6"/>
    <w:rsid w:val="6D67040D"/>
    <w:rsid w:val="6E10139F"/>
    <w:rsid w:val="6EB461C0"/>
    <w:rsid w:val="6EFE4CB6"/>
    <w:rsid w:val="6F020D2E"/>
    <w:rsid w:val="6F047AC4"/>
    <w:rsid w:val="6F70068D"/>
    <w:rsid w:val="6F88608D"/>
    <w:rsid w:val="6F90292A"/>
    <w:rsid w:val="6FAF2F7D"/>
    <w:rsid w:val="6FBF7CF0"/>
    <w:rsid w:val="6FC54416"/>
    <w:rsid w:val="6FC65237"/>
    <w:rsid w:val="700023F0"/>
    <w:rsid w:val="70804C09"/>
    <w:rsid w:val="70A421C8"/>
    <w:rsid w:val="70BD4883"/>
    <w:rsid w:val="70D8742A"/>
    <w:rsid w:val="70F9618A"/>
    <w:rsid w:val="713F74E1"/>
    <w:rsid w:val="71752FC1"/>
    <w:rsid w:val="71B7395E"/>
    <w:rsid w:val="71E747F4"/>
    <w:rsid w:val="71FF4903"/>
    <w:rsid w:val="720A6C9A"/>
    <w:rsid w:val="722F4C45"/>
    <w:rsid w:val="726D344D"/>
    <w:rsid w:val="72BB76AD"/>
    <w:rsid w:val="731D2CAD"/>
    <w:rsid w:val="73512ABB"/>
    <w:rsid w:val="73532C78"/>
    <w:rsid w:val="73743B10"/>
    <w:rsid w:val="7386672C"/>
    <w:rsid w:val="73B0332A"/>
    <w:rsid w:val="73B851CA"/>
    <w:rsid w:val="73CA0E42"/>
    <w:rsid w:val="73D534AC"/>
    <w:rsid w:val="73F2200A"/>
    <w:rsid w:val="73F8038D"/>
    <w:rsid w:val="743B2722"/>
    <w:rsid w:val="74406470"/>
    <w:rsid w:val="747B3ACD"/>
    <w:rsid w:val="747C7812"/>
    <w:rsid w:val="74817BA4"/>
    <w:rsid w:val="752C236D"/>
    <w:rsid w:val="753D0DB3"/>
    <w:rsid w:val="755975CC"/>
    <w:rsid w:val="755D5768"/>
    <w:rsid w:val="75A51CF6"/>
    <w:rsid w:val="762627F4"/>
    <w:rsid w:val="76A80638"/>
    <w:rsid w:val="76FA4998"/>
    <w:rsid w:val="771D7C30"/>
    <w:rsid w:val="77336C5D"/>
    <w:rsid w:val="77466D1D"/>
    <w:rsid w:val="77A67CDB"/>
    <w:rsid w:val="77B80412"/>
    <w:rsid w:val="77E11A35"/>
    <w:rsid w:val="783A505C"/>
    <w:rsid w:val="78770CCD"/>
    <w:rsid w:val="78DF6D5B"/>
    <w:rsid w:val="790E7B3F"/>
    <w:rsid w:val="796C4F6C"/>
    <w:rsid w:val="79B24480"/>
    <w:rsid w:val="7A187D81"/>
    <w:rsid w:val="7A46158C"/>
    <w:rsid w:val="7A625D1E"/>
    <w:rsid w:val="7AC902B0"/>
    <w:rsid w:val="7B100774"/>
    <w:rsid w:val="7B5D1C66"/>
    <w:rsid w:val="7BB14D4C"/>
    <w:rsid w:val="7C220F87"/>
    <w:rsid w:val="7C3C2D0A"/>
    <w:rsid w:val="7C837A30"/>
    <w:rsid w:val="7C896F9D"/>
    <w:rsid w:val="7C9A4E07"/>
    <w:rsid w:val="7CB114AA"/>
    <w:rsid w:val="7CB37C6B"/>
    <w:rsid w:val="7D11504B"/>
    <w:rsid w:val="7D727FD6"/>
    <w:rsid w:val="7DC42AFE"/>
    <w:rsid w:val="7E2316E3"/>
    <w:rsid w:val="7E4D74A2"/>
    <w:rsid w:val="7E8052D0"/>
    <w:rsid w:val="7F100550"/>
    <w:rsid w:val="7F5E36CD"/>
    <w:rsid w:val="7F6156CE"/>
    <w:rsid w:val="7F796BD6"/>
    <w:rsid w:val="7F9E5B25"/>
    <w:rsid w:val="7FBC3D48"/>
    <w:rsid w:val="7FD808F5"/>
    <w:rsid w:val="7FF93AC6"/>
    <w:rsid w:val="7FFD78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35"/>
    <w:qFormat/>
    <w:uiPriority w:val="0"/>
    <w:pPr>
      <w:keepNext/>
      <w:keepLines/>
      <w:numPr>
        <w:ilvl w:val="0"/>
        <w:numId w:val="1"/>
      </w:numPr>
      <w:tabs>
        <w:tab w:val="left" w:pos="0"/>
      </w:tabs>
      <w:spacing w:before="100" w:beforeLines="100" w:beforeAutospacing="0" w:after="100" w:afterLines="100" w:afterAutospacing="0" w:line="360" w:lineRule="auto"/>
      <w:ind w:firstLine="0" w:firstLineChars="0"/>
      <w:outlineLvl w:val="0"/>
    </w:pPr>
    <w:rPr>
      <w:rFonts w:ascii="Times New Roman" w:hAnsi="Times New Roman" w:eastAsia="宋体" w:cs="Times New Roman"/>
      <w:b/>
      <w:bCs/>
      <w:kern w:val="44"/>
      <w:sz w:val="32"/>
      <w:szCs w:val="32"/>
    </w:rPr>
  </w:style>
  <w:style w:type="paragraph" w:styleId="2">
    <w:name w:val="heading 2"/>
    <w:basedOn w:val="1"/>
    <w:next w:val="1"/>
    <w:unhideWhenUsed/>
    <w:qFormat/>
    <w:uiPriority w:val="0"/>
    <w:pPr>
      <w:keepNext/>
      <w:keepLines/>
      <w:numPr>
        <w:ilvl w:val="1"/>
        <w:numId w:val="1"/>
      </w:numPr>
      <w:tabs>
        <w:tab w:val="left" w:pos="0"/>
      </w:tabs>
      <w:spacing w:beforeLines="0" w:beforeAutospacing="0" w:afterLines="0" w:afterAutospacing="0" w:line="360" w:lineRule="auto"/>
      <w:ind w:firstLine="0" w:firstLineChars="0"/>
      <w:outlineLvl w:val="1"/>
    </w:pPr>
    <w:rPr>
      <w:rFonts w:ascii="Times New Roman" w:hAnsi="Times New Roman" w:eastAsia="宋体" w:cs="Times New Roman"/>
      <w:b/>
      <w:bCs/>
      <w:sz w:val="30"/>
      <w:szCs w:val="30"/>
    </w:rPr>
  </w:style>
  <w:style w:type="paragraph" w:styleId="4">
    <w:name w:val="heading 3"/>
    <w:basedOn w:val="1"/>
    <w:next w:val="1"/>
    <w:unhideWhenUsed/>
    <w:qFormat/>
    <w:uiPriority w:val="0"/>
    <w:pPr>
      <w:keepNext/>
      <w:keepLines/>
      <w:numPr>
        <w:ilvl w:val="2"/>
        <w:numId w:val="1"/>
      </w:numPr>
      <w:tabs>
        <w:tab w:val="left" w:pos="0"/>
      </w:tabs>
      <w:spacing w:beforeLines="0" w:beforeAutospacing="0" w:afterLines="0" w:afterAutospacing="0" w:line="360" w:lineRule="auto"/>
      <w:ind w:firstLine="0" w:firstLineChars="0"/>
      <w:outlineLvl w:val="2"/>
    </w:pPr>
    <w:rPr>
      <w:rFonts w:ascii="Times New Roman" w:hAnsi="Times New Roman" w:eastAsia="宋体" w:cs="Times New Roman"/>
      <w:b/>
      <w:bCs/>
      <w:sz w:val="28"/>
      <w:szCs w:val="28"/>
    </w:rPr>
  </w:style>
  <w:style w:type="paragraph" w:styleId="5">
    <w:name w:val="heading 4"/>
    <w:basedOn w:val="1"/>
    <w:next w:val="1"/>
    <w:unhideWhenUsed/>
    <w:qFormat/>
    <w:uiPriority w:val="0"/>
    <w:pPr>
      <w:keepNext/>
      <w:keepLines/>
      <w:numPr>
        <w:ilvl w:val="3"/>
        <w:numId w:val="1"/>
      </w:numPr>
      <w:tabs>
        <w:tab w:val="left" w:pos="0"/>
      </w:tabs>
      <w:spacing w:beforeLines="0" w:beforeAutospacing="0" w:afterLines="0" w:afterAutospacing="0" w:line="360" w:lineRule="auto"/>
      <w:ind w:firstLine="0" w:firstLineChars="0"/>
      <w:outlineLvl w:val="3"/>
    </w:pPr>
    <w:rPr>
      <w:rFonts w:ascii="Times New Roman" w:hAnsi="Times New Roman" w:eastAsia="宋体" w:cs="Times New Roman"/>
      <w:b/>
      <w:bCs/>
      <w:sz w:val="24"/>
    </w:rPr>
  </w:style>
  <w:style w:type="paragraph" w:styleId="6">
    <w:name w:val="heading 5"/>
    <w:basedOn w:val="1"/>
    <w:next w:val="1"/>
    <w:unhideWhenUsed/>
    <w:qFormat/>
    <w:uiPriority w:val="0"/>
    <w:pPr>
      <w:keepNext/>
      <w:keepLines/>
      <w:numPr>
        <w:ilvl w:val="4"/>
        <w:numId w:val="1"/>
      </w:numPr>
      <w:spacing w:beforeLines="0" w:beforeAutospacing="0" w:afterLines="0" w:afterAutospacing="0" w:line="360" w:lineRule="auto"/>
      <w:ind w:left="1008" w:hanging="1008" w:firstLineChars="0"/>
      <w:jc w:val="center"/>
      <w:outlineLvl w:val="4"/>
    </w:pPr>
    <w:rPr>
      <w:rFonts w:ascii="Times New Roman" w:hAnsi="Times New Roman" w:eastAsia="宋体" w:cs="Times New Roman"/>
      <w:b/>
      <w:sz w:val="28"/>
      <w:szCs w:val="28"/>
    </w:rPr>
  </w:style>
  <w:style w:type="paragraph" w:styleId="7">
    <w:name w:val="heading 6"/>
    <w:basedOn w:val="1"/>
    <w:next w:val="1"/>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11">
    <w:name w:val="Normal Indent"/>
    <w:basedOn w:val="1"/>
    <w:qFormat/>
    <w:uiPriority w:val="0"/>
    <w:pPr>
      <w:ind w:firstLine="420"/>
    </w:pPr>
  </w:style>
  <w:style w:type="paragraph" w:styleId="12">
    <w:name w:val="caption"/>
    <w:basedOn w:val="1"/>
    <w:next w:val="1"/>
    <w:unhideWhenUsed/>
    <w:qFormat/>
    <w:uiPriority w:val="0"/>
    <w:pPr>
      <w:jc w:val="center"/>
    </w:pPr>
    <w:rPr>
      <w:rFonts w:ascii="Times New Roman" w:hAnsi="Times New Roman" w:eastAsia="宋体" w:cs="Times New Roman"/>
      <w:b/>
      <w:bCs/>
      <w:szCs w:val="21"/>
    </w:rPr>
  </w:style>
  <w:style w:type="paragraph" w:styleId="13">
    <w:name w:val="Body Text Indent"/>
    <w:basedOn w:val="1"/>
    <w:qFormat/>
    <w:uiPriority w:val="0"/>
    <w:pPr>
      <w:ind w:firstLine="482"/>
    </w:pPr>
    <w:rPr>
      <w:sz w:val="24"/>
    </w:rPr>
  </w:style>
  <w:style w:type="paragraph" w:styleId="14">
    <w:name w:val="toc 3"/>
    <w:basedOn w:val="1"/>
    <w:next w:val="1"/>
    <w:qFormat/>
    <w:uiPriority w:val="0"/>
    <w:pPr>
      <w:spacing w:line="288" w:lineRule="auto"/>
      <w:ind w:left="840" w:leftChars="400"/>
    </w:pPr>
    <w:rPr>
      <w:rFonts w:ascii="Times New Roman" w:hAnsi="Times New Roman" w:eastAsia="宋体"/>
      <w:sz w:val="21"/>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rPr>
  </w:style>
  <w:style w:type="paragraph" w:styleId="17">
    <w:name w:val="toc 1"/>
    <w:basedOn w:val="1"/>
    <w:next w:val="1"/>
    <w:qFormat/>
    <w:uiPriority w:val="0"/>
    <w:pPr>
      <w:spacing w:line="288" w:lineRule="auto"/>
    </w:pPr>
    <w:rPr>
      <w:rFonts w:ascii="Times New Roman" w:hAnsi="Times New Roman" w:eastAsia="宋体"/>
      <w:sz w:val="21"/>
    </w:rPr>
  </w:style>
  <w:style w:type="paragraph" w:styleId="18">
    <w:name w:val="toc 4"/>
    <w:basedOn w:val="1"/>
    <w:next w:val="1"/>
    <w:qFormat/>
    <w:uiPriority w:val="0"/>
    <w:pPr>
      <w:ind w:left="1260" w:leftChars="600"/>
    </w:pPr>
  </w:style>
  <w:style w:type="paragraph" w:styleId="19">
    <w:name w:val="toc 2"/>
    <w:basedOn w:val="1"/>
    <w:next w:val="1"/>
    <w:qFormat/>
    <w:uiPriority w:val="0"/>
    <w:pPr>
      <w:spacing w:line="288" w:lineRule="auto"/>
      <w:ind w:left="420" w:leftChars="200"/>
    </w:pPr>
    <w:rPr>
      <w:rFonts w:ascii="Times New Roman" w:hAnsi="Times New Roman" w:eastAsia="宋体"/>
      <w:sz w:val="21"/>
    </w:rPr>
  </w:style>
  <w:style w:type="paragraph" w:styleId="20">
    <w:name w:val="Body Text 2"/>
    <w:basedOn w:val="1"/>
    <w:qFormat/>
    <w:uiPriority w:val="0"/>
    <w:pPr>
      <w:spacing w:line="440" w:lineRule="exact"/>
    </w:pPr>
    <w:rPr>
      <w:rFonts w:ascii="宋体"/>
      <w:spacing w:val="-10"/>
      <w:sz w:val="24"/>
    </w:rPr>
  </w:style>
  <w:style w:type="paragraph" w:styleId="21">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23">
    <w:name w:val="Table Grid"/>
    <w:basedOn w:val="2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25">
    <w:name w:val="报告书、报告表正文"/>
    <w:basedOn w:val="1"/>
    <w:link w:val="41"/>
    <w:qFormat/>
    <w:uiPriority w:val="0"/>
    <w:pPr>
      <w:spacing w:line="360" w:lineRule="auto"/>
      <w:ind w:firstLine="480" w:firstLineChars="200"/>
      <w:jc w:val="left"/>
    </w:pPr>
    <w:rPr>
      <w:rFonts w:ascii="Times New Roman" w:hAnsi="Times New Roman" w:eastAsia="宋体" w:cs="Times New Roman"/>
      <w:sz w:val="24"/>
    </w:rPr>
  </w:style>
  <w:style w:type="paragraph" w:customStyle="1" w:styleId="26">
    <w:name w:val="报告书、报告表表格文字"/>
    <w:basedOn w:val="1"/>
    <w:qFormat/>
    <w:uiPriority w:val="0"/>
    <w:pPr>
      <w:adjustRightInd w:val="0"/>
      <w:snapToGrid w:val="0"/>
      <w:spacing w:line="240" w:lineRule="auto"/>
      <w:ind w:firstLine="0" w:firstLineChars="0"/>
      <w:jc w:val="center"/>
    </w:pPr>
    <w:rPr>
      <w:rFonts w:ascii="Times New Roman" w:hAnsi="Times New Roman" w:eastAsia="宋体" w:cs="Times New Roman"/>
      <w:sz w:val="24"/>
    </w:rPr>
  </w:style>
  <w:style w:type="paragraph" w:customStyle="1" w:styleId="27">
    <w:name w:val="图、表1-1"/>
    <w:basedOn w:val="1"/>
    <w:qFormat/>
    <w:uiPriority w:val="0"/>
    <w:pPr>
      <w:ind w:firstLine="0" w:firstLineChars="0"/>
      <w:jc w:val="center"/>
    </w:pPr>
    <w:rPr>
      <w:rFonts w:ascii="Times New Roman" w:hAnsi="Times New Roman" w:eastAsia="宋体" w:cs="Times New Roman"/>
      <w:b/>
      <w:bCs/>
      <w:sz w:val="21"/>
      <w:szCs w:val="21"/>
    </w:rPr>
  </w:style>
  <w:style w:type="paragraph" w:customStyle="1" w:styleId="28">
    <w:name w:val="自查表表格文字"/>
    <w:basedOn w:val="26"/>
    <w:qFormat/>
    <w:uiPriority w:val="0"/>
    <w:rPr>
      <w:sz w:val="21"/>
      <w:szCs w:val="21"/>
    </w:rPr>
  </w:style>
  <w:style w:type="paragraph" w:customStyle="1" w:styleId="29">
    <w:name w:val="四级条标题"/>
    <w:basedOn w:val="30"/>
    <w:next w:val="34"/>
    <w:qFormat/>
    <w:uiPriority w:val="0"/>
    <w:pPr>
      <w:widowControl/>
      <w:numPr>
        <w:ilvl w:val="3"/>
        <w:numId w:val="0"/>
      </w:numPr>
      <w:tabs>
        <w:tab w:val="left" w:pos="360"/>
      </w:tabs>
      <w:outlineLvl w:val="5"/>
    </w:pPr>
    <w:rPr>
      <w:rFonts w:ascii="黑体" w:eastAsia="黑体"/>
      <w:kern w:val="0"/>
      <w:szCs w:val="20"/>
    </w:rPr>
  </w:style>
  <w:style w:type="paragraph" w:customStyle="1" w:styleId="30">
    <w:name w:val="三级条标题"/>
    <w:basedOn w:val="31"/>
    <w:next w:val="34"/>
    <w:qFormat/>
    <w:uiPriority w:val="0"/>
    <w:pPr>
      <w:numPr>
        <w:ilvl w:val="3"/>
        <w:numId w:val="0"/>
      </w:numPr>
      <w:tabs>
        <w:tab w:val="left" w:pos="360"/>
      </w:tabs>
      <w:outlineLvl w:val="4"/>
    </w:pPr>
  </w:style>
  <w:style w:type="paragraph" w:customStyle="1" w:styleId="31">
    <w:name w:val="二级条标题"/>
    <w:basedOn w:val="32"/>
    <w:next w:val="34"/>
    <w:qFormat/>
    <w:uiPriority w:val="0"/>
    <w:pPr>
      <w:numPr>
        <w:ilvl w:val="3"/>
        <w:numId w:val="2"/>
      </w:numPr>
      <w:tabs>
        <w:tab w:val="left" w:pos="360"/>
      </w:tabs>
      <w:outlineLvl w:val="3"/>
    </w:pPr>
  </w:style>
  <w:style w:type="paragraph" w:customStyle="1" w:styleId="32">
    <w:name w:val="一级条标题"/>
    <w:basedOn w:val="33"/>
    <w:next w:val="34"/>
    <w:qFormat/>
    <w:uiPriority w:val="0"/>
    <w:pPr>
      <w:numPr>
        <w:ilvl w:val="2"/>
        <w:numId w:val="2"/>
      </w:numPr>
      <w:tabs>
        <w:tab w:val="left" w:pos="360"/>
      </w:tabs>
      <w:spacing w:before="0" w:beforeLines="0" w:after="0" w:afterLines="0"/>
      <w:outlineLvl w:val="2"/>
    </w:pPr>
  </w:style>
  <w:style w:type="paragraph" w:customStyle="1" w:styleId="33">
    <w:name w:val="章标题"/>
    <w:basedOn w:val="1"/>
    <w:next w:val="34"/>
    <w:qFormat/>
    <w:uiPriority w:val="0"/>
    <w:pPr>
      <w:tabs>
        <w:tab w:val="left" w:pos="360"/>
      </w:tabs>
      <w:ind w:left="900" w:hanging="420"/>
      <w:outlineLvl w:val="0"/>
    </w:pPr>
    <w:rPr>
      <w:rFonts w:ascii="黑体" w:eastAsia="黑体"/>
      <w:b/>
      <w:bCs/>
      <w:kern w:val="144"/>
      <w:sz w:val="32"/>
    </w:rPr>
  </w:style>
  <w:style w:type="paragraph" w:customStyle="1" w:styleId="3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35">
    <w:name w:val="标题 1 Char"/>
    <w:link w:val="3"/>
    <w:qFormat/>
    <w:uiPriority w:val="0"/>
    <w:rPr>
      <w:rFonts w:ascii="Times New Roman" w:hAnsi="Times New Roman" w:eastAsia="宋体" w:cs="Times New Roman"/>
      <w:b/>
      <w:bCs/>
      <w:kern w:val="44"/>
      <w:sz w:val="32"/>
      <w:szCs w:val="32"/>
    </w:rPr>
  </w:style>
  <w:style w:type="paragraph" w:customStyle="1" w:styleId="3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7">
    <w:name w:val="表格内容"/>
    <w:basedOn w:val="1"/>
    <w:qFormat/>
    <w:uiPriority w:val="0"/>
    <w:pPr>
      <w:jc w:val="center"/>
    </w:pPr>
    <w:rPr>
      <w:szCs w:val="24"/>
    </w:rPr>
  </w:style>
  <w:style w:type="paragraph" w:customStyle="1" w:styleId="38">
    <w:name w:val="正文1"/>
    <w:basedOn w:val="1"/>
    <w:link w:val="42"/>
    <w:qFormat/>
    <w:uiPriority w:val="0"/>
    <w:pPr>
      <w:spacing w:line="360" w:lineRule="auto"/>
      <w:ind w:firstLine="723" w:firstLineChars="200"/>
    </w:pPr>
    <w:rPr>
      <w:kern w:val="0"/>
      <w:szCs w:val="20"/>
    </w:rPr>
  </w:style>
  <w:style w:type="paragraph" w:customStyle="1" w:styleId="39">
    <w:name w:val="表标题"/>
    <w:basedOn w:val="1"/>
    <w:qFormat/>
    <w:uiPriority w:val="0"/>
    <w:pPr>
      <w:spacing w:line="240" w:lineRule="auto"/>
      <w:jc w:val="center"/>
    </w:pPr>
    <w:rPr>
      <w:b/>
      <w:kern w:val="0"/>
      <w:sz w:val="21"/>
      <w:szCs w:val="20"/>
    </w:rPr>
  </w:style>
  <w:style w:type="paragraph" w:customStyle="1" w:styleId="40">
    <w:name w:val="表字体"/>
    <w:basedOn w:val="1"/>
    <w:next w:val="1"/>
    <w:qFormat/>
    <w:uiPriority w:val="0"/>
    <w:pPr>
      <w:spacing w:line="240" w:lineRule="auto"/>
      <w:jc w:val="center"/>
    </w:pPr>
    <w:rPr>
      <w:kern w:val="0"/>
      <w:sz w:val="21"/>
      <w:szCs w:val="20"/>
    </w:rPr>
  </w:style>
  <w:style w:type="character" w:customStyle="1" w:styleId="41">
    <w:name w:val="报告书、报告表正文 Char"/>
    <w:link w:val="25"/>
    <w:qFormat/>
    <w:uiPriority w:val="0"/>
    <w:rPr>
      <w:rFonts w:ascii="Times New Roman" w:hAnsi="Times New Roman" w:eastAsia="宋体" w:cs="Times New Roman"/>
      <w:sz w:val="24"/>
    </w:rPr>
  </w:style>
  <w:style w:type="character" w:customStyle="1" w:styleId="42">
    <w:name w:val="正文1 Char"/>
    <w:link w:val="38"/>
    <w:qFormat/>
    <w:uiPriority w:val="0"/>
    <w:rPr>
      <w:kern w:val="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footer" Target="footer1.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jpe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header" Target="header1.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2020-03-26T00:30:00Z</dcterms:created>
  <dc:creator>fan</dc:creator>
  <cp:lastModifiedBy>fan</cp:lastModifiedBy>
  <cp:lastPrinted>2020-05-18T09:08:00Z</cp:lastPrinted>
  <dcterms:modified xsi:type="dcterms:W3CDTF">2020-05-18T09:14:06Z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